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44"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June 30, 2024</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05" w:lineRule="exact"/>
        <w:rPr>
          <w:sz w:val="24"/>
          <w:szCs w:val="24"/>
          <w:color w:val="auto"/>
        </w:rPr>
      </w:pPr>
    </w:p>
    <w:p>
      <w:pPr>
        <w:ind w:left="1280" w:hanging="788"/>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4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40640</wp:posOffset>
            </wp:positionV>
            <wp:extent cx="1360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2"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British Columbia, Canada</w:t>
            </w:r>
          </w:p>
        </w:tc>
        <w:tc>
          <w:tcPr>
            <w:tcW w:w="422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5"/>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0"/>
                <w:szCs w:val="20"/>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color w:val="auto"/>
              </w:rPr>
              <w:t>(Zip Code)</w:t>
            </w:r>
          </w:p>
        </w:tc>
      </w:tr>
      <w:tr>
        <w:trPr>
          <w:trHeight w:val="22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8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2"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5"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CVEO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08" w:lineRule="exact"/>
        <w:rPr>
          <w:sz w:val="24"/>
          <w:szCs w:val="24"/>
          <w:color w:val="auto"/>
        </w:rPr>
      </w:pPr>
    </w:p>
    <w:p>
      <w:pPr>
        <w:sectPr>
          <w:pgSz w:w="11900" w:h="16838" w:orient="portrait"/>
          <w:cols w:equalWidth="0" w:num="3">
            <w:col w:w="3580" w:space="720"/>
            <w:col w:w="1760" w:space="720"/>
            <w:col w:w="4460"/>
          </w:cols>
          <w:pgMar w:left="320" w:top="1440" w:right="339" w:bottom="1440" w:gutter="0" w:footer="0" w:header="0"/>
          <w:type w:val="continuous"/>
        </w:sectPr>
      </w:pPr>
    </w:p>
    <w:p>
      <w:pPr>
        <w:ind w:right="280"/>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8"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6">
            <w:col w:w="1340" w:space="560"/>
            <w:col w:w="160" w:space="420"/>
            <w:col w:w="1540" w:space="720"/>
            <w:col w:w="160" w:space="440"/>
            <w:col w:w="2260" w:space="720"/>
            <w:col w:w="2920"/>
          </w:cols>
          <w:pgMar w:left="320" w:top="1440" w:right="339" w:bottom="1440" w:gutter="0" w:footer="0" w:header="0"/>
          <w:type w:val="continuous"/>
        </w:sectPr>
      </w:pPr>
    </w:p>
    <w:p>
      <w:pPr>
        <w:spacing w:after="0" w:line="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9" w:lineRule="exact"/>
        <w:rPr>
          <w:sz w:val="24"/>
          <w:szCs w:val="24"/>
          <w:color w:val="auto"/>
        </w:rPr>
      </w:pPr>
    </w:p>
    <w:p>
      <w:pPr>
        <w:ind w:right="360"/>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571500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49" w:lineRule="exact"/>
        <w:rPr>
          <w:sz w:val="20"/>
          <w:szCs w:val="20"/>
          <w:color w:val="auto"/>
        </w:rPr>
      </w:pPr>
    </w:p>
    <w:p>
      <w:pPr>
        <w:jc w:val="both"/>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14,370,987 common shares outstanding as of July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563245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51"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765"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shd w:val="clear" w:color="auto" w:fill="CCEEFF"/>
          </w:tcPr>
          <w:p>
            <w:pPr>
              <w:spacing w:after="0"/>
              <w:rPr>
                <w:sz w:val="17"/>
                <w:szCs w:val="17"/>
                <w:color w:val="auto"/>
              </w:rPr>
            </w:pPr>
          </w:p>
        </w:tc>
        <w:tc>
          <w:tcPr>
            <w:tcW w:w="10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and Six Months Ended June 30, 2024 and 2023</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Six Months Ended June 30, 2024 and 2023</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Consolidated Balance Sheets – as of June 30, 2024 (unaudited) and December 31, 2023</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and Six Months Ended June 30, 2024 and 2023</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Cash Flows for the Six Months Ended June 30, 2024 and 2023</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105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19</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9"/>
        </w:trPr>
        <w:tc>
          <w:tcPr>
            <w:tcW w:w="56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1A.</w:t>
            </w:r>
          </w:p>
        </w:tc>
        <w:tc>
          <w:tcPr>
            <w:tcW w:w="105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5.</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Other Information</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35</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6.</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9"/>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and other</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188,233</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178,532</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353,763</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345,909</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Rental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Product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196"/>
        </w:trPr>
        <w:tc>
          <w:tcPr>
            <w:tcW w:w="6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188,713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178,843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354,833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346,434</w:t>
            </w:r>
          </w:p>
        </w:tc>
      </w:tr>
      <w:tr>
        <w:trPr>
          <w:trHeight w:val="16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131,333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264,725</w:t>
            </w:r>
          </w:p>
        </w:tc>
      </w:tr>
      <w:tr>
        <w:trPr>
          <w:trHeight w:val="222"/>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Rental costs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16,459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32,649</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20,701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42,363</w:t>
            </w:r>
          </w:p>
        </w:tc>
      </w:tr>
      <w:tr>
        <w:trPr>
          <w:trHeight w:val="222"/>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on sale of McClelland Lake Lodge assets,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rPr>
              <w:t>—</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96"/>
        </w:trPr>
        <w:tc>
          <w:tcPr>
            <w:tcW w:w="6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175,601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168,671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340,166</w:t>
            </w:r>
          </w:p>
        </w:tc>
      </w:tr>
      <w:tr>
        <w:trPr>
          <w:trHeight w:val="182"/>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6,268</w:t>
            </w:r>
          </w:p>
        </w:tc>
      </w:tr>
      <w:tr>
        <w:trPr>
          <w:trHeight w:val="216"/>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w:t>
            </w:r>
          </w:p>
        </w:tc>
      </w:tr>
      <w:tr>
        <w:trPr>
          <w:trHeight w:val="20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19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(4,111)</w:t>
            </w: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r>
      <w:tr>
        <w:trPr>
          <w:trHeight w:val="189"/>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9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4,463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9"/>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 (see Note 7)</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Civeo Corporation common shareholders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9"/>
        </w:trPr>
        <w:tc>
          <w:tcPr>
            <w:tcW w:w="6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14,970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15,064</w:t>
            </w:r>
          </w:p>
        </w:tc>
      </w:tr>
      <w:tr>
        <w:trPr>
          <w:trHeight w:val="203"/>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15,064</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common share</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20"/>
          </w:cols>
          <w:pgMar w:left="480" w:top="1374"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98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9"/>
        </w:trPr>
        <w:tc>
          <w:tcPr>
            <w:tcW w:w="59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4"/>
        </w:trPr>
        <w:tc>
          <w:tcPr>
            <w:tcW w:w="5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r>
      <w:tr>
        <w:trPr>
          <w:trHeight w:val="131"/>
        </w:trPr>
        <w:tc>
          <w:tcPr>
            <w:tcW w:w="5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taxes</w:t>
            </w:r>
          </w:p>
        </w:tc>
        <w:tc>
          <w:tcPr>
            <w:tcW w:w="7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31"/>
        </w:trPr>
        <w:tc>
          <w:tcPr>
            <w:tcW w:w="5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w:t>
            </w:r>
          </w:p>
        </w:tc>
      </w:tr>
      <w:tr>
        <w:trPr>
          <w:trHeight w:val="189"/>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w:t>
            </w: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21"/>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Civeo Corporation</w:t>
            </w:r>
          </w:p>
        </w:tc>
        <w:tc>
          <w:tcPr>
            <w:tcW w:w="74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374" w:right="5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Assets held for sale</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92"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87"/>
        </w:trPr>
        <w:tc>
          <w:tcPr>
            <w:tcW w:w="4400" w:type="dxa"/>
            <w:vAlign w:val="bottom"/>
            <w:gridSpan w:val="2"/>
          </w:tcPr>
          <w:p>
            <w:pPr>
              <w:jc w:val="right"/>
              <w:ind w:right="3830"/>
              <w:spacing w:after="0"/>
              <w:rPr>
                <w:sz w:val="20"/>
                <w:szCs w:val="20"/>
                <w:color w:val="auto"/>
              </w:rPr>
            </w:pPr>
            <w:r>
              <w:rPr>
                <w:rFonts w:ascii="Times New Roman" w:cs="Times New Roman" w:eastAsia="Times New Roman" w:hAnsi="Times New Roman"/>
                <w:sz w:val="14"/>
                <w:szCs w:val="14"/>
                <w:color w:val="auto"/>
                <w:w w:val="94"/>
              </w:rPr>
              <w:t>ASSETS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49"/>
        </w:trPr>
        <w:tc>
          <w:tcPr>
            <w:tcW w:w="44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143,222</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6,982</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8,439</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7,407</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5,873</w:t>
            </w: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5"/>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175,246</w:t>
            </w:r>
          </w:p>
        </w:tc>
      </w:tr>
      <w:tr>
        <w:trPr>
          <w:trHeight w:val="343"/>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270,563</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7,690</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77,999</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12,286</w:t>
            </w: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r>
      <w:tr>
        <w:trPr>
          <w:trHeight w:val="23"/>
        </w:trPr>
        <w:tc>
          <w:tcPr>
            <w:tcW w:w="44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41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483,234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548,062</w:t>
            </w:r>
          </w:p>
        </w:tc>
      </w:tr>
      <w:tr>
        <w:trPr>
          <w:trHeight w:val="26"/>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-2115185</wp:posOffset>
            </wp:positionV>
            <wp:extent cx="7098665"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-1891665</wp:posOffset>
            </wp:positionV>
            <wp:extent cx="7098665"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-1642745</wp:posOffset>
            </wp:positionV>
            <wp:extent cx="7098665"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-1393825</wp:posOffset>
            </wp:positionV>
            <wp:extent cx="7098665"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-1144270</wp:posOffset>
            </wp:positionV>
            <wp:extent cx="7098665" cy="124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-887095</wp:posOffset>
            </wp:positionV>
            <wp:extent cx="7098665"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9969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-662940</wp:posOffset>
            </wp:positionV>
            <wp:extent cx="7098665"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-414020</wp:posOffset>
            </wp:positionV>
            <wp:extent cx="7098665"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12446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-165100</wp:posOffset>
            </wp:positionV>
            <wp:extent cx="7098665" cy="14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665" cy="14922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-95885</wp:posOffset>
            </wp:positionV>
            <wp:extent cx="7098665"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665" cy="124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520"/>
            <w:col w:w="8720"/>
          </w:cols>
          <w:pgMar w:left="480" w:top="1374" w:right="2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47,151</w:t>
            </w:r>
          </w:p>
        </w:tc>
        <w:tc>
          <w:tcPr>
            <w:tcW w:w="10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58,699</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40,523</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6,334</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98,085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114,236</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65,554</w:t>
            </w: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9,264</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24,167</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183,846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225,024</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78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shares (no par value; 46,000,000 shares authorized, 14,790,667 shares and 15,046,756 shares issued, respectively, and</w:t>
            </w:r>
          </w:p>
        </w:tc>
        <w:tc>
          <w:tcPr>
            <w:tcW w:w="5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14,376,593 shares and 14,680,081 shares outstanding, respectively)</w:t>
            </w:r>
          </w:p>
        </w:tc>
        <w:tc>
          <w:tcPr>
            <w:tcW w:w="5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1,630,130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1,628,972</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(933,346)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(919,023)</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414,074 and 366,675 shares, respectively</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(389,229)</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(380,715)</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297,425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320,171</w:t>
            </w: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299,388</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323,038</w:t>
            </w:r>
          </w:p>
        </w:tc>
        <w:tc>
          <w:tcPr>
            <w:tcW w:w="0" w:type="dxa"/>
            <w:vAlign w:val="bottom"/>
          </w:tcPr>
          <w:p>
            <w:pPr>
              <w:spacing w:after="0"/>
              <w:rPr>
                <w:sz w:val="1"/>
                <w:szCs w:val="1"/>
                <w:color w:val="auto"/>
              </w:rPr>
            </w:pPr>
          </w:p>
        </w:tc>
      </w:tr>
      <w:tr>
        <w:trPr>
          <w:trHeight w:val="196"/>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483,234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548,062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480" w:top="1374" w:right="239" w:bottom="1440" w:gutter="0" w:footer="0" w:header="0"/>
          <w:type w:val="continuous"/>
        </w:sectPr>
      </w:pPr>
    </w:p>
    <w:bookmarkStart w:id="6" w:name="page7"/>
    <w:bookmarkEnd w:id="6"/>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4" w:lineRule="exact"/>
        <w:rPr>
          <w:sz w:val="20"/>
          <w:szCs w:val="20"/>
          <w:color w:val="auto"/>
        </w:rPr>
      </w:pPr>
    </w:p>
    <w:tbl>
      <w:tblPr>
        <w:tblLayout w:type="fixed"/>
        <w:tblInd w:w="2680" w:type="dxa"/>
        <w:tblCellMar>
          <w:top w:w="0" w:type="dxa"/>
          <w:left w:w="0" w:type="dxa"/>
          <w:bottom w:w="0" w:type="dxa"/>
          <w:right w:w="0" w:type="dxa"/>
        </w:tblCellMar>
      </w:tblPr>
      <w:tr>
        <w:trPr>
          <w:trHeight w:val="170"/>
        </w:trPr>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7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jc w:val="center"/>
              <w:ind w:left="79"/>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80" w:type="dxa"/>
            <w:vAlign w:val="bottom"/>
          </w:tcPr>
          <w:p>
            <w:pPr>
              <w:spacing w:after="0" w:line="20" w:lineRule="exact"/>
              <w:rPr>
                <w:sz w:val="1"/>
                <w:szCs w:val="1"/>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760" w:type="dxa"/>
            <w:vAlign w:val="bottom"/>
            <w:vMerge w:val="restart"/>
          </w:tcPr>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jc w:val="center"/>
              <w:ind w:left="59"/>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3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80" w:type="dxa"/>
            <w:vAlign w:val="bottom"/>
            <w:vMerge w:val="continue"/>
          </w:tcPr>
          <w:p>
            <w:pPr>
              <w:spacing w:after="0"/>
              <w:rPr>
                <w:sz w:val="10"/>
                <w:szCs w:val="10"/>
                <w:color w:val="auto"/>
              </w:rPr>
            </w:pPr>
          </w:p>
        </w:tc>
        <w:tc>
          <w:tcPr>
            <w:tcW w:w="960" w:type="dxa"/>
            <w:vAlign w:val="bottom"/>
          </w:tcPr>
          <w:p>
            <w:pPr>
              <w:jc w:val="center"/>
              <w:ind w:left="159"/>
              <w:spacing w:after="0" w:line="11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020" w:type="dxa"/>
            <w:vAlign w:val="bottom"/>
          </w:tcPr>
          <w:p>
            <w:pPr>
              <w:jc w:val="center"/>
              <w:ind w:left="59"/>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760" w:type="dxa"/>
            <w:vAlign w:val="bottom"/>
          </w:tcPr>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80" w:type="dxa"/>
            <w:vAlign w:val="bottom"/>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6572250" cy="132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72250" cy="132715"/>
                    </a:xfrm>
                    <a:prstGeom prst="rect">
                      <a:avLst/>
                    </a:prstGeom>
                    <a:noFill/>
                  </pic:spPr>
                </pic:pic>
              </a:graphicData>
            </a:graphic>
          </wp:anchor>
        </w:drawing>
      </w:r>
    </w:p>
    <w:p>
      <w:pPr>
        <w:sectPr>
          <w:pgSz w:w="11900" w:h="16838" w:orient="portrait"/>
          <w:cols w:equalWidth="0" w:num="1">
            <w:col w:w="10360"/>
          </w:cols>
          <w:pgMar w:left="320" w:top="1374" w:right="1219" w:bottom="1440" w:gutter="0" w:footer="0" w:header="0"/>
        </w:sectPr>
      </w:pPr>
    </w:p>
    <w:tbl>
      <w:tblPr>
        <w:tblLayout w:type="fixed"/>
        <w:tblInd w:w="0" w:type="dxa"/>
        <w:tblCellMar>
          <w:top w:w="0" w:type="dxa"/>
          <w:left w:w="0" w:type="dxa"/>
          <w:bottom w:w="0" w:type="dxa"/>
          <w:right w:w="0" w:type="dxa"/>
        </w:tblCellMar>
      </w:tblPr>
      <w:tr>
        <w:trPr>
          <w:trHeight w:val="19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1,625,379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1,626,556</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1,629,521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1,630,130</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1,624,512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1,626,556</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1,628,972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1,630,130</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Shares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14,680</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(407)</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14,377</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(940,247)</w:t>
            </w: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(387,361)</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3,469</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292,177</w:t>
            </w:r>
          </w:p>
        </w:tc>
        <w:tc>
          <w:tcPr>
            <w:tcW w:w="0" w:type="dxa"/>
            <w:vAlign w:val="bottom"/>
          </w:tcPr>
          <w:p>
            <w:pPr>
              <w:spacing w:after="0"/>
              <w:rPr>
                <w:sz w:val="1"/>
                <w:szCs w:val="1"/>
                <w:color w:val="auto"/>
              </w:rPr>
            </w:pPr>
          </w:p>
        </w:tc>
      </w:tr>
      <w:tr>
        <w:trPr>
          <w:trHeight w:val="185"/>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4,463</w:t>
            </w:r>
          </w:p>
        </w:tc>
        <w:tc>
          <w:tcPr>
            <w:tcW w:w="22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(4,199)</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(939,983)</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(385,350)</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295,333</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(931,135)</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(390,877)</w:t>
            </w:r>
          </w:p>
        </w:tc>
        <w:tc>
          <w:tcPr>
            <w:tcW w:w="100" w:type="dxa"/>
            <w:vAlign w:val="bottom"/>
          </w:tcPr>
          <w:p>
            <w:pPr>
              <w:spacing w:after="0"/>
              <w:rPr>
                <w:sz w:val="24"/>
                <w:szCs w:val="24"/>
                <w:color w:val="auto"/>
              </w:rPr>
            </w:pPr>
          </w:p>
        </w:tc>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2,731</w:t>
            </w:r>
          </w:p>
        </w:tc>
        <w:tc>
          <w:tcPr>
            <w:tcW w:w="100" w:type="dxa"/>
            <w:vAlign w:val="bottom"/>
          </w:tcPr>
          <w:p>
            <w:pPr>
              <w:spacing w:after="0"/>
              <w:rPr>
                <w:sz w:val="24"/>
                <w:szCs w:val="24"/>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300,110</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8,227</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(3,661)</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(6,644)</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(133)</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(933,346)</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(389,229)</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299,388</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1"/>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(930,123)</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(385,187)</w:t>
            </w:r>
          </w:p>
        </w:tc>
        <w:tc>
          <w:tcPr>
            <w:tcW w:w="100" w:type="dxa"/>
            <w:vAlign w:val="bottom"/>
          </w:tcPr>
          <w:p>
            <w:pPr>
              <w:spacing w:after="0"/>
              <w:rPr>
                <w:sz w:val="24"/>
                <w:szCs w:val="24"/>
                <w:color w:val="auto"/>
              </w:rPr>
            </w:pPr>
          </w:p>
        </w:tc>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3,562</w:t>
            </w:r>
          </w:p>
        </w:tc>
        <w:tc>
          <w:tcPr>
            <w:tcW w:w="100" w:type="dxa"/>
            <w:vAlign w:val="bottom"/>
          </w:tcPr>
          <w:p>
            <w:pPr>
              <w:spacing w:after="0"/>
              <w:rPr>
                <w:sz w:val="24"/>
                <w:szCs w:val="24"/>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303,701</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(1,890)</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(7,970)</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(7,970)</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(939,983)</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(385,350)</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295,333</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(919,023)</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Pr>
          <w:p>
            <w:pPr>
              <w:spacing w:after="0"/>
              <w:rPr>
                <w:sz w:val="24"/>
                <w:szCs w:val="24"/>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(380,715)</w:t>
            </w:r>
          </w:p>
        </w:tc>
        <w:tc>
          <w:tcPr>
            <w:tcW w:w="100" w:type="dxa"/>
            <w:vAlign w:val="bottom"/>
          </w:tcPr>
          <w:p>
            <w:pPr>
              <w:spacing w:after="0"/>
              <w:rPr>
                <w:sz w:val="24"/>
                <w:szCs w:val="24"/>
                <w:color w:val="auto"/>
              </w:rPr>
            </w:pPr>
          </w:p>
        </w:tc>
        <w:tc>
          <w:tcPr>
            <w:tcW w:w="4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2,867</w:t>
            </w:r>
          </w:p>
        </w:tc>
        <w:tc>
          <w:tcPr>
            <w:tcW w:w="100" w:type="dxa"/>
            <w:vAlign w:val="bottom"/>
          </w:tcPr>
          <w:p>
            <w:pPr>
              <w:spacing w:after="0"/>
              <w:rPr>
                <w:sz w:val="24"/>
                <w:szCs w:val="24"/>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323,038</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3,094</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(8,610)</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(7,368)</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(9,852)</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(9,852)</w:t>
            </w:r>
          </w:p>
        </w:tc>
        <w:tc>
          <w:tcPr>
            <w:tcW w:w="0" w:type="dxa"/>
            <w:vAlign w:val="bottom"/>
          </w:tcPr>
          <w:p>
            <w:pPr>
              <w:spacing w:after="0"/>
              <w:rPr>
                <w:sz w:val="1"/>
                <w:szCs w:val="1"/>
                <w:color w:val="auto"/>
              </w:rPr>
            </w:pPr>
          </w:p>
        </w:tc>
      </w:tr>
      <w:tr>
        <w:trPr>
          <w:trHeight w:val="196"/>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(197)</w:t>
            </w:r>
          </w:p>
        </w:tc>
        <w:tc>
          <w:tcPr>
            <w:tcW w:w="2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6"/>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3"/>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(933,346)</w:t>
            </w: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(389,229)</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299,388</w:t>
            </w:r>
          </w:p>
        </w:tc>
        <w:tc>
          <w:tcPr>
            <w:tcW w:w="0" w:type="dxa"/>
            <w:vAlign w:val="bottom"/>
          </w:tcPr>
          <w:p>
            <w:pPr>
              <w:spacing w:after="0"/>
              <w:rPr>
                <w:sz w:val="1"/>
                <w:szCs w:val="1"/>
                <w:color w:val="auto"/>
              </w:rPr>
            </w:pPr>
          </w:p>
        </w:tc>
      </w:tr>
      <w:tr>
        <w:trPr>
          <w:trHeight w:val="25"/>
        </w:trPr>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-3990975</wp:posOffset>
            </wp:positionV>
            <wp:extent cx="6572250" cy="124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-3742055</wp:posOffset>
            </wp:positionV>
            <wp:extent cx="6572250" cy="124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-3244215</wp:posOffset>
            </wp:positionV>
            <wp:extent cx="6572250" cy="124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-2995295</wp:posOffset>
            </wp:positionV>
            <wp:extent cx="6572250" cy="124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-2746375</wp:posOffset>
            </wp:positionV>
            <wp:extent cx="6572250" cy="124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2250" cy="12446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-2497455</wp:posOffset>
            </wp:positionV>
            <wp:extent cx="6572250" cy="2614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2250" cy="261429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-3493135</wp:posOffset>
            </wp:positionV>
            <wp:extent cx="6572250" cy="165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2250" cy="165735"/>
                    </a:xfrm>
                    <a:prstGeom prst="rect">
                      <a:avLst/>
                    </a:prstGeom>
                    <a:noFill/>
                  </pic:spPr>
                </pic:pic>
              </a:graphicData>
            </a:graphic>
          </wp:anchor>
        </w:drawing>
      </w:r>
    </w:p>
    <w:p>
      <w:pPr>
        <w:spacing w:after="0" w:line="1911" w:lineRule="exact"/>
        <w:rPr>
          <w:sz w:val="20"/>
          <w:szCs w:val="20"/>
          <w:color w:val="auto"/>
        </w:rPr>
      </w:pPr>
    </w:p>
    <w:p>
      <w:pPr>
        <w:sectPr>
          <w:pgSz w:w="11900" w:h="16838" w:orient="portrait"/>
          <w:cols w:equalWidth="0" w:num="2">
            <w:col w:w="4840" w:space="340"/>
            <w:col w:w="5180"/>
          </w:cols>
          <w:pgMar w:left="320" w:top="1374" w:right="1219" w:bottom="1440" w:gutter="0" w:footer="0" w:header="0"/>
          <w:type w:val="continuous"/>
        </w:sectPr>
      </w:pPr>
    </w:p>
    <w:p>
      <w:pPr>
        <w:spacing w:after="0" w:line="3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0360"/>
          </w:cols>
          <w:pgMar w:left="320" w:top="1374" w:right="121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360"/>
          </w:cols>
          <w:pgMar w:left="320" w:top="1374" w:right="1219" w:bottom="1440" w:gutter="0" w:footer="0" w:header="0"/>
          <w:type w:val="continuous"/>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7"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w:t>
            </w: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42,363</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disposals of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(benefit) for credit losses, net of recoveries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(19,669)</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(14,713)</w:t>
            </w:r>
          </w:p>
        </w:tc>
      </w:tr>
      <w:tr>
        <w:trPr>
          <w:trHeight w:val="20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9"/>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9,538</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19,761</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(11,717)</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dispositions of property, plant and equipment</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r>
      <w:tr>
        <w:trPr>
          <w:trHeight w:val="18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(8,998)</w:t>
            </w:r>
          </w:p>
        </w:tc>
      </w:tr>
      <w:tr>
        <w:trPr>
          <w:trHeight w:val="105"/>
        </w:trPr>
        <w:tc>
          <w:tcPr>
            <w:tcW w:w="7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114,674</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(136,641)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(98,681)</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 loan repayments</w:t>
            </w:r>
          </w:p>
        </w:tc>
        <w:tc>
          <w:tcPr>
            <w:tcW w:w="8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(14,942)</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(7,970)</w:t>
            </w: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used in financing activities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w:t>
            </w:r>
          </w:p>
        </w:tc>
      </w:tr>
      <w:tr>
        <w:trPr>
          <w:trHeight w:val="111"/>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w:t>
            </w:r>
          </w:p>
        </w:tc>
      </w:tr>
      <w:tr>
        <w:trPr>
          <w:trHeight w:val="18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7,954</w:t>
            </w:r>
          </w:p>
        </w:tc>
      </w:tr>
      <w:tr>
        <w:trPr>
          <w:trHeight w:val="91"/>
        </w:trPr>
        <w:tc>
          <w:tcPr>
            <w:tcW w:w="79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5"/>
        </w:trPr>
        <w:tc>
          <w:tcPr>
            <w:tcW w:w="79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3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374"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provide hospitality services to remote workforces in Canada and Australia, including lodging, catering and food service,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two principal reportable business segments – Canada and Australia.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7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3"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5" w:lineRule="exact"/>
        <w:rPr>
          <w:sz w:val="20"/>
          <w:szCs w:val="20"/>
          <w:color w:val="auto"/>
        </w:rPr>
      </w:pPr>
    </w:p>
    <w:p>
      <w:pPr>
        <w:ind w:right="240" w:firstLine="470"/>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our two reportable segments (Canada and Australia) into major categories for the periods indicated (in thousands):</w:t>
      </w:r>
    </w:p>
    <w:tbl>
      <w:tblPr>
        <w:tblLayout w:type="fixed"/>
        <w:tblInd w:w="48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3"/>
                <w:szCs w:val="13"/>
                <w:color w:val="auto"/>
              </w:rPr>
            </w:pPr>
          </w:p>
        </w:tc>
        <w:tc>
          <w:tcPr>
            <w:tcW w:w="2140" w:type="dxa"/>
            <w:vAlign w:val="bottom"/>
            <w:gridSpan w:val="4"/>
          </w:tcPr>
          <w:p>
            <w:pPr>
              <w:jc w:val="right"/>
              <w:ind w:right="362"/>
              <w:spacing w:after="0" w:line="160"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7"/>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Borders>
              <w:bottom w:val="single" w:sz="8" w:color="auto"/>
            </w:tcBorders>
          </w:tcPr>
          <w:p>
            <w:pPr>
              <w:spacing w:after="0"/>
              <w:rPr>
                <w:sz w:val="18"/>
                <w:szCs w:val="18"/>
                <w:color w:val="auto"/>
              </w:rPr>
            </w:pPr>
          </w:p>
        </w:tc>
      </w:tr>
      <w:tr>
        <w:trPr>
          <w:trHeight w:val="202"/>
        </w:trPr>
        <w:tc>
          <w:tcPr>
            <w:tcW w:w="55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6"/>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72,259</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72,355</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132,046</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Mobile facility rental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5"/>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Canada revenues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79,527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9"/>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6"/>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Accommodation revenues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48,914</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44,342</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96,021</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59,694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99"/>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Australia revenues</w:t>
            </w:r>
          </w:p>
        </w:tc>
        <w:tc>
          <w:tcPr>
            <w:tcW w:w="3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108,608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9"/>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revenues</w:t>
            </w:r>
          </w:p>
        </w:tc>
        <w:tc>
          <w:tcPr>
            <w:tcW w:w="3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r>
      <w:tr>
        <w:trPr>
          <w:trHeight w:val="20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188,713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178,843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354,833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88"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As of June 30, 2024,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4"/>
        </w:trPr>
        <w:tc>
          <w:tcPr>
            <w:tcW w:w="3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3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Revenue expected to be recognized as of June 30, 2024</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88,395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135,838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99,944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296,521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620,698</w:t>
            </w:r>
          </w:p>
        </w:tc>
      </w:tr>
    </w:tbl>
    <w:p>
      <w:pPr>
        <w:spacing w:after="0" w:line="295"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3"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CHARGES</w:t>
      </w:r>
    </w:p>
    <w:p>
      <w:pPr>
        <w:spacing w:after="0" w:line="120" w:lineRule="exact"/>
        <w:rPr>
          <w:sz w:val="20"/>
          <w:szCs w:val="20"/>
          <w:color w:val="auto"/>
        </w:rPr>
      </w:pPr>
    </w:p>
    <w:p>
      <w:pPr>
        <w:ind w:right="100" w:firstLine="470"/>
        <w:spacing w:after="0" w:line="295" w:lineRule="auto"/>
        <w:rPr>
          <w:sz w:val="20"/>
          <w:szCs w:val="20"/>
          <w:color w:val="auto"/>
        </w:rPr>
      </w:pPr>
      <w:r>
        <w:rPr>
          <w:rFonts w:ascii="Times New Roman" w:cs="Times New Roman" w:eastAsia="Times New Roman" w:hAnsi="Times New Roman"/>
          <w:sz w:val="17"/>
          <w:szCs w:val="17"/>
          <w:color w:val="auto"/>
        </w:rPr>
        <w:t>The following summarizes pre-tax impairment charges recorded during 2024, which are included in Impairment expense in our consolidated statements of operations (in thousands):</w:t>
      </w:r>
    </w:p>
    <w:p>
      <w:pPr>
        <w:spacing w:after="0" w:line="79"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U.S.</w:t>
            </w:r>
          </w:p>
        </w:tc>
        <w:tc>
          <w:tcPr>
            <w:tcW w:w="280" w:type="dxa"/>
            <w:vAlign w:val="bottom"/>
          </w:tcPr>
          <w:p>
            <w:pPr>
              <w:spacing w:after="0"/>
              <w:rPr>
                <w:sz w:val="19"/>
                <w:szCs w:val="1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Quarter ended March 31, 2024</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2"/>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Long-lived assets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4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0" w:name="page11"/>
    <w:bookmarkEnd w:id="1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5"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Quarter ended March 31, 2024</w:t>
      </w:r>
      <w:r>
        <w:rPr>
          <w:rFonts w:ascii="Times New Roman" w:cs="Times New Roman" w:eastAsia="Times New Roman" w:hAnsi="Times New Roman"/>
          <w:sz w:val="17"/>
          <w:szCs w:val="17"/>
          <w:color w:val="auto"/>
        </w:rPr>
        <w:t>. During the first quarter of 2024, we recorded impairment expense of $5.7 million related to various undeveloped land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related permitting costs in Australia. At March 31, 2024, we identified an impairment trigger related to certain of these properties due to the denial of development permit applications in Australia. Accordingly, the assets were written down to their estimated fair value of $0.6 million.</w:t>
      </w:r>
    </w:p>
    <w:p>
      <w:pPr>
        <w:spacing w:after="0" w:line="2"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In addition, during the first quarter of 2024, we recorded impairment expense of $2.1 million, related to land located in the U.S. The land was written down to its estimated fair value (less costs to sell) of $3.8 million.</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impairment expense was recorded during the second quarter of 2024.</w:t>
      </w:r>
    </w:p>
    <w:p>
      <w:pPr>
        <w:spacing w:after="0" w:line="247"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As of June 30, 2024 and December 31, 2023,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 In addition, the estimated fair value of our assets held for sale was based upon Level 2 fair value measurements, which included appraisals, broker price opinions and negotiations with third parties.</w:t>
      </w:r>
    </w:p>
    <w:p>
      <w:pPr>
        <w:spacing w:after="0" w:line="19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first quarter of 2024, we wrote down certain long-lived assets to fair value. Our estimate of the fair value of undeveloped land positions in Australia that were impaired was based on appraisals from third parties.</w:t>
      </w:r>
    </w:p>
    <w:p>
      <w:pPr>
        <w:spacing w:after="0" w:line="171"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June 30, 2024 and December 31, 2023 is presented below (in thousands):</w:t>
      </w:r>
    </w:p>
    <w:p>
      <w:pPr>
        <w:spacing w:after="0" w:line="356"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84,047</w:t>
            </w:r>
          </w:p>
        </w:tc>
        <w:tc>
          <w:tcPr>
            <w:tcW w:w="120" w:type="dxa"/>
            <w:vAlign w:val="bottom"/>
          </w:tcPr>
          <w:p>
            <w:pPr>
              <w:spacing w:after="0"/>
              <w:rPr>
                <w:sz w:val="17"/>
                <w:szCs w:val="17"/>
                <w:color w:val="auto"/>
              </w:rPr>
            </w:pPr>
          </w:p>
        </w:tc>
        <w:tc>
          <w:tcPr>
            <w:tcW w:w="4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93,527</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46,331</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w:t>
            </w:r>
          </w:p>
        </w:tc>
      </w:tr>
      <w:tr>
        <w:trPr>
          <w:trHeight w:val="205"/>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143,421</w:t>
            </w:r>
          </w:p>
        </w:tc>
      </w:tr>
      <w:tr>
        <w:trPr>
          <w:trHeight w:val="206"/>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143,222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 and purchased products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100" w:type="dxa"/>
            <w:vAlign w:val="bottom"/>
          </w:tcPr>
          <w:p>
            <w:pPr>
              <w:spacing w:after="0"/>
              <w:rPr>
                <w:sz w:val="17"/>
                <w:szCs w:val="17"/>
                <w:color w:val="auto"/>
              </w:rPr>
            </w:pPr>
          </w:p>
        </w:tc>
        <w:tc>
          <w:tcPr>
            <w:tcW w:w="5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w:t>
            </w:r>
          </w:p>
        </w:tc>
      </w:tr>
      <w:tr>
        <w:trPr>
          <w:trHeight w:val="20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r>
      <w:tr>
        <w:trPr>
          <w:trHeight w:val="20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6,982</w:t>
            </w:r>
          </w:p>
        </w:tc>
      </w:tr>
      <w:tr>
        <w:trPr>
          <w:trHeight w:val="20"/>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13"/>
                <w:szCs w:val="13"/>
                <w:color w:val="auto"/>
              </w:rPr>
            </w:pPr>
          </w:p>
        </w:tc>
        <w:tc>
          <w:tcPr>
            <w:tcW w:w="1440" w:type="dxa"/>
            <w:vAlign w:val="bottom"/>
            <w:gridSpan w:val="4"/>
          </w:tcPr>
          <w:p>
            <w:pPr>
              <w:jc w:val="center"/>
              <w:ind w:right="140"/>
              <w:spacing w:after="0" w:line="157"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18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25,600</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27,988</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1,378,408</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w:t>
            </w:r>
          </w:p>
        </w:tc>
        <w:tc>
          <w:tcPr>
            <w:tcW w:w="0" w:type="dxa"/>
            <w:vAlign w:val="bottom"/>
          </w:tcPr>
          <w:p>
            <w:pPr>
              <w:spacing w:after="0"/>
              <w:rPr>
                <w:sz w:val="1"/>
                <w:szCs w:val="1"/>
                <w:color w:val="auto"/>
              </w:rPr>
            </w:pP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67,248</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0" w:type="dxa"/>
            <w:vAlign w:val="bottom"/>
          </w:tcPr>
          <w:p>
            <w:pPr>
              <w:spacing w:after="0"/>
              <w:rPr>
                <w:sz w:val="1"/>
                <w:szCs w:val="1"/>
                <w:color w:val="auto"/>
              </w:rPr>
            </w:pPr>
          </w:p>
        </w:tc>
      </w:tr>
      <w:tr>
        <w:trPr>
          <w:trHeight w:val="20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1,523,614</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(1,240,701)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(1,253,051)</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26,024</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33,854</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 other than income taxes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3,997</w:t>
            </w:r>
          </w:p>
        </w:tc>
      </w:tr>
      <w:tr>
        <w:trPr>
          <w:trHeight w:val="206"/>
        </w:trPr>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2,672</w:t>
            </w:r>
          </w:p>
        </w:tc>
      </w:tr>
      <w:tr>
        <w:trPr>
          <w:trHeight w:val="230"/>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32,207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40,523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liabilities (Deferred revenue):</w:t>
            </w: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09"/>
        </w:trPr>
        <w:tc>
          <w:tcPr>
            <w:tcW w:w="76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Current contract liabilities </w:t>
            </w:r>
            <w:r>
              <w:rPr>
                <w:rFonts w:ascii="Times New Roman" w:cs="Times New Roman" w:eastAsia="Times New Roman" w:hAnsi="Times New Roman"/>
                <w:sz w:val="20"/>
                <w:szCs w:val="20"/>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4,187</w:t>
            </w:r>
          </w:p>
        </w:tc>
        <w:tc>
          <w:tcPr>
            <w:tcW w:w="2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w:t>
            </w:r>
          </w:p>
        </w:tc>
      </w:tr>
      <w:tr>
        <w:trPr>
          <w:trHeight w:val="209"/>
        </w:trPr>
        <w:tc>
          <w:tcPr>
            <w:tcW w:w="76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Noncurrent contract liabilities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6,790</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8,068</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contract liabilities (Deferred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10,977</w:t>
            </w:r>
          </w:p>
        </w:tc>
        <w:tc>
          <w:tcPr>
            <w:tcW w:w="220" w:type="dxa"/>
            <w:vAlign w:val="bottom"/>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12,917</w:t>
            </w: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640" w:hanging="322"/>
        <w:spacing w:after="0" w:line="295" w:lineRule="auto"/>
        <w:tabs>
          <w:tab w:leader="none" w:pos="628"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Current contract liabilities and Noncurrent contract liabilities are included in "Deferred revenue" and "Other noncurrent liabilities," respectively, in our unaudited consolidated balance sheets.</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Deferred revenue typically consists of upfront payments received before we satisfy the associated performance obligation. The decrease in deferred revenue from December 31, 2023 to June 30, 2024 was due to revenue recognized over the contracted terms related to advance payments received from a customer for village enhancements in Australia.</w:t>
      </w:r>
    </w:p>
    <w:p>
      <w:pPr>
        <w:spacing w:after="0" w:line="186"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HELD FOR SALE</w:t>
      </w:r>
    </w:p>
    <w:p>
      <w:pPr>
        <w:spacing w:after="0" w:line="25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December 31, 2023, assets held for sale included certain assets in the United States (U.S.). These assets were recorded at the estimated fair value less costs to sell, which exceeded or equaled their carry values. In the second quarter of 2024, we sold the land at our Louisiana location for no gain.</w:t>
      </w:r>
    </w:p>
    <w:p>
      <w:pPr>
        <w:spacing w:after="0" w:line="17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third quarter of 2023, we entered into a definitive agreement to sell our McClelland Lake Lodge assets for approximately $36 million. The related assets had no remaining carrying value. During the third and fourth quarters of 2023, we recognized $14.2 million in dismantle costs and received $28.2 million in cash proceeds associated with the sale. During the first quarter of 2024, we recognized the remaining $1.0 million in dismantle costs and received the remaining $7.8 million in cash proceeds.</w:t>
      </w:r>
    </w:p>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carrying amount as of June 30, 2024 and December 31, 2023 of the assets classified as held for sale (in thousands):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held for sale: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5,873</w:t>
            </w:r>
          </w:p>
        </w:tc>
      </w:tr>
      <w:tr>
        <w:trPr>
          <w:trHeight w:val="230"/>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held for sale</w:t>
            </w:r>
          </w:p>
        </w:tc>
        <w:tc>
          <w:tcPr>
            <w:tcW w:w="1140" w:type="dxa"/>
            <w:vAlign w:val="bottom"/>
            <w:tcBorders>
              <w:top w:val="single" w:sz="8" w:color="auto"/>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5,873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1"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We calculate our basic earnings per share by dividing net income (loss) attributable to Civeo Corporation by the weighted average number of common shares outstanding. For diluted earnings per share, the basic shares outstanding are adjusted by adding all potentially dilutive securities.</w:t>
      </w:r>
    </w:p>
    <w:p>
      <w:pPr>
        <w:spacing w:after="0" w:line="173" w:lineRule="exact"/>
        <w:rPr>
          <w:sz w:val="20"/>
          <w:szCs w:val="20"/>
          <w:color w:val="auto"/>
        </w:rPr>
      </w:pPr>
    </w:p>
    <w:p>
      <w:pPr>
        <w:ind w:firstLine="470"/>
        <w:spacing w:after="0" w:line="282" w:lineRule="auto"/>
        <w:rPr>
          <w:sz w:val="20"/>
          <w:szCs w:val="20"/>
          <w:color w:val="auto"/>
        </w:rPr>
      </w:pPr>
      <w:r>
        <w:rPr>
          <w:rFonts w:ascii="Times New Roman" w:cs="Times New Roman" w:eastAsia="Times New Roman" w:hAnsi="Times New Roman"/>
          <w:sz w:val="17"/>
          <w:szCs w:val="17"/>
          <w:color w:val="auto"/>
        </w:rPr>
        <w:t>The calculation of basic and diluted earnings per share attributable to Civeo common shareholders is presented below for the periods indicated (in thousands, except per share amounts):</w:t>
      </w:r>
    </w:p>
    <w:tbl>
      <w:tblPr>
        <w:tblLayout w:type="fixed"/>
        <w:tblInd w:w="720" w:type="dxa"/>
        <w:tblCellMar>
          <w:top w:w="0" w:type="dxa"/>
          <w:left w:w="0" w:type="dxa"/>
          <w:bottom w:w="0" w:type="dxa"/>
          <w:right w:w="0" w:type="dxa"/>
        </w:tblCellMar>
      </w:tblPr>
      <w:tr>
        <w:trPr>
          <w:trHeight w:val="209"/>
        </w:trPr>
        <w:tc>
          <w:tcPr>
            <w:tcW w:w="5980" w:type="dxa"/>
            <w:vAlign w:val="bottom"/>
          </w:tcPr>
          <w:p>
            <w:pPr>
              <w:spacing w:after="0"/>
              <w:rPr>
                <w:sz w:val="18"/>
                <w:szCs w:val="18"/>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1980" w:type="dxa"/>
            <w:vAlign w:val="bottom"/>
            <w:gridSpan w:val="4"/>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7"/>
              </w:rPr>
              <w:t>Six Months Ended June 30,</w:t>
            </w:r>
          </w:p>
        </w:tc>
      </w:tr>
      <w:tr>
        <w:trPr>
          <w:trHeight w:val="204"/>
        </w:trPr>
        <w:tc>
          <w:tcPr>
            <w:tcW w:w="5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net income (loss) attributable to Civeo Corporation</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(loss) attributable to Civeo Corporation</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5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15,064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15,064</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1"/>
        </w:trPr>
        <w:tc>
          <w:tcPr>
            <w:tcW w:w="5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09"/>
        </w:trPr>
        <w:tc>
          <w:tcPr>
            <w:tcW w:w="598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Basic net income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105"/>
        </w:trPr>
        <w:tc>
          <w:tcPr>
            <w:tcW w:w="5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Diluted net income (loss) per share attributable to Civeo Corporation common shareholders </w:t>
            </w:r>
            <w:r>
              <w:rPr>
                <w:rFonts w:ascii="Times New Roman" w:cs="Times New Roman" w:eastAsia="Times New Roman" w:hAnsi="Times New Roman"/>
                <w:sz w:val="20"/>
                <w:szCs w:val="20"/>
                <w:color w:val="auto"/>
                <w:w w:val="98"/>
                <w:vertAlign w:val="superscript"/>
              </w:rPr>
              <w:t>(1)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Pr>
          <w:p>
            <w:pPr>
              <w:spacing w:after="0"/>
              <w:rPr>
                <w:sz w:val="23"/>
                <w:szCs w:val="23"/>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23"/>
                <w:szCs w:val="23"/>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5"/>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Share-based awards excluded from the calculation of weighted-average common shares outstanding because the effect is anti-dilutive for the three and six months ended June 30, 2024 and June 30, 2023 totaled fewer than 0.1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June 30, 2024 and December 31, 2023, long-term debt consisted of the following (in thousands):</w:t>
      </w:r>
    </w:p>
    <w:p>
      <w:pPr>
        <w:spacing w:after="0" w:line="356"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441"/>
        </w:trPr>
        <w:tc>
          <w:tcPr>
            <w:tcW w:w="77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U.S. revolving credit facility; weighted average interest rate of 10.5% for the six month period ended June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60"/>
        </w:trPr>
        <w:tc>
          <w:tcPr>
            <w:tcW w:w="7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Canadian revolving credit facility; weighted average interest rate of 8.7% for the six month period ended June 30, 2024</w:t>
            </w:r>
          </w:p>
        </w:tc>
        <w:tc>
          <w:tcPr>
            <w:tcW w:w="16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47,489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65,554</w:t>
            </w:r>
          </w:p>
        </w:tc>
      </w:tr>
      <w:tr>
        <w:trPr>
          <w:trHeight w:val="460"/>
        </w:trPr>
        <w:tc>
          <w:tcPr>
            <w:tcW w:w="7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Australian revolving credit facility; weighted average interest rate of 7.3% for the six month period ended June 30, 2024</w:t>
            </w:r>
          </w:p>
        </w:tc>
        <w:tc>
          <w:tcPr>
            <w:tcW w:w="16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As of June 30, 2024, our Credit Agreement (as then amended to date, the Credit Agreement) provided for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 C$100.0 million term loan facility provided under the Credit Agreement was fully repaid on December 31, 2023.</w:t>
      </w:r>
    </w:p>
    <w:p>
      <w:pPr>
        <w:spacing w:after="0" w:line="6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Credit Agreement was amended effective June 28, 2024 to, among other things, change the benchmark interest rate for certain Canadian dollar-denominated loans in the Canadian Revolving Facility from Canadian Dollar Offered Rate to Adjusted Term Canadian Overnight Repo Rate Average (CORRA).</w:t>
      </w:r>
    </w:p>
    <w:p>
      <w:pPr>
        <w:spacing w:after="0" w:line="4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Credit Agreement bear interest at a variable rate equal to Adjusted Term Secured Overnight Financing Rate (SOFR), which is equal to Term SOFR plus a 10 basis point adjustment, plus a margin of 3.00% to 4.00%, or a base rate plus 2.00% to 3.00%, in each case based on a ratio of our total net debt to Consolidated EBITDA (as defined in the Credit Agreement). Canadian dollar amounts outstanding bear interest at a variable rate equal to Adjusted Term CORRA (which is equal to the Term CORRA plus an adjustment of 29.547 basis points for one month terms or 32.138 basis points for three month terms) plus a margin of 3.00% to 4.00%, or a Canadian Prime rate plus a margin of 2.00% to 3.00%, in each case based on a ratio of our total net debt to Consolidated EBITDA. Australian dollar amounts outstanding under the Credit Agreement bear interest at a variable rate equal to the Bank Bill Swap Bid Rate plus a margin of 3.00% to 4.00%, based on a ratio of our total net debt to Consolidated EBITDA.</w:t>
      </w:r>
    </w:p>
    <w:p>
      <w:pPr>
        <w:spacing w:after="0" w:line="6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June 30, 2024.</w:t>
      </w:r>
    </w:p>
    <w:p>
      <w:pPr>
        <w:spacing w:after="0" w:line="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Borrowings under the Credit Agreement are secured by a pledge of substantially all of our assets and the assets of our subsidiaries subject to customary exceptions. The obligations under the Credit Agreement are guaranteed by our significant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subsidiaries. As of June 30, 2024, we had seven lenders that were parties to the Credit Agreement, with total revolving commitments ranging from $13.0 million to $60.6 million. As of June 30, 2024, we had outstanding letters of credit of $0.3 million under the U.S. facility, zero under the Australian facility and $0.7 million under the Canadian facility. We also had outstanding bank guarantees of A$1.6 million under the Australian facility.</w:t>
      </w:r>
    </w:p>
    <w:p>
      <w:pPr>
        <w:spacing w:after="0" w:line="95"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42"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operate in three jurisdictions, Canada, Australia and the U.S., where statutory tax rates range from 15% to 30%. Our effective tax rate will vary from period to period based on changes in earnings mix between these different jurisdictions. On January 1, 2024, the Organization for Economic Cooperation and Development Pillar Two rules became effective and established a minimum 15% tax rate on certain multinational enterprises. The Pillar Two rules have been implemented in Canada and Australia, with the U.S. still uncertain to date. The applicable tax law changes with respect to Pillar Two have been considered for the jurisdictions in which we operate, and we do not anticipate the Pillar Two rules to have a materially adverse impact on our financial results.</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2024 and 2023, Canada and the U.S. were considered loss jurisdictions for tax accounting purposes and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three months ended June 30, 2024 totaled $3.8 million, or 33.6% of pretax income, compared to income tax expense of $2.9 million, or 40.9% of pretax income, for the three months ended June 30, 2023. Our effective tax rate for the three months ended June 30, 2024 and 2023 was impacted by Canada and the U.S. being considered loss jurisdictions that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six months ended June 30, 2024 totaled $5.3 million, or 70.0% of pretax income, compared to income tax expense of $4.1 million, or 209.0% of pretax income, for the six months ended June 30, 2023. Our effective tax rate for the six months ended June 30, 2024 and 2023 was impacted by Canada and the U.S. being considered loss jurisdictions that were removed from the annual effective tax rate computation for purposes of computing the interim tax provision.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ACCUMULATED OTHER COMPREHENSIVE LOSS</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accumulated other comprehensive loss increased $8.5 million from $380.7 million at December 31, 2023 to $389.2 million at June 30, 2024, as a result of foreign currency exchange rate fluctuations. Changes in other comprehensive loss during the six months of 2024 were primarily driven by the Australian dollar and the Canadian dollar decreasing in value compared to the U.S. dollar. Excluding intercompany balances, our Canadian dollar and Australian dollar functional currency net assets totaled approximately C$215 million and A$203 million, respectively, at June 30,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 REPURCHASE PROGRAMS AND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25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August 2023 and 2022, our Board of Directors (Board) authorized common share repurchase programs to repurchase up to 5.0% of our total common shares which were issued and outstanding, or approximately 742,000 and 685,000 common shares, respectively, over a twelve month period.</w:t>
      </w:r>
    </w:p>
    <w:p>
      <w:pPr>
        <w:spacing w:after="0" w:line="173"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The common shares repurchased under the share repurchase programs are cancelled in the periods they are acquired and the payment is accounted for as an increase to accumulated deficit in our Unaudited Consolidated Statements of Changes in Shareholders’ Equity in the period the payment is made.</w:t>
      </w:r>
    </w:p>
    <w:p>
      <w:pPr>
        <w:spacing w:after="0" w:line="200" w:lineRule="exact"/>
        <w:rPr>
          <w:sz w:val="20"/>
          <w:szCs w:val="20"/>
          <w:color w:val="auto"/>
        </w:rPr>
      </w:pP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common share repurchases pursuant to our share repurchase programs (in thousands, except per share data):</w:t>
      </w:r>
    </w:p>
    <w:p>
      <w:pPr>
        <w:spacing w:after="0" w:line="55" w:lineRule="exact"/>
        <w:rPr>
          <w:sz w:val="20"/>
          <w:szCs w:val="20"/>
          <w:color w:val="auto"/>
        </w:rPr>
      </w:pPr>
    </w:p>
    <w:tbl>
      <w:tblPr>
        <w:tblLayout w:type="fixed"/>
        <w:tblInd w:w="740" w:type="dxa"/>
        <w:tblCellMar>
          <w:top w:w="0" w:type="dxa"/>
          <w:left w:w="0" w:type="dxa"/>
          <w:bottom w:w="0" w:type="dxa"/>
          <w:right w:w="0" w:type="dxa"/>
        </w:tblCellMar>
      </w:tblPr>
      <w:tr>
        <w:trPr>
          <w:trHeight w:val="209"/>
        </w:trPr>
        <w:tc>
          <w:tcPr>
            <w:tcW w:w="4860" w:type="dxa"/>
            <w:vAlign w:val="bottom"/>
          </w:tcPr>
          <w:p>
            <w:pPr>
              <w:spacing w:after="0"/>
              <w:rPr>
                <w:sz w:val="18"/>
                <w:szCs w:val="18"/>
                <w:color w:val="auto"/>
              </w:rPr>
            </w:pPr>
          </w:p>
        </w:tc>
        <w:tc>
          <w:tcPr>
            <w:tcW w:w="28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3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4"/>
        </w:trPr>
        <w:tc>
          <w:tcPr>
            <w:tcW w:w="48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Dollar-value of shares repurchased</w:t>
            </w: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6,644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7,970</w:t>
            </w:r>
          </w:p>
        </w:tc>
      </w:tr>
      <w:tr>
        <w:trPr>
          <w:trHeight w:val="206"/>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repurchased</w:t>
            </w:r>
          </w:p>
        </w:tc>
        <w:tc>
          <w:tcPr>
            <w:tcW w:w="840" w:type="dxa"/>
            <w:vAlign w:val="bottom"/>
          </w:tcPr>
          <w:p>
            <w:pPr>
              <w:spacing w:after="0"/>
              <w:rPr>
                <w:sz w:val="17"/>
                <w:szCs w:val="17"/>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274.1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w:t>
            </w: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24.21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5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Board declared the following quarterly dividends for the six months ended June 30, 2024. The dividends are eligible dividends pursuant to the Income Tax Act (Canada).</w:t>
      </w:r>
    </w:p>
    <w:p>
      <w:pPr>
        <w:spacing w:after="0" w:line="214" w:lineRule="exact"/>
        <w:rPr>
          <w:sz w:val="20"/>
          <w:szCs w:val="20"/>
          <w:color w:val="auto"/>
        </w:rPr>
      </w:pPr>
    </w:p>
    <w:tbl>
      <w:tblPr>
        <w:tblLayout w:type="fixed"/>
        <w:tblInd w:w="2060" w:type="dxa"/>
        <w:tblCellMar>
          <w:top w:w="0" w:type="dxa"/>
          <w:left w:w="0" w:type="dxa"/>
          <w:bottom w:w="0" w:type="dxa"/>
          <w:right w:w="0" w:type="dxa"/>
        </w:tblCellMar>
      </w:tblPr>
      <w:tr>
        <w:trPr>
          <w:trHeight w:val="209"/>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w:t>
            </w:r>
          </w:p>
        </w:tc>
        <w:tc>
          <w:tcPr>
            <w:tcW w:w="380" w:type="dxa"/>
            <w:vAlign w:val="bottom"/>
          </w:tcPr>
          <w:p>
            <w:pPr>
              <w:spacing w:after="0"/>
              <w:rPr>
                <w:sz w:val="18"/>
                <w:szCs w:val="18"/>
                <w:color w:val="auto"/>
              </w:rPr>
            </w:pPr>
          </w:p>
        </w:tc>
      </w:tr>
      <w:tr>
        <w:trPr>
          <w:trHeight w:val="205"/>
        </w:trPr>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April 26,</w:t>
            </w:r>
          </w:p>
        </w:tc>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27, 2024</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17, 2024</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04"/>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February</w:t>
            </w:r>
          </w:p>
        </w:tc>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2, 2024</w:t>
            </w:r>
          </w:p>
        </w:tc>
        <w:tc>
          <w:tcPr>
            <w:tcW w:w="80" w:type="dxa"/>
            <w:vAlign w:val="bottom"/>
          </w:tcPr>
          <w:p>
            <w:pPr>
              <w:spacing w:after="0"/>
              <w:rPr>
                <w:sz w:val="17"/>
                <w:szCs w:val="17"/>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26, 2024</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18, 2024</w:t>
            </w: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SHARE-BASED COMPENSATION</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3" w:lineRule="exact"/>
        <w:rPr>
          <w:sz w:val="20"/>
          <w:szCs w:val="20"/>
          <w:color w:val="auto"/>
        </w:rPr>
      </w:pPr>
    </w:p>
    <w:p>
      <w:pPr>
        <w:jc w:val="both"/>
        <w:ind w:firstLine="47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Units. </w:t>
      </w:r>
      <w:r>
        <w:rPr>
          <w:rFonts w:ascii="Times New Roman" w:cs="Times New Roman" w:eastAsia="Times New Roman" w:hAnsi="Times New Roman"/>
          <w:sz w:val="17"/>
          <w:szCs w:val="17"/>
          <w:color w:val="auto"/>
        </w:rPr>
        <w:t>On March 2, 2024, we granted 184,640 phantom share units under the Civeo Plan, which vest in three equal annual installments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beginning on March 2, 2025. We also granted 84,408 phantom share units under the Canadian Long-Term Incentive Plan, which vest in three equal annual installments beginning on March 2, 2025. During the second quarter of 2024, we granted an additional 25,241 phantom share units under the Civeo Plan. Phantom share units are settled in cash upon vesting.</w:t>
      </w:r>
    </w:p>
    <w:p>
      <w:pPr>
        <w:spacing w:after="0" w:line="193"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three months ended June 30, 2024 and 2023, we recognized compensation expense associated with phantom share units totaling $1.6 million and $1.4 million, respectively. During the six months ended June 30, 2024 and 2023, we recognized compensation expense associated with phantom share units totaling $2.9 million and $3.2 million, respectively. At June 30, 2024, unrecognized compensation cost related to phantom share units was $10.4 million, as remeasured at June 30, 2024, which is expected to be recognized over a weighted average period of 2.0 years.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14"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Share Awards. </w:t>
      </w:r>
      <w:r>
        <w:rPr>
          <w:rFonts w:ascii="Times New Roman" w:cs="Times New Roman" w:eastAsia="Times New Roman" w:hAnsi="Times New Roman"/>
          <w:sz w:val="17"/>
          <w:szCs w:val="17"/>
          <w:color w:val="auto"/>
        </w:rPr>
        <w:t>On March 2, 2024, we granted 122,978 performance share awards under the Civeo Plan, which cliff vest after three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attainment of applicable performance criteria. These awards will be earned in amounts between 0% and 200% of the participant’s target performance share award, based on the payout percentage associated with Civeo’s relative total shareholder return rank among a peer group of other companies and the payout percentage associated with Civeo's three year growth in EBITDA over the performance period relative to a preset 2026 EBITDA target. The portion of the performance share awards tied to the 2026 EBITDA target includes a performance-based vesting requirement. We evaluate the probability of achieving the performance criteria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20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During the three months ended June 30, 2024 and 2023, we recognized compensation expense associated with performance share awards totaling $0.3 million and $0.9 million, respectively. During the six months ended June 30, 2024 and 2023, we recognized compensation expense associated with performance share awards totaling $0.6 million and $1.5 million, respectively. No performance share awards vested during the three months ended June 30, 2024 and 2023. The total fair value of performance share awards that vested during the six months ended June 30, 2024 and 2023 was $2.8 million and zero, respectively. At June 30, 2024, unrecognized compensation cost related to performance share awards was $2.8 million, which is expected to be recognized over a weighted average period of 1.7 years.</w:t>
      </w:r>
    </w:p>
    <w:p>
      <w:pPr>
        <w:spacing w:after="0" w:line="196" w:lineRule="exact"/>
        <w:rPr>
          <w:sz w:val="20"/>
          <w:szCs w:val="20"/>
          <w:color w:val="auto"/>
        </w:rPr>
      </w:pPr>
    </w:p>
    <w:p>
      <w:pPr>
        <w:jc w:val="both"/>
        <w:ind w:firstLine="47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Restricted Share Units / Deferred Share Awards. </w:t>
      </w:r>
      <w:r>
        <w:rPr>
          <w:rFonts w:ascii="Times New Roman" w:cs="Times New Roman" w:eastAsia="Times New Roman" w:hAnsi="Times New Roman"/>
          <w:sz w:val="17"/>
          <w:szCs w:val="17"/>
          <w:color w:val="auto"/>
        </w:rPr>
        <w:t>On May 15, 2024, we granted 42,125 restricted share and deferred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to our non-employee directors, which vest in their entirety on May 14, 2025.</w:t>
      </w:r>
    </w:p>
    <w:p>
      <w:pPr>
        <w:spacing w:after="0" w:line="16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Compensation expense associated with restricted share awards, restricted share units and deferred share awards recognized in the three months ended June 30, 2024 and 2023 totaled $0.3 million and $0.3 million, respectively. Compensation expense associated with restricted share awards, restricted share units and deferred share awards recognized in the six months ended June 30, 2024 and 2023 totaled $0.5 million and $0.5 million, respectively. The total fair value of restricted share awards, restricted share units and deferred share awards that vested during the three months ended June 30, 2024 and 2023 was $1.2 million and $0.8 million, respectively. The total fair value of restricted share awards, restricted share units and deferred share awards that vested during the six months ended June 30, 2024 and 2023 was $1.2 million and $0.9 million, respectively.</w:t>
      </w:r>
    </w:p>
    <w:p>
      <w:pPr>
        <w:spacing w:after="0" w:line="17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At June 30, 2024, unrecognized compensation cost related to restricted share awards, restricted share units and deferred share awards was $0.9 million, which is expected to be recognized over a weighted average period of 0.9 years.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SEGMENT AND RELATED INFORMATION</w:t>
      </w:r>
    </w:p>
    <w:p>
      <w:pPr>
        <w:spacing w:after="0" w:line="2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In accordance with current accounting standards regarding disclosures about segments of an enterprise and related information, we have identified two reportable segments, Canada and Australia, which represent our strategic focus on hospitality services and workforce accommodations.</w:t>
      </w:r>
    </w:p>
    <w:p>
      <w:pPr>
        <w:spacing w:after="0" w:line="147"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and six months ended June 30, 2024 and 2023 is summarized in the following table (in thousands):</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Depreciation</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80" w:type="dxa"/>
            <w:vAlign w:val="bottom"/>
          </w:tcPr>
          <w:p>
            <w:pPr>
              <w:spacing w:after="0"/>
              <w:rPr>
                <w:sz w:val="16"/>
                <w:szCs w:val="16"/>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6"/>
                <w:szCs w:val="16"/>
                <w:b w:val="1"/>
                <w:bCs w:val="1"/>
                <w:color w:val="auto"/>
                <w:w w:val="92"/>
              </w:rPr>
              <w:t>and</w:t>
            </w: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amortization</w:t>
            </w: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expenditures</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79,527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9,252</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737,275</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207,465</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(461,506)</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188,713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483,234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95,470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13,363</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737,764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82,544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191,062</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(369,864)</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178,843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558,962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146,687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18,648</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737,275</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200,345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207,465</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(461,506)</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354,833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483,234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184,923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27,502</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2"/>
              <w:spacing w:after="0"/>
              <w:rPr>
                <w:sz w:val="20"/>
                <w:szCs w:val="20"/>
                <w:color w:val="auto"/>
              </w:rPr>
            </w:pPr>
            <w:r>
              <w:rPr>
                <w:rFonts w:ascii="Times New Roman" w:cs="Times New Roman" w:eastAsia="Times New Roman" w:hAnsi="Times New Roman"/>
                <w:sz w:val="16"/>
                <w:szCs w:val="16"/>
                <w:color w:val="auto"/>
                <w:w w:val="99"/>
              </w:rPr>
              <w:t>737,764</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159,533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191,062</w:t>
            </w:r>
          </w:p>
        </w:tc>
        <w:tc>
          <w:tcPr>
            <w:tcW w:w="0" w:type="dxa"/>
            <w:vAlign w:val="bottom"/>
          </w:tcPr>
          <w:p>
            <w:pPr>
              <w:spacing w:after="0"/>
              <w:rPr>
                <w:sz w:val="1"/>
                <w:szCs w:val="1"/>
                <w:color w:val="auto"/>
              </w:rPr>
            </w:pPr>
          </w:p>
        </w:tc>
      </w:tr>
      <w:tr>
        <w:trPr>
          <w:trHeight w:val="20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other and eliminations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6"/>
                <w:szCs w:val="16"/>
                <w:color w:val="auto"/>
                <w:w w:val="98"/>
              </w:rPr>
              <w:t>(369,864)</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346,434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9"/>
              </w:rPr>
              <w:t>558,962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2024, beliefs with respect to liquidity needs and expectations with respect to growth strategies and opportunities, share repurchases and dividends.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2023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33" w:lineRule="exact"/>
        <w:rPr>
          <w:sz w:val="20"/>
          <w:szCs w:val="20"/>
          <w:color w:val="auto"/>
        </w:rPr>
      </w:pPr>
    </w:p>
    <w:p>
      <w:pPr>
        <w:jc w:val="both"/>
        <w:ind w:firstLine="470"/>
        <w:spacing w:after="0" w:line="245" w:lineRule="auto"/>
        <w:rPr>
          <w:sz w:val="20"/>
          <w:szCs w:val="20"/>
          <w:color w:val="auto"/>
        </w:rPr>
      </w:pPr>
      <w:r>
        <w:rPr>
          <w:rFonts w:ascii="Times New Roman" w:cs="Times New Roman" w:eastAsia="Times New Roman" w:hAnsi="Times New Roman"/>
          <w:sz w:val="17"/>
          <w:szCs w:val="17"/>
          <w:color w:val="auto"/>
        </w:rPr>
        <w:t>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production costs, economic growth, global commodity supply/demand, reserve replacement, estimates of resource production and the expectations of our customers' shareholders. As a result, demand for our hospitality services is largely sensitive to expected commodity prices, principally related to oil, metallurgical (met) coal, liquefied natural gas (LNG) and iron ore,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and other markets, including governmental measures introduced to fight climate change.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146"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There is continued uncertainty around commodity price levels, driven by many factors including rising fears of a recession resulting from severe inflation and higher interest rates, the impact of inflationary pressures, actions taken by Organization of the Petroleum Exporting Countries Plus (OPEC+) to adjust production levels, geopolitical events such as the ongoing Russia/Ukraine and Middle East conflicts and rising geopolitical risks in the Middle East, United States (U.S.) oil production levels and regulatory implications on such prices. In particular, these items could cause our Canadian oil sands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pipeline customers to reduce production, delay expansionary and maintenance spending and defer additional investments in their oil sands assets.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Commodity Prices.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Recent West Texas Intermediate (WTI) crude, Western Canadian Select (WCS) crude, met coal and iron ore pricing trends are as follows:</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left="393"/>
              <w:spacing w:after="0"/>
              <w:rPr>
                <w:sz w:val="20"/>
                <w:szCs w:val="20"/>
                <w:color w:val="auto"/>
              </w:rPr>
            </w:pPr>
            <w:r>
              <w:rPr>
                <w:rFonts w:ascii="Times New Roman" w:cs="Times New Roman" w:eastAsia="Times New Roman" w:hAnsi="Times New Roman"/>
                <w:sz w:val="17"/>
                <w:szCs w:val="17"/>
                <w:color w:val="auto"/>
              </w:rPr>
              <w:t>WTI</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left="373"/>
              <w:spacing w:after="0"/>
              <w:rPr>
                <w:sz w:val="20"/>
                <w:szCs w:val="20"/>
                <w:color w:val="auto"/>
              </w:rPr>
            </w:pPr>
            <w:r>
              <w:rPr>
                <w:rFonts w:ascii="Times New Roman" w:cs="Times New Roman" w:eastAsia="Times New Roman" w:hAnsi="Times New Roman"/>
                <w:sz w:val="17"/>
                <w:szCs w:val="17"/>
                <w:color w:val="auto"/>
                <w:w w:val="97"/>
              </w:rPr>
              <w:t>WCS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3" w:lineRule="exact"/>
              <w:rPr>
                <w:sz w:val="20"/>
                <w:szCs w:val="20"/>
                <w:color w:val="auto"/>
              </w:rPr>
            </w:pPr>
            <w:r>
              <w:rPr>
                <w:rFonts w:ascii="Times New Roman" w:cs="Times New Roman" w:eastAsia="Times New Roman" w:hAnsi="Times New Roman"/>
                <w:sz w:val="17"/>
                <w:szCs w:val="17"/>
                <w:color w:val="auto"/>
                <w:w w:val="99"/>
              </w:rPr>
              <w:t>Hard</w:t>
            </w:r>
          </w:p>
        </w:tc>
        <w:tc>
          <w:tcPr>
            <w:tcW w:w="260" w:type="dxa"/>
            <w:vAlign w:val="bottom"/>
          </w:tcPr>
          <w:p>
            <w:pPr>
              <w:spacing w:after="0"/>
              <w:rPr>
                <w:sz w:val="14"/>
                <w:szCs w:val="14"/>
                <w:color w:val="auto"/>
              </w:rPr>
            </w:pPr>
          </w:p>
        </w:tc>
        <w:tc>
          <w:tcPr>
            <w:tcW w:w="132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color w:val="auto"/>
              </w:rPr>
              <w:t>Iron</w:t>
            </w:r>
          </w:p>
        </w:tc>
        <w:tc>
          <w:tcPr>
            <w:tcW w:w="0" w:type="dxa"/>
            <w:vAlign w:val="bottom"/>
          </w:tcPr>
          <w:p>
            <w:pPr>
              <w:spacing w:after="0"/>
              <w:rPr>
                <w:sz w:val="1"/>
                <w:szCs w:val="1"/>
                <w:color w:val="auto"/>
              </w:rPr>
            </w:pPr>
          </w:p>
        </w:tc>
      </w:tr>
      <w:tr>
        <w:trPr>
          <w:trHeight w:val="170"/>
        </w:trPr>
        <w:tc>
          <w:tcPr>
            <w:tcW w:w="3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Quarter</w:t>
            </w: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00"/>
              <w:spacing w:after="0" w:line="170" w:lineRule="exact"/>
              <w:rPr>
                <w:sz w:val="20"/>
                <w:szCs w:val="20"/>
                <w:color w:val="auto"/>
              </w:rPr>
            </w:pPr>
            <w:r>
              <w:rPr>
                <w:rFonts w:ascii="Times New Roman" w:cs="Times New Roman" w:eastAsia="Times New Roman" w:hAnsi="Times New Roman"/>
                <w:sz w:val="17"/>
                <w:szCs w:val="17"/>
                <w:color w:val="auto"/>
              </w:rPr>
              <w:t>Coking Coal</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gridSpan w:val="2"/>
            <w:vMerge w:val="continue"/>
          </w:tcPr>
          <w:p>
            <w:pPr>
              <w:spacing w:after="0"/>
              <w:rPr>
                <w:sz w:val="14"/>
                <w:szCs w:val="14"/>
                <w:color w:val="auto"/>
              </w:rPr>
            </w:pPr>
          </w:p>
        </w:tc>
        <w:tc>
          <w:tcPr>
            <w:tcW w:w="1100" w:type="dxa"/>
            <w:vAlign w:val="bottom"/>
          </w:tcPr>
          <w:p>
            <w:pPr>
              <w:jc w:val="center"/>
              <w:ind w:left="393"/>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373"/>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7"/>
                <w:szCs w:val="17"/>
                <w:color w:val="auto"/>
              </w:rPr>
              <w:t>(Met Coal)</w:t>
            </w:r>
          </w:p>
        </w:tc>
        <w:tc>
          <w:tcPr>
            <w:tcW w:w="260" w:type="dxa"/>
            <w:vAlign w:val="bottom"/>
          </w:tcPr>
          <w:p>
            <w:pPr>
              <w:spacing w:after="0"/>
              <w:rPr>
                <w:sz w:val="14"/>
                <w:szCs w:val="14"/>
                <w:color w:val="auto"/>
              </w:rPr>
            </w:pPr>
          </w:p>
        </w:tc>
        <w:tc>
          <w:tcPr>
            <w:tcW w:w="1320" w:type="dxa"/>
            <w:vAlign w:val="bottom"/>
          </w:tcPr>
          <w:p>
            <w:pPr>
              <w:jc w:val="center"/>
              <w:ind w:right="173"/>
              <w:spacing w:after="0" w:line="170" w:lineRule="exact"/>
              <w:rPr>
                <w:sz w:val="20"/>
                <w:szCs w:val="20"/>
                <w:color w:val="auto"/>
              </w:rPr>
            </w:pPr>
            <w:r>
              <w:rPr>
                <w:rFonts w:ascii="Times New Roman" w:cs="Times New Roman" w:eastAsia="Times New Roman" w:hAnsi="Times New Roman"/>
                <w:sz w:val="17"/>
                <w:szCs w:val="17"/>
                <w:color w:val="auto"/>
              </w:rPr>
              <w:t>Ore</w:t>
            </w:r>
          </w:p>
        </w:tc>
        <w:tc>
          <w:tcPr>
            <w:tcW w:w="0" w:type="dxa"/>
            <w:vAlign w:val="bottom"/>
          </w:tcPr>
          <w:p>
            <w:pPr>
              <w:spacing w:after="0"/>
              <w:rPr>
                <w:sz w:val="1"/>
                <w:szCs w:val="1"/>
                <w:color w:val="auto"/>
              </w:rPr>
            </w:pPr>
          </w:p>
        </w:tc>
      </w:tr>
      <w:tr>
        <w:trPr>
          <w:trHeight w:val="235"/>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ended</w:t>
            </w:r>
          </w:p>
        </w:tc>
        <w:tc>
          <w:tcPr>
            <w:tcW w:w="1100" w:type="dxa"/>
            <w:vAlign w:val="bottom"/>
          </w:tcPr>
          <w:p>
            <w:pPr>
              <w:jc w:val="center"/>
              <w:ind w:left="393"/>
              <w:spacing w:after="0"/>
              <w:rPr>
                <w:sz w:val="20"/>
                <w:szCs w:val="20"/>
                <w:color w:val="auto"/>
              </w:rPr>
            </w:pPr>
            <w:r>
              <w:rPr>
                <w:rFonts w:ascii="Times New Roman" w:cs="Times New Roman" w:eastAsia="Times New Roman" w:hAnsi="Times New Roman"/>
                <w:sz w:val="17"/>
                <w:szCs w:val="17"/>
                <w:color w:val="auto"/>
              </w:rPr>
              <w:t>(per bbl)</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(per bbl)</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(per tonne)</w:t>
            </w:r>
          </w:p>
        </w:tc>
        <w:tc>
          <w:tcPr>
            <w:tcW w:w="260" w:type="dxa"/>
            <w:vAlign w:val="bottom"/>
          </w:tcPr>
          <w:p>
            <w:pPr>
              <w:spacing w:after="0"/>
              <w:rPr>
                <w:sz w:val="20"/>
                <w:szCs w:val="20"/>
                <w:color w:val="auto"/>
              </w:rPr>
            </w:pPr>
          </w:p>
        </w:tc>
        <w:tc>
          <w:tcPr>
            <w:tcW w:w="132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(per tonne)</w:t>
            </w:r>
          </w:p>
        </w:tc>
        <w:tc>
          <w:tcPr>
            <w:tcW w:w="0" w:type="dxa"/>
            <w:vAlign w:val="bottom"/>
          </w:tcPr>
          <w:p>
            <w:pPr>
              <w:spacing w:after="0"/>
              <w:rPr>
                <w:sz w:val="1"/>
                <w:szCs w:val="1"/>
                <w:color w:val="auto"/>
              </w:rPr>
            </w:pPr>
          </w:p>
        </w:tc>
      </w:tr>
      <w:tr>
        <w:trPr>
          <w:trHeight w:val="215"/>
        </w:trPr>
        <w:tc>
          <w:tcPr>
            <w:tcW w:w="3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Third Quarter through July 26, 2024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81.27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64.98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100.82</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80.83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67.24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77.01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118.54</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78.60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122.24</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9/30/2023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82.50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73.54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60.25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0" w:type="dxa"/>
            <w:vAlign w:val="bottom"/>
          </w:tcPr>
          <w:p>
            <w:pPr>
              <w:spacing w:after="0"/>
              <w:rPr>
                <w:sz w:val="1"/>
                <w:szCs w:val="1"/>
                <w:color w:val="auto"/>
              </w:rPr>
            </w:pPr>
          </w:p>
        </w:tc>
      </w:tr>
      <w:tr>
        <w:trPr>
          <w:trHeight w:val="222"/>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75.96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940" w:hanging="308"/>
        <w:spacing w:after="0" w:line="227" w:lineRule="auto"/>
        <w:tabs>
          <w:tab w:leader="none" w:pos="9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WTI crude prices are from U.S. Energy Information Administration, WCS crude prices and iron ore prices are from Bloomberg and hard coking coal prices are from IHS Markit.</w:t>
      </w:r>
    </w:p>
    <w:p>
      <w:pPr>
        <w:spacing w:after="0" w:line="384" w:lineRule="exact"/>
        <w:rPr>
          <w:sz w:val="20"/>
          <w:szCs w:val="20"/>
          <w:color w:val="auto"/>
        </w:rPr>
      </w:pPr>
    </w:p>
    <w:p>
      <w:pPr>
        <w:jc w:val="both"/>
        <w:ind w:firstLine="47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WTI Crude. </w:t>
      </w:r>
      <w:r>
        <w:rPr>
          <w:rFonts w:ascii="Times New Roman" w:cs="Times New Roman" w:eastAsia="Times New Roman" w:hAnsi="Times New Roman"/>
          <w:sz w:val="17"/>
          <w:szCs w:val="17"/>
          <w:color w:val="auto"/>
        </w:rPr>
        <w:t>After reaching historic lows in early 2020 during the start of the COVID-19 pandemic, global oil prices increased to above $100 per barrel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second quarter 2022. In the second half of 2022 and throughout 2023, oil prices generally declined due to (i) rising fears of a recession resulting from severe inflation and higher interest rates, (ii) resulting lower demand growth for oil and (iii) increasing U.S. oil production. In an effort to support the price of oil amidst demand concerns, OPEC+ countries have extended their 2023 oil production cuts through the remainder of 2024 and into 2025. These production cuts, coupled with the rising geopolitical risks in the Middle East, resulted in rising oil prices during the first half of 2024 following a decline in prices in the latter part of the fourth quarter of 2023.</w:t>
      </w:r>
    </w:p>
    <w:p>
      <w:pPr>
        <w:spacing w:after="0" w:line="105"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WCS Crude. </w:t>
      </w:r>
      <w:r>
        <w:rPr>
          <w:rFonts w:ascii="Times New Roman" w:cs="Times New Roman" w:eastAsia="Times New Roman" w:hAnsi="Times New Roman"/>
          <w:sz w:val="17"/>
          <w:szCs w:val="17"/>
          <w:color w:val="auto"/>
        </w:rPr>
        <w:t>In Canada, WCS crude is the benchmark price for our oil sands customers. Pricing for WCS is driven by several factors,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93"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Certain expansionary oil pipeline projects have the potential to both drive incremental demand for mobile assets and to improve take-away capacity for Canadian oil sands producers over the longer term, most notably the Trans Mountain Pipeline expansion, which began operating in the second quarter of 2024.</w:t>
      </w:r>
    </w:p>
    <w:p>
      <w:pPr>
        <w:spacing w:after="0" w:line="81"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WCS prices in the second quarter of 2024 averaged $67.24 per barrel compared to an average of $60.25 in the second quarter of 2023. The WCS Differential decreased from $19.35 per barrel at the end of the fourth quarter of 2023 to $15.27 at the end of the second quarter of 2024. As of July 26, 2024, the WTI price was $77.16 and the WCS price was $60.26, resulting in a WCS Differential of $16.90</w:t>
      </w:r>
    </w:p>
    <w:p>
      <w:pPr>
        <w:spacing w:after="0" w:line="79"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Met Coal. </w:t>
      </w:r>
      <w:r>
        <w:rPr>
          <w:rFonts w:ascii="Times New Roman" w:cs="Times New Roman" w:eastAsia="Times New Roman" w:hAnsi="Times New Roman"/>
          <w:sz w:val="17"/>
          <w:szCs w:val="17"/>
          <w:color w:val="auto"/>
        </w:rPr>
        <w:t>In Australia, 84% of our rooms are located in the Bowen Basin of Queensland, Australia and primarily serve met coal mines in that region. Met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coal pricing and production growth in the Bowen Basin region is predominantly influenced by the level of global steel production, which remained flat through June 2024 compared to the same period of 2023. Production stability was the result of steady production in China and continued growth in India, which offset weaker production in the U.S., Japan and South Korea. As of July 26, 2024, met coal spot prices were $217.00 per tonne. Steel demand is expected to increase marginally in 2024 compared to 2023, with continued improvements in demand from India.</w:t>
      </w:r>
    </w:p>
    <w:p>
      <w:pPr>
        <w:spacing w:after="0" w:line="106" w:lineRule="exact"/>
        <w:rPr>
          <w:sz w:val="20"/>
          <w:szCs w:val="20"/>
          <w:color w:val="auto"/>
        </w:rPr>
      </w:pPr>
    </w:p>
    <w:p>
      <w:pPr>
        <w:ind w:firstLine="470"/>
        <w:spacing w:after="0" w:line="252" w:lineRule="auto"/>
        <w:rPr>
          <w:sz w:val="20"/>
          <w:szCs w:val="20"/>
          <w:color w:val="auto"/>
        </w:rPr>
      </w:pPr>
      <w:r>
        <w:rPr>
          <w:rFonts w:ascii="Times New Roman" w:cs="Times New Roman" w:eastAsia="Times New Roman" w:hAnsi="Times New Roman"/>
          <w:sz w:val="17"/>
          <w:szCs w:val="17"/>
          <w:color w:val="auto"/>
        </w:rPr>
        <w:t>Met coal prices weakened in March through early April 2024. Prices have since stabilized in the range of approximately $220 to $250 per tonne and continue to support existing production. As supply remains steady and with limited prospects in demand growth, analysts forecast prices to average $235 to $245 over the second-half of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ind w:firstLine="47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Iron Ore. </w:t>
      </w:r>
      <w:r>
        <w:rPr>
          <w:rFonts w:ascii="Times New Roman" w:cs="Times New Roman" w:eastAsia="Times New Roman" w:hAnsi="Times New Roman"/>
          <w:sz w:val="17"/>
          <w:szCs w:val="17"/>
          <w:color w:val="auto"/>
        </w:rPr>
        <w:t>Iron ore prices fluctuated during the first quarter of 2024 and weakened through June 2024, with prices having since stabilized at approximately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$105 per tonne. Analysts expect iron ore prices to average $105 to $110 through the second-half of 2024, with stable supply and steady demand.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42" w:lineRule="exact"/>
        <w:rPr>
          <w:sz w:val="20"/>
          <w:szCs w:val="20"/>
          <w:color w:val="auto"/>
        </w:rPr>
      </w:pPr>
    </w:p>
    <w:p>
      <w:pPr>
        <w:jc w:val="both"/>
        <w:ind w:firstLine="47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w:t>
      </w:r>
      <w:r>
        <w:rPr>
          <w:rFonts w:ascii="Times New Roman" w:cs="Times New Roman" w:eastAsia="Times New Roman" w:hAnsi="Times New Roman"/>
          <w:sz w:val="17"/>
          <w:szCs w:val="17"/>
          <w:color w:val="auto"/>
        </w:rPr>
        <w:t>During 2023 and through the second quarter of 2024, inflationary pressures and supply chain disruptions have been, and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being, 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spacing w:after="0" w:line="28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Labor Shortages. </w:t>
      </w:r>
      <w:r>
        <w:rPr>
          <w:rFonts w:ascii="Times New Roman" w:cs="Times New Roman" w:eastAsia="Times New Roman" w:hAnsi="Times New Roman"/>
          <w:sz w:val="17"/>
          <w:szCs w:val="17"/>
          <w:color w:val="auto"/>
        </w:rPr>
        <w:t>In addition to the macro inflationary impacts on labor costs noted above, we continue to be impacted by increased staff costs as a result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hospitality labor shortages in Australia due to significantly reduced migration in and around Australia affecting labor availability, which has subsequently led to an increased reliance on more expensive temporary labor resources.</w:t>
      </w:r>
    </w:p>
    <w:p>
      <w:pPr>
        <w:spacing w:after="0" w:line="92"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LNG. </w:t>
      </w:r>
      <w:r>
        <w:rPr>
          <w:rFonts w:ascii="Times New Roman" w:cs="Times New Roman" w:eastAsia="Times New Roman" w:hAnsi="Times New Roman"/>
          <w:sz w:val="17"/>
          <w:szCs w:val="17"/>
          <w:color w:val="auto"/>
        </w:rPr>
        <w:t>Our Sitka Lodge supports the LNG Canada project and related pipeline projects. From a macroeconomic standpoint, LNG demand has continued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 reinforcing the need for the global LNG industry to expand access to natural gas. Evolving government energy policies around the world have amplified support for cleaner energy supply, creating more opportunities for natural gas and LNG. The conflicts between Russia/Ukraine and in the Middle East have further highlighted the need for secure natural gas supply globally, particularly in Europe. Accordingly, additional investment in LNG supply will be needed to meet the resulting expected long-term LNG demand growth.</w:t>
      </w:r>
    </w:p>
    <w:p>
      <w:pPr>
        <w:spacing w:after="0" w:line="122"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Currently, Western Canada does not have any operational LNG export facilities.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The Kitimat LNG Facility is nearing completion and expected to be operational in 2024, with commercial operations beginning in 2025. British Columbia LNG activity and related pipeline projects are a material driver of activity for our Sitka Lodge, as well as for our mobile assets, which were contracted to serve designated portions of the related pipeline construction activity. The majority of our contracted commitments associated with the Coastal GasLink Pipeline, the pipeline constructed to transport natural gas feedstock to LNGC, were completed in the fourth quarter of 2023.</w:t>
      </w:r>
    </w:p>
    <w:p>
      <w:pPr>
        <w:spacing w:after="0" w:line="104"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McClelland Lake Lodge. </w:t>
      </w:r>
      <w:r>
        <w:rPr>
          <w:rFonts w:ascii="Times New Roman" w:cs="Times New Roman" w:eastAsia="Times New Roman" w:hAnsi="Times New Roman"/>
          <w:sz w:val="17"/>
          <w:szCs w:val="17"/>
          <w:color w:val="auto"/>
        </w:rPr>
        <w:t>We did not renew our expiring land lease associated with our McClelland Lake Lodge in Alberta, Canada, which expired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2023, in order to support our customer’s intent to mine the land where the lodge was located. In addition, the accompanying hospitality services contract at McClelland Lake Lodge expired in July 2023; however, we continued to provide hospitality services to the customer at our other owned lodges through January 31, 2024 under a short-term take-or-pay commitment. Subsequent to this date, we have continued to provide such services at our other lodges; however, not pursuant to a take-or-pay commitment. During the third quarter of 2023, we entered into a definitive agreement to sell our McClelland Lake Lodge assets to a U.S.-based mining project for approximately C$49 million, or US$36 million. Our McClelland Lake Lodge assets were dismantled and completely removed from the existing site in January 2024. During the third and fourth quarters of 2023, we recognized $14.2 million in dismantle costs and received $28.2 million in cash proceeds associated with the sale. During the first quarter of 2024, the transaction was completed, and we recognized the remaining $1.0 million in dismantle costs and received the remaining $7.8 million in cash proceeds.</w:t>
      </w:r>
    </w:p>
    <w:p>
      <w:pPr>
        <w:spacing w:after="0" w:line="92" w:lineRule="exact"/>
        <w:rPr>
          <w:sz w:val="20"/>
          <w:szCs w:val="20"/>
          <w:color w:val="auto"/>
        </w:rPr>
      </w:pPr>
    </w:p>
    <w:p>
      <w:pPr>
        <w:jc w:val="both"/>
        <w:ind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 Business. </w:t>
      </w:r>
      <w:r>
        <w:rPr>
          <w:rFonts w:ascii="Times New Roman" w:cs="Times New Roman" w:eastAsia="Times New Roman" w:hAnsi="Times New Roman"/>
          <w:sz w:val="17"/>
          <w:szCs w:val="17"/>
          <w:color w:val="auto"/>
        </w:rPr>
        <w:t>In the second quarter of 2024, we sold the land at our Louisiana location. In addition, in the first quarter of 2023, we sold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accommodation assets in Louisiana. Our U.S. business supports completion activity in the Bakken. U.S. oil completion activity will continue to be impacted by oil prices, pipeline capacity, federal energy policies and availability of capital to support exploration and production completion plans.</w:t>
      </w:r>
    </w:p>
    <w:p>
      <w:pPr>
        <w:spacing w:after="0" w:line="92" w:lineRule="exact"/>
        <w:rPr>
          <w:sz w:val="20"/>
          <w:szCs w:val="20"/>
          <w:color w:val="auto"/>
        </w:rPr>
      </w:pPr>
    </w:p>
    <w:p>
      <w:pPr>
        <w:jc w:val="both"/>
        <w:ind w:firstLine="47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Canadian dollar and the Australian dollar influence our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Canada and Australia. These revenues and profits/losses are translated into U.S. dollars for financial reporting purposes under U.S. Generally Accepted Accounting Principles. The following tables summarize the fluctuations in the exchange rates between the U.S. dollar and each of the Canadian dollar and the Australian dollar: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640" w:type="dxa"/>
            <w:vAlign w:val="bottom"/>
          </w:tcPr>
          <w:p>
            <w:pPr>
              <w:spacing w:after="0"/>
              <w:rPr>
                <w:sz w:val="17"/>
                <w:szCs w:val="17"/>
                <w:color w:val="auto"/>
              </w:rPr>
            </w:pPr>
          </w:p>
        </w:tc>
      </w:tr>
      <w:tr>
        <w:trPr>
          <w:trHeight w:val="229"/>
        </w:trPr>
        <w:tc>
          <w:tcPr>
            <w:tcW w:w="35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40" w:type="dxa"/>
            <w:vAlign w:val="bottom"/>
            <w:tcBorders>
              <w:bottom w:val="single" w:sz="8" w:color="auto"/>
            </w:tcBorders>
          </w:tcPr>
          <w:p>
            <w:pPr>
              <w:spacing w:after="0"/>
              <w:rPr>
                <w:sz w:val="19"/>
                <w:szCs w:val="19"/>
                <w:color w:val="auto"/>
              </w:rPr>
            </w:pPr>
          </w:p>
        </w:tc>
      </w:tr>
      <w:tr>
        <w:trPr>
          <w:trHeight w:val="201"/>
        </w:trPr>
        <w:tc>
          <w:tcPr>
            <w:tcW w:w="3500" w:type="dxa"/>
            <w:vAlign w:val="bottom"/>
          </w:tcPr>
          <w:p>
            <w:pPr>
              <w:spacing w:after="0"/>
              <w:rPr>
                <w:sz w:val="17"/>
                <w:szCs w:val="17"/>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100" w:type="dxa"/>
            <w:vAlign w:val="bottom"/>
          </w:tcPr>
          <w:p>
            <w:pPr>
              <w:spacing w:after="0"/>
              <w:rPr>
                <w:sz w:val="17"/>
                <w:szCs w:val="17"/>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Canadian dollar to U.S. dollar</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(1.9)%</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$0.736</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7"/>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Australian dollar to U.S. dollar</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$0.659</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$0.668</w:t>
            </w:r>
          </w:p>
        </w:tc>
        <w:tc>
          <w:tcPr>
            <w:tcW w:w="100" w:type="dxa"/>
            <w:vAlign w:val="bottom"/>
          </w:tcPr>
          <w:p>
            <w:pPr>
              <w:spacing w:after="0"/>
              <w:rPr>
                <w:sz w:val="19"/>
                <w:szCs w:val="19"/>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$0.676</w:t>
            </w:r>
          </w:p>
        </w:tc>
        <w:tc>
          <w:tcPr>
            <w:tcW w:w="10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105" w:lineRule="exact"/>
        <w:rPr>
          <w:sz w:val="20"/>
          <w:szCs w:val="20"/>
          <w:color w:val="auto"/>
        </w:rPr>
      </w:pPr>
    </w:p>
    <w:tbl>
      <w:tblPr>
        <w:tblLayout w:type="fixed"/>
        <w:tblInd w:w="1380" w:type="dxa"/>
        <w:tblCellMar>
          <w:top w:w="0" w:type="dxa"/>
          <w:left w:w="0" w:type="dxa"/>
          <w:bottom w:w="0" w:type="dxa"/>
          <w:right w:w="0" w:type="dxa"/>
        </w:tblCellMar>
      </w:tblPr>
      <w:tr>
        <w:trPr>
          <w:trHeight w:val="229"/>
        </w:trPr>
        <w:tc>
          <w:tcPr>
            <w:tcW w:w="314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left="575"/>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01"/>
        </w:trPr>
        <w:tc>
          <w:tcPr>
            <w:tcW w:w="3140" w:type="dxa"/>
            <w:vAlign w:val="bottom"/>
          </w:tcPr>
          <w:p>
            <w:pPr>
              <w:spacing w:after="0"/>
              <w:rPr>
                <w:sz w:val="17"/>
                <w:szCs w:val="17"/>
                <w:color w:val="auto"/>
              </w:rPr>
            </w:pPr>
          </w:p>
        </w:tc>
        <w:tc>
          <w:tcPr>
            <w:tcW w:w="18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$0.731</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7"/>
                <w:szCs w:val="17"/>
                <w:color w:val="auto"/>
              </w:rPr>
              <w:t>$0.756</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$0.667</w:t>
            </w:r>
          </w:p>
        </w:tc>
        <w:tc>
          <w:tcPr>
            <w:tcW w:w="160" w:type="dxa"/>
            <w:vAlign w:val="bottom"/>
          </w:tcPr>
          <w:p>
            <w:pPr>
              <w:spacing w:after="0"/>
              <w:rPr>
                <w:sz w:val="19"/>
                <w:szCs w:val="19"/>
                <w:color w:val="auto"/>
              </w:rPr>
            </w:pPr>
          </w:p>
        </w:tc>
        <w:tc>
          <w:tcPr>
            <w:tcW w:w="1340" w:type="dxa"/>
            <w:vAlign w:val="bottom"/>
          </w:tcPr>
          <w:p>
            <w:pPr>
              <w:jc w:val="center"/>
              <w:ind w:left="735"/>
              <w:spacing w:after="0"/>
              <w:rPr>
                <w:sz w:val="20"/>
                <w:szCs w:val="20"/>
                <w:color w:val="auto"/>
              </w:rPr>
            </w:pPr>
            <w:r>
              <w:rPr>
                <w:rFonts w:ascii="Times New Roman" w:cs="Times New Roman" w:eastAsia="Times New Roman" w:hAnsi="Times New Roman"/>
                <w:sz w:val="17"/>
                <w:szCs w:val="17"/>
                <w:color w:val="auto"/>
              </w:rPr>
              <w:t>$0.681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r>
    </w:tbl>
    <w:p>
      <w:pPr>
        <w:spacing w:after="0" w:line="186"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56" w:lineRule="exact"/>
        <w:rPr>
          <w:sz w:val="20"/>
          <w:szCs w:val="20"/>
          <w:color w:val="auto"/>
        </w:rPr>
      </w:pPr>
    </w:p>
    <w:p>
      <w:pPr>
        <w:jc w:val="both"/>
        <w:ind w:right="100" w:firstLine="47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continue to monitor the global economy, commodity prices, demand for crude oil, met coal, LNG and iron ore, inflation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resultant impact on the capital spending plans of our customers in order to plan our business activities. We currently expect that our 2024 capital expenditures will be in the range of approximately $30 million to $35 million, compared to 2023 capital expenditures of $31.6 million. We may adjust our capital expenditure plans in the future as we continue to monitor customer activity.</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our 2024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2" w:name="page23"/>
    <w:bookmarkEnd w:id="22"/>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and six months ended June 30, 2024, is based on a comparison to the corresponding period of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June 30, 2024 Compared to Three Months Ended June 30, 2023</w:t>
      </w:r>
    </w:p>
    <w:p>
      <w:pPr>
        <w:spacing w:after="0" w:line="32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8"/>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79,527</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95,470</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108,608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82,544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26,064</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188,713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9,870</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(12,996)</w:t>
            </w:r>
          </w:p>
        </w:tc>
      </w:tr>
      <w:tr>
        <w:trPr>
          <w:trHeight w:val="203"/>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22,492</w:t>
            </w:r>
          </w:p>
        </w:tc>
      </w:tr>
      <w:tr>
        <w:trPr>
          <w:trHeight w:val="189"/>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9,409</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sale of McClelland Lake Lodge assets,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2"/>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175,601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168,671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6,930</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w:t>
            </w:r>
          </w:p>
        </w:tc>
      </w:tr>
      <w:tr>
        <w:trPr>
          <w:trHeight w:val="209"/>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w:t>
            </w:r>
          </w:p>
        </w:tc>
      </w:tr>
      <w:tr>
        <w:trPr>
          <w:trHeight w:val="18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Civeo Corporation</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reported net income attributable to Civeo for the quarter ended June 30, 2024 of $8.2 million, or $0.56 per diluted share compared to net income attributable to Civeo for the quarter ended June 30, 2023 of $4.5 million, or $0.30 per diluted share.</w:t>
      </w:r>
    </w:p>
    <w:p>
      <w:pPr>
        <w:spacing w:after="0" w:line="27"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$9.9 million, or 6%, in the second quarter of 2024 compared to the second quarter of 2023. This increase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due to (i) increased activity at our Civeo owned villages in the Australian Bowen Basin, (ii) new business in our integrated services villages in Western Australia and (iii) increased year-over-year occupancy in our Canadian oil sands lodges. These items were partially offset by declined occupancy associated with the sale of the McClelland Lake Lodge and reduced mobile asset activity from pipeline projects in Canada which were largely completed in 2023. See the discussion of segment results of operations below for further information.</w:t>
      </w:r>
    </w:p>
    <w:p>
      <w:pPr>
        <w:spacing w:after="0" w:line="193" w:lineRule="exact"/>
        <w:rPr>
          <w:sz w:val="20"/>
          <w:szCs w:val="20"/>
          <w:color w:val="auto"/>
        </w:rPr>
      </w:pPr>
    </w:p>
    <w:p>
      <w:pPr>
        <w:jc w:val="both"/>
        <w:ind w:firstLine="470"/>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$9.4 million, or 7%, in the second quarter of 2024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quarter of 2023. This increase was primarily due to increased occupancy at our Civeo owned villages in the Australian Bowen Basin and new business in our integrated services villages in Western Australia and the associated overhead costs. These items were partially offset by decreased mobile asset activity from pipeline projects in Canada which were largely completed in 2023 and lower costs at certain lodges, including the McClelland Lake Lodge, in Canada. See the discussion of segment results of operations below for further information.</w:t>
      </w:r>
    </w:p>
    <w:p>
      <w:pPr>
        <w:spacing w:after="0" w:line="118"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increased $1.0 million, or 6%, in the second quarter of 2024 compared to the second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2023. This increase was primarily due to higher compensation expense of $1.3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million and higher travel and entertainment costs of $0.4 million. The increase in compensation expense was primarily due to severance costs and increased staff and associated recruitment costs. These items were partially offset by lower incentive compensation costs of $0.7 million in the second quarter of 2024 compared to the second quarter of 2023.</w:t>
      </w:r>
    </w:p>
    <w:p>
      <w:pPr>
        <w:spacing w:after="0" w:line="95"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decreased $3.6 million, or 18%, in the second quarter of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second quarter of 2023. The decrease was primarily due to certain assets becoming fully depreciated in Canada, including the McClelland Lake Lodge, in the second quarter of 2023.</w:t>
      </w:r>
    </w:p>
    <w:p>
      <w:pPr>
        <w:spacing w:after="0" w:line="94" w:lineRule="exact"/>
        <w:rPr>
          <w:sz w:val="20"/>
          <w:szCs w:val="20"/>
          <w:color w:val="auto"/>
        </w:rPr>
      </w:pPr>
    </w:p>
    <w:p>
      <w:pPr>
        <w:jc w:val="both"/>
        <w:ind w:firstLine="47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increased $2.9 million, or 29%, in the second quarter of 2024 compared to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2023, primarily due to higher activity levels in Australia and lower depreciation and amortization expense in the second quarter of 2024 compared to the second quarter of 2023. These items were partially offset by reduced mobile asset activity in Canada in the second quarter of 2024 compared to the second quarter of 2023.</w:t>
      </w:r>
    </w:p>
    <w:p>
      <w:pPr>
        <w:spacing w:after="0" w:line="298"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$1.4 million, or 40%, in the second quarter of 2024 compared to the second quarter of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related to lower average debt levels during 2024 compared to 2023, partially offset by higher interest rates on credit facility borrowings.</w:t>
      </w:r>
    </w:p>
    <w:p>
      <w:pPr>
        <w:spacing w:after="0" w:line="76"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three months ended June 30, 2024 totaled $3.8 million, or 33.6% of pretax income, compared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tax expense of $2.9 million, or 40.9% of pretax income, for the three months ended June 30, 2023. Our effective tax rate for each of the three months ended June 30, 2024 and 2023 was impacted by Canada and the U.S. being considered loss jurisdictions that were removed from the annual effective tax rate computation for purposes of computing the interim tax provision.</w:t>
      </w:r>
    </w:p>
    <w:p>
      <w:pPr>
        <w:spacing w:after="0" w:line="100"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w:t>
      </w:r>
      <w:r>
        <w:rPr>
          <w:rFonts w:ascii="Times New Roman" w:cs="Times New Roman" w:eastAsia="Times New Roman" w:hAnsi="Times New Roman"/>
          <w:sz w:val="17"/>
          <w:szCs w:val="17"/>
          <w:color w:val="auto"/>
        </w:rPr>
        <w:t>Other comprehensive income decreased $0.5 million in the second quarter of 2024 compared to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2023, primarily as a result of foreign currency translation adjustments due to changes in the Canadian and Australian dollar exchange rates compared to the U.S. dollar. The Canadian dollar exchange rate compared to the U.S. dollar decreased 1% in the second quarter of 2024 compared to a 2% increase in the second quarter of 2023. The Australian dollar exchange rate compared to the U.S. dollar increased 2% in the second quarter of 2024 compared to a 1% decrease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72,259</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72,355</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(96)</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17,407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(17,051)</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6,912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5,708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1,204</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79,527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95,470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(15,943)</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48,197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52,431</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(4,234)</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(10,197)</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6,314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1,254</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181</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58,849</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71,845</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(12,996)</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752,364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724,299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28,065</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0.731</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0.745</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(0.014)</w:t>
            </w:r>
          </w:p>
        </w:tc>
      </w:tr>
    </w:tbl>
    <w:p>
      <w:pPr>
        <w:spacing w:after="0" w:line="285" w:lineRule="exact"/>
        <w:rPr>
          <w:sz w:val="20"/>
          <w:szCs w:val="20"/>
          <w:color w:val="auto"/>
        </w:rPr>
      </w:pPr>
    </w:p>
    <w:p>
      <w:pPr>
        <w:ind w:left="300" w:hanging="295"/>
        <w:spacing w:after="0"/>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reported revenues in the second quarter of 2024 that were $15.9 million, or 17%, lower than the second quarter of 2023. The revenue decrease was driven by reduced mobile asset activity from pipeline projects which were largely completed in 2023. Lower mobile asset activity was partially offset by increased year-over-year occupancy in our oil sands lodges with billed rooms up 3.9% due to the timing and extent of maintenance activity by our customers, with some offset from declined occupancy associated with the sale of the McClelland Lake Lodge.</w:t>
      </w:r>
    </w:p>
    <w:p>
      <w:pPr>
        <w:spacing w:after="0" w:line="182"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Our Canadian segment cost of sales and services decreased $13.0 million, or 18%, in the second quarter of 2024 compared to the second quarter of 2023. The cost of sales and services decrease was driven by lower costs related to reduced mobile asset activity from pipeline projects which were largely completed in 2023 and lower costs at certain lodges including the McClelland Lake Lodge resulting from the sale.</w:t>
      </w:r>
    </w:p>
    <w:p>
      <w:pPr>
        <w:spacing w:after="0" w:line="20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24.7% in the second quarter of 2023 to 26.0% in the second quarter of 2024. This was primarily driven by improved margins at our lodges due to improved efficiencies at higher occupancy levels and the removal of certain fixed costs with the sale of the McClelland Lake Lodge, partially offset by reduced mobile asset activity from pipeline projects which were largely completed in 2023 and mobile camp demobilization costs of approximately $1.4 million which were incurred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48,914</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44,342</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4,572</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59,694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38,202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21,492</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108,608</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82,544</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26,064</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23,613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2,665</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1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54,527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35,372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19,155</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2,897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672</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81,037</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58,545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22,492</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6"/>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18"/>
                <w:szCs w:val="18"/>
                <w:color w:val="auto"/>
                <w:vertAlign w:val="superscript"/>
              </w:rPr>
              <w:t>(3)</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18"/>
                <w:szCs w:val="18"/>
                <w:color w:val="auto"/>
                <w:vertAlign w:val="superscript"/>
              </w:rPr>
              <w:t>(4)</w:t>
            </w:r>
          </w:p>
        </w:tc>
        <w:tc>
          <w:tcPr>
            <w:tcW w:w="1100" w:type="dxa"/>
            <w:vAlign w:val="bottom"/>
          </w:tcPr>
          <w:p>
            <w:pPr>
              <w:spacing w:after="0"/>
              <w:rPr>
                <w:sz w:val="17"/>
                <w:szCs w:val="17"/>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625,353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587,855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37,498</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0.659</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0.668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(0.009)</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Australian segment reported revenues in the second quarter of 2024 that were $26.1 million, or 32%, higher than the second quarter of 2023. The increase in the Australian segment was driven by increased activity at our Civeo owned villages in the Bowen Basin and new business in our integrated services villages in Western Australia. Billed rooms in Civeo owned villages were up 6.4% in the second quarter of 2024 due to increased activity in both the Bowen Basin and Gunnedah Basin coupled with recent contract renewals and extensions.</w:t>
      </w:r>
    </w:p>
    <w:p>
      <w:pPr>
        <w:spacing w:after="0" w:line="19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$22.5 million, or 38%, in the second quarter of 2024 compared to the second quarter of 2023. The increase in cost of sales and services in the Australian segment was largely driven by increased occupancy at our Civeo owned villages in the Bowen Basin and new business in our integrated services villages in Western Australia and the associated overhead costs.</w:t>
      </w:r>
    </w:p>
    <w:p>
      <w:pPr>
        <w:spacing w:after="0" w:line="18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25.4% in the second quarter of 2024 from 29.1% in the second quarter of 2023. This was primarily driven by an increased relative revenue contribution from our integrated services business, which has a service-only business model, and generates lower overall gross margins than our accommodation business. The reduced gross margin was partially offset by improved profitability across the integrated services villages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Six Months Ended June 30, 2024 Compared to Six Months Ended June 30, 2023</w:t>
      </w: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3"/>
        </w:trPr>
        <w:tc>
          <w:tcPr>
            <w:tcW w:w="5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4"/>
        </w:trPr>
        <w:tc>
          <w:tcPr>
            <w:tcW w:w="5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5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146,687</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184,923</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(38,236)</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200,345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40,812</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5,823</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354,833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346,434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w:t>
            </w: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116,106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(29,644)</w:t>
            </w:r>
          </w:p>
        </w:tc>
      </w:tr>
      <w:tr>
        <w:trPr>
          <w:trHeight w:val="203"/>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147,150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116,853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30,297</w:t>
            </w:r>
          </w:p>
        </w:tc>
      </w:tr>
      <w:tr>
        <w:trPr>
          <w:trHeight w:val="189"/>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w:t>
            </w:r>
          </w:p>
        </w:tc>
      </w:tr>
      <w:tr>
        <w:trPr>
          <w:trHeight w:val="196"/>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271,279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6,340</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(8,534)</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203"/>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McClelland Lake Lodge assets,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w:t>
            </w:r>
          </w:p>
        </w:tc>
      </w:tr>
      <w:tr>
        <w:trPr>
          <w:trHeight w:val="189"/>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343,502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340,166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w:t>
            </w:r>
          </w:p>
        </w:tc>
      </w:tr>
      <w:tr>
        <w:trPr>
          <w:trHeight w:val="216"/>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r>
      <w:tr>
        <w:trPr>
          <w:trHeight w:val="182"/>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8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4,435</w:t>
            </w:r>
          </w:p>
        </w:tc>
      </w:tr>
      <w:tr>
        <w:trPr>
          <w:trHeight w:val="196"/>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r>
      <w:tr>
        <w:trPr>
          <w:trHeight w:val="19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4,984</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income attributable to Civeo for six months ended June 30, 2024 of $3.1 million, or $0.21 per diluted share. As further discussed below, net income included (i) $6.0 million of net gains associated with the sale of the McClelland Lake Lodge in Canada and (ii) a $7.8 million pre-tax loss resulting from the impairment of fixed assets included in Impairment expense.</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reported net loss attributable to Civeo for the six months ended June 30, 2023 of $1.9 million, or $0.13 per diluted share.</w:t>
      </w:r>
    </w:p>
    <w:p>
      <w:pPr>
        <w:spacing w:after="0" w:line="116"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$8.4 million, or 2%, in the six months ended June 30, 2024 compared to the six months ended June 30,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increase was primarily due to increased activity at our Civeo owned villages in the Australian Bowen Basin and new business in our integrated services villages in Western Australia. These items were partially offset by decreased mobile asset activity from pipeline projects in Canada which were largely completed in 2023 and a weaker Australian dollar relative to the U.S. dollar in the six months ended June 30, 2024 compared to the six months ended June 30, 2023. See the discussion of segment results of operations below for further information.</w:t>
      </w:r>
    </w:p>
    <w:p>
      <w:pPr>
        <w:spacing w:after="0" w:line="180" w:lineRule="exact"/>
        <w:rPr>
          <w:sz w:val="20"/>
          <w:szCs w:val="20"/>
          <w:color w:val="auto"/>
        </w:rPr>
      </w:pPr>
    </w:p>
    <w:p>
      <w:pPr>
        <w:jc w:val="both"/>
        <w:ind w:firstLine="470"/>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$6.3 million, or 2%, in the six months ended June 30, 2024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six months ended June 30, 2023. This increase was primarily due to increased occupancy at our Civeo owned villages in our Australian Bowen Basin and new business in our integrated services villages in Western Australia and the associated overhead costs. These items were partially offset by the decrease in cost of sales and services largely driven by (i) reduced mobile asset activity from pipeline projects in Canada which were largely completed in 2023, (ii) lower costs at certain lodges in Canada and (iii) a weaker Australian dollar relative to the U.S. dollar in the six months ended June 30, 2024 compared to the six months ended June 30, 2023. See the discussion of segment results of operations below for further information.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9"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increased $3.4 million, or 10%, in the six months ended June 30, 2024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six months ended June 30, 2023. This increase was primarily due to higher compensation expense of $3.0 million, higher travel and entertainment costs of $0.9 million and higher professional fees of $0.6 million. The increase in compensation expense was primarily due to $1.1 million in severance costs related to the departure of our former Chief Financial Officer, other severance costs and increased staff and associated recruitment costs. These items were partially offset by lower share-based compensation expense of $1.1 million and a weaker Australian dollar relative to the U.S. dollar in the six months ended June 30, 2024 compared to the six months ended June 30, 2023. The decrease in share-based compensation expense was primarily due to forfeitures during 2024 compared to 2023, partially offset by the changes in our share price during 2024 compared to 2023.</w:t>
      </w:r>
    </w:p>
    <w:p>
      <w:pPr>
        <w:spacing w:after="0" w:line="108"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decreased $8.5 million, or 20%, in six months ended June 30,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six months ended June 30, 2023 The decrease was primarily due to certain assets becoming fully depreciated in Canada, including the McClelland Lake Lodge, in the six months ended June 30, 2023 and lower depreciation and amortization expense due to a weaker Australian dollar relative to the U.S. dollar in the six months ended June 30, 2024 compared to the six months ended June 30, 2023.</w:t>
      </w:r>
    </w:p>
    <w:p>
      <w:pPr>
        <w:spacing w:after="0" w:line="100"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We recorded pre-tax impairment expense of $7.8 million in six months ended June 30, 2024 associated with long-lived assets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Australia and the U.S.</w:t>
      </w:r>
    </w:p>
    <w:p>
      <w:pPr>
        <w:spacing w:after="0" w:line="6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See Note 3 - Impairment Charges to the notes to the unaudited consolidated financial statements included in Item 1 of this quarterly report for further discussion.</w:t>
      </w:r>
    </w:p>
    <w:p>
      <w:pPr>
        <w:spacing w:after="0" w:line="79"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Gain on Sale of McClelland Lake Lodge Assets, net. </w:t>
      </w:r>
      <w:r>
        <w:rPr>
          <w:rFonts w:ascii="Times New Roman" w:cs="Times New Roman" w:eastAsia="Times New Roman" w:hAnsi="Times New Roman"/>
          <w:sz w:val="17"/>
          <w:szCs w:val="17"/>
          <w:color w:val="auto"/>
        </w:rPr>
        <w:t>We recorded $6.0 million in the six months ended June 30, 2024 related to net gains associated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sale of the McClelland Lake Lodge.</w:t>
      </w:r>
    </w:p>
    <w:p>
      <w:pPr>
        <w:spacing w:after="0" w:line="76"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increased $5.1 million, or 81%, in the six months ended June 30, 2024 compared to the six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June 30, 2023, primarily due to a net gain on sale of McClelland Lake Lodge assets, higher activity levels in Australia and lower depreciation and amortization expense in the six months ended June 30, 2024 compared to the six months ended June 30, 2023. These items were partially offset by reduced mobile asset activity in Canada and impairment expenses in the six months ended June 30, 2024 compared to the six months ended June 30, 2023.</w:t>
      </w:r>
    </w:p>
    <w:p>
      <w:pPr>
        <w:spacing w:after="0" w:line="87"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decreased by $2.7 million, or 38%, in the six months ended June 30, 2024 compared to the six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June 30, 2023, primarily related to lower average debt levels during 2024 compared to 2023, partially offset by higher interest rates on credit facility borrowings.</w:t>
      </w:r>
    </w:p>
    <w:p>
      <w:pPr>
        <w:spacing w:after="0" w:line="76"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Other Income. </w:t>
      </w:r>
      <w:r>
        <w:rPr>
          <w:rFonts w:ascii="Times New Roman" w:cs="Times New Roman" w:eastAsia="Times New Roman" w:hAnsi="Times New Roman"/>
          <w:sz w:val="17"/>
          <w:szCs w:val="17"/>
          <w:color w:val="auto"/>
        </w:rPr>
        <w:t>Consolidated other income decreased $2.1 million in the six months ended June 30, 2024 compared to the six months ended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2023, primarily due to higher gain on the sale of assets related to the sale of our Louisiana accommodation assets in the U.S. in the six months ended June 30, 2023 compared to the six months ended June 30, 2024.</w:t>
      </w:r>
    </w:p>
    <w:p>
      <w:pPr>
        <w:spacing w:after="0" w:line="94"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six months ended June 30, 2024 totaled $5.3 million, or 70.0% of pretax income, compared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tax expense of $4.1 million, or 209.0% of pretax income, for the six months ended June 30, 2023. Our effective tax rate for each of the six months ended June 30, 2024 and 2023 was impacted by Canada and the U.S. being considered loss jurisdictions that were removed from the annual effective tax rate computation for purposes of computing the interim tax provision.</w:t>
      </w:r>
    </w:p>
    <w:p>
      <w:pPr>
        <w:spacing w:after="0" w:line="8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Loss. </w:t>
      </w:r>
      <w:r>
        <w:rPr>
          <w:rFonts w:ascii="Times New Roman" w:cs="Times New Roman" w:eastAsia="Times New Roman" w:hAnsi="Times New Roman"/>
          <w:sz w:val="17"/>
          <w:szCs w:val="17"/>
          <w:color w:val="auto"/>
        </w:rPr>
        <w:t>Other comprehensive loss increased $8.5 million in the six months ended June 30, 2024 compared to the six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June 30, 2023, primarily as a result of foreign currency translation adjustments due to changes in the Canadian and Australian dollar exchange rates compared to the U.S. dollar. The Canadian dollar exchange rate compared to the U.S. dollar decreased 3% in the six months ended June 30, 2024 compared to a 2% increase in the six months ended June 30, 2023. The Australian dollar exchange rate compared to the U.S. dollar decreased 2% in the six months ended June 30, 2024 compared to a 2% decrease in the six months ended June 30, 2023.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3"/>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4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0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9"/>
                <w:szCs w:val="9"/>
                <w:color w:val="auto"/>
              </w:rPr>
              <w:t>(1)</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132,046</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136,583</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(4,537)</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revenue </w:t>
            </w:r>
            <w:r>
              <w:rPr>
                <w:rFonts w:ascii="Times New Roman" w:cs="Times New Roman" w:eastAsia="Times New Roman" w:hAnsi="Times New Roman"/>
                <w:sz w:val="9"/>
                <w:szCs w:val="9"/>
                <w:color w:val="auto"/>
              </w:rPr>
              <w:t>(2)</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37,438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(36,088)</w:t>
            </w:r>
          </w:p>
        </w:tc>
      </w:tr>
      <w:tr>
        <w:trPr>
          <w:trHeight w:val="18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9"/>
                <w:szCs w:val="9"/>
                <w:color w:val="auto"/>
              </w:rPr>
              <w:t>(3)</w:t>
            </w: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13,291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10,902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2,389</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146,687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184,923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(38,236)</w:t>
            </w:r>
          </w:p>
        </w:tc>
      </w:tr>
      <w:tr>
        <w:trPr>
          <w:trHeight w:val="144"/>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cost</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93,917</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104,529</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(10,612)</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cost</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26,100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(22,048)</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12,454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2,620</w:t>
            </w:r>
          </w:p>
        </w:tc>
      </w:tr>
      <w:tr>
        <w:trPr>
          <w:trHeight w:val="20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5,683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5,287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396</w:t>
            </w:r>
          </w:p>
        </w:tc>
      </w:tr>
      <w:tr>
        <w:trPr>
          <w:trHeight w:val="182"/>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116,106</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145,750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(29,644)</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lodges </w:t>
            </w:r>
            <w:r>
              <w:rPr>
                <w:rFonts w:ascii="Times New Roman" w:cs="Times New Roman" w:eastAsia="Times New Roman" w:hAnsi="Times New Roman"/>
                <w:sz w:val="9"/>
                <w:szCs w:val="9"/>
                <w:color w:val="auto"/>
              </w:rPr>
              <w:t>(4)</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lodges </w:t>
            </w:r>
            <w:r>
              <w:rPr>
                <w:rFonts w:ascii="Times New Roman" w:cs="Times New Roman" w:eastAsia="Times New Roman" w:hAnsi="Times New Roman"/>
                <w:sz w:val="9"/>
                <w:szCs w:val="9"/>
                <w:color w:val="auto"/>
              </w:rPr>
              <w:t>(5)</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6"/>
              </w:rPr>
              <w:t>1,362,396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1,367,095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(4,699)</w:t>
            </w:r>
          </w:p>
        </w:tc>
      </w:tr>
      <w:tr>
        <w:trPr>
          <w:trHeight w:val="151"/>
        </w:trPr>
        <w:tc>
          <w:tcPr>
            <w:tcW w:w="4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0.736</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0.742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(0.006)</w:t>
            </w:r>
          </w:p>
        </w:tc>
      </w:tr>
    </w:tbl>
    <w:p>
      <w:pPr>
        <w:spacing w:after="0" w:line="285"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Canadian segment reported revenues in the six months ended June 30, 2024 that were $38.2 million, or 21%, lower than the six months ended June 30, 2023. The revenue decrease was driven by reduced mobile asset activity from pipeline projects which were largely completed in 2023.</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cost of sales and services decreased $29.6 million, or 20%, in the six months ended June 30, 2024 compared to the six months ended June 30, 2023. The cost of sales and services decrease was driven by lower costs related to reduced mobile asset activity from pipeline projects which were largely completed in 2023 and lower costs at certain lodges.</w:t>
      </w:r>
    </w:p>
    <w:p>
      <w:pPr>
        <w:spacing w:after="0" w:line="18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decreased from 21.2% in the six months ended June 30, 2023 to 20.8% in the six months ended June 30, 2024. This was primarily driven by reduced mobile asset activity from pipeline projects which were largely completed in 2023 and mobile camp demobilization costs of approximately $3.2 million which were incurred in the first six months of 2024, partially offset by improved margins at our lodges due to improved efficiencies and the removal of certain fixed costs with the sale of the McClelland Lake Lodge.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revenue </w:t>
            </w:r>
            <w:r>
              <w:rPr>
                <w:rFonts w:ascii="Times New Roman" w:cs="Times New Roman" w:eastAsia="Times New Roman" w:hAnsi="Times New Roman"/>
                <w:sz w:val="18"/>
                <w:szCs w:val="18"/>
                <w:color w:val="auto"/>
                <w:vertAlign w:val="superscript"/>
              </w:rPr>
              <w:t>(1)</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96,021</w:t>
            </w:r>
          </w:p>
        </w:tc>
        <w:tc>
          <w:tcPr>
            <w:tcW w:w="10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84,941</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11,080</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Food service and other services revenue </w:t>
            </w:r>
            <w:r>
              <w:rPr>
                <w:rFonts w:ascii="Times New Roman" w:cs="Times New Roman" w:eastAsia="Times New Roman" w:hAnsi="Times New Roman"/>
                <w:sz w:val="18"/>
                <w:szCs w:val="18"/>
                <w:color w:val="auto"/>
                <w:vertAlign w:val="superscript"/>
              </w:rPr>
              <w:t>(2)</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104,324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74,592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29,732</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200,345</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159,533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40,812</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cost</w:t>
            </w: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46,207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41,266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4,941</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service and other services cost</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95,431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71,234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24,197</w:t>
            </w:r>
          </w:p>
        </w:tc>
      </w:tr>
      <w:tr>
        <w:trPr>
          <w:trHeight w:val="203"/>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5,512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4,353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1,159</w:t>
            </w:r>
          </w:p>
        </w:tc>
      </w:tr>
      <w:tr>
        <w:trPr>
          <w:trHeight w:val="182"/>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147,150</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116,853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30,297</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6"/>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villages </w:t>
            </w:r>
            <w:r>
              <w:rPr>
                <w:rFonts w:ascii="Times New Roman" w:cs="Times New Roman" w:eastAsia="Times New Roman" w:hAnsi="Times New Roman"/>
                <w:sz w:val="18"/>
                <w:szCs w:val="18"/>
                <w:color w:val="auto"/>
                <w:vertAlign w:val="superscript"/>
              </w:rPr>
              <w:t>(3)</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villages </w:t>
            </w:r>
            <w:r>
              <w:rPr>
                <w:rFonts w:ascii="Times New Roman" w:cs="Times New Roman" w:eastAsia="Times New Roman" w:hAnsi="Times New Roman"/>
                <w:sz w:val="18"/>
                <w:szCs w:val="18"/>
                <w:color w:val="auto"/>
                <w:vertAlign w:val="superscript"/>
              </w:rPr>
              <w:t>(4)</w:t>
            </w:r>
          </w:p>
        </w:tc>
        <w:tc>
          <w:tcPr>
            <w:tcW w:w="1060" w:type="dxa"/>
            <w:vAlign w:val="bottom"/>
          </w:tcPr>
          <w:p>
            <w:pPr>
              <w:spacing w:after="0"/>
              <w:rPr>
                <w:sz w:val="17"/>
                <w:szCs w:val="17"/>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9"/>
              </w:rPr>
              <w:t>1,239,289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1,110,568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128,721</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0.658</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0.676</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(0.018)</w:t>
            </w:r>
          </w:p>
        </w:tc>
      </w:tr>
    </w:tbl>
    <w:p>
      <w:pPr>
        <w:spacing w:after="0" w:line="200" w:lineRule="exact"/>
        <w:rPr>
          <w:sz w:val="20"/>
          <w:szCs w:val="20"/>
          <w:color w:val="auto"/>
        </w:rPr>
      </w:pPr>
    </w:p>
    <w:p>
      <w:pPr>
        <w:spacing w:after="0" w:line="307" w:lineRule="exact"/>
        <w:rPr>
          <w:sz w:val="20"/>
          <w:szCs w:val="20"/>
          <w:color w:val="auto"/>
        </w:rPr>
      </w:pPr>
    </w:p>
    <w:p>
      <w:pPr>
        <w:ind w:left="300" w:hanging="295"/>
        <w:spacing w:after="0"/>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1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Our Australian segment reported revenues in the six months ended June 30, 2024 that were $40.8 million, or 26%, higher than the six months ended June 30, 2023. The weakening of the average exchange rate for Australian dollars relative to the U.S. dollar by 2.7% in the six months ended June 30, 2024 compared to the six months ended June 30, 2023 resulted in a $5.1 million period-over-period decrease in revenues. On a constant currency basis, the Australian segment experienced a 29% period-over-period increase in revenues. Excluding the impact of the weaker Australian exchange rate, the increase in the Australian segment was driven by increased activity at our Civeo owned villages in the Bowen Basin and new business in our integrated services villages in Western Australia. Billed rooms in Civeo owned villages were up 11.6% in the first half of 2024 due to increased activity in both the Bowen Basin and Gunnedah Basin coupled with recent contract renewals and extensions. Excluding the weakening Australian dollar, average daily rates for Civeo owned villages were up 4.4% year-over-year.</w:t>
      </w:r>
    </w:p>
    <w:p>
      <w:pPr>
        <w:spacing w:after="0" w:line="200" w:lineRule="exact"/>
        <w:rPr>
          <w:sz w:val="20"/>
          <w:szCs w:val="20"/>
          <w:color w:val="auto"/>
        </w:rPr>
      </w:pPr>
    </w:p>
    <w:p>
      <w:pPr>
        <w:spacing w:after="0" w:line="21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$30.3 million, or 26%, in the six months ended June 30, 2024 compared to the six months ended June 30, 2023. The weakening of the average exchange rate for Australian dollars relative to the U.S. dollar by 2.7% in the six months ended June 30, 2024 compared to the six months ended June 30, 2023 resulted in a $3.7 million period-over-period decrease in cost of sales and services. Excluding the impact of the weaker Australian exchange rate, the increase in the Australian segment was largely driven by increased occupancy at our Civeo owned villages in the Bowen Basin and new business in our integrated services villages in Western Australia and the associated overhead costs.</w:t>
      </w:r>
    </w:p>
    <w:p>
      <w:pPr>
        <w:spacing w:after="0" w:line="19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26.6% in the six months ended June 30, 2024 from 26.8% in the six months ended June 30, 2023. This was primarily driven by an increased relative revenue contribution from our integrated services business, which has a service-only business model and therefore generates lower overall gross margins than our accommodation business. The reduced gross margin was partially offset by improved profitability across our integrated services villages in the six months ended June 30, 2024.</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and purchasing or leasing land, to pay dividends, to repurchase common shares and for general working capital needs. In addition, capital has been used to repay debt and fund strategic business acquisitions. Historically, our primary sources of funds have been available cash, cash flow from operations, borrowings under our Credit Agreement and proceeds from equity issuances. In the future, capital may be required to move lodges from one site to another, and we may seek to access the debt and equity capital markets from time to time to raise additional capital, increase liquidity, fund acquisitions or refinance debt.</w:t>
      </w:r>
    </w:p>
    <w:p>
      <w:pPr>
        <w:spacing w:after="0" w:line="200" w:lineRule="exact"/>
        <w:rPr>
          <w:sz w:val="20"/>
          <w:szCs w:val="20"/>
          <w:color w:val="auto"/>
        </w:rPr>
      </w:pP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June 30, 2024 and December 31, 2023 (in thousands):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189"/>
        </w:trPr>
        <w:tc>
          <w:tcPr>
            <w:tcW w:w="7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(65,554)</w:t>
            </w:r>
          </w:p>
        </w:tc>
      </w:tr>
      <w:tr>
        <w:trPr>
          <w:trHeight w:val="203"/>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182"/>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260" w:type="dxa"/>
            <w:vAlign w:val="bottom"/>
          </w:tcPr>
          <w:p>
            <w:pPr>
              <w:spacing w:after="0"/>
              <w:rPr>
                <w:sz w:val="15"/>
                <w:szCs w:val="15"/>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151,534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133,093</w:t>
            </w:r>
          </w:p>
        </w:tc>
      </w:tr>
      <w:tr>
        <w:trPr>
          <w:trHeight w:val="19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158,969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136,416</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Cash totaling $38.3 million was provided by operations during the six months ended June 30, 2024, compared to $19.8 million provided by operations during the six months ended June 30, 2023. During the six months ended June 30, 2024 and 2023, $2.4 million was provided by working capital and $25.2 million was used in working capital, respectively. The year-over-year increase in cash provided by working capital in 2024 compared to 2023 is largely due to the collection of holdbacks in Canada related to the completion of mobile asset pipeline projects during the six months ended June 30, 2024 compared to the six months ended June 30, 2023.</w:t>
      </w:r>
    </w:p>
    <w:p>
      <w:pPr>
        <w:spacing w:after="0" w:line="19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Cash was used in investing activities during the six months ended June 30, 2024 in the amount of $0.1 million, compared to cash used in investing activities during the six months ended June 30, 2023 in the amount of $9.0 million. The decrease in cash used in investing activities was primarily due to higher proceeds from the sale of property, plant and equipment. We received net proceeds from the sale of property, plant and equipment of $10.6 million during the six months ended June 30, 2024 related to the sale of our McClelland Lake Lodge accommodation assets in Canada and the sale of our Louisiana land in the U.S., compared to $2.7 million during the six months ended June 30, 2023 primarily related to the sale of our Louisiana accommodation assets in the U.S. Capital expenditures totaled $10.9 million and $11.7 million during the six months ended June 30, 2024 and 2023, respectively. Capital expenditures in both periods were primarily related to maintenance. In addition, our 2024 capital expenditures included approximately $2.9 million related to customer-funded infrastructure upgrades in Australia.</w:t>
      </w:r>
    </w:p>
    <w:p>
      <w:pPr>
        <w:spacing w:after="0" w:line="200" w:lineRule="exact"/>
        <w:rPr>
          <w:sz w:val="20"/>
          <w:szCs w:val="20"/>
          <w:color w:val="auto"/>
        </w:rPr>
      </w:pPr>
    </w:p>
    <w:p>
      <w:pPr>
        <w:spacing w:after="0" w:line="214"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2024 to be in the range of $30 million to $35 million, which excludes any unannounced and uncommitted projects, the spending for which is contingent on obtaining customer contracts or commitments. Whether planned expenditures will actually be spent in 2024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and return of capital to shareholders. We continue to monitor the global economy, commodity prices, demand for crude oil, met coal, LNG and iron ore, inflation and the resultant impact on the capital spending plans of our customers in order to plan our business activities, and we may adjust our capital expenditure plans in the future.</w:t>
      </w:r>
    </w:p>
    <w:p>
      <w:pPr>
        <w:spacing w:after="0" w:line="17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Net cash of $34.1 million was used in financing activities during the six months ended June 30, 2024 primarily due to net repayments under our revolving credit facilities of $15.8 million, repurchases of our common shares of $9.9 million, dividend payments of $7.4 million and payments to settle tax obligations on vested shares under our share-based compensation plans of $1.1 million. Net cash of $6.9 million was used in financing activities during the six months ended June 30, 2023 primarily due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1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to term loan repayments of $14.9 million and repurchases of our common shares of $8.0 million, partially offset by net borrowings under our revolving credit facilities of $16.0 million.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six months ended June 30, 2024 (in thousands):</w:t>
      </w:r>
    </w:p>
    <w:p>
      <w:pPr>
        <w:sectPr>
          <w:pgSz w:w="11900" w:h="16838" w:orient="portrait"/>
          <w:cols w:equalWidth="0" w:num="1">
            <w:col w:w="11240"/>
          </w:cols>
          <w:pgMar w:left="320" w:top="1440" w:right="339" w:bottom="1440" w:gutter="0" w:footer="0" w:header="0"/>
        </w:sectPr>
      </w:pPr>
    </w:p>
    <w:p>
      <w:pPr>
        <w:spacing w:after="0" w:line="33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-95885</wp:posOffset>
            </wp:positionV>
            <wp:extent cx="4024630" cy="124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Borrowings under revolving credit facilities</w:t>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Repayments of 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-88265</wp:posOffset>
            </wp:positionV>
            <wp:extent cx="4024630" cy="124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24630" cy="124460"/>
                    </a:xfrm>
                    <a:prstGeom prst="rect">
                      <a:avLst/>
                    </a:prstGeom>
                    <a:noFill/>
                  </pic:spPr>
                </pic:pic>
              </a:graphicData>
            </a:graphic>
          </wp:anchor>
        </w:drawing>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27940</wp:posOffset>
            </wp:positionV>
            <wp:extent cx="4024630" cy="149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24630" cy="149225"/>
                    </a:xfrm>
                    <a:prstGeom prst="rect">
                      <a:avLst/>
                    </a:prstGeom>
                    <a:noFill/>
                  </pic:spPr>
                </pic:pic>
              </a:graphicData>
            </a:graphic>
          </wp:anchor>
        </w:drawing>
      </w:r>
    </w:p>
    <w:p>
      <w:pPr>
        <w:spacing w:after="0" w:line="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June 30, 2024</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902" w:hanging="902"/>
        <w:spacing w:after="0"/>
        <w:tabs>
          <w:tab w:leader="none" w:pos="90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65,554</w:t>
      </w:r>
    </w:p>
    <w:p>
      <w:pPr>
        <w:spacing w:after="0" w:line="35" w:lineRule="exact"/>
        <w:rPr>
          <w:rFonts w:ascii="Times New Roman" w:cs="Times New Roman" w:eastAsia="Times New Roman" w:hAnsi="Times New Roman"/>
          <w:sz w:val="14"/>
          <w:szCs w:val="14"/>
          <w:color w:val="auto"/>
        </w:rPr>
      </w:pPr>
    </w:p>
    <w:p>
      <w:pPr>
        <w:ind w:left="84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120,816</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(136,641)</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(2,240)</w:t>
      </w:r>
    </w:p>
    <w:p>
      <w:pPr>
        <w:spacing w:after="0" w:line="48" w:lineRule="exact"/>
        <w:rPr>
          <w:sz w:val="20"/>
          <w:szCs w:val="20"/>
          <w:color w:val="auto"/>
        </w:rPr>
      </w:pPr>
    </w:p>
    <w:p>
      <w:pPr>
        <w:ind w:left="902" w:hanging="902"/>
        <w:spacing w:after="0"/>
        <w:tabs>
          <w:tab w:leader="none" w:pos="90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8712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718" w:space="720"/>
            <w:col w:w="3802"/>
          </w:cols>
          <w:pgMar w:left="320" w:top="1440" w:right="339" w:bottom="1440" w:gutter="0" w:footer="0" w:header="0"/>
          <w:type w:val="continuous"/>
        </w:sectPr>
      </w:pPr>
    </w:p>
    <w:p>
      <w:pPr>
        <w:spacing w:after="0" w:line="153"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0" w:lineRule="exact"/>
        <w:rPr>
          <w:sz w:val="20"/>
          <w:szCs w:val="20"/>
          <w:color w:val="auto"/>
        </w:rPr>
      </w:pPr>
    </w:p>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In August 2023, our Board of Directors (Board) authorized a common share repurchase program to repurchase up to 5.0% of our total common shares which are issued and outstanding, or 742,134 common shares, over a twelve month period. In addition, our Board declared quarterly dividends of $0.25 per common share to shareholders in the first and second quarters of 2024. The dividend is an eligible dividend pursuant to the Income Tax Act (Canada). See Note 12 – Share Repurchase Programs and Dividends to the notes to the unaudited consolidated financial statements included in Item 1 of this quarterly report for further discussion.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5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As of June 30, 2024, our Credit Agreement (as then amended to date, the Credit Agreement) provided for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 C$100.0 million term loan facility provided under the Credit Agreement was fully repaid on December 31, 2023.</w:t>
      </w:r>
    </w:p>
    <w:p>
      <w:pPr>
        <w:spacing w:after="0" w:line="19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June 30, 2024, we had outstanding letters of credit of $0.3 million under the U.S. facility, zero under the Australian facility and $0.7 million under the Canadian facility. We also had outstanding bank guarantees of A$1.6 million under the Australian facility.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8 – Debt to the notes to the unaudited consolidated financial statements included in Item 1 of this quarterly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intend to pay regular quarterly dividends on our common shares, with all future dividend payments subject to quarterly review and approval by our Board. 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2023.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June 30, 2024, we had $47.5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$0.5 million annually, based on our floating-rate debt obligations and interest rates in effect as of June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Canadian dollar and Australian dollar functional currency net assets total approximately C$215 million and A$203 million, respectively, at June 30, 2024. We use a sensitivity analysis model to measure the impact of a 10% adverse movement of foreign currency exchange rates against the U.S. dollar. A hypothetical 10% adverse change in the value of the Canadian dollar and Australian dollar relative to the U.S. dollar as of June 30, 2024 would result in translation adjustments of approximately $22 million and $20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Interim Chief Financial Officer, as appropriate, to allow timely decisions regarding required disclosure and is recorded, processed, summarized and reported within the time periods specified in the rules and forms of the SEC. Based upon that evaluation, our Chief Executive Officer and Interim Chief Financial Officer concluded that our disclosure controls and procedures were effective as of June 30, 2024, at the reasonable assurance level.</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three months ended June 30, 2024,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7"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For additional information about our risk factors, you should carefully read the section entitled "Risk Factors” included in our Annual Report on Form 10-K for the year ended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June 30, 2024.</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1940" w:type="dxa"/>
            <w:vAlign w:val="bottom"/>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6"/>
              </w:rPr>
              <w:t>Maximum number of</w:t>
            </w: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0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7"/>
              </w:rPr>
              <w:t>Average Price Paid</w:t>
            </w:r>
          </w:p>
        </w:tc>
        <w:tc>
          <w:tcPr>
            <w:tcW w:w="2020" w:type="dxa"/>
            <w:vAlign w:val="bottom"/>
          </w:tcPr>
          <w:p>
            <w:pPr>
              <w:jc w:val="center"/>
              <w:ind w:left="82"/>
              <w:spacing w:after="0" w:line="157"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940" w:type="dxa"/>
            <w:vAlign w:val="bottom"/>
          </w:tcPr>
          <w:p>
            <w:pPr>
              <w:jc w:val="center"/>
              <w:ind w:right="2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shares that may be</w:t>
            </w: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020" w:type="dxa"/>
            <w:vAlign w:val="bottom"/>
          </w:tcPr>
          <w:p>
            <w:pPr>
              <w:jc w:val="center"/>
              <w:ind w:left="82"/>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1940" w:type="dxa"/>
            <w:vAlign w:val="bottom"/>
          </w:tcPr>
          <w:p>
            <w:pPr>
              <w:jc w:val="center"/>
              <w:ind w:right="242"/>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0" w:type="dxa"/>
            <w:vAlign w:val="bottom"/>
          </w:tcPr>
          <w:p>
            <w:pPr>
              <w:spacing w:after="0"/>
              <w:rPr>
                <w:sz w:val="1"/>
                <w:szCs w:val="1"/>
                <w:color w:val="auto"/>
              </w:rPr>
            </w:pPr>
          </w:p>
        </w:tc>
      </w:tr>
      <w:tr>
        <w:trPr>
          <w:trHeight w:val="207"/>
        </w:trPr>
        <w:tc>
          <w:tcPr>
            <w:tcW w:w="27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2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or programs</w:t>
            </w:r>
          </w:p>
        </w:tc>
        <w:tc>
          <w:tcPr>
            <w:tcW w:w="1940" w:type="dxa"/>
            <w:vAlign w:val="bottom"/>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6"/>
              </w:rPr>
              <w:t>plans or programs</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2024 - April 30, 2024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23.58</w:t>
            </w:r>
          </w:p>
        </w:tc>
        <w:tc>
          <w:tcPr>
            <w:tcW w:w="2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21,400</w:t>
            </w:r>
          </w:p>
        </w:tc>
        <w:tc>
          <w:tcPr>
            <w:tcW w:w="19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425,073</w:t>
            </w: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2024 - May 31, 2024</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96,060</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24.48</w:t>
            </w:r>
          </w:p>
        </w:tc>
        <w:tc>
          <w:tcPr>
            <w:tcW w:w="2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96,060</w:t>
            </w:r>
          </w:p>
        </w:tc>
        <w:tc>
          <w:tcPr>
            <w:tcW w:w="19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329,013</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2024 - June 30, 2024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156,636</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24.13</w:t>
            </w:r>
          </w:p>
        </w:tc>
        <w:tc>
          <w:tcPr>
            <w:tcW w:w="2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156,636</w:t>
            </w:r>
          </w:p>
        </w:tc>
        <w:tc>
          <w:tcPr>
            <w:tcW w:w="19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172,377</w:t>
            </w:r>
          </w:p>
        </w:tc>
        <w:tc>
          <w:tcPr>
            <w:tcW w:w="0" w:type="dxa"/>
            <w:vAlign w:val="bottom"/>
          </w:tcPr>
          <w:p>
            <w:pPr>
              <w:spacing w:after="0"/>
              <w:rPr>
                <w:sz w:val="1"/>
                <w:szCs w:val="1"/>
                <w:color w:val="auto"/>
              </w:rPr>
            </w:pPr>
          </w:p>
        </w:tc>
      </w:tr>
      <w:tr>
        <w:trPr>
          <w:trHeight w:val="20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274,096</w:t>
            </w:r>
          </w:p>
        </w:tc>
        <w:tc>
          <w:tcPr>
            <w:tcW w:w="3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24.21</w:t>
            </w:r>
          </w:p>
        </w:tc>
        <w:tc>
          <w:tcPr>
            <w:tcW w:w="2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274,096</w:t>
            </w:r>
          </w:p>
        </w:tc>
        <w:tc>
          <w:tcPr>
            <w:tcW w:w="19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172,377</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320" w:right="100" w:hanging="315"/>
        <w:spacing w:after="0" w:line="236"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August 2023, our Board of Directors authorized a common share repurchase program, which expires in August 2024, to repurchase up to 5.0% of our total common shares which were issued and outstanding at the time of approval, or 742,134 common shares, over a twelve month period. We repurchased an aggregate of 274,096 of our common shares outstanding for approximately $6.6 million during the three months ended June 30,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3" w:lineRule="exact"/>
        <w:rPr>
          <w:sz w:val="20"/>
          <w:szCs w:val="20"/>
          <w:color w:val="auto"/>
        </w:rPr>
      </w:pPr>
    </w:p>
    <w:p>
      <w:pPr>
        <w:ind w:left="620" w:hanging="459"/>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51" w:lineRule="exact"/>
        <w:rPr>
          <w:sz w:val="20"/>
          <w:szCs w:val="20"/>
          <w:color w:val="auto"/>
        </w:rPr>
      </w:pPr>
    </w:p>
    <w:p>
      <w:pPr>
        <w:ind w:left="460"/>
        <w:spacing w:after="0"/>
        <w:tabs>
          <w:tab w:leader="none" w:pos="5460" w:val="left"/>
        </w:tabs>
        <w:rPr>
          <w:sz w:val="20"/>
          <w:szCs w:val="20"/>
          <w:color w:val="auto"/>
        </w:rPr>
      </w:pPr>
      <w:r>
        <w:rPr>
          <w:rFonts w:ascii="Times New Roman" w:cs="Times New Roman" w:eastAsia="Times New Roman" w:hAnsi="Times New Roman"/>
          <w:sz w:val="17"/>
          <w:szCs w:val="17"/>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8780" w:type="dxa"/>
            <w:vAlign w:val="bottom"/>
            <w:gridSpan w:val="20"/>
          </w:tcPr>
          <w:p>
            <w:pPr>
              <w:ind w:left="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68">
              <w:r>
                <w:rPr>
                  <w:rFonts w:ascii="Times New Roman" w:cs="Times New Roman" w:eastAsia="Times New Roman" w:hAnsi="Times New Roman"/>
                  <w:sz w:val="17"/>
                  <w:szCs w:val="17"/>
                  <w:color w:val="0000FF"/>
                </w:rPr>
                <w:t>Amended and Restated Articles of Civeo Corporation (incorporated herein by reference to Exhibit 3.1 to Current</w:t>
              </w:r>
            </w:hyperlink>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7"/>
          </w:tcPr>
          <w:p>
            <w:pPr>
              <w:spacing w:after="0" w:line="163"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Report on Form 8-K (File No. 001-36246) filed on May 21, 2024).</w:t>
              </w:r>
            </w:hyperlink>
          </w:p>
        </w:tc>
        <w:tc>
          <w:tcPr>
            <w:tcW w:w="32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Second Amendment to Syndicated Facility Agreement, dated effective as of June 28, 2024, among Civeo</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340" w:type="dxa"/>
            <w:vAlign w:val="bottom"/>
            <w:tcBorders>
              <w:top w:val="single" w:sz="8" w:color="0000FF"/>
            </w:tcBorders>
            <w:gridSpan w:val="9"/>
          </w:tcPr>
          <w:p>
            <w:pPr>
              <w:spacing w:after="0" w:line="163" w:lineRule="exact"/>
              <w:rPr>
                <w:sz w:val="20"/>
                <w:szCs w:val="20"/>
                <w:color w:val="auto"/>
              </w:rPr>
            </w:pPr>
            <w:r>
              <w:rPr>
                <w:rFonts w:ascii="Times New Roman" w:cs="Times New Roman" w:eastAsia="Times New Roman" w:hAnsi="Times New Roman"/>
                <w:sz w:val="17"/>
                <w:szCs w:val="17"/>
                <w:color w:val="0000FF"/>
              </w:rPr>
              <w:t>Corporation, Civeo Pty Limited and Civeo Management LLC, as Borrowers, and Royal Bank of Canada,</w:t>
            </w:r>
          </w:p>
        </w:tc>
        <w:tc>
          <w:tcPr>
            <w:tcW w:w="900" w:type="dxa"/>
            <w:vAlign w:val="bottom"/>
            <w:gridSpan w:val="10"/>
          </w:tcPr>
          <w:p>
            <w:pPr>
              <w:ind w:left="20"/>
              <w:spacing w:after="0" w:line="163" w:lineRule="exact"/>
              <w:rPr>
                <w:sz w:val="20"/>
                <w:szCs w:val="20"/>
                <w:color w:val="auto"/>
              </w:rPr>
            </w:pPr>
            <w:r>
              <w:rPr>
                <w:rFonts w:ascii="Times New Roman" w:cs="Times New Roman" w:eastAsia="Times New Roman" w:hAnsi="Times New Roman"/>
                <w:sz w:val="17"/>
                <w:szCs w:val="17"/>
                <w:color w:val="0000FF"/>
              </w:rPr>
              <w:t>as</w:t>
            </w:r>
          </w:p>
        </w:tc>
      </w:tr>
      <w:tr>
        <w:trPr>
          <w:trHeight w:val="150"/>
        </w:trPr>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500" w:type="dxa"/>
            <w:vAlign w:val="bottom"/>
            <w:tcBorders>
              <w:top w:val="single" w:sz="8" w:color="0000FF"/>
            </w:tcBorders>
            <w:gridSpan w:val="10"/>
          </w:tcPr>
          <w:p>
            <w:pPr>
              <w:spacing w:after="0" w:line="150" w:lineRule="exact"/>
              <w:rPr>
                <w:sz w:val="20"/>
                <w:szCs w:val="20"/>
                <w:color w:val="auto"/>
              </w:rPr>
            </w:pPr>
            <w:r>
              <w:rPr>
                <w:rFonts w:ascii="Times New Roman" w:cs="Times New Roman" w:eastAsia="Times New Roman" w:hAnsi="Times New Roman"/>
                <w:sz w:val="17"/>
                <w:szCs w:val="17"/>
                <w:color w:val="0000FF"/>
              </w:rPr>
              <w:t>Canadian administrative agent.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Form of Phantom Unit Agreement under the 2014 Equity Participation Plan of Civeo Corporation used for select</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top w:val="single" w:sz="8" w:color="0000FF"/>
              <w:bottom w:val="single" w:sz="8" w:color="0000FF"/>
            </w:tcBorders>
          </w:tcPr>
          <w:p>
            <w:pPr>
              <w:spacing w:after="0" w:line="163" w:lineRule="exact"/>
              <w:rPr>
                <w:sz w:val="20"/>
                <w:szCs w:val="20"/>
                <w:color w:val="auto"/>
              </w:rPr>
            </w:pPr>
            <w:r>
              <w:rPr>
                <w:rFonts w:ascii="Times New Roman" w:cs="Times New Roman" w:eastAsia="Times New Roman" w:hAnsi="Times New Roman"/>
                <w:sz w:val="17"/>
                <w:szCs w:val="17"/>
                <w:color w:val="0000FF"/>
                <w:w w:val="99"/>
              </w:rPr>
              <w:t>officers.</w:t>
            </w:r>
          </w:p>
        </w:tc>
        <w:tc>
          <w:tcPr>
            <w:tcW w:w="7300" w:type="dxa"/>
            <w:vAlign w:val="bottom"/>
            <w:tcBorders>
              <w:top w:val="single" w:sz="8" w:color="0000FF"/>
            </w:tcBorders>
            <w:gridSpan w:val="13"/>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Form of Director Restricted Stock Agreement under the 2014 Equity Participation Plan of Civeo Corporation.</w:t>
            </w: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Form of Director Deferred Share Agreement under the 2014 Equity Participation Plan of Civeo Corporation -</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FF"/>
              </w:rPr>
              <w:t>Canada only.</w:t>
            </w:r>
          </w:p>
        </w:tc>
        <w:tc>
          <w:tcPr>
            <w:tcW w:w="6740" w:type="dxa"/>
            <w:vAlign w:val="bottom"/>
            <w:tcBorders>
              <w:top w:val="single" w:sz="8" w:color="0000FF"/>
            </w:tcBorders>
            <w:gridSpan w:val="10"/>
          </w:tcPr>
          <w:p>
            <w:pPr>
              <w:spacing w:after="0"/>
              <w:rPr>
                <w:sz w:val="14"/>
                <w:szCs w:val="14"/>
                <w:color w:val="auto"/>
              </w:rPr>
            </w:pPr>
          </w:p>
        </w:tc>
        <w:tc>
          <w:tcPr>
            <w:tcW w:w="5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Form of Director Deferred Share Agreement under the 2014 Equity Participation Plan of Civeo Corporation.</w:t>
            </w: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Borders>
              <w:top w:val="single" w:sz="8" w:color="0000FF"/>
            </w:tcBorders>
            <w:gridSpan w:val="15"/>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Interim Chief Financial Officer of Civeo Corporation pursuant to Rules 13a-14(a) or 15d-14(a) under</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tcBorders>
              <w:top w:val="single" w:sz="8" w:color="0000FF"/>
              <w:bottom w:val="single" w:sz="8" w:color="0000FF"/>
            </w:tcBorders>
            <w:gridSpan w:val="5"/>
          </w:tcPr>
          <w:p>
            <w:pPr>
              <w:spacing w:after="0" w:line="163" w:lineRule="exact"/>
              <w:rPr>
                <w:sz w:val="20"/>
                <w:szCs w:val="20"/>
                <w:color w:val="auto"/>
              </w:rPr>
            </w:pPr>
            <w:r>
              <w:rPr>
                <w:rFonts w:ascii="Times New Roman" w:cs="Times New Roman" w:eastAsia="Times New Roman" w:hAnsi="Times New Roman"/>
                <w:sz w:val="17"/>
                <w:szCs w:val="17"/>
                <w:color w:val="0000FF"/>
              </w:rPr>
              <w:t>the Securities Exchange Act of 1934.</w:t>
            </w:r>
          </w:p>
        </w:tc>
        <w:tc>
          <w:tcPr>
            <w:tcW w:w="56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20" w:type="dxa"/>
            <w:vAlign w:val="bottom"/>
            <w:tcBorders>
              <w:top w:val="single" w:sz="8" w:color="0000FF"/>
            </w:tcBorders>
            <w:gridSpan w:val="18"/>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Interim Chief Financial Officer of Civeo Corporation pursuant to Rules 13a-14(b) or 15d-14(b)</w:t>
            </w:r>
          </w:p>
        </w:tc>
      </w:tr>
      <w:tr>
        <w:trPr>
          <w:trHeight w:val="163"/>
        </w:trPr>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80" w:type="dxa"/>
            <w:vAlign w:val="bottom"/>
            <w:tcBorders>
              <w:top w:val="single" w:sz="8" w:color="0000FF"/>
            </w:tcBorders>
            <w:gridSpan w:val="16"/>
          </w:tcPr>
          <w:p>
            <w:pPr>
              <w:spacing w:after="0" w:line="163" w:lineRule="exact"/>
              <w:rPr>
                <w:sz w:val="20"/>
                <w:szCs w:val="20"/>
                <w:color w:val="auto"/>
              </w:rPr>
            </w:pPr>
            <w:r>
              <w:rPr>
                <w:rFonts w:ascii="Times New Roman" w:cs="Times New Roman" w:eastAsia="Times New Roman" w:hAnsi="Times New Roman"/>
                <w:sz w:val="17"/>
                <w:szCs w:val="17"/>
                <w:color w:val="0000FF"/>
              </w:rPr>
              <w:t>under the Securities Exchange Act of 1934 and 18 U.S.C. Section 1350.</w:t>
            </w:r>
          </w:p>
        </w:tc>
        <w:tc>
          <w:tcPr>
            <w:tcW w:w="6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20" w:type="dxa"/>
            <w:vAlign w:val="bottom"/>
            <w:gridSpan w:val="8"/>
            <w:shd w:val="clear" w:color="auto" w:fill="0000FF"/>
          </w:tcPr>
          <w:p>
            <w:pPr>
              <w:spacing w:after="0" w:line="20" w:lineRule="exact"/>
              <w:rPr>
                <w:sz w:val="1"/>
                <w:szCs w:val="1"/>
                <w:color w:val="auto"/>
              </w:rPr>
            </w:pPr>
          </w:p>
        </w:tc>
        <w:tc>
          <w:tcPr>
            <w:tcW w:w="3220" w:type="dxa"/>
            <w:vAlign w:val="bottom"/>
            <w:gridSpan w:val="11"/>
          </w:tcPr>
          <w:p>
            <w:pPr>
              <w:spacing w:after="0" w:line="20" w:lineRule="exact"/>
              <w:rPr>
                <w:sz w:val="1"/>
                <w:szCs w:val="1"/>
                <w:color w:val="auto"/>
              </w:rPr>
            </w:pPr>
          </w:p>
        </w:tc>
      </w:tr>
      <w:tr>
        <w:trPr>
          <w:trHeight w:val="419"/>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w:t>
            </w:r>
          </w:p>
        </w:tc>
      </w:tr>
      <w:tr>
        <w:trPr>
          <w:trHeight w:val="227"/>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444"/>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8780" w:type="dxa"/>
            <w:vAlign w:val="bottom"/>
            <w:gridSpan w:val="20"/>
          </w:tcPr>
          <w:p>
            <w:pPr>
              <w:ind w:left="20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43" w:lineRule="exact"/>
        <w:rPr>
          <w:sz w:val="20"/>
          <w:szCs w:val="20"/>
          <w:color w:val="auto"/>
        </w:rPr>
      </w:pPr>
    </w:p>
    <w:p>
      <w:pPr>
        <w:ind w:left="1480" w:hanging="1144"/>
        <w:spacing w:after="0"/>
        <w:tabs>
          <w:tab w:leader="none" w:pos="14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97"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52"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53" w:lineRule="exact"/>
        <w:rPr>
          <w:sz w:val="20"/>
          <w:szCs w:val="20"/>
          <w:color w:val="auto"/>
        </w:rPr>
      </w:pPr>
    </w:p>
    <w:p>
      <w:pPr>
        <w:ind w:left="420" w:hanging="398"/>
        <w:spacing w:after="0"/>
        <w:tabs>
          <w:tab w:leader="none" w:pos="4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and compensatory plans and arrangements.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36" w:right="1440"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7" w:name="page38"/>
    <w:bookmarkEnd w:id="37"/>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51"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July 30, 2024</w:t>
      </w:r>
      <w:r>
        <w:rPr>
          <w:sz w:val="20"/>
          <w:szCs w:val="20"/>
          <w:color w:val="auto"/>
        </w:rPr>
        <w:tab/>
      </w:r>
      <w:r>
        <w:rPr>
          <w:rFonts w:ascii="Times New Roman" w:cs="Times New Roman" w:eastAsia="Times New Roman" w:hAnsi="Times New Roman"/>
          <w:sz w:val="17"/>
          <w:szCs w:val="17"/>
          <w:b w:val="1"/>
          <w:bCs w:val="1"/>
          <w:color w:val="auto"/>
        </w:rPr>
        <w:t>By /s/ Barclay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5913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91310" cy="825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Barclay Brewer</w:t>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Interim Chief Financial Officer (Duly Authorized Officer and Principal</w:t>
      </w:r>
    </w:p>
    <w:p>
      <w:pPr>
        <w:ind w:left="5460"/>
        <w:spacing w:after="0"/>
        <w:rPr>
          <w:sz w:val="20"/>
          <w:szCs w:val="20"/>
          <w:color w:val="auto"/>
        </w:rPr>
      </w:pPr>
      <w:r>
        <w:rPr>
          <w:rFonts w:ascii="Times New Roman" w:cs="Times New Roman" w:eastAsia="Times New Roman" w:hAnsi="Times New Roman"/>
          <w:sz w:val="17"/>
          <w:szCs w:val="17"/>
          <w:b w:val="1"/>
          <w:b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9"/>
          <w:szCs w:val="19"/>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SECOND AMENDMENT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SYNDICATED FACILITY AGREEMENT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effective as of</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June 28, 2024</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among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CIVEO CORPORATION,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CIVEO PTY LIMITED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CIVEO MANAGEMENT LLC,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Borrowers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ROYAL BANK OF CANADA,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Canadian Administrative Agent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SECOND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SYNDICATED FACILITY AGREEMENT</w:t>
      </w:r>
    </w:p>
    <w:p>
      <w:pPr>
        <w:spacing w:after="0" w:line="204" w:lineRule="exact"/>
        <w:rPr>
          <w:sz w:val="20"/>
          <w:szCs w:val="20"/>
          <w:color w:val="auto"/>
        </w:rPr>
      </w:pPr>
    </w:p>
    <w:p>
      <w:pPr>
        <w:jc w:val="both"/>
        <w:ind w:firstLine="245"/>
        <w:spacing w:after="0" w:line="260" w:lineRule="auto"/>
        <w:rPr>
          <w:sz w:val="20"/>
          <w:szCs w:val="20"/>
          <w:color w:val="auto"/>
        </w:rPr>
      </w:pPr>
      <w:r>
        <w:rPr>
          <w:rFonts w:ascii="Times New Roman" w:cs="Times New Roman" w:eastAsia="Times New Roman" w:hAnsi="Times New Roman"/>
          <w:sz w:val="19"/>
          <w:szCs w:val="19"/>
          <w:color w:val="auto"/>
        </w:rPr>
        <w:t>THIS SECOND AMENDMENT TO SYNDICATED FACILITY AGREEMENT (this “</w:t>
      </w:r>
      <w:r>
        <w:rPr>
          <w:rFonts w:ascii="Times New Roman" w:cs="Times New Roman" w:eastAsia="Times New Roman" w:hAnsi="Times New Roman"/>
          <w:sz w:val="19"/>
          <w:szCs w:val="19"/>
          <w:u w:val="single" w:color="auto"/>
          <w:color w:val="auto"/>
        </w:rPr>
        <w:t>Second Amendment</w:t>
      </w:r>
      <w:r>
        <w:rPr>
          <w:rFonts w:ascii="Times New Roman" w:cs="Times New Roman" w:eastAsia="Times New Roman" w:hAnsi="Times New Roman"/>
          <w:sz w:val="19"/>
          <w:szCs w:val="19"/>
          <w:color w:val="auto"/>
        </w:rPr>
        <w:t>”), dated effective as of June 28, 2024, is among CIVEO CORPORATION, a corporation incorporated under the laws of the Province of British Columbia (the “</w:t>
      </w:r>
      <w:r>
        <w:rPr>
          <w:rFonts w:ascii="Times New Roman" w:cs="Times New Roman" w:eastAsia="Times New Roman" w:hAnsi="Times New Roman"/>
          <w:sz w:val="19"/>
          <w:szCs w:val="19"/>
          <w:u w:val="single" w:color="auto"/>
          <w:color w:val="auto"/>
        </w:rPr>
        <w:t>Parent Borrower</w:t>
      </w:r>
      <w:r>
        <w:rPr>
          <w:rFonts w:ascii="Times New Roman" w:cs="Times New Roman" w:eastAsia="Times New Roman" w:hAnsi="Times New Roman"/>
          <w:sz w:val="19"/>
          <w:szCs w:val="19"/>
          <w:color w:val="auto"/>
        </w:rPr>
        <w:t>”), CIVEO MANAGEMENT LLC, a Delaware limited liability company (the “</w:t>
      </w:r>
      <w:r>
        <w:rPr>
          <w:rFonts w:ascii="Times New Roman" w:cs="Times New Roman" w:eastAsia="Times New Roman" w:hAnsi="Times New Roman"/>
          <w:sz w:val="19"/>
          <w:szCs w:val="19"/>
          <w:u w:val="single" w:color="auto"/>
          <w:color w:val="auto"/>
        </w:rPr>
        <w:t>U.S. Borrower</w:t>
      </w:r>
      <w:r>
        <w:rPr>
          <w:rFonts w:ascii="Times New Roman" w:cs="Times New Roman" w:eastAsia="Times New Roman" w:hAnsi="Times New Roman"/>
          <w:sz w:val="19"/>
          <w:szCs w:val="19"/>
          <w:color w:val="auto"/>
        </w:rPr>
        <w:t>”), CIVEO PTY LIMITED ACN 003 657 510, an Australian proprietary limited company (the “</w:t>
      </w:r>
      <w:r>
        <w:rPr>
          <w:rFonts w:ascii="Times New Roman" w:cs="Times New Roman" w:eastAsia="Times New Roman" w:hAnsi="Times New Roman"/>
          <w:sz w:val="19"/>
          <w:szCs w:val="19"/>
          <w:u w:val="single" w:color="auto"/>
          <w:color w:val="auto"/>
        </w:rPr>
        <w:t>Australian Borrower</w:t>
      </w:r>
      <w:r>
        <w:rPr>
          <w:rFonts w:ascii="Times New Roman" w:cs="Times New Roman" w:eastAsia="Times New Roman" w:hAnsi="Times New Roman"/>
          <w:sz w:val="19"/>
          <w:szCs w:val="19"/>
          <w:color w:val="auto"/>
        </w:rPr>
        <w:t>” and, together with the Parent Borrower and the U.S. Borrower,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ROYAL BANK OF CANADA, as administrative agent for the Canadian Lenders (the “</w:t>
      </w:r>
      <w:r>
        <w:rPr>
          <w:rFonts w:ascii="Times New Roman" w:cs="Times New Roman" w:eastAsia="Times New Roman" w:hAnsi="Times New Roman"/>
          <w:sz w:val="19"/>
          <w:szCs w:val="19"/>
          <w:u w:val="single" w:color="auto"/>
          <w:color w:val="auto"/>
        </w:rPr>
        <w:t>Canadian Administrative Agent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 E C I T A L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71" w:right="339" w:bottom="1440" w:gutter="0" w:footer="0" w:header="0"/>
        </w:sectPr>
      </w:pPr>
    </w:p>
    <w:bookmarkStart w:id="39" w:name="page40"/>
    <w:bookmarkEnd w:id="39"/>
    <w:p>
      <w:pPr>
        <w:jc w:val="both"/>
        <w:ind w:firstLine="632"/>
        <w:spacing w:after="0" w:line="259" w:lineRule="auto"/>
        <w:tabs>
          <w:tab w:leader="none" w:pos="101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the Agents and the Lenders are parties to that certain Syndicated Facility Agreement, dated as of September 8, 2021, (as amended by that certain First Amendment to Syndicated Facility Agreement dated as of March 31, 2023, that certain Limited Waiver to Syndicated Facility Agreement dated as of August 4, 2023 and as otherwise amended, amended and restated, supplemented or otherwise modified prior to the date hereof,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and, as amended by this Second Amendment and as may be further amended, amended and restated supplemented or otherwise modified from time to time, the “</w:t>
      </w:r>
      <w:r>
        <w:rPr>
          <w:rFonts w:ascii="Times New Roman" w:cs="Times New Roman" w:eastAsia="Times New Roman" w:hAnsi="Times New Roman"/>
          <w:sz w:val="19"/>
          <w:szCs w:val="19"/>
          <w:u w:val="single" w:color="auto"/>
          <w:color w:val="auto"/>
        </w:rPr>
        <w:t>Amended Credit Agreement</w:t>
      </w:r>
      <w:r>
        <w:rPr>
          <w:rFonts w:ascii="Times New Roman" w:cs="Times New Roman" w:eastAsia="Times New Roman" w:hAnsi="Times New Roman"/>
          <w:sz w:val="19"/>
          <w:szCs w:val="19"/>
          <w:color w:val="auto"/>
        </w:rPr>
        <w:t>”), pursuant to which the Lenders have made certain loans to and other extensions of credit on behalf of the Borrowers.</w:t>
      </w:r>
    </w:p>
    <w:p>
      <w:pPr>
        <w:spacing w:after="0" w:line="179" w:lineRule="exact"/>
        <w:rPr>
          <w:rFonts w:ascii="Times New Roman" w:cs="Times New Roman" w:eastAsia="Times New Roman" w:hAnsi="Times New Roman"/>
          <w:sz w:val="19"/>
          <w:szCs w:val="19"/>
          <w:color w:val="auto"/>
        </w:rPr>
      </w:pPr>
    </w:p>
    <w:p>
      <w:pPr>
        <w:jc w:val="both"/>
        <w:ind w:firstLine="632"/>
        <w:spacing w:after="0" w:line="285" w:lineRule="auto"/>
        <w:tabs>
          <w:tab w:leader="none" w:pos="100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and the Canadian Administrative Agent have agreed to amend certain provisions of the Credit Agreement in order to implement </w:t>
      </w:r>
      <w:r>
        <w:rPr>
          <w:rFonts w:ascii="Times New Roman" w:cs="Times New Roman" w:eastAsia="Times New Roman" w:hAnsi="Times New Roman"/>
          <w:sz w:val="20"/>
          <w:szCs w:val="20"/>
          <w:color w:val="auto"/>
        </w:rPr>
        <w:t>Canadian Conforming Changes in connection with the use, administration, adoption or implementation of a Canadian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Benchmark Replacement </w:t>
      </w:r>
      <w:r>
        <w:rPr>
          <w:rFonts w:ascii="Times New Roman" w:cs="Times New Roman" w:eastAsia="Times New Roman" w:hAnsi="Times New Roman"/>
          <w:sz w:val="19"/>
          <w:szCs w:val="19"/>
          <w:color w:val="auto"/>
        </w:rPr>
        <w:t>as more particularly set forth herein.</w:t>
      </w:r>
    </w:p>
    <w:p>
      <w:pPr>
        <w:spacing w:after="0" w:line="135"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46" w:lineRule="exact"/>
        <w:rPr>
          <w:sz w:val="20"/>
          <w:szCs w:val="20"/>
          <w:color w:val="auto"/>
        </w:rPr>
      </w:pPr>
    </w:p>
    <w:p>
      <w:pPr>
        <w:jc w:val="both"/>
        <w:ind w:firstLine="627"/>
        <w:spacing w:after="0" w:line="268" w:lineRule="auto"/>
        <w:rPr>
          <w:sz w:val="20"/>
          <w:szCs w:val="20"/>
          <w:color w:val="auto"/>
        </w:rPr>
      </w:pPr>
      <w:r>
        <w:rPr>
          <w:rFonts w:ascii="Times New Roman" w:cs="Times New Roman" w:eastAsia="Times New Roman" w:hAnsi="Times New Roman"/>
          <w:sz w:val="19"/>
          <w:szCs w:val="19"/>
          <w:color w:val="010000"/>
        </w:rPr>
        <w:t xml:space="preserve">SECTION 1. </w:t>
      </w:r>
      <w:r>
        <w:rPr>
          <w:rFonts w:ascii="Times New Roman" w:cs="Times New Roman" w:eastAsia="Times New Roman" w:hAnsi="Times New Roman"/>
          <w:sz w:val="19"/>
          <w:szCs w:val="19"/>
          <w:u w:val="single" w:color="auto"/>
          <w:color w:val="000000"/>
        </w:rPr>
        <w:t>Defined Terms</w:t>
      </w:r>
      <w:r>
        <w:rPr>
          <w:rFonts w:ascii="Times New Roman" w:cs="Times New Roman" w:eastAsia="Times New Roman" w:hAnsi="Times New Roman"/>
          <w:sz w:val="19"/>
          <w:szCs w:val="19"/>
          <w:color w:val="000000"/>
        </w:rPr>
        <w:t>. Each capitalized term used herein but not otherwise defined herein has the meaning given such term in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Amended Credit Agreement. Unless otherwise indicated, all article and section references in this First Amendment refer to articles and sections of the Amended Credit Agreement.</w:t>
      </w:r>
    </w:p>
    <w:p>
      <w:pPr>
        <w:spacing w:after="0" w:line="155" w:lineRule="exact"/>
        <w:rPr>
          <w:sz w:val="20"/>
          <w:szCs w:val="20"/>
          <w:color w:val="auto"/>
        </w:rPr>
      </w:pPr>
    </w:p>
    <w:p>
      <w:pPr>
        <w:jc w:val="both"/>
        <w:ind w:firstLine="627"/>
        <w:spacing w:after="0" w:line="296" w:lineRule="auto"/>
        <w:rPr>
          <w:sz w:val="20"/>
          <w:szCs w:val="20"/>
          <w:color w:val="auto"/>
        </w:rPr>
      </w:pPr>
      <w:r>
        <w:rPr>
          <w:rFonts w:ascii="Times New Roman" w:cs="Times New Roman" w:eastAsia="Times New Roman" w:hAnsi="Times New Roman"/>
          <w:sz w:val="19"/>
          <w:szCs w:val="19"/>
          <w:color w:val="010000"/>
        </w:rPr>
        <w:t xml:space="preserve">SECTION 2. </w:t>
      </w:r>
      <w:r>
        <w:rPr>
          <w:rFonts w:ascii="Times New Roman" w:cs="Times New Roman" w:eastAsia="Times New Roman" w:hAnsi="Times New Roman"/>
          <w:sz w:val="19"/>
          <w:szCs w:val="19"/>
          <w:u w:val="single" w:color="auto"/>
          <w:color w:val="000000"/>
        </w:rPr>
        <w:t>Amendments to Credit Agreement</w:t>
      </w:r>
      <w:r>
        <w:rPr>
          <w:rFonts w:ascii="Times New Roman" w:cs="Times New Roman" w:eastAsia="Times New Roman" w:hAnsi="Times New Roman"/>
          <w:sz w:val="19"/>
          <w:szCs w:val="19"/>
          <w:b w:val="1"/>
          <w:bCs w:val="1"/>
          <w:color w:val="000000"/>
        </w:rPr>
        <w: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Subject to the terms and conditions set forth herein, effective as of the Second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Amendment Effective Date (as defined below):</w:t>
      </w:r>
    </w:p>
    <w:p>
      <w:pPr>
        <w:spacing w:after="0" w:line="143" w:lineRule="exact"/>
        <w:rPr>
          <w:sz w:val="20"/>
          <w:szCs w:val="20"/>
          <w:color w:val="auto"/>
        </w:rPr>
      </w:pPr>
    </w:p>
    <w:p>
      <w:pPr>
        <w:jc w:val="both"/>
        <w:ind w:firstLine="632"/>
        <w:spacing w:after="0" w:line="268" w:lineRule="auto"/>
        <w:tabs>
          <w:tab w:leader="none" w:pos="1149" w:val="left"/>
        </w:tabs>
        <w:numPr>
          <w:ilvl w:val="0"/>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Credit Agreement (excluding the Schedules and Exhibits thereto) is hereby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9"/>
          <w:szCs w:val="19"/>
          <w:u w:val="single" w:color="auto"/>
          <w:color w:val="0000FF"/>
        </w:rPr>
        <w:t>double-underlined text</w:t>
      </w:r>
      <w:r>
        <w:rPr>
          <w:rFonts w:ascii="Times New Roman" w:cs="Times New Roman" w:eastAsia="Times New Roman" w:hAnsi="Times New Roman"/>
          <w:sz w:val="19"/>
          <w:szCs w:val="19"/>
          <w:color w:val="auto"/>
        </w:rPr>
        <w:t xml:space="preserve">) as set forth in the document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w:t>
      </w:r>
    </w:p>
    <w:p>
      <w:pPr>
        <w:spacing w:after="0" w:line="191" w:lineRule="exact"/>
        <w:rPr>
          <w:rFonts w:ascii="Times New Roman" w:cs="Times New Roman" w:eastAsia="Times New Roman" w:hAnsi="Times New Roman"/>
          <w:sz w:val="19"/>
          <w:szCs w:val="19"/>
          <w:color w:val="010000"/>
        </w:rPr>
      </w:pPr>
    </w:p>
    <w:p>
      <w:pPr>
        <w:ind w:left="1040" w:hanging="408"/>
        <w:spacing w:after="0"/>
        <w:tabs>
          <w:tab w:leader="none" w:pos="1040" w:val="left"/>
        </w:tabs>
        <w:numPr>
          <w:ilvl w:val="0"/>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 xml:space="preserve">Exhibit B-2 to the Credit Agreement is hereby amended and restated in its entirety in the form of </w:t>
      </w:r>
      <w:r>
        <w:rPr>
          <w:rFonts w:ascii="Times New Roman" w:cs="Times New Roman" w:eastAsia="Times New Roman" w:hAnsi="Times New Roman"/>
          <w:sz w:val="21"/>
          <w:szCs w:val="21"/>
          <w:u w:val="single" w:color="auto"/>
          <w:color w:val="auto"/>
        </w:rPr>
        <w:t>Exhibit B-2</w:t>
      </w:r>
      <w:r>
        <w:rPr>
          <w:rFonts w:ascii="Times New Roman" w:cs="Times New Roman" w:eastAsia="Times New Roman" w:hAnsi="Times New Roman"/>
          <w:sz w:val="21"/>
          <w:szCs w:val="21"/>
          <w:color w:val="auto"/>
        </w:rPr>
        <w:t xml:space="preserve"> hereto;</w:t>
      </w:r>
    </w:p>
    <w:p>
      <w:pPr>
        <w:spacing w:after="0" w:line="228" w:lineRule="exact"/>
        <w:rPr>
          <w:rFonts w:ascii="Times New Roman" w:cs="Times New Roman" w:eastAsia="Times New Roman" w:hAnsi="Times New Roman"/>
          <w:sz w:val="19"/>
          <w:szCs w:val="19"/>
          <w:color w:val="010000"/>
        </w:rPr>
      </w:pPr>
    </w:p>
    <w:p>
      <w:pPr>
        <w:ind w:left="1040" w:hanging="408"/>
        <w:spacing w:after="0"/>
        <w:tabs>
          <w:tab w:leader="none" w:pos="1040" w:val="left"/>
        </w:tabs>
        <w:numPr>
          <w:ilvl w:val="0"/>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 xml:space="preserve">Exhibit B-5 to the Credit Agreement is hereby amended and restated in its entirety in the form of </w:t>
      </w:r>
      <w:r>
        <w:rPr>
          <w:rFonts w:ascii="Times New Roman" w:cs="Times New Roman" w:eastAsia="Times New Roman" w:hAnsi="Times New Roman"/>
          <w:sz w:val="21"/>
          <w:szCs w:val="21"/>
          <w:u w:val="single" w:color="auto"/>
          <w:color w:val="auto"/>
        </w:rPr>
        <w:t>Exhibit B-5</w:t>
      </w:r>
      <w:r>
        <w:rPr>
          <w:rFonts w:ascii="Times New Roman" w:cs="Times New Roman" w:eastAsia="Times New Roman" w:hAnsi="Times New Roman"/>
          <w:sz w:val="21"/>
          <w:szCs w:val="21"/>
          <w:color w:val="auto"/>
        </w:rPr>
        <w:t xml:space="preserve"> hereto; and</w:t>
      </w:r>
    </w:p>
    <w:p>
      <w:pPr>
        <w:spacing w:after="0" w:line="215" w:lineRule="exact"/>
        <w:rPr>
          <w:rFonts w:ascii="Times New Roman" w:cs="Times New Roman" w:eastAsia="Times New Roman" w:hAnsi="Times New Roman"/>
          <w:sz w:val="19"/>
          <w:szCs w:val="19"/>
          <w:color w:val="010000"/>
        </w:rPr>
      </w:pPr>
    </w:p>
    <w:p>
      <w:pPr>
        <w:ind w:left="1040" w:hanging="408"/>
        <w:spacing w:after="0"/>
        <w:tabs>
          <w:tab w:leader="none" w:pos="1040" w:val="left"/>
        </w:tabs>
        <w:numPr>
          <w:ilvl w:val="0"/>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21"/>
          <w:szCs w:val="21"/>
          <w:color w:val="auto"/>
        </w:rPr>
        <w:t xml:space="preserve">Exhibit B-6 to the Credit Agreement is hereby amended and restated in its entirety in the form of </w:t>
      </w:r>
      <w:r>
        <w:rPr>
          <w:rFonts w:ascii="Times New Roman" w:cs="Times New Roman" w:eastAsia="Times New Roman" w:hAnsi="Times New Roman"/>
          <w:sz w:val="21"/>
          <w:szCs w:val="21"/>
          <w:u w:val="single" w:color="auto"/>
          <w:color w:val="auto"/>
        </w:rPr>
        <w:t>Exhibit B-6</w:t>
      </w:r>
      <w:r>
        <w:rPr>
          <w:rFonts w:ascii="Times New Roman" w:cs="Times New Roman" w:eastAsia="Times New Roman" w:hAnsi="Times New Roman"/>
          <w:sz w:val="21"/>
          <w:szCs w:val="21"/>
          <w:color w:val="auto"/>
        </w:rPr>
        <w:t xml:space="preserve"> hereto.</w:t>
      </w:r>
    </w:p>
    <w:p>
      <w:pPr>
        <w:spacing w:after="0" w:line="220" w:lineRule="exact"/>
        <w:rPr>
          <w:sz w:val="20"/>
          <w:szCs w:val="20"/>
          <w:color w:val="auto"/>
        </w:rPr>
      </w:pPr>
    </w:p>
    <w:p>
      <w:pPr>
        <w:jc w:val="both"/>
        <w:ind w:firstLine="627"/>
        <w:spacing w:after="0" w:line="293" w:lineRule="auto"/>
        <w:rPr>
          <w:sz w:val="20"/>
          <w:szCs w:val="20"/>
          <w:color w:val="auto"/>
        </w:rPr>
      </w:pPr>
      <w:r>
        <w:rPr>
          <w:rFonts w:ascii="Times New Roman" w:cs="Times New Roman" w:eastAsia="Times New Roman" w:hAnsi="Times New Roman"/>
          <w:sz w:val="19"/>
          <w:szCs w:val="19"/>
          <w:color w:val="010000"/>
        </w:rPr>
        <w:t xml:space="preserve">SECTION 3. </w:t>
      </w:r>
      <w:r>
        <w:rPr>
          <w:rFonts w:ascii="Times New Roman" w:cs="Times New Roman" w:eastAsia="Times New Roman" w:hAnsi="Times New Roman"/>
          <w:sz w:val="19"/>
          <w:szCs w:val="19"/>
          <w:u w:val="single" w:color="auto"/>
          <w:color w:val="000000"/>
        </w:rPr>
        <w:t>Conditions Precedent</w:t>
      </w:r>
      <w:r>
        <w:rPr>
          <w:rFonts w:ascii="Times New Roman" w:cs="Times New Roman" w:eastAsia="Times New Roman" w:hAnsi="Times New Roman"/>
          <w:sz w:val="19"/>
          <w:szCs w:val="19"/>
          <w:color w:val="000000"/>
        </w:rPr>
        <w:t>. This Second Amendment shall not be deemed to be effective until the date on which each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following conditions is satisfied (or waived in accordance with Section 9.08 of the Credit Agreement) (the “</w:t>
      </w:r>
      <w:r>
        <w:rPr>
          <w:rFonts w:ascii="Times New Roman" w:cs="Times New Roman" w:eastAsia="Times New Roman" w:hAnsi="Times New Roman"/>
          <w:sz w:val="19"/>
          <w:szCs w:val="19"/>
          <w:u w:val="single" w:color="auto"/>
          <w:color w:val="000000"/>
        </w:rPr>
        <w:t>Second Amendment Effective Date</w:t>
      </w:r>
      <w:r>
        <w:rPr>
          <w:rFonts w:ascii="Times New Roman" w:cs="Times New Roman" w:eastAsia="Times New Roman" w:hAnsi="Times New Roman"/>
          <w:sz w:val="19"/>
          <w:szCs w:val="19"/>
          <w:color w:val="000000"/>
        </w:rPr>
        <w:t>”):</w:t>
      </w:r>
    </w:p>
    <w:p>
      <w:pPr>
        <w:spacing w:after="0" w:line="133" w:lineRule="exact"/>
        <w:rPr>
          <w:sz w:val="20"/>
          <w:szCs w:val="20"/>
          <w:color w:val="auto"/>
        </w:rPr>
      </w:pPr>
    </w:p>
    <w:p>
      <w:pPr>
        <w:ind w:firstLine="632"/>
        <w:spacing w:after="0" w:line="293" w:lineRule="auto"/>
        <w:tabs>
          <w:tab w:leader="none" w:pos="1057" w:val="left"/>
        </w:tabs>
        <w:numPr>
          <w:ilvl w:val="0"/>
          <w:numId w:val="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Canadian Administrative Agent shall have received from the Borrowers, counterparts (in such number as may be requested by the Canadian Administrative Agent) of this Second Amendment signed on behalf of such Persons.</w:t>
      </w:r>
    </w:p>
    <w:p>
      <w:pPr>
        <w:spacing w:after="0" w:line="133"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19"/>
          <w:szCs w:val="19"/>
          <w:color w:val="010000"/>
        </w:rPr>
        <w:t>SECTION 4.</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371" w:right="339" w:bottom="1440" w:gutter="0" w:footer="0" w:header="0"/>
        </w:sectPr>
      </w:pPr>
    </w:p>
    <w:bookmarkStart w:id="40" w:name="page41"/>
    <w:bookmarkEnd w:id="40"/>
    <w:p>
      <w:pPr>
        <w:ind w:firstLine="632"/>
        <w:spacing w:after="0" w:line="293" w:lineRule="auto"/>
        <w:tabs>
          <w:tab w:leader="none" w:pos="1071" w:val="left"/>
        </w:tabs>
        <w:numPr>
          <w:ilvl w:val="0"/>
          <w:numId w:val="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Loan Document</w:t>
      </w:r>
      <w:r>
        <w:rPr>
          <w:rFonts w:ascii="Times New Roman" w:cs="Times New Roman" w:eastAsia="Times New Roman" w:hAnsi="Times New Roman"/>
          <w:sz w:val="19"/>
          <w:szCs w:val="19"/>
          <w:color w:val="auto"/>
        </w:rPr>
        <w:t>. This Second Amendment is a “Loan Document” as defined and described in the Credit Agreement and all of the terms and provisions of the Amended Credit Agreement relating to Loan Documents shall apply hereto.</w:t>
      </w:r>
    </w:p>
    <w:p>
      <w:pPr>
        <w:spacing w:after="0" w:line="133" w:lineRule="exact"/>
        <w:rPr>
          <w:rFonts w:ascii="Times New Roman" w:cs="Times New Roman" w:eastAsia="Times New Roman" w:hAnsi="Times New Roman"/>
          <w:sz w:val="19"/>
          <w:szCs w:val="19"/>
          <w:color w:val="010000"/>
        </w:rPr>
      </w:pPr>
    </w:p>
    <w:p>
      <w:pPr>
        <w:jc w:val="both"/>
        <w:ind w:firstLine="632"/>
        <w:spacing w:after="0" w:line="257" w:lineRule="auto"/>
        <w:tabs>
          <w:tab w:leader="none" w:pos="1212" w:val="left"/>
        </w:tabs>
        <w:numPr>
          <w:ilvl w:val="0"/>
          <w:numId w:val="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Second Amendment may be executed by one or more of the parties hereto in any number of separate counterparts, and all of such counterparts taken together shall be deemed to constitute one and the same instrument. Delivery of this Second Amendment by facsimile or electronic transmission shall be effective as delivery of a manually executed counterpart hereof. The words “execution,” “execute”, “signed,” “signature,” and words of like import in or related to any document to be signed in connection with this Second Amendment and the transactions contemplated hereby shall be deemed to include electronic signatures, the electronic matching of assignment terms and contract formations on electronic platforms approved by the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rFonts w:ascii="Times New Roman" w:cs="Times New Roman" w:eastAsia="Times New Roman" w:hAnsi="Times New Roman"/>
          <w:sz w:val="19"/>
          <w:szCs w:val="19"/>
          <w:color w:val="010000"/>
        </w:rPr>
      </w:pPr>
    </w:p>
    <w:p>
      <w:pPr>
        <w:jc w:val="both"/>
        <w:ind w:firstLine="632"/>
        <w:spacing w:after="0" w:line="260" w:lineRule="auto"/>
        <w:tabs>
          <w:tab w:leader="none" w:pos="1149" w:val="left"/>
        </w:tabs>
        <w:numPr>
          <w:ilvl w:val="0"/>
          <w:numId w:val="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ORAL AGREEMENT</w:t>
      </w:r>
      <w:r>
        <w:rPr>
          <w:rFonts w:ascii="Times New Roman" w:cs="Times New Roman" w:eastAsia="Times New Roman" w:hAnsi="Times New Roman"/>
          <w:sz w:val="19"/>
          <w:szCs w:val="19"/>
          <w:color w:val="auto"/>
        </w:rPr>
        <w:t>. THIS SECOND AMENDMENT, THE AMENDED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77" w:lineRule="exact"/>
        <w:rPr>
          <w:rFonts w:ascii="Times New Roman" w:cs="Times New Roman" w:eastAsia="Times New Roman" w:hAnsi="Times New Roman"/>
          <w:sz w:val="19"/>
          <w:szCs w:val="19"/>
          <w:color w:val="010000"/>
        </w:rPr>
      </w:pPr>
    </w:p>
    <w:p>
      <w:pPr>
        <w:ind w:firstLine="632"/>
        <w:spacing w:after="0" w:line="293" w:lineRule="auto"/>
        <w:tabs>
          <w:tab w:leader="none" w:pos="1055" w:val="left"/>
        </w:tabs>
        <w:numPr>
          <w:ilvl w:val="0"/>
          <w:numId w:val="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SECOND AMENDMENT SHALL BE CONSTRUED IN ACCORDANCE WITH AND GOVERNED BY THE LAWS OF THE STATE OF NEW YORK.</w:t>
      </w:r>
    </w:p>
    <w:p>
      <w:pPr>
        <w:spacing w:after="0" w:line="133" w:lineRule="exact"/>
        <w:rPr>
          <w:sz w:val="20"/>
          <w:szCs w:val="20"/>
          <w:color w:val="auto"/>
        </w:rPr>
      </w:pPr>
    </w:p>
    <w:p>
      <w:pPr>
        <w:ind w:firstLine="627"/>
        <w:spacing w:after="0" w:line="293" w:lineRule="auto"/>
        <w:rPr>
          <w:sz w:val="20"/>
          <w:szCs w:val="20"/>
          <w:color w:val="auto"/>
        </w:rPr>
      </w:pPr>
      <w:r>
        <w:rPr>
          <w:rFonts w:ascii="Times New Roman" w:cs="Times New Roman" w:eastAsia="Times New Roman" w:hAnsi="Times New Roman"/>
          <w:sz w:val="19"/>
          <w:szCs w:val="19"/>
          <w:color w:val="010000"/>
        </w:rPr>
        <w:t xml:space="preserve">SECTION 5. </w:t>
      </w:r>
      <w:r>
        <w:rPr>
          <w:rFonts w:ascii="Times New Roman" w:cs="Times New Roman" w:eastAsia="Times New Roman" w:hAnsi="Times New Roman"/>
          <w:sz w:val="19"/>
          <w:szCs w:val="19"/>
          <w:u w:val="single" w:color="auto"/>
          <w:color w:val="000000"/>
        </w:rPr>
        <w:t>No Fiduciary Relationship</w:t>
      </w:r>
      <w:r>
        <w:rPr>
          <w:rFonts w:ascii="Times New Roman" w:cs="Times New Roman" w:eastAsia="Times New Roman" w:hAnsi="Times New Roman"/>
          <w:sz w:val="19"/>
          <w:szCs w:val="19"/>
          <w:color w:val="000000"/>
        </w:rPr>
        <w:t>. The Borrowers acknowledge that neither the Canadian Administrative Agent or its respective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Affiliates is acting as a fiduciary for or advisor to the Loan Parties.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[SIGNATURES BEGIN NEXT PAGE]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Second Amendment to be duly executed as of the date first written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BORROWERS:</w:t>
      </w:r>
    </w:p>
    <w:p>
      <w:pPr>
        <w:spacing w:after="0" w:line="1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9"/>
          <w:szCs w:val="19"/>
          <w:color w:val="auto"/>
        </w:rPr>
        <w:t>CIVEO CORPORATION</w:t>
      </w:r>
    </w:p>
    <w:p>
      <w:pPr>
        <w:spacing w:after="0" w:line="200" w:lineRule="exact"/>
        <w:rPr>
          <w:sz w:val="20"/>
          <w:szCs w:val="20"/>
          <w:color w:val="auto"/>
        </w:rPr>
      </w:pPr>
    </w:p>
    <w:p>
      <w:pPr>
        <w:spacing w:after="0" w:line="36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-7620</wp:posOffset>
            </wp:positionV>
            <wp:extent cx="14122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6" w:lineRule="exact"/>
        <w:rPr>
          <w:sz w:val="20"/>
          <w:szCs w:val="20"/>
          <w:color w:val="auto"/>
        </w:rPr>
      </w:pPr>
    </w:p>
    <w:p>
      <w:pPr>
        <w:ind w:left="3760"/>
        <w:spacing w:after="0"/>
        <w:tabs>
          <w:tab w:leader="none" w:pos="4500" w:val="left"/>
        </w:tabs>
        <w:rPr>
          <w:sz w:val="20"/>
          <w:szCs w:val="20"/>
          <w:color w:val="auto"/>
        </w:rPr>
      </w:pPr>
      <w:r>
        <w:rPr>
          <w:rFonts w:ascii="Times New Roman" w:cs="Times New Roman" w:eastAsia="Times New Roman" w:hAnsi="Times New Roman"/>
          <w:sz w:val="19"/>
          <w:szCs w:val="19"/>
          <w:color w:val="auto"/>
        </w:rPr>
        <w:t>Name:</w:t>
        <w:tab/>
        <w:t>Bradley J. Dodson</w:t>
      </w:r>
    </w:p>
    <w:p>
      <w:pPr>
        <w:spacing w:after="0" w:line="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5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9"/>
          <w:szCs w:val="19"/>
          <w:color w:val="auto"/>
        </w:rPr>
        <w:t>CIVEO MANAGEMENT LLC</w:t>
      </w:r>
    </w:p>
    <w:p>
      <w:pPr>
        <w:sectPr>
          <w:pgSz w:w="11900" w:h="16838" w:orient="portrait"/>
          <w:cols w:equalWidth="0" w:num="1">
            <w:col w:w="11240"/>
          </w:cols>
          <w:pgMar w:left="320" w:top="1371" w:right="339" w:bottom="1440" w:gutter="0" w:footer="0" w:header="0"/>
        </w:sectPr>
      </w:pPr>
    </w:p>
    <w:bookmarkStart w:id="41" w:name="page42"/>
    <w:bookmarkEnd w:id="41"/>
    <w:p>
      <w:pPr>
        <w:ind w:left="3560"/>
        <w:spacing w:after="0"/>
        <w:rPr>
          <w:sz w:val="20"/>
          <w:szCs w:val="20"/>
          <w:color w:val="auto"/>
        </w:rPr>
      </w:pPr>
      <w:r>
        <w:rPr>
          <w:rFonts w:ascii="Times New Roman" w:cs="Times New Roman" w:eastAsia="Times New Roman" w:hAnsi="Times New Roman"/>
          <w:sz w:val="19"/>
          <w:szCs w:val="19"/>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-7620</wp:posOffset>
            </wp:positionV>
            <wp:extent cx="1412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12" w:lineRule="exact"/>
        <w:rPr>
          <w:sz w:val="20"/>
          <w:szCs w:val="20"/>
          <w:color w:val="auto"/>
        </w:rPr>
      </w:pPr>
    </w:p>
    <w:p>
      <w:pPr>
        <w:ind w:left="3560"/>
        <w:spacing w:after="0"/>
        <w:tabs>
          <w:tab w:leader="none" w:pos="4300" w:val="left"/>
        </w:tabs>
        <w:rPr>
          <w:sz w:val="20"/>
          <w:szCs w:val="20"/>
          <w:color w:val="auto"/>
        </w:rPr>
      </w:pPr>
      <w:r>
        <w:rPr>
          <w:rFonts w:ascii="Times New Roman" w:cs="Times New Roman" w:eastAsia="Times New Roman" w:hAnsi="Times New Roman"/>
          <w:sz w:val="19"/>
          <w:szCs w:val="19"/>
          <w:color w:val="auto"/>
        </w:rPr>
        <w:t>Name:</w:t>
        <w:tab/>
        <w:t>Bradley J. Dodson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CIVEO PTY LIMITED</w:t>
      </w:r>
    </w:p>
    <w:p>
      <w:pPr>
        <w:spacing w:after="0" w:line="34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-7620</wp:posOffset>
            </wp:positionV>
            <wp:extent cx="1533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33525" cy="8255"/>
                    </a:xfrm>
                    <a:prstGeom prst="rect">
                      <a:avLst/>
                    </a:prstGeom>
                    <a:noFill/>
                  </pic:spPr>
                </pic:pic>
              </a:graphicData>
            </a:graphic>
          </wp:anchor>
        </w:drawing>
      </w:r>
    </w:p>
    <w:p>
      <w:pPr>
        <w:spacing w:after="0" w:line="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Signature of Director</w:t>
      </w: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-7620</wp:posOffset>
            </wp:positionV>
            <wp:extent cx="1388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Name of Director</w:t>
      </w:r>
    </w:p>
    <w:p>
      <w:pPr>
        <w:spacing w:after="0" w:line="200" w:lineRule="exact"/>
        <w:rPr>
          <w:sz w:val="20"/>
          <w:szCs w:val="20"/>
          <w:color w:val="auto"/>
        </w:rPr>
      </w:pPr>
    </w:p>
    <w:p>
      <w:pPr>
        <w:spacing w:after="0" w:line="2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 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-7620</wp:posOffset>
            </wp:positionV>
            <wp:extent cx="14522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Signature of Director</w:t>
      </w:r>
    </w:p>
    <w:p>
      <w:pPr>
        <w:spacing w:after="0" w:line="23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Vanessa Mackett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-7620</wp:posOffset>
            </wp:positionV>
            <wp:extent cx="13068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Name of Director</w:t>
      </w:r>
    </w:p>
    <w:p>
      <w:pPr>
        <w:spacing w:after="0" w:line="200" w:lineRule="exact"/>
        <w:rPr>
          <w:sz w:val="20"/>
          <w:szCs w:val="20"/>
          <w:color w:val="auto"/>
        </w:rPr>
      </w:pPr>
    </w:p>
    <w:p>
      <w:pPr>
        <w:spacing w:after="0" w:line="2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 Sarah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-7620</wp:posOffset>
            </wp:positionV>
            <wp:extent cx="13036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Company Secretary</w:t>
      </w:r>
    </w:p>
    <w:p>
      <w:pPr>
        <w:spacing w:after="0" w:line="2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Sarah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-7620</wp:posOffset>
            </wp:positionV>
            <wp:extent cx="1280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Company Secretary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ROYAL BANK OF CANADA,</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as Canadian Administrative Agent</w:t>
      </w:r>
    </w:p>
    <w:p>
      <w:pPr>
        <w:spacing w:after="0" w:line="200" w:lineRule="exact"/>
        <w:rPr>
          <w:sz w:val="20"/>
          <w:szCs w:val="20"/>
          <w:color w:val="auto"/>
        </w:rPr>
      </w:pPr>
    </w:p>
    <w:p>
      <w:pPr>
        <w:spacing w:after="0" w:line="331" w:lineRule="exact"/>
        <w:rPr>
          <w:sz w:val="20"/>
          <w:szCs w:val="20"/>
          <w:color w:val="auto"/>
        </w:rPr>
      </w:pPr>
    </w:p>
    <w:p>
      <w:pPr>
        <w:ind w:left="3560"/>
        <w:spacing w:after="0"/>
        <w:tabs>
          <w:tab w:leader="none" w:pos="4060" w:val="left"/>
        </w:tabs>
        <w:rPr>
          <w:sz w:val="20"/>
          <w:szCs w:val="20"/>
          <w:color w:val="auto"/>
        </w:rPr>
      </w:pPr>
      <w:r>
        <w:rPr>
          <w:rFonts w:ascii="Times New Roman" w:cs="Times New Roman" w:eastAsia="Times New Roman" w:hAnsi="Times New Roman"/>
          <w:sz w:val="19"/>
          <w:szCs w:val="19"/>
          <w:color w:val="auto"/>
        </w:rPr>
        <w:t>By:</w:t>
        <w:tab/>
        <w:t>/s/ 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-7620</wp:posOffset>
            </wp:positionV>
            <wp:extent cx="10198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2" w:lineRule="exact"/>
        <w:rPr>
          <w:sz w:val="20"/>
          <w:szCs w:val="20"/>
          <w:color w:val="auto"/>
        </w:rPr>
      </w:pPr>
    </w:p>
    <w:p>
      <w:pPr>
        <w:ind w:left="3560"/>
        <w:spacing w:after="0"/>
        <w:tabs>
          <w:tab w:leader="none" w:pos="4240" w:val="left"/>
        </w:tabs>
        <w:rPr>
          <w:sz w:val="20"/>
          <w:szCs w:val="20"/>
          <w:color w:val="auto"/>
        </w:rPr>
      </w:pPr>
      <w:r>
        <w:rPr>
          <w:rFonts w:ascii="Times New Roman" w:cs="Times New Roman" w:eastAsia="Times New Roman" w:hAnsi="Times New Roman"/>
          <w:sz w:val="19"/>
          <w:szCs w:val="19"/>
          <w:color w:val="auto"/>
        </w:rPr>
        <w:t>Name:</w:t>
        <w:tab/>
        <w:t>Annie Lee</w:t>
      </w:r>
    </w:p>
    <w:p>
      <w:pPr>
        <w:spacing w:after="0" w:line="10" w:lineRule="exact"/>
        <w:rPr>
          <w:sz w:val="20"/>
          <w:szCs w:val="20"/>
          <w:color w:val="auto"/>
        </w:rPr>
      </w:pPr>
    </w:p>
    <w:p>
      <w:pPr>
        <w:jc w:val="center"/>
        <w:ind w:right="159"/>
        <w:spacing w:after="0"/>
        <w:tabs>
          <w:tab w:leader="none" w:pos="160" w:val="left"/>
        </w:tabs>
        <w:rPr>
          <w:sz w:val="20"/>
          <w:szCs w:val="20"/>
          <w:color w:val="auto"/>
        </w:rPr>
      </w:pPr>
      <w:r>
        <w:rPr>
          <w:rFonts w:ascii="Times New Roman" w:cs="Times New Roman" w:eastAsia="Times New Roman" w:hAnsi="Times New Roman"/>
          <w:sz w:val="19"/>
          <w:szCs w:val="19"/>
          <w:color w:val="auto"/>
        </w:rPr>
        <w:t>Title:</w:t>
        <w:tab/>
        <w:t>Manager, Agency Services</w:t>
      </w:r>
    </w:p>
    <w:p>
      <w:pPr>
        <w:spacing w:after="0" w:line="3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332"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9"/>
          <w:szCs w:val="19"/>
          <w:color w:val="auto"/>
        </w:rPr>
        <w:t>Amendments to Credit Agreement</w:t>
      </w:r>
    </w:p>
    <w:p>
      <w:pPr>
        <w:spacing w:after="0" w:line="24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9"/>
          <w:szCs w:val="19"/>
          <w:color w:val="auto"/>
        </w:rPr>
        <w:t xml:space="preserve">(See attached) </w:t>
      </w:r>
      <w:r>
        <w:rPr>
          <w:rFonts w:ascii="Times New Roman" w:cs="Times New Roman" w:eastAsia="Times New Roman" w:hAnsi="Times New Roman"/>
          <w:sz w:val="20"/>
          <w:szCs w:val="20"/>
          <w:color w:val="auto"/>
        </w:rPr>
        <w:t>SYNDICATED FACILITY AGREEMENT</w:t>
      </w:r>
    </w:p>
    <w:p>
      <w:pPr>
        <w:spacing w:after="0" w:line="24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1"/>
          <w:szCs w:val="21"/>
          <w:color w:val="auto"/>
        </w:rPr>
        <w:t>dated as of September 8, 2021</w:t>
      </w:r>
    </w:p>
    <w:p>
      <w:pPr>
        <w:spacing w:after="0" w:line="21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1"/>
          <w:szCs w:val="21"/>
          <w:color w:val="auto"/>
        </w:rPr>
        <w:t>among</w:t>
      </w:r>
    </w:p>
    <w:p>
      <w:pPr>
        <w:sectPr>
          <w:pgSz w:w="11900" w:h="16838" w:orient="portrait"/>
          <w:cols w:equalWidth="0" w:num="1">
            <w:col w:w="9939"/>
          </w:cols>
          <w:pgMar w:left="520" w:top="1371"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1"/>
          <w:szCs w:val="21"/>
          <w:color w:val="auto"/>
        </w:rPr>
        <w:t>CIVEO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CIVEO PTY LIMITED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CIVEO MANAGEMENT LLC,</w:t>
      </w:r>
    </w:p>
    <w:p>
      <w:pPr>
        <w:spacing w:after="0" w:line="25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as Borrowers</w:t>
      </w:r>
    </w:p>
    <w:p>
      <w:pPr>
        <w:spacing w:after="0" w:line="2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THE LENDERS NAMED HEREIN,</w:t>
      </w:r>
    </w:p>
    <w:p>
      <w:pPr>
        <w:spacing w:after="0" w:line="2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ROYAL BANK OF CANADA,</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color w:val="auto"/>
        </w:rPr>
        <w:t>as Administrative Agent, U.S. Collateral Agent,</w:t>
      </w:r>
    </w:p>
    <w:p>
      <w:pPr>
        <w:spacing w:after="0" w:line="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auto"/>
        </w:rPr>
        <w:t>Canadian Administrative Agent, Canadian Collateral Agent</w:t>
      </w:r>
    </w:p>
    <w:p>
      <w:pPr>
        <w:spacing w:after="0" w:line="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and an Issuing Bank,</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1"/>
          <w:szCs w:val="21"/>
          <w:color w:val="auto"/>
        </w:rPr>
        <w:t>and</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RBC EUROPE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Australian Administrative Agent, Australian Collateral Agent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271780</wp:posOffset>
            </wp:positionV>
            <wp:extent cx="9296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RBC CAPITAL MARKETS,</w:t>
      </w:r>
      <w:r>
        <w:rPr>
          <w:rFonts w:ascii="Times New Roman" w:cs="Times New Roman" w:eastAsia="Times New Roman" w:hAnsi="Times New Roman"/>
          <w:sz w:val="27"/>
          <w:szCs w:val="27"/>
          <w:color w:val="auto"/>
          <w:vertAlign w:val="superscript"/>
        </w:rPr>
        <w:t>1</w:t>
      </w:r>
    </w:p>
    <w:p>
      <w:pPr>
        <w:jc w:val="center"/>
        <w:spacing w:after="0"/>
        <w:rPr>
          <w:sz w:val="20"/>
          <w:szCs w:val="20"/>
          <w:color w:val="auto"/>
        </w:rPr>
      </w:pPr>
      <w:r>
        <w:rPr>
          <w:rFonts w:ascii="Times New Roman" w:cs="Times New Roman" w:eastAsia="Times New Roman" w:hAnsi="Times New Roman"/>
          <w:sz w:val="21"/>
          <w:szCs w:val="21"/>
          <w:color w:val="auto"/>
        </w:rPr>
        <w:t>as Joint Lead Arranger and Sole Bookrunner</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HSBC BANK CANADA AND BANK OF MONTREAL,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 JOINT LEAD ARRANGERS AND SYNDICATION AGENTS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Article I Definitions  1</w:t>
            </w: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5660" w:type="dxa"/>
            <w:vAlign w:val="bottom"/>
            <w:gridSpan w:val="10"/>
          </w:tcPr>
          <w:p>
            <w:pPr>
              <w:ind w:left="640"/>
              <w:spacing w:after="0"/>
              <w:rPr>
                <w:sz w:val="20"/>
                <w:szCs w:val="20"/>
                <w:color w:val="auto"/>
              </w:rPr>
            </w:pPr>
            <w:r>
              <w:rPr>
                <w:rFonts w:ascii="Times New Roman" w:cs="Times New Roman" w:eastAsia="Times New Roman" w:hAnsi="Times New Roman"/>
                <w:sz w:val="21"/>
                <w:szCs w:val="21"/>
                <w:color w:val="auto"/>
              </w:rPr>
              <w:t>SECTION 1.01 Defined Terms  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60" w:type="dxa"/>
            <w:vAlign w:val="bottom"/>
            <w:vMerge w:val="restart"/>
          </w:tcPr>
          <w:p>
            <w:pPr>
              <w:ind w:left="640"/>
              <w:spacing w:after="0" w:line="226" w:lineRule="exact"/>
              <w:rPr>
                <w:sz w:val="20"/>
                <w:szCs w:val="20"/>
                <w:color w:val="auto"/>
              </w:rPr>
            </w:pPr>
            <w:r>
              <w:rPr>
                <w:rFonts w:ascii="Times New Roman" w:cs="Times New Roman" w:eastAsia="Times New Roman" w:hAnsi="Times New Roman"/>
                <w:sz w:val="21"/>
                <w:szCs w:val="21"/>
                <w:color w:val="auto"/>
              </w:rPr>
              <w:t>SECTION 1.02</w:t>
            </w:r>
          </w:p>
        </w:tc>
        <w:tc>
          <w:tcPr>
            <w:tcW w:w="166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21"/>
                <w:szCs w:val="21"/>
                <w:color w:val="auto"/>
              </w:rPr>
              <w:t>Terms Generally</w:t>
            </w:r>
          </w:p>
        </w:tc>
        <w:tc>
          <w:tcPr>
            <w:tcW w:w="220" w:type="dxa"/>
            <w:vAlign w:val="bottom"/>
            <w:vMerge w:val="restart"/>
          </w:tcPr>
          <w:p>
            <w:pPr>
              <w:jc w:val="right"/>
              <w:spacing w:after="0" w:line="226" w:lineRule="exact"/>
              <w:rPr>
                <w:sz w:val="20"/>
                <w:szCs w:val="20"/>
                <w:color w:val="auto"/>
              </w:rPr>
            </w:pPr>
            <w:r>
              <w:rPr>
                <w:rFonts w:ascii="Times New Roman" w:cs="Times New Roman" w:eastAsia="Times New Roman" w:hAnsi="Times New Roman"/>
                <w:sz w:val="21"/>
                <w:szCs w:val="21"/>
                <w:color w:val="FF0000"/>
                <w:strike w:val="1"/>
                <w:w w:val="95"/>
              </w:rPr>
              <w:t>53</w:t>
            </w:r>
          </w:p>
        </w:tc>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6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75"/>
              </w:rPr>
              <w:t>54</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6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1.03</w:t>
            </w:r>
          </w:p>
        </w:tc>
        <w:tc>
          <w:tcPr>
            <w:tcW w:w="3600" w:type="dxa"/>
            <w:vAlign w:val="bottom"/>
            <w:gridSpan w:val="9"/>
            <w:vMerge w:val="restart"/>
          </w:tcPr>
          <w:p>
            <w:pPr>
              <w:ind w:left="60"/>
              <w:spacing w:after="0"/>
              <w:rPr>
                <w:sz w:val="20"/>
                <w:szCs w:val="20"/>
                <w:color w:val="auto"/>
              </w:rPr>
            </w:pPr>
            <w:r>
              <w:rPr>
                <w:rFonts w:ascii="Times New Roman" w:cs="Times New Roman" w:eastAsia="Times New Roman" w:hAnsi="Times New Roman"/>
                <w:sz w:val="21"/>
                <w:szCs w:val="21"/>
                <w:color w:val="auto"/>
              </w:rPr>
              <w:t>Several Obligations; Power of Attorney</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21"/>
                <w:szCs w:val="21"/>
                <w:color w:val="FF0000"/>
                <w:strike w:val="1"/>
                <w:w w:val="85"/>
              </w:rPr>
              <w:t>54</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3600" w:type="dxa"/>
            <w:vAlign w:val="bottom"/>
            <w:gridSpan w:val="9"/>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bottom w:val="single" w:sz="8" w:color="0000FF"/>
            </w:tcBorders>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55</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6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1.04</w:t>
            </w:r>
          </w:p>
        </w:tc>
        <w:tc>
          <w:tcPr>
            <w:tcW w:w="3600" w:type="dxa"/>
            <w:vAlign w:val="bottom"/>
            <w:gridSpan w:val="9"/>
            <w:vMerge w:val="restart"/>
          </w:tcPr>
          <w:p>
            <w:pPr>
              <w:ind w:left="60"/>
              <w:spacing w:after="0" w:line="235" w:lineRule="exact"/>
              <w:rPr>
                <w:sz w:val="20"/>
                <w:szCs w:val="20"/>
                <w:color w:val="auto"/>
              </w:rPr>
            </w:pPr>
            <w:r>
              <w:rPr>
                <w:rFonts w:ascii="Times New Roman" w:cs="Times New Roman" w:eastAsia="Times New Roman" w:hAnsi="Times New Roman"/>
                <w:sz w:val="21"/>
                <w:szCs w:val="21"/>
                <w:color w:val="auto"/>
              </w:rPr>
              <w:t>Classification of Loans and Borrowings</w:t>
            </w:r>
          </w:p>
        </w:tc>
        <w:tc>
          <w:tcPr>
            <w:tcW w:w="220" w:type="dxa"/>
            <w:vAlign w:val="bottom"/>
            <w:gridSpan w:val="2"/>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95"/>
              </w:rPr>
              <w:t>54</w:t>
            </w:r>
          </w:p>
        </w:tc>
        <w:tc>
          <w:tcPr>
            <w:tcW w:w="200" w:type="dxa"/>
            <w:vAlign w:val="bottom"/>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60" w:type="dxa"/>
            <w:vAlign w:val="bottom"/>
            <w:vMerge w:val="continue"/>
          </w:tcPr>
          <w:p>
            <w:pPr>
              <w:spacing w:after="0"/>
              <w:rPr>
                <w:sz w:val="18"/>
                <w:szCs w:val="18"/>
                <w:color w:val="auto"/>
              </w:rPr>
            </w:pPr>
          </w:p>
        </w:tc>
        <w:tc>
          <w:tcPr>
            <w:tcW w:w="3600" w:type="dxa"/>
            <w:vAlign w:val="bottom"/>
            <w:gridSpan w:val="9"/>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200" w:type="dxa"/>
            <w:vAlign w:val="bottom"/>
            <w:tcBorders>
              <w:bottom w:val="single" w:sz="8" w:color="0000FF"/>
            </w:tcBorders>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55</w:t>
            </w:r>
          </w:p>
        </w:tc>
        <w:tc>
          <w:tcPr>
            <w:tcW w:w="20" w:type="dxa"/>
            <w:vAlign w:val="bottom"/>
            <w:tcBorders>
              <w:bottom w:val="single" w:sz="8" w:color="0000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6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1.05</w:t>
            </w:r>
          </w:p>
        </w:tc>
        <w:tc>
          <w:tcPr>
            <w:tcW w:w="3120" w:type="dxa"/>
            <w:vAlign w:val="bottom"/>
            <w:gridSpan w:val="5"/>
            <w:vMerge w:val="restart"/>
          </w:tcPr>
          <w:p>
            <w:pPr>
              <w:ind w:left="60"/>
              <w:spacing w:after="0" w:line="234" w:lineRule="exact"/>
              <w:rPr>
                <w:sz w:val="20"/>
                <w:szCs w:val="20"/>
                <w:color w:val="auto"/>
              </w:rPr>
            </w:pPr>
            <w:r>
              <w:rPr>
                <w:rFonts w:ascii="Times New Roman" w:cs="Times New Roman" w:eastAsia="Times New Roman" w:hAnsi="Times New Roman"/>
                <w:sz w:val="21"/>
                <w:szCs w:val="21"/>
                <w:color w:val="auto"/>
              </w:rPr>
              <w:t>Additional Alternative Currencies</w:t>
            </w:r>
          </w:p>
        </w:tc>
        <w:tc>
          <w:tcPr>
            <w:tcW w:w="200" w:type="dxa"/>
            <w:vAlign w:val="bottom"/>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85"/>
              </w:rPr>
              <w:t>54</w:t>
            </w:r>
          </w:p>
        </w:tc>
        <w:tc>
          <w:tcPr>
            <w:tcW w:w="2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60" w:type="dxa"/>
            <w:vAlign w:val="bottom"/>
            <w:vMerge w:val="continue"/>
          </w:tcPr>
          <w:p>
            <w:pPr>
              <w:spacing w:after="0"/>
              <w:rPr>
                <w:sz w:val="17"/>
                <w:szCs w:val="17"/>
                <w:color w:val="auto"/>
              </w:rPr>
            </w:pPr>
          </w:p>
        </w:tc>
        <w:tc>
          <w:tcPr>
            <w:tcW w:w="3120" w:type="dxa"/>
            <w:vAlign w:val="bottom"/>
            <w:gridSpan w:val="5"/>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55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1659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306" w:lineRule="exact"/>
        <w:rPr>
          <w:sz w:val="20"/>
          <w:szCs w:val="20"/>
          <w:color w:val="auto"/>
        </w:rPr>
      </w:pPr>
    </w:p>
    <w:p>
      <w:pPr>
        <w:ind w:left="640" w:right="20" w:hanging="635"/>
        <w:spacing w:after="0" w:line="226" w:lineRule="auto"/>
        <w:tabs>
          <w:tab w:leader="none" w:pos="342"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RBC Capital Markets is the global brand name of the corporate and investment banking business of Royal Bank of Canada and its affiliates.</w:t>
      </w:r>
    </w:p>
    <w:p>
      <w:pPr>
        <w:sectPr>
          <w:pgSz w:w="11900" w:h="16838" w:orient="portrait"/>
          <w:cols w:equalWidth="0" w:num="1">
            <w:col w:w="11240"/>
          </w:cols>
          <w:pgMar w:left="320" w:top="138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4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1.06</w:t>
            </w:r>
          </w:p>
        </w:tc>
        <w:tc>
          <w:tcPr>
            <w:tcW w:w="100" w:type="dxa"/>
            <w:vAlign w:val="bottom"/>
            <w:vMerge w:val="restart"/>
          </w:tcPr>
          <w:p>
            <w:pPr>
              <w:spacing w:after="0"/>
              <w:rPr>
                <w:sz w:val="3"/>
                <w:szCs w:val="3"/>
                <w:color w:val="auto"/>
              </w:rPr>
            </w:pPr>
          </w:p>
        </w:tc>
        <w:tc>
          <w:tcPr>
            <w:tcW w:w="1340" w:type="dxa"/>
            <w:vAlign w:val="bottom"/>
            <w:gridSpan w:val="15"/>
            <w:vMerge w:val="restart"/>
          </w:tcPr>
          <w:p>
            <w:pPr>
              <w:spacing w:after="0"/>
              <w:rPr>
                <w:sz w:val="20"/>
                <w:szCs w:val="20"/>
                <w:color w:val="auto"/>
              </w:rPr>
            </w:pPr>
            <w:r>
              <w:rPr>
                <w:rFonts w:ascii="Times New Roman" w:cs="Times New Roman" w:eastAsia="Times New Roman" w:hAnsi="Times New Roman"/>
                <w:sz w:val="21"/>
                <w:szCs w:val="21"/>
                <w:color w:val="auto"/>
              </w:rPr>
              <w:t>Cashless Rolls</w:t>
            </w:r>
          </w:p>
        </w:tc>
        <w:tc>
          <w:tcPr>
            <w:tcW w:w="100" w:type="dxa"/>
            <w:vAlign w:val="bottom"/>
            <w:gridSpan w:val="2"/>
          </w:tcPr>
          <w:p>
            <w:pPr>
              <w:spacing w:after="0"/>
              <w:rPr>
                <w:sz w:val="3"/>
                <w:szCs w:val="3"/>
                <w:color w:val="auto"/>
              </w:rPr>
            </w:pP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5"/>
              </w:rPr>
              <w:t>55</w:t>
            </w:r>
          </w:p>
        </w:tc>
        <w:tc>
          <w:tcPr>
            <w:tcW w:w="5480" w:type="dxa"/>
            <w:vAlign w:val="bottom"/>
            <w:gridSpan w:val="76"/>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40" w:type="dxa"/>
            <w:vAlign w:val="bottom"/>
            <w:gridSpan w:val="15"/>
            <w:vMerge w:val="continue"/>
          </w:tcPr>
          <w:p>
            <w:pPr>
              <w:spacing w:after="0"/>
              <w:rPr>
                <w:sz w:val="17"/>
                <w:szCs w:val="17"/>
                <w:color w:val="auto"/>
              </w:rPr>
            </w:pPr>
          </w:p>
        </w:tc>
        <w:tc>
          <w:tcPr>
            <w:tcW w:w="100" w:type="dxa"/>
            <w:vAlign w:val="bottom"/>
            <w:gridSpan w:val="2"/>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180" w:type="dxa"/>
            <w:vAlign w:val="bottom"/>
            <w:gridSpan w:val="6"/>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56</w:t>
            </w:r>
          </w:p>
        </w:tc>
        <w:tc>
          <w:tcPr>
            <w:tcW w:w="5300" w:type="dxa"/>
            <w:vAlign w:val="bottom"/>
            <w:tcBorders>
              <w:left w:val="single" w:sz="8" w:color="DDDDDD"/>
            </w:tcBorders>
            <w:gridSpan w:val="70"/>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940" w:type="dxa"/>
            <w:vAlign w:val="bottom"/>
            <w:gridSpan w:val="30"/>
          </w:tcPr>
          <w:p>
            <w:pPr>
              <w:spacing w:after="0"/>
              <w:rPr>
                <w:sz w:val="2"/>
                <w:szCs w:val="2"/>
                <w:color w:val="auto"/>
              </w:rPr>
            </w:pPr>
          </w:p>
        </w:tc>
        <w:tc>
          <w:tcPr>
            <w:tcW w:w="5300" w:type="dxa"/>
            <w:vAlign w:val="bottom"/>
            <w:tcBorders>
              <w:left w:val="single" w:sz="8" w:color="0000FF"/>
            </w:tcBorders>
            <w:gridSpan w:val="7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1.07</w:t>
            </w:r>
          </w:p>
        </w:tc>
        <w:tc>
          <w:tcPr>
            <w:tcW w:w="100" w:type="dxa"/>
            <w:vAlign w:val="bottom"/>
            <w:vMerge w:val="restart"/>
          </w:tcPr>
          <w:p>
            <w:pPr>
              <w:spacing w:after="0"/>
              <w:rPr>
                <w:sz w:val="4"/>
                <w:szCs w:val="4"/>
                <w:color w:val="auto"/>
              </w:rPr>
            </w:pPr>
          </w:p>
        </w:tc>
        <w:tc>
          <w:tcPr>
            <w:tcW w:w="3360" w:type="dxa"/>
            <w:vAlign w:val="bottom"/>
            <w:gridSpan w:val="67"/>
            <w:vMerge w:val="restart"/>
          </w:tcPr>
          <w:p>
            <w:pPr>
              <w:spacing w:after="0"/>
              <w:rPr>
                <w:sz w:val="20"/>
                <w:szCs w:val="20"/>
                <w:color w:val="auto"/>
              </w:rPr>
            </w:pPr>
            <w:r>
              <w:rPr>
                <w:rFonts w:ascii="Times New Roman" w:cs="Times New Roman" w:eastAsia="Times New Roman" w:hAnsi="Times New Roman"/>
                <w:sz w:val="21"/>
                <w:szCs w:val="21"/>
                <w:color w:val="auto"/>
              </w:rPr>
              <w:t>Interest Rates; Benchmark Notification</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55</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360" w:type="dxa"/>
            <w:vAlign w:val="bottom"/>
            <w:gridSpan w:val="67"/>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4"/>
            <w:vMerge w:val="continue"/>
          </w:tcPr>
          <w:p>
            <w:pPr>
              <w:spacing w:after="0"/>
              <w:rPr>
                <w:sz w:val="17"/>
                <w:szCs w:val="17"/>
                <w:color w:val="auto"/>
              </w:rPr>
            </w:pPr>
          </w:p>
        </w:tc>
        <w:tc>
          <w:tcPr>
            <w:tcW w:w="200" w:type="dxa"/>
            <w:vAlign w:val="bottom"/>
            <w:tcBorders>
              <w:bottom w:val="single" w:sz="8" w:color="0000FF"/>
            </w:tcBorders>
            <w:gridSpan w:val="6"/>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56</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Article II The Credits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5"/>
              </w:rPr>
              <w:t>56</w:t>
            </w:r>
          </w:p>
        </w:tc>
        <w:tc>
          <w:tcPr>
            <w:tcW w:w="22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260" w:type="dxa"/>
            <w:vAlign w:val="bottom"/>
            <w:vMerge w:val="restart"/>
          </w:tcPr>
          <w:p>
            <w:pPr>
              <w:spacing w:after="0"/>
              <w:rPr>
                <w:sz w:val="22"/>
                <w:szCs w:val="22"/>
                <w:color w:val="auto"/>
              </w:rPr>
            </w:pPr>
          </w:p>
        </w:tc>
        <w:tc>
          <w:tcPr>
            <w:tcW w:w="6520" w:type="dxa"/>
            <w:vAlign w:val="bottom"/>
            <w:gridSpan w:val="94"/>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220" w:type="dxa"/>
            <w:vAlign w:val="bottom"/>
            <w:tcBorders>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57</w:t>
            </w:r>
          </w:p>
        </w:tc>
        <w:tc>
          <w:tcPr>
            <w:tcW w:w="20" w:type="dxa"/>
            <w:vAlign w:val="bottom"/>
            <w:tcBorders>
              <w:bottom w:val="single" w:sz="8" w:color="0000FF"/>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520" w:type="dxa"/>
            <w:vAlign w:val="bottom"/>
            <w:gridSpan w:val="94"/>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2.01</w:t>
            </w:r>
          </w:p>
        </w:tc>
        <w:tc>
          <w:tcPr>
            <w:tcW w:w="100" w:type="dxa"/>
            <w:vAlign w:val="bottom"/>
            <w:vMerge w:val="restart"/>
          </w:tcPr>
          <w:p>
            <w:pPr>
              <w:spacing w:after="0"/>
              <w:rPr>
                <w:sz w:val="21"/>
                <w:szCs w:val="21"/>
                <w:color w:val="auto"/>
              </w:rPr>
            </w:pPr>
          </w:p>
        </w:tc>
        <w:tc>
          <w:tcPr>
            <w:tcW w:w="1340" w:type="dxa"/>
            <w:vAlign w:val="bottom"/>
            <w:gridSpan w:val="15"/>
            <w:vMerge w:val="restart"/>
          </w:tcPr>
          <w:p>
            <w:pPr>
              <w:spacing w:after="0"/>
              <w:rPr>
                <w:sz w:val="20"/>
                <w:szCs w:val="20"/>
                <w:color w:val="auto"/>
              </w:rPr>
            </w:pPr>
            <w:r>
              <w:rPr>
                <w:rFonts w:ascii="Times New Roman" w:cs="Times New Roman" w:eastAsia="Times New Roman" w:hAnsi="Times New Roman"/>
                <w:sz w:val="21"/>
                <w:szCs w:val="21"/>
                <w:color w:val="auto"/>
              </w:rPr>
              <w:t>Commitments</w:t>
            </w:r>
          </w:p>
        </w:tc>
        <w:tc>
          <w:tcPr>
            <w:tcW w:w="40" w:type="dxa"/>
            <w:vAlign w:val="bottom"/>
          </w:tcPr>
          <w:p>
            <w:pPr>
              <w:spacing w:after="0"/>
              <w:rPr>
                <w:sz w:val="21"/>
                <w:szCs w:val="21"/>
                <w:color w:val="auto"/>
              </w:rPr>
            </w:pPr>
          </w:p>
        </w:tc>
        <w:tc>
          <w:tcPr>
            <w:tcW w:w="220" w:type="dxa"/>
            <w:vAlign w:val="bottom"/>
            <w:gridSpan w:val="4"/>
            <w:vMerge w:val="restart"/>
          </w:tcPr>
          <w:p>
            <w:pPr>
              <w:ind w:left="20"/>
              <w:spacing w:after="0"/>
              <w:rPr>
                <w:sz w:val="20"/>
                <w:szCs w:val="20"/>
                <w:color w:val="auto"/>
              </w:rPr>
            </w:pPr>
            <w:r>
              <w:rPr>
                <w:rFonts w:ascii="Times New Roman" w:cs="Times New Roman" w:eastAsia="Times New Roman" w:hAnsi="Times New Roman"/>
                <w:sz w:val="21"/>
                <w:szCs w:val="21"/>
                <w:color w:val="FF0000"/>
                <w:strike w:val="1"/>
                <w:w w:val="85"/>
              </w:rPr>
              <w:t>56</w:t>
            </w:r>
          </w:p>
        </w:tc>
        <w:tc>
          <w:tcPr>
            <w:tcW w:w="20" w:type="dxa"/>
            <w:vAlign w:val="bottom"/>
            <w:vMerge w:val="restart"/>
          </w:tcPr>
          <w:p>
            <w:pPr>
              <w:spacing w:after="0"/>
              <w:rPr>
                <w:sz w:val="21"/>
                <w:szCs w:val="21"/>
                <w:color w:val="auto"/>
              </w:rPr>
            </w:pPr>
          </w:p>
        </w:tc>
        <w:tc>
          <w:tcPr>
            <w:tcW w:w="5500" w:type="dxa"/>
            <w:vAlign w:val="bottom"/>
            <w:gridSpan w:val="77"/>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40" w:type="dxa"/>
            <w:vAlign w:val="bottom"/>
            <w:gridSpan w:val="15"/>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4"/>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bottom w:val="single" w:sz="8" w:color="0000FF"/>
            </w:tcBorders>
            <w:gridSpan w:val="7"/>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75"/>
              </w:rPr>
              <w:t>57</w:t>
            </w:r>
          </w:p>
        </w:tc>
        <w:tc>
          <w:tcPr>
            <w:tcW w:w="5300" w:type="dxa"/>
            <w:vAlign w:val="bottom"/>
            <w:gridSpan w:val="70"/>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2.02</w:t>
            </w:r>
          </w:p>
        </w:tc>
        <w:tc>
          <w:tcPr>
            <w:tcW w:w="100" w:type="dxa"/>
            <w:vAlign w:val="bottom"/>
            <w:vMerge w:val="restart"/>
          </w:tcPr>
          <w:p>
            <w:pPr>
              <w:spacing w:after="0"/>
              <w:rPr>
                <w:sz w:val="4"/>
                <w:szCs w:val="4"/>
                <w:color w:val="auto"/>
              </w:rPr>
            </w:pPr>
          </w:p>
        </w:tc>
        <w:tc>
          <w:tcPr>
            <w:tcW w:w="60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rPr>
              <w:t>Loans</w:t>
            </w:r>
          </w:p>
        </w:tc>
        <w:tc>
          <w:tcPr>
            <w:tcW w:w="100" w:type="dxa"/>
            <w:vAlign w:val="bottom"/>
          </w:tcPr>
          <w:p>
            <w:pPr>
              <w:spacing w:after="0"/>
              <w:rPr>
                <w:sz w:val="4"/>
                <w:szCs w:val="4"/>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56</w:t>
            </w:r>
          </w:p>
        </w:tc>
        <w:tc>
          <w:tcPr>
            <w:tcW w:w="220" w:type="dxa"/>
            <w:vAlign w:val="bottom"/>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5780" w:type="dxa"/>
            <w:vAlign w:val="bottom"/>
            <w:gridSpan w:val="83"/>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20" w:type="dxa"/>
            <w:vAlign w:val="bottom"/>
            <w:tcBorders>
              <w:left w:val="single" w:sz="8" w:color="DDDDDD"/>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58</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780" w:type="dxa"/>
            <w:vAlign w:val="bottom"/>
            <w:gridSpan w:val="8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10"/>
          </w:tcPr>
          <w:p>
            <w:pPr>
              <w:spacing w:after="0" w:line="20" w:lineRule="exact"/>
              <w:rPr>
                <w:sz w:val="1"/>
                <w:szCs w:val="1"/>
                <w:color w:val="auto"/>
              </w:rPr>
            </w:pPr>
          </w:p>
        </w:tc>
        <w:tc>
          <w:tcPr>
            <w:tcW w:w="240" w:type="dxa"/>
            <w:vAlign w:val="bottom"/>
            <w:tcBorders>
              <w:top w:val="single" w:sz="8" w:color="0000FF"/>
              <w:left w:val="single" w:sz="8" w:color="DDDDDD"/>
            </w:tcBorders>
            <w:gridSpan w:val="5"/>
            <w:shd w:val="clear" w:color="auto" w:fill="DDDDDD"/>
          </w:tcPr>
          <w:p>
            <w:pPr>
              <w:spacing w:after="0" w:line="20" w:lineRule="exact"/>
              <w:rPr>
                <w:sz w:val="1"/>
                <w:szCs w:val="1"/>
                <w:color w:val="auto"/>
              </w:rPr>
            </w:pPr>
          </w:p>
        </w:tc>
        <w:tc>
          <w:tcPr>
            <w:tcW w:w="5960" w:type="dxa"/>
            <w:vAlign w:val="bottom"/>
            <w:gridSpan w:val="8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2.03</w:t>
            </w:r>
          </w:p>
        </w:tc>
        <w:tc>
          <w:tcPr>
            <w:tcW w:w="100" w:type="dxa"/>
            <w:vAlign w:val="bottom"/>
            <w:vMerge w:val="restart"/>
          </w:tcPr>
          <w:p>
            <w:pPr>
              <w:spacing w:after="0"/>
              <w:rPr>
                <w:sz w:val="3"/>
                <w:szCs w:val="3"/>
                <w:color w:val="auto"/>
              </w:rPr>
            </w:pPr>
          </w:p>
        </w:tc>
        <w:tc>
          <w:tcPr>
            <w:tcW w:w="1820" w:type="dxa"/>
            <w:vAlign w:val="bottom"/>
            <w:gridSpan w:val="28"/>
            <w:vMerge w:val="restart"/>
          </w:tcPr>
          <w:p>
            <w:pPr>
              <w:spacing w:after="0" w:line="235" w:lineRule="exact"/>
              <w:rPr>
                <w:sz w:val="20"/>
                <w:szCs w:val="20"/>
                <w:color w:val="auto"/>
              </w:rPr>
            </w:pPr>
            <w:r>
              <w:rPr>
                <w:rFonts w:ascii="Times New Roman" w:cs="Times New Roman" w:eastAsia="Times New Roman" w:hAnsi="Times New Roman"/>
                <w:sz w:val="21"/>
                <w:szCs w:val="21"/>
                <w:color w:val="auto"/>
                <w:w w:val="98"/>
              </w:rPr>
              <w:t>Borrowing Procedure</w:t>
            </w:r>
          </w:p>
        </w:tc>
        <w:tc>
          <w:tcPr>
            <w:tcW w:w="200" w:type="dxa"/>
            <w:vAlign w:val="bottom"/>
            <w:gridSpan w:val="5"/>
          </w:tcPr>
          <w:p>
            <w:pPr>
              <w:spacing w:after="0"/>
              <w:rPr>
                <w:sz w:val="3"/>
                <w:szCs w:val="3"/>
                <w:color w:val="auto"/>
              </w:rPr>
            </w:pPr>
          </w:p>
        </w:tc>
        <w:tc>
          <w:tcPr>
            <w:tcW w:w="200" w:type="dxa"/>
            <w:vAlign w:val="bottom"/>
            <w:gridSpan w:val="9"/>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85"/>
              </w:rPr>
              <w:t>60</w:t>
            </w:r>
          </w:p>
        </w:tc>
        <w:tc>
          <w:tcPr>
            <w:tcW w:w="220" w:type="dxa"/>
            <w:vAlign w:val="bottom"/>
            <w:gridSpan w:val="7"/>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760" w:type="dxa"/>
            <w:vAlign w:val="bottom"/>
            <w:gridSpan w:val="3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20" w:type="dxa"/>
            <w:vAlign w:val="bottom"/>
            <w:gridSpan w:val="28"/>
            <w:vMerge w:val="continue"/>
          </w:tcPr>
          <w:p>
            <w:pPr>
              <w:spacing w:after="0"/>
              <w:rPr>
                <w:sz w:val="17"/>
                <w:szCs w:val="17"/>
                <w:color w:val="auto"/>
              </w:rPr>
            </w:pPr>
          </w:p>
        </w:tc>
        <w:tc>
          <w:tcPr>
            <w:tcW w:w="200" w:type="dxa"/>
            <w:vAlign w:val="bottom"/>
            <w:gridSpan w:val="5"/>
          </w:tcPr>
          <w:p>
            <w:pPr>
              <w:spacing w:after="0"/>
              <w:rPr>
                <w:sz w:val="17"/>
                <w:szCs w:val="17"/>
                <w:color w:val="auto"/>
              </w:rPr>
            </w:pPr>
          </w:p>
        </w:tc>
        <w:tc>
          <w:tcPr>
            <w:tcW w:w="200" w:type="dxa"/>
            <w:vAlign w:val="bottom"/>
            <w:gridSpan w:val="9"/>
            <w:vMerge w:val="continue"/>
          </w:tcPr>
          <w:p>
            <w:pPr>
              <w:spacing w:after="0"/>
              <w:rPr>
                <w:sz w:val="17"/>
                <w:szCs w:val="17"/>
                <w:color w:val="auto"/>
              </w:rPr>
            </w:pPr>
          </w:p>
        </w:tc>
        <w:tc>
          <w:tcPr>
            <w:tcW w:w="220" w:type="dxa"/>
            <w:vAlign w:val="bottom"/>
            <w:tcBorders>
              <w:bottom w:val="single" w:sz="8" w:color="0000FF"/>
            </w:tcBorders>
            <w:gridSpan w:val="7"/>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61</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7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2.04</w:t>
            </w:r>
          </w:p>
        </w:tc>
        <w:tc>
          <w:tcPr>
            <w:tcW w:w="100" w:type="dxa"/>
            <w:vAlign w:val="bottom"/>
            <w:vMerge w:val="restart"/>
          </w:tcPr>
          <w:p>
            <w:pPr>
              <w:spacing w:after="0"/>
              <w:rPr>
                <w:sz w:val="4"/>
                <w:szCs w:val="4"/>
                <w:color w:val="auto"/>
              </w:rPr>
            </w:pPr>
          </w:p>
        </w:tc>
        <w:tc>
          <w:tcPr>
            <w:tcW w:w="3360" w:type="dxa"/>
            <w:vAlign w:val="bottom"/>
            <w:gridSpan w:val="67"/>
            <w:vMerge w:val="restart"/>
          </w:tcPr>
          <w:p>
            <w:pPr>
              <w:spacing w:after="0"/>
              <w:rPr>
                <w:sz w:val="20"/>
                <w:szCs w:val="20"/>
                <w:color w:val="auto"/>
              </w:rPr>
            </w:pPr>
            <w:r>
              <w:rPr>
                <w:rFonts w:ascii="Times New Roman" w:cs="Times New Roman" w:eastAsia="Times New Roman" w:hAnsi="Times New Roman"/>
                <w:sz w:val="21"/>
                <w:szCs w:val="21"/>
                <w:color w:val="auto"/>
              </w:rPr>
              <w:t>Evidence of Debt; Repayment of Loans</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61</w:t>
            </w: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3"/>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360" w:type="dxa"/>
            <w:vAlign w:val="bottom"/>
            <w:gridSpan w:val="67"/>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4"/>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6"/>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75"/>
              </w:rPr>
              <w:t>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2.05</w:t>
            </w:r>
          </w:p>
        </w:tc>
        <w:tc>
          <w:tcPr>
            <w:tcW w:w="100" w:type="dxa"/>
            <w:vAlign w:val="bottom"/>
            <w:vMerge w:val="restart"/>
          </w:tcPr>
          <w:p>
            <w:pPr>
              <w:spacing w:after="0"/>
              <w:rPr>
                <w:sz w:val="4"/>
                <w:szCs w:val="4"/>
                <w:color w:val="auto"/>
              </w:rPr>
            </w:pPr>
          </w:p>
        </w:tc>
        <w:tc>
          <w:tcPr>
            <w:tcW w:w="60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rPr>
              <w:t>Fees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5"/>
              </w:rPr>
              <w:t>63</w:t>
            </w:r>
          </w:p>
        </w:tc>
        <w:tc>
          <w:tcPr>
            <w:tcW w:w="200" w:type="dxa"/>
            <w:vAlign w:val="bottom"/>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5980" w:type="dxa"/>
            <w:vAlign w:val="bottom"/>
            <w:gridSpan w:val="86"/>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gridSpan w:val="4"/>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200" w:type="dxa"/>
            <w:vAlign w:val="bottom"/>
            <w:tcBorders>
              <w:bottom w:val="single" w:sz="8" w:color="0000FF"/>
            </w:tcBorders>
            <w:gridSpan w:val="3"/>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64</w:t>
            </w:r>
          </w:p>
        </w:tc>
        <w:tc>
          <w:tcPr>
            <w:tcW w:w="20" w:type="dxa"/>
            <w:vAlign w:val="bottom"/>
            <w:tcBorders>
              <w:bottom w:val="single" w:sz="8" w:color="0000FF"/>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980" w:type="dxa"/>
            <w:vAlign w:val="bottom"/>
            <w:gridSpan w:val="86"/>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2.06</w:t>
            </w:r>
          </w:p>
        </w:tc>
        <w:tc>
          <w:tcPr>
            <w:tcW w:w="100" w:type="dxa"/>
            <w:vAlign w:val="bottom"/>
            <w:vMerge w:val="restart"/>
          </w:tcPr>
          <w:p>
            <w:pPr>
              <w:spacing w:after="0"/>
              <w:rPr>
                <w:sz w:val="5"/>
                <w:szCs w:val="5"/>
                <w:color w:val="auto"/>
              </w:rPr>
            </w:pPr>
          </w:p>
        </w:tc>
        <w:tc>
          <w:tcPr>
            <w:tcW w:w="1600" w:type="dxa"/>
            <w:vAlign w:val="bottom"/>
            <w:gridSpan w:val="20"/>
            <w:vMerge w:val="restart"/>
          </w:tcPr>
          <w:p>
            <w:pPr>
              <w:spacing w:after="0"/>
              <w:rPr>
                <w:sz w:val="20"/>
                <w:szCs w:val="20"/>
                <w:color w:val="auto"/>
              </w:rPr>
            </w:pPr>
            <w:r>
              <w:rPr>
                <w:rFonts w:ascii="Times New Roman" w:cs="Times New Roman" w:eastAsia="Times New Roman" w:hAnsi="Times New Roman"/>
                <w:sz w:val="21"/>
                <w:szCs w:val="21"/>
                <w:color w:val="auto"/>
              </w:rPr>
              <w:t>Interest on Loans</w:t>
            </w:r>
          </w:p>
        </w:tc>
        <w:tc>
          <w:tcPr>
            <w:tcW w:w="40" w:type="dxa"/>
            <w:vAlign w:val="bottom"/>
            <w:gridSpan w:val="2"/>
          </w:tcPr>
          <w:p>
            <w:pPr>
              <w:spacing w:after="0"/>
              <w:rPr>
                <w:sz w:val="5"/>
                <w:szCs w:val="5"/>
                <w:color w:val="auto"/>
              </w:rPr>
            </w:pPr>
          </w:p>
        </w:tc>
        <w:tc>
          <w:tcPr>
            <w:tcW w:w="24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rPr>
              <w:t>65</w:t>
            </w:r>
          </w:p>
        </w:tc>
        <w:tc>
          <w:tcPr>
            <w:tcW w:w="200" w:type="dxa"/>
            <w:vAlign w:val="bottom"/>
            <w:gridSpan w:val="7"/>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900" w:type="dxa"/>
            <w:vAlign w:val="bottom"/>
            <w:gridSpan w:val="56"/>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0" w:type="dxa"/>
            <w:vAlign w:val="bottom"/>
            <w:gridSpan w:val="20"/>
            <w:vMerge w:val="continue"/>
          </w:tcPr>
          <w:p>
            <w:pPr>
              <w:spacing w:after="0"/>
              <w:rPr>
                <w:sz w:val="17"/>
                <w:szCs w:val="17"/>
                <w:color w:val="auto"/>
              </w:rPr>
            </w:pPr>
          </w:p>
        </w:tc>
        <w:tc>
          <w:tcPr>
            <w:tcW w:w="40" w:type="dxa"/>
            <w:vAlign w:val="bottom"/>
            <w:gridSpan w:val="2"/>
          </w:tcPr>
          <w:p>
            <w:pPr>
              <w:spacing w:after="0"/>
              <w:rPr>
                <w:sz w:val="17"/>
                <w:szCs w:val="17"/>
                <w:color w:val="auto"/>
              </w:rPr>
            </w:pPr>
          </w:p>
        </w:tc>
        <w:tc>
          <w:tcPr>
            <w:tcW w:w="240" w:type="dxa"/>
            <w:vAlign w:val="bottom"/>
            <w:gridSpan w:val="7"/>
            <w:vMerge w:val="continue"/>
          </w:tcPr>
          <w:p>
            <w:pPr>
              <w:spacing w:after="0"/>
              <w:rPr>
                <w:sz w:val="17"/>
                <w:szCs w:val="17"/>
                <w:color w:val="auto"/>
              </w:rPr>
            </w:pPr>
          </w:p>
        </w:tc>
        <w:tc>
          <w:tcPr>
            <w:tcW w:w="200" w:type="dxa"/>
            <w:vAlign w:val="bottom"/>
            <w:tcBorders>
              <w:bottom w:val="single" w:sz="8" w:color="0000FF"/>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66</w:t>
            </w:r>
          </w:p>
        </w:tc>
        <w:tc>
          <w:tcPr>
            <w:tcW w:w="20" w:type="dxa"/>
            <w:vAlign w:val="bottom"/>
            <w:tcBorders>
              <w:bottom w:val="single" w:sz="8" w:color="0000FF"/>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900" w:type="dxa"/>
            <w:vAlign w:val="bottom"/>
            <w:gridSpan w:val="56"/>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2.07</w:t>
            </w:r>
          </w:p>
        </w:tc>
        <w:tc>
          <w:tcPr>
            <w:tcW w:w="100" w:type="dxa"/>
            <w:vAlign w:val="bottom"/>
            <w:vMerge w:val="restart"/>
          </w:tcPr>
          <w:p>
            <w:pPr>
              <w:spacing w:after="0"/>
              <w:rPr>
                <w:sz w:val="4"/>
                <w:szCs w:val="4"/>
                <w:color w:val="auto"/>
              </w:rPr>
            </w:pPr>
          </w:p>
        </w:tc>
        <w:tc>
          <w:tcPr>
            <w:tcW w:w="1340" w:type="dxa"/>
            <w:vAlign w:val="bottom"/>
            <w:gridSpan w:val="15"/>
            <w:vMerge w:val="restart"/>
          </w:tcPr>
          <w:p>
            <w:pPr>
              <w:spacing w:after="0"/>
              <w:rPr>
                <w:sz w:val="20"/>
                <w:szCs w:val="20"/>
                <w:color w:val="auto"/>
              </w:rPr>
            </w:pPr>
            <w:r>
              <w:rPr>
                <w:rFonts w:ascii="Times New Roman" w:cs="Times New Roman" w:eastAsia="Times New Roman" w:hAnsi="Times New Roman"/>
                <w:sz w:val="21"/>
                <w:szCs w:val="21"/>
                <w:color w:val="auto"/>
              </w:rPr>
              <w:t>Default Interest</w:t>
            </w:r>
          </w:p>
        </w:tc>
        <w:tc>
          <w:tcPr>
            <w:tcW w:w="180" w:type="dxa"/>
            <w:vAlign w:val="bottom"/>
            <w:gridSpan w:val="4"/>
          </w:tcPr>
          <w:p>
            <w:pPr>
              <w:spacing w:after="0"/>
              <w:rPr>
                <w:sz w:val="4"/>
                <w:szCs w:val="4"/>
                <w:color w:val="auto"/>
              </w:rPr>
            </w:pPr>
          </w:p>
        </w:tc>
        <w:tc>
          <w:tcPr>
            <w:tcW w:w="22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21"/>
                <w:szCs w:val="21"/>
                <w:color w:val="FF0000"/>
                <w:strike w:val="1"/>
                <w:w w:val="85"/>
              </w:rPr>
              <w:t>67</w:t>
            </w:r>
          </w:p>
        </w:tc>
        <w:tc>
          <w:tcPr>
            <w:tcW w:w="20" w:type="dxa"/>
            <w:vAlign w:val="bottom"/>
            <w:vMerge w:val="restart"/>
          </w:tcPr>
          <w:p>
            <w:pPr>
              <w:spacing w:after="0"/>
              <w:rPr>
                <w:sz w:val="4"/>
                <w:szCs w:val="4"/>
                <w:color w:val="auto"/>
              </w:rPr>
            </w:pPr>
          </w:p>
        </w:tc>
        <w:tc>
          <w:tcPr>
            <w:tcW w:w="5360" w:type="dxa"/>
            <w:vAlign w:val="bottom"/>
            <w:gridSpan w:val="72"/>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40" w:type="dxa"/>
            <w:vAlign w:val="bottom"/>
            <w:gridSpan w:val="15"/>
            <w:vMerge w:val="continue"/>
          </w:tcPr>
          <w:p>
            <w:pPr>
              <w:spacing w:after="0"/>
              <w:rPr>
                <w:sz w:val="17"/>
                <w:szCs w:val="17"/>
                <w:color w:val="auto"/>
              </w:rPr>
            </w:pPr>
          </w:p>
        </w:tc>
        <w:tc>
          <w:tcPr>
            <w:tcW w:w="180" w:type="dxa"/>
            <w:vAlign w:val="bottom"/>
            <w:gridSpan w:val="4"/>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75"/>
              </w:rPr>
              <w:t>68</w:t>
            </w:r>
          </w:p>
        </w:tc>
        <w:tc>
          <w:tcPr>
            <w:tcW w:w="5180" w:type="dxa"/>
            <w:vAlign w:val="bottom"/>
            <w:gridSpan w:val="68"/>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2.08</w:t>
            </w:r>
          </w:p>
        </w:tc>
        <w:tc>
          <w:tcPr>
            <w:tcW w:w="100" w:type="dxa"/>
            <w:vAlign w:val="bottom"/>
            <w:vMerge w:val="restart"/>
          </w:tcPr>
          <w:p>
            <w:pPr>
              <w:spacing w:after="0"/>
              <w:rPr>
                <w:sz w:val="4"/>
                <w:szCs w:val="4"/>
                <w:color w:val="auto"/>
              </w:rPr>
            </w:pPr>
          </w:p>
        </w:tc>
        <w:tc>
          <w:tcPr>
            <w:tcW w:w="2260" w:type="dxa"/>
            <w:vAlign w:val="bottom"/>
            <w:gridSpan w:val="44"/>
            <w:vMerge w:val="restart"/>
          </w:tcPr>
          <w:p>
            <w:pPr>
              <w:spacing w:after="0"/>
              <w:rPr>
                <w:sz w:val="20"/>
                <w:szCs w:val="20"/>
                <w:color w:val="auto"/>
              </w:rPr>
            </w:pPr>
            <w:r>
              <w:rPr>
                <w:rFonts w:ascii="Times New Roman" w:cs="Times New Roman" w:eastAsia="Times New Roman" w:hAnsi="Times New Roman"/>
                <w:sz w:val="21"/>
                <w:szCs w:val="21"/>
                <w:color w:val="auto"/>
              </w:rPr>
              <w:t>Alternate Rate of Interest</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gridSpan w:val="6"/>
            <w:vMerge w:val="restart"/>
          </w:tcPr>
          <w:p>
            <w:pPr>
              <w:spacing w:after="0"/>
              <w:rPr>
                <w:sz w:val="20"/>
                <w:szCs w:val="20"/>
                <w:color w:val="auto"/>
              </w:rPr>
            </w:pPr>
            <w:r>
              <w:rPr>
                <w:rFonts w:ascii="Times New Roman" w:cs="Times New Roman" w:eastAsia="Times New Roman" w:hAnsi="Times New Roman"/>
                <w:sz w:val="21"/>
                <w:szCs w:val="21"/>
                <w:color w:val="FF0000"/>
                <w:strike w:val="1"/>
                <w:w w:val="95"/>
              </w:rPr>
              <w:t>67</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60" w:type="dxa"/>
            <w:vAlign w:val="bottom"/>
            <w:gridSpan w:val="44"/>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200" w:type="dxa"/>
            <w:vAlign w:val="bottom"/>
            <w:tcBorders>
              <w:bottom w:val="single" w:sz="8" w:color="0000FF"/>
            </w:tcBorders>
            <w:gridSpan w:val="6"/>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68</w:t>
            </w:r>
          </w:p>
        </w:tc>
        <w:tc>
          <w:tcPr>
            <w:tcW w:w="20" w:type="dxa"/>
            <w:vAlign w:val="bottom"/>
            <w:tcBorders>
              <w:bottom w:val="single" w:sz="8" w:color="0000FF"/>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2.09</w:t>
            </w:r>
          </w:p>
        </w:tc>
        <w:tc>
          <w:tcPr>
            <w:tcW w:w="100" w:type="dxa"/>
            <w:vAlign w:val="bottom"/>
            <w:vMerge w:val="restart"/>
          </w:tcPr>
          <w:p>
            <w:pPr>
              <w:spacing w:after="0"/>
              <w:rPr>
                <w:sz w:val="4"/>
                <w:szCs w:val="4"/>
                <w:color w:val="auto"/>
              </w:rPr>
            </w:pPr>
          </w:p>
        </w:tc>
        <w:tc>
          <w:tcPr>
            <w:tcW w:w="3940" w:type="dxa"/>
            <w:vAlign w:val="bottom"/>
            <w:gridSpan w:val="83"/>
            <w:vMerge w:val="restart"/>
          </w:tcPr>
          <w:p>
            <w:pPr>
              <w:spacing w:after="0"/>
              <w:rPr>
                <w:sz w:val="20"/>
                <w:szCs w:val="20"/>
                <w:color w:val="auto"/>
              </w:rPr>
            </w:pPr>
            <w:r>
              <w:rPr>
                <w:rFonts w:ascii="Times New Roman" w:cs="Times New Roman" w:eastAsia="Times New Roman" w:hAnsi="Times New Roman"/>
                <w:sz w:val="21"/>
                <w:szCs w:val="21"/>
                <w:color w:val="auto"/>
              </w:rPr>
              <w:t>Termination and Reduction of Commitments</w:t>
            </w: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68</w:t>
            </w:r>
          </w:p>
        </w:tc>
        <w:tc>
          <w:tcPr>
            <w:tcW w:w="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940" w:type="dxa"/>
            <w:vAlign w:val="bottom"/>
            <w:gridSpan w:val="83"/>
            <w:vMerge w:val="continue"/>
          </w:tcPr>
          <w:p>
            <w:pPr>
              <w:spacing w:after="0"/>
              <w:rPr>
                <w:sz w:val="18"/>
                <w:szCs w:val="18"/>
                <w:color w:val="auto"/>
              </w:rPr>
            </w:pPr>
          </w:p>
        </w:tc>
        <w:tc>
          <w:tcPr>
            <w:tcW w:w="220" w:type="dxa"/>
            <w:vAlign w:val="bottom"/>
            <w:gridSpan w:val="4"/>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200" w:type="dxa"/>
            <w:vAlign w:val="bottom"/>
            <w:tcBorders>
              <w:bottom w:val="single" w:sz="8" w:color="0000FF"/>
            </w:tcBorders>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69</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2.10</w:t>
            </w:r>
          </w:p>
        </w:tc>
        <w:tc>
          <w:tcPr>
            <w:tcW w:w="100" w:type="dxa"/>
            <w:vAlign w:val="bottom"/>
            <w:vMerge w:val="restart"/>
          </w:tcPr>
          <w:p>
            <w:pPr>
              <w:spacing w:after="0"/>
              <w:rPr>
                <w:sz w:val="3"/>
                <w:szCs w:val="3"/>
                <w:color w:val="auto"/>
              </w:rPr>
            </w:pPr>
          </w:p>
        </w:tc>
        <w:tc>
          <w:tcPr>
            <w:tcW w:w="3940" w:type="dxa"/>
            <w:vAlign w:val="bottom"/>
            <w:gridSpan w:val="83"/>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Conversion and Continuation of Borrowings</w:t>
            </w:r>
          </w:p>
        </w:tc>
        <w:tc>
          <w:tcPr>
            <w:tcW w:w="200" w:type="dxa"/>
            <w:vAlign w:val="bottom"/>
            <w:gridSpan w:val="3"/>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5"/>
              </w:rPr>
              <w:t>69</w:t>
            </w:r>
          </w:p>
        </w:tc>
        <w:tc>
          <w:tcPr>
            <w:tcW w:w="40" w:type="dxa"/>
            <w:vAlign w:val="bottom"/>
            <w:gridSpan w:val="2"/>
          </w:tcPr>
          <w:p>
            <w:pPr>
              <w:spacing w:after="0"/>
              <w:rPr>
                <w:sz w:val="3"/>
                <w:szCs w:val="3"/>
                <w:color w:val="auto"/>
              </w:rPr>
            </w:pPr>
          </w:p>
        </w:tc>
        <w:tc>
          <w:tcPr>
            <w:tcW w:w="18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vMerge w:val="restart"/>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940" w:type="dxa"/>
            <w:vAlign w:val="bottom"/>
            <w:gridSpan w:val="83"/>
            <w:vMerge w:val="continue"/>
          </w:tcPr>
          <w:p>
            <w:pPr>
              <w:spacing w:after="0"/>
              <w:rPr>
                <w:sz w:val="18"/>
                <w:szCs w:val="18"/>
                <w:color w:val="auto"/>
              </w:rPr>
            </w:pPr>
          </w:p>
        </w:tc>
        <w:tc>
          <w:tcPr>
            <w:tcW w:w="200" w:type="dxa"/>
            <w:vAlign w:val="bottom"/>
            <w:gridSpan w:val="3"/>
            <w:vMerge w:val="continue"/>
          </w:tcPr>
          <w:p>
            <w:pPr>
              <w:spacing w:after="0"/>
              <w:rPr>
                <w:sz w:val="18"/>
                <w:szCs w:val="18"/>
                <w:color w:val="auto"/>
              </w:rPr>
            </w:pPr>
          </w:p>
        </w:tc>
        <w:tc>
          <w:tcPr>
            <w:tcW w:w="220" w:type="dxa"/>
            <w:vAlign w:val="bottom"/>
            <w:tcBorders>
              <w:bottom w:val="single" w:sz="8" w:color="0000FF"/>
            </w:tcBorders>
            <w:gridSpan w:val="3"/>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70</w:t>
            </w:r>
          </w:p>
        </w:tc>
        <w:tc>
          <w:tcPr>
            <w:tcW w:w="20" w:type="dxa"/>
            <w:vAlign w:val="bottom"/>
            <w:tcBorders>
              <w:bottom w:val="single" w:sz="8" w:color="0000FF"/>
            </w:tcBorders>
            <w:vMerge w:val="continue"/>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2.11</w:t>
            </w:r>
          </w:p>
        </w:tc>
        <w:tc>
          <w:tcPr>
            <w:tcW w:w="1920" w:type="dxa"/>
            <w:vAlign w:val="bottom"/>
            <w:gridSpan w:val="2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w w:val="99"/>
              </w:rPr>
              <w:t>Optional Prepayment</w:t>
            </w:r>
          </w:p>
        </w:tc>
        <w:tc>
          <w:tcPr>
            <w:tcW w:w="160" w:type="dxa"/>
            <w:vAlign w:val="bottom"/>
            <w:gridSpan w:val="4"/>
          </w:tcPr>
          <w:p>
            <w:pPr>
              <w:spacing w:after="0"/>
              <w:rPr>
                <w:sz w:val="3"/>
                <w:szCs w:val="3"/>
                <w:color w:val="auto"/>
              </w:rPr>
            </w:pPr>
          </w:p>
        </w:tc>
        <w:tc>
          <w:tcPr>
            <w:tcW w:w="220" w:type="dxa"/>
            <w:vAlign w:val="bottom"/>
            <w:gridSpan w:val="9"/>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95"/>
              </w:rPr>
              <w:t>71</w:t>
            </w:r>
          </w:p>
        </w:tc>
        <w:tc>
          <w:tcPr>
            <w:tcW w:w="1940" w:type="dxa"/>
            <w:vAlign w:val="bottom"/>
            <w:gridSpan w:val="45"/>
          </w:tcPr>
          <w:p>
            <w:pPr>
              <w:spacing w:after="0"/>
              <w:rPr>
                <w:sz w:val="3"/>
                <w:szCs w:val="3"/>
                <w:color w:val="auto"/>
              </w:rPr>
            </w:pPr>
          </w:p>
        </w:tc>
        <w:tc>
          <w:tcPr>
            <w:tcW w:w="220" w:type="dxa"/>
            <w:vAlign w:val="bottom"/>
            <w:tcBorders>
              <w:top w:val="single" w:sz="8" w:color="DDDDDD"/>
            </w:tcBorders>
            <w:gridSpan w:val="3"/>
          </w:tcPr>
          <w:p>
            <w:pPr>
              <w:spacing w:after="0"/>
              <w:rPr>
                <w:sz w:val="3"/>
                <w:szCs w:val="3"/>
                <w:color w:val="auto"/>
              </w:rPr>
            </w:pPr>
          </w:p>
        </w:tc>
        <w:tc>
          <w:tcPr>
            <w:tcW w:w="2760" w:type="dxa"/>
            <w:vAlign w:val="bottom"/>
            <w:gridSpan w:val="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920" w:type="dxa"/>
            <w:vAlign w:val="bottom"/>
            <w:gridSpan w:val="29"/>
            <w:vMerge w:val="continue"/>
          </w:tcPr>
          <w:p>
            <w:pPr>
              <w:spacing w:after="0"/>
              <w:rPr>
                <w:sz w:val="17"/>
                <w:szCs w:val="17"/>
                <w:color w:val="auto"/>
              </w:rPr>
            </w:pPr>
          </w:p>
        </w:tc>
        <w:tc>
          <w:tcPr>
            <w:tcW w:w="160" w:type="dxa"/>
            <w:vAlign w:val="bottom"/>
            <w:gridSpan w:val="4"/>
          </w:tcPr>
          <w:p>
            <w:pPr>
              <w:spacing w:after="0"/>
              <w:rPr>
                <w:sz w:val="17"/>
                <w:szCs w:val="17"/>
                <w:color w:val="auto"/>
              </w:rPr>
            </w:pPr>
          </w:p>
        </w:tc>
        <w:tc>
          <w:tcPr>
            <w:tcW w:w="220" w:type="dxa"/>
            <w:vAlign w:val="bottom"/>
            <w:gridSpan w:val="9"/>
            <w:vMerge w:val="continue"/>
          </w:tcPr>
          <w:p>
            <w:pPr>
              <w:spacing w:after="0"/>
              <w:rPr>
                <w:sz w:val="17"/>
                <w:szCs w:val="17"/>
                <w:color w:val="auto"/>
              </w:rPr>
            </w:pPr>
          </w:p>
        </w:tc>
        <w:tc>
          <w:tcPr>
            <w:tcW w:w="160" w:type="dxa"/>
            <w:vAlign w:val="bottom"/>
            <w:gridSpan w:val="7"/>
            <w:shd w:val="clear" w:color="auto" w:fill="DDDDDD"/>
          </w:tcPr>
          <w:p>
            <w:pPr>
              <w:spacing w:after="0"/>
              <w:rPr>
                <w:sz w:val="20"/>
                <w:szCs w:val="20"/>
                <w:color w:val="auto"/>
              </w:rPr>
            </w:pPr>
            <w:r>
              <w:rPr>
                <w:rFonts w:ascii="Times New Roman" w:cs="Times New Roman" w:eastAsia="Times New Roman" w:hAnsi="Times New Roman"/>
                <w:sz w:val="17"/>
                <w:szCs w:val="17"/>
                <w:color w:val="0000FF"/>
                <w:highlight w:val="lightGray"/>
                <w:w w:val="70"/>
              </w:rPr>
              <w:t>72</w:t>
            </w:r>
          </w:p>
        </w:tc>
        <w:tc>
          <w:tcPr>
            <w:tcW w:w="4760" w:type="dxa"/>
            <w:vAlign w:val="bottom"/>
            <w:tcBorders>
              <w:left w:val="single" w:sz="8" w:color="DDDDDD"/>
            </w:tcBorders>
            <w:gridSpan w:val="50"/>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480" w:type="dxa"/>
            <w:vAlign w:val="bottom"/>
            <w:gridSpan w:val="50"/>
          </w:tcPr>
          <w:p>
            <w:pPr>
              <w:spacing w:after="0"/>
              <w:rPr>
                <w:sz w:val="2"/>
                <w:szCs w:val="2"/>
                <w:color w:val="auto"/>
              </w:rPr>
            </w:pPr>
          </w:p>
        </w:tc>
        <w:tc>
          <w:tcPr>
            <w:tcW w:w="4760" w:type="dxa"/>
            <w:vAlign w:val="bottom"/>
            <w:tcBorders>
              <w:left w:val="single" w:sz="8" w:color="0000FF"/>
            </w:tcBorders>
            <w:gridSpan w:val="5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2.12</w:t>
            </w:r>
          </w:p>
        </w:tc>
        <w:tc>
          <w:tcPr>
            <w:tcW w:w="100" w:type="dxa"/>
            <w:vAlign w:val="bottom"/>
            <w:vMerge w:val="restart"/>
          </w:tcPr>
          <w:p>
            <w:pPr>
              <w:spacing w:after="0"/>
              <w:rPr>
                <w:sz w:val="5"/>
                <w:szCs w:val="5"/>
                <w:color w:val="auto"/>
              </w:rPr>
            </w:pPr>
          </w:p>
        </w:tc>
        <w:tc>
          <w:tcPr>
            <w:tcW w:w="2180" w:type="dxa"/>
            <w:vAlign w:val="bottom"/>
            <w:gridSpan w:val="40"/>
            <w:vMerge w:val="restart"/>
          </w:tcPr>
          <w:p>
            <w:pPr>
              <w:spacing w:after="0"/>
              <w:rPr>
                <w:sz w:val="20"/>
                <w:szCs w:val="20"/>
                <w:color w:val="auto"/>
              </w:rPr>
            </w:pPr>
            <w:r>
              <w:rPr>
                <w:rFonts w:ascii="Times New Roman" w:cs="Times New Roman" w:eastAsia="Times New Roman" w:hAnsi="Times New Roman"/>
                <w:sz w:val="21"/>
                <w:szCs w:val="21"/>
                <w:color w:val="auto"/>
              </w:rPr>
              <w:t>Mandatory Prepayments</w:t>
            </w:r>
          </w:p>
        </w:tc>
        <w:tc>
          <w:tcPr>
            <w:tcW w:w="80" w:type="dxa"/>
            <w:vAlign w:val="bottom"/>
            <w:gridSpan w:val="4"/>
            <w:vMerge w:val="restart"/>
          </w:tcPr>
          <w:p>
            <w:pPr>
              <w:spacing w:after="0"/>
              <w:rPr>
                <w:sz w:val="5"/>
                <w:szCs w:val="5"/>
                <w:color w:val="auto"/>
              </w:rPr>
            </w:pPr>
          </w:p>
        </w:tc>
        <w:tc>
          <w:tcPr>
            <w:tcW w:w="200" w:type="dxa"/>
            <w:vAlign w:val="bottom"/>
            <w:gridSpan w:val="6"/>
            <w:vMerge w:val="restart"/>
          </w:tcPr>
          <w:p>
            <w:pPr>
              <w:spacing w:after="0"/>
              <w:rPr>
                <w:sz w:val="20"/>
                <w:szCs w:val="20"/>
                <w:color w:val="auto"/>
              </w:rPr>
            </w:pPr>
            <w:r>
              <w:rPr>
                <w:rFonts w:ascii="Times New Roman" w:cs="Times New Roman" w:eastAsia="Times New Roman" w:hAnsi="Times New Roman"/>
                <w:sz w:val="21"/>
                <w:szCs w:val="21"/>
                <w:color w:val="FF0000"/>
                <w:strike w:val="1"/>
                <w:w w:val="85"/>
              </w:rPr>
              <w:t>72</w:t>
            </w:r>
          </w:p>
        </w:tc>
        <w:tc>
          <w:tcPr>
            <w:tcW w:w="20" w:type="dxa"/>
            <w:vAlign w:val="bottom"/>
            <w:vMerge w:val="restart"/>
          </w:tcPr>
          <w:p>
            <w:pPr>
              <w:spacing w:after="0"/>
              <w:rPr>
                <w:sz w:val="5"/>
                <w:szCs w:val="5"/>
                <w:color w:val="auto"/>
              </w:rPr>
            </w:pPr>
          </w:p>
        </w:tc>
        <w:tc>
          <w:tcPr>
            <w:tcW w:w="8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180" w:type="dxa"/>
            <w:vAlign w:val="bottom"/>
            <w:gridSpan w:val="40"/>
            <w:vMerge w:val="continue"/>
          </w:tcPr>
          <w:p>
            <w:pPr>
              <w:spacing w:after="0"/>
              <w:rPr>
                <w:sz w:val="17"/>
                <w:szCs w:val="17"/>
                <w:color w:val="auto"/>
              </w:rPr>
            </w:pPr>
          </w:p>
        </w:tc>
        <w:tc>
          <w:tcPr>
            <w:tcW w:w="80" w:type="dxa"/>
            <w:vAlign w:val="bottom"/>
            <w:gridSpan w:val="4"/>
            <w:vMerge w:val="continue"/>
          </w:tcPr>
          <w:p>
            <w:pPr>
              <w:spacing w:after="0"/>
              <w:rPr>
                <w:sz w:val="17"/>
                <w:szCs w:val="17"/>
                <w:color w:val="auto"/>
              </w:rPr>
            </w:pPr>
          </w:p>
        </w:tc>
        <w:tc>
          <w:tcPr>
            <w:tcW w:w="20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bottom w:val="single" w:sz="8" w:color="0000FF"/>
            </w:tcBorders>
            <w:gridSpan w:val="6"/>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73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2.13</w:t>
            </w:r>
          </w:p>
        </w:tc>
        <w:tc>
          <w:tcPr>
            <w:tcW w:w="100" w:type="dxa"/>
            <w:vAlign w:val="bottom"/>
            <w:vMerge w:val="restart"/>
          </w:tcPr>
          <w:p>
            <w:pPr>
              <w:spacing w:after="0"/>
              <w:rPr>
                <w:sz w:val="4"/>
                <w:szCs w:val="4"/>
                <w:color w:val="auto"/>
              </w:rPr>
            </w:pPr>
          </w:p>
        </w:tc>
        <w:tc>
          <w:tcPr>
            <w:tcW w:w="3360" w:type="dxa"/>
            <w:vAlign w:val="bottom"/>
            <w:gridSpan w:val="67"/>
            <w:vMerge w:val="restart"/>
          </w:tcPr>
          <w:p>
            <w:pPr>
              <w:spacing w:after="0"/>
              <w:rPr>
                <w:sz w:val="20"/>
                <w:szCs w:val="20"/>
                <w:color w:val="auto"/>
              </w:rPr>
            </w:pPr>
            <w:r>
              <w:rPr>
                <w:rFonts w:ascii="Times New Roman" w:cs="Times New Roman" w:eastAsia="Times New Roman" w:hAnsi="Times New Roman"/>
                <w:sz w:val="21"/>
                <w:szCs w:val="21"/>
                <w:color w:val="auto"/>
              </w:rPr>
              <w:t>Increased Costs; Capital Requirements</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FF0000"/>
                <w:strike w:val="1"/>
                <w:w w:val="85"/>
              </w:rPr>
              <w:t>73</w:t>
            </w:r>
          </w:p>
        </w:tc>
        <w:tc>
          <w:tcPr>
            <w:tcW w:w="120" w:type="dxa"/>
            <w:vAlign w:val="bottom"/>
            <w:gridSpan w:val="4"/>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360" w:type="dxa"/>
            <w:vAlign w:val="bottom"/>
            <w:gridSpan w:val="67"/>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200" w:type="dxa"/>
            <w:vAlign w:val="bottom"/>
            <w:tcBorders>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75</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2.14</w:t>
            </w:r>
          </w:p>
        </w:tc>
        <w:tc>
          <w:tcPr>
            <w:tcW w:w="100" w:type="dxa"/>
            <w:vAlign w:val="bottom"/>
            <w:vMerge w:val="restart"/>
          </w:tcPr>
          <w:p>
            <w:pPr>
              <w:spacing w:after="0"/>
              <w:rPr>
                <w:sz w:val="4"/>
                <w:szCs w:val="4"/>
                <w:color w:val="auto"/>
              </w:rPr>
            </w:pPr>
          </w:p>
        </w:tc>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21"/>
                <w:szCs w:val="21"/>
                <w:color w:val="auto"/>
              </w:rPr>
              <w:t>Change in Legality</w:t>
            </w: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5"/>
              </w:rPr>
              <w:t>75</w:t>
            </w:r>
          </w:p>
        </w:tc>
        <w:tc>
          <w:tcPr>
            <w:tcW w:w="20" w:type="dxa"/>
            <w:vAlign w:val="bottom"/>
            <w:vMerge w:val="restart"/>
          </w:tcPr>
          <w:p>
            <w:pPr>
              <w:spacing w:after="0"/>
              <w:rPr>
                <w:sz w:val="4"/>
                <w:szCs w:val="4"/>
                <w:color w:val="auto"/>
              </w:rPr>
            </w:pPr>
          </w:p>
        </w:tc>
        <w:tc>
          <w:tcPr>
            <w:tcW w:w="5080" w:type="dxa"/>
            <w:vAlign w:val="bottom"/>
            <w:gridSpan w:val="64"/>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20" w:type="dxa"/>
            <w:vAlign w:val="bottom"/>
            <w:gridSpan w:val="28"/>
            <w:vMerge w:val="continue"/>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76</w:t>
            </w:r>
          </w:p>
        </w:tc>
        <w:tc>
          <w:tcPr>
            <w:tcW w:w="4880" w:type="dxa"/>
            <w:vAlign w:val="bottom"/>
            <w:gridSpan w:val="55"/>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2.15</w:t>
            </w:r>
          </w:p>
        </w:tc>
        <w:tc>
          <w:tcPr>
            <w:tcW w:w="100" w:type="dxa"/>
            <w:vAlign w:val="bottom"/>
            <w:vMerge w:val="restart"/>
          </w:tcPr>
          <w:p>
            <w:pPr>
              <w:spacing w:after="0"/>
              <w:rPr>
                <w:sz w:val="4"/>
                <w:szCs w:val="4"/>
                <w:color w:val="auto"/>
              </w:rPr>
            </w:pPr>
          </w:p>
        </w:tc>
        <w:tc>
          <w:tcPr>
            <w:tcW w:w="1340" w:type="dxa"/>
            <w:vAlign w:val="bottom"/>
            <w:gridSpan w:val="15"/>
            <w:vMerge w:val="restart"/>
          </w:tcPr>
          <w:p>
            <w:pPr>
              <w:spacing w:after="0"/>
              <w:rPr>
                <w:sz w:val="20"/>
                <w:szCs w:val="20"/>
                <w:color w:val="auto"/>
              </w:rPr>
            </w:pPr>
            <w:r>
              <w:rPr>
                <w:rFonts w:ascii="Times New Roman" w:cs="Times New Roman" w:eastAsia="Times New Roman" w:hAnsi="Times New Roman"/>
                <w:sz w:val="21"/>
                <w:szCs w:val="21"/>
                <w:color w:val="auto"/>
              </w:rPr>
              <w:t>Breakage Costs</w:t>
            </w:r>
          </w:p>
        </w:tc>
        <w:tc>
          <w:tcPr>
            <w:tcW w:w="180" w:type="dxa"/>
            <w:vAlign w:val="bottom"/>
            <w:gridSpan w:val="4"/>
          </w:tcPr>
          <w:p>
            <w:pPr>
              <w:spacing w:after="0"/>
              <w:rPr>
                <w:sz w:val="4"/>
                <w:szCs w:val="4"/>
                <w:color w:val="auto"/>
              </w:rPr>
            </w:pPr>
          </w:p>
        </w:tc>
        <w:tc>
          <w:tcPr>
            <w:tcW w:w="22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21"/>
                <w:szCs w:val="21"/>
                <w:color w:val="FF0000"/>
                <w:strike w:val="1"/>
                <w:w w:val="85"/>
              </w:rPr>
              <w:t>75</w:t>
            </w:r>
          </w:p>
        </w:tc>
        <w:tc>
          <w:tcPr>
            <w:tcW w:w="20" w:type="dxa"/>
            <w:vAlign w:val="bottom"/>
            <w:vMerge w:val="restart"/>
          </w:tcPr>
          <w:p>
            <w:pPr>
              <w:spacing w:after="0"/>
              <w:rPr>
                <w:sz w:val="4"/>
                <w:szCs w:val="4"/>
                <w:color w:val="auto"/>
              </w:rPr>
            </w:pPr>
          </w:p>
        </w:tc>
        <w:tc>
          <w:tcPr>
            <w:tcW w:w="5360" w:type="dxa"/>
            <w:vAlign w:val="bottom"/>
            <w:gridSpan w:val="72"/>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40" w:type="dxa"/>
            <w:vAlign w:val="bottom"/>
            <w:gridSpan w:val="15"/>
            <w:vMerge w:val="continue"/>
          </w:tcPr>
          <w:p>
            <w:pPr>
              <w:spacing w:after="0"/>
              <w:rPr>
                <w:sz w:val="17"/>
                <w:szCs w:val="17"/>
                <w:color w:val="auto"/>
              </w:rPr>
            </w:pPr>
          </w:p>
        </w:tc>
        <w:tc>
          <w:tcPr>
            <w:tcW w:w="180" w:type="dxa"/>
            <w:vAlign w:val="bottom"/>
            <w:gridSpan w:val="4"/>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180" w:type="dxa"/>
            <w:vAlign w:val="bottom"/>
            <w:tcBorders>
              <w:bottom w:val="single" w:sz="8" w:color="0000FF"/>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75"/>
              </w:rPr>
              <w:t>77</w:t>
            </w:r>
          </w:p>
        </w:tc>
        <w:tc>
          <w:tcPr>
            <w:tcW w:w="5180" w:type="dxa"/>
            <w:vAlign w:val="bottom"/>
            <w:gridSpan w:val="68"/>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2.16</w:t>
            </w:r>
          </w:p>
        </w:tc>
        <w:tc>
          <w:tcPr>
            <w:tcW w:w="100" w:type="dxa"/>
            <w:vAlign w:val="bottom"/>
            <w:vMerge w:val="restart"/>
          </w:tcPr>
          <w:p>
            <w:pPr>
              <w:spacing w:after="0"/>
              <w:rPr>
                <w:sz w:val="4"/>
                <w:szCs w:val="4"/>
                <w:color w:val="auto"/>
              </w:rPr>
            </w:pPr>
          </w:p>
        </w:tc>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21"/>
                <w:szCs w:val="21"/>
                <w:color w:val="auto"/>
              </w:rPr>
              <w:t>Pro Rata Treatment</w:t>
            </w:r>
          </w:p>
        </w:tc>
        <w:tc>
          <w:tcPr>
            <w:tcW w:w="220" w:type="dxa"/>
            <w:vAlign w:val="bottom"/>
            <w:gridSpan w:val="6"/>
            <w:vMerge w:val="restart"/>
          </w:tcPr>
          <w:p>
            <w:pPr>
              <w:ind w:left="20"/>
              <w:spacing w:after="0"/>
              <w:rPr>
                <w:sz w:val="20"/>
                <w:szCs w:val="20"/>
                <w:color w:val="auto"/>
              </w:rPr>
            </w:pPr>
            <w:r>
              <w:rPr>
                <w:rFonts w:ascii="Times New Roman" w:cs="Times New Roman" w:eastAsia="Times New Roman" w:hAnsi="Times New Roman"/>
                <w:sz w:val="21"/>
                <w:szCs w:val="21"/>
                <w:color w:val="FF0000"/>
                <w:strike w:val="1"/>
                <w:w w:val="85"/>
              </w:rPr>
              <w:t>76</w:t>
            </w:r>
          </w:p>
        </w:tc>
        <w:tc>
          <w:tcPr>
            <w:tcW w:w="20" w:type="dxa"/>
            <w:vAlign w:val="bottom"/>
            <w:vMerge w:val="restart"/>
          </w:tcPr>
          <w:p>
            <w:pPr>
              <w:spacing w:after="0"/>
              <w:rPr>
                <w:sz w:val="4"/>
                <w:szCs w:val="4"/>
                <w:color w:val="auto"/>
              </w:rPr>
            </w:pPr>
          </w:p>
        </w:tc>
        <w:tc>
          <w:tcPr>
            <w:tcW w:w="5060" w:type="dxa"/>
            <w:vAlign w:val="bottom"/>
            <w:gridSpan w:val="63"/>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20" w:type="dxa"/>
            <w:vAlign w:val="bottom"/>
            <w:gridSpan w:val="28"/>
            <w:vMerge w:val="continue"/>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bottom w:val="single" w:sz="8" w:color="0000FF"/>
            </w:tcBorders>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77</w:t>
            </w:r>
          </w:p>
        </w:tc>
        <w:tc>
          <w:tcPr>
            <w:tcW w:w="4860" w:type="dxa"/>
            <w:vAlign w:val="bottom"/>
            <w:gridSpan w:val="54"/>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2.17</w:t>
            </w:r>
          </w:p>
        </w:tc>
        <w:tc>
          <w:tcPr>
            <w:tcW w:w="100" w:type="dxa"/>
            <w:vAlign w:val="bottom"/>
            <w:vMerge w:val="restart"/>
          </w:tcPr>
          <w:p>
            <w:pPr>
              <w:spacing w:after="0"/>
              <w:rPr>
                <w:sz w:val="5"/>
                <w:szCs w:val="5"/>
                <w:color w:val="auto"/>
              </w:rPr>
            </w:pPr>
          </w:p>
        </w:tc>
        <w:tc>
          <w:tcPr>
            <w:tcW w:w="1600" w:type="dxa"/>
            <w:vAlign w:val="bottom"/>
            <w:gridSpan w:val="20"/>
            <w:vMerge w:val="restart"/>
          </w:tcPr>
          <w:p>
            <w:pPr>
              <w:spacing w:after="0"/>
              <w:rPr>
                <w:sz w:val="20"/>
                <w:szCs w:val="20"/>
                <w:color w:val="auto"/>
              </w:rPr>
            </w:pPr>
            <w:r>
              <w:rPr>
                <w:rFonts w:ascii="Times New Roman" w:cs="Times New Roman" w:eastAsia="Times New Roman" w:hAnsi="Times New Roman"/>
                <w:sz w:val="21"/>
                <w:szCs w:val="21"/>
                <w:color w:val="auto"/>
              </w:rPr>
              <w:t>Sharing of Setoffs</w:t>
            </w:r>
          </w:p>
        </w:tc>
        <w:tc>
          <w:tcPr>
            <w:tcW w:w="160" w:type="dxa"/>
            <w:vAlign w:val="bottom"/>
            <w:gridSpan w:val="6"/>
          </w:tcPr>
          <w:p>
            <w:pPr>
              <w:spacing w:after="0"/>
              <w:rPr>
                <w:sz w:val="5"/>
                <w:szCs w:val="5"/>
                <w:color w:val="auto"/>
              </w:rPr>
            </w:pP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75"/>
              </w:rPr>
              <w:t>76</w:t>
            </w:r>
          </w:p>
        </w:tc>
        <w:tc>
          <w:tcPr>
            <w:tcW w:w="220" w:type="dxa"/>
            <w:vAlign w:val="bottom"/>
            <w:gridSpan w:val="9"/>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920" w:type="dxa"/>
            <w:vAlign w:val="bottom"/>
            <w:gridSpan w:val="57"/>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0" w:type="dxa"/>
            <w:vAlign w:val="bottom"/>
            <w:gridSpan w:val="20"/>
            <w:vMerge w:val="continue"/>
          </w:tcPr>
          <w:p>
            <w:pPr>
              <w:spacing w:after="0"/>
              <w:rPr>
                <w:sz w:val="17"/>
                <w:szCs w:val="17"/>
                <w:color w:val="auto"/>
              </w:rPr>
            </w:pPr>
          </w:p>
        </w:tc>
        <w:tc>
          <w:tcPr>
            <w:tcW w:w="160" w:type="dxa"/>
            <w:vAlign w:val="bottom"/>
            <w:gridSpan w:val="6"/>
          </w:tcPr>
          <w:p>
            <w:pPr>
              <w:spacing w:after="0"/>
              <w:rPr>
                <w:sz w:val="17"/>
                <w:szCs w:val="17"/>
                <w:color w:val="auto"/>
              </w:rPr>
            </w:pPr>
          </w:p>
        </w:tc>
        <w:tc>
          <w:tcPr>
            <w:tcW w:w="180" w:type="dxa"/>
            <w:vAlign w:val="bottom"/>
            <w:gridSpan w:val="4"/>
            <w:vMerge w:val="continue"/>
          </w:tcPr>
          <w:p>
            <w:pPr>
              <w:spacing w:after="0"/>
              <w:rPr>
                <w:sz w:val="17"/>
                <w:szCs w:val="17"/>
                <w:color w:val="auto"/>
              </w:rPr>
            </w:pPr>
          </w:p>
        </w:tc>
        <w:tc>
          <w:tcPr>
            <w:tcW w:w="22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77</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920" w:type="dxa"/>
            <w:vAlign w:val="bottom"/>
            <w:gridSpan w:val="57"/>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2.18</w:t>
            </w:r>
          </w:p>
        </w:tc>
        <w:tc>
          <w:tcPr>
            <w:tcW w:w="100" w:type="dxa"/>
            <w:vAlign w:val="bottom"/>
            <w:vMerge w:val="restart"/>
          </w:tcPr>
          <w:p>
            <w:pPr>
              <w:spacing w:after="0"/>
              <w:rPr>
                <w:sz w:val="4"/>
                <w:szCs w:val="4"/>
                <w:color w:val="auto"/>
              </w:rPr>
            </w:pPr>
          </w:p>
        </w:tc>
        <w:tc>
          <w:tcPr>
            <w:tcW w:w="1020" w:type="dxa"/>
            <w:vAlign w:val="bottom"/>
            <w:gridSpan w:val="10"/>
            <w:vMerge w:val="restart"/>
          </w:tcPr>
          <w:p>
            <w:pPr>
              <w:spacing w:after="0"/>
              <w:rPr>
                <w:sz w:val="20"/>
                <w:szCs w:val="20"/>
                <w:color w:val="auto"/>
              </w:rPr>
            </w:pPr>
            <w:r>
              <w:rPr>
                <w:rFonts w:ascii="Times New Roman" w:cs="Times New Roman" w:eastAsia="Times New Roman" w:hAnsi="Times New Roman"/>
                <w:sz w:val="21"/>
                <w:szCs w:val="21"/>
                <w:color w:val="auto"/>
              </w:rPr>
              <w:t>Payments</w:t>
            </w: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79</w:t>
            </w:r>
          </w:p>
        </w:tc>
        <w:tc>
          <w:tcPr>
            <w:tcW w:w="200" w:type="dxa"/>
            <w:vAlign w:val="bottom"/>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140" w:type="dxa"/>
            <w:vAlign w:val="bottom"/>
            <w:gridSpan w:val="2"/>
            <w:vMerge w:val="restart"/>
          </w:tcPr>
          <w:p>
            <w:pPr>
              <w:spacing w:after="0"/>
              <w:rPr>
                <w:sz w:val="4"/>
                <w:szCs w:val="4"/>
                <w:color w:val="auto"/>
              </w:rPr>
            </w:pPr>
          </w:p>
        </w:tc>
        <w:tc>
          <w:tcPr>
            <w:tcW w:w="5520" w:type="dxa"/>
            <w:vAlign w:val="bottom"/>
            <w:gridSpan w:val="78"/>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gridSpan w:val="10"/>
            <w:vMerge w:val="continue"/>
          </w:tcPr>
          <w:p>
            <w:pPr>
              <w:spacing w:after="0"/>
              <w:rPr>
                <w:sz w:val="18"/>
                <w:szCs w:val="18"/>
                <w:color w:val="auto"/>
              </w:rPr>
            </w:pPr>
          </w:p>
        </w:tc>
        <w:tc>
          <w:tcPr>
            <w:tcW w:w="220" w:type="dxa"/>
            <w:vAlign w:val="bottom"/>
            <w:gridSpan w:val="4"/>
            <w:vMerge w:val="continue"/>
          </w:tcPr>
          <w:p>
            <w:pPr>
              <w:spacing w:after="0"/>
              <w:rPr>
                <w:sz w:val="18"/>
                <w:szCs w:val="18"/>
                <w:color w:val="auto"/>
              </w:rPr>
            </w:pPr>
          </w:p>
        </w:tc>
        <w:tc>
          <w:tcPr>
            <w:tcW w:w="200" w:type="dxa"/>
            <w:vAlign w:val="bottom"/>
            <w:tcBorders>
              <w:bottom w:val="single" w:sz="8" w:color="0000FF"/>
            </w:tcBorders>
            <w:gridSpan w:val="3"/>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81</w:t>
            </w:r>
          </w:p>
        </w:tc>
        <w:tc>
          <w:tcPr>
            <w:tcW w:w="20" w:type="dxa"/>
            <w:vAlign w:val="bottom"/>
            <w:tcBorders>
              <w:bottom w:val="single" w:sz="8" w:color="0000FF"/>
            </w:tcBorders>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520" w:type="dxa"/>
            <w:vAlign w:val="bottom"/>
            <w:gridSpan w:val="78"/>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2.19</w:t>
            </w:r>
          </w:p>
        </w:tc>
        <w:tc>
          <w:tcPr>
            <w:tcW w:w="100" w:type="dxa"/>
            <w:vAlign w:val="bottom"/>
            <w:vMerge w:val="restart"/>
          </w:tcPr>
          <w:p>
            <w:pPr>
              <w:spacing w:after="0"/>
              <w:rPr>
                <w:sz w:val="3"/>
                <w:szCs w:val="3"/>
                <w:color w:val="auto"/>
              </w:rPr>
            </w:pPr>
          </w:p>
        </w:tc>
        <w:tc>
          <w:tcPr>
            <w:tcW w:w="600" w:type="dxa"/>
            <w:vAlign w:val="bottom"/>
            <w:gridSpan w:val="4"/>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Taxes</w:t>
            </w:r>
          </w:p>
        </w:tc>
        <w:tc>
          <w:tcPr>
            <w:tcW w:w="100" w:type="dxa"/>
            <w:vAlign w:val="bottom"/>
          </w:tcPr>
          <w:p>
            <w:pPr>
              <w:spacing w:after="0"/>
              <w:rPr>
                <w:sz w:val="3"/>
                <w:szCs w:val="3"/>
                <w:color w:val="auto"/>
              </w:rPr>
            </w:pPr>
          </w:p>
        </w:tc>
        <w:tc>
          <w:tcPr>
            <w:tcW w:w="200" w:type="dxa"/>
            <w:vAlign w:val="bottom"/>
            <w:gridSpan w:val="2"/>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5"/>
              </w:rPr>
              <w:t>80</w:t>
            </w:r>
          </w:p>
        </w:tc>
        <w:tc>
          <w:tcPr>
            <w:tcW w:w="220" w:type="dxa"/>
            <w:vAlign w:val="bottom"/>
            <w:gridSpan w:val="4"/>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gridSpan w:val="2"/>
          </w:tcPr>
          <w:p>
            <w:pPr>
              <w:spacing w:after="0"/>
              <w:rPr>
                <w:sz w:val="3"/>
                <w:szCs w:val="3"/>
                <w:color w:val="auto"/>
              </w:rPr>
            </w:pPr>
          </w:p>
        </w:tc>
        <w:tc>
          <w:tcPr>
            <w:tcW w:w="200" w:type="dxa"/>
            <w:vAlign w:val="bottom"/>
            <w:tcBorders>
              <w:top w:val="single" w:sz="8" w:color="DDDDDD"/>
            </w:tcBorders>
            <w:gridSpan w:val="3"/>
          </w:tcPr>
          <w:p>
            <w:pPr>
              <w:spacing w:after="0"/>
              <w:rPr>
                <w:sz w:val="3"/>
                <w:szCs w:val="3"/>
                <w:color w:val="auto"/>
              </w:rPr>
            </w:pPr>
          </w:p>
        </w:tc>
        <w:tc>
          <w:tcPr>
            <w:tcW w:w="5680" w:type="dxa"/>
            <w:vAlign w:val="bottom"/>
            <w:gridSpan w:val="8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220" w:type="dxa"/>
            <w:vAlign w:val="bottom"/>
            <w:tcBorders>
              <w:bottom w:val="single" w:sz="8" w:color="0000FF"/>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81</w:t>
            </w:r>
          </w:p>
        </w:tc>
        <w:tc>
          <w:tcPr>
            <w:tcW w:w="20" w:type="dxa"/>
            <w:vAlign w:val="bottom"/>
            <w:tcBorders>
              <w:bottom w:val="single" w:sz="8" w:color="0000FF"/>
            </w:tcBorders>
            <w:vMerge w:val="continue"/>
          </w:tcPr>
          <w:p>
            <w:pPr>
              <w:spacing w:after="0"/>
              <w:rPr>
                <w:sz w:val="17"/>
                <w:szCs w:val="17"/>
                <w:color w:val="auto"/>
              </w:rPr>
            </w:pPr>
          </w:p>
        </w:tc>
        <w:tc>
          <w:tcPr>
            <w:tcW w:w="5980" w:type="dxa"/>
            <w:vAlign w:val="bottom"/>
            <w:gridSpan w:val="8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10"/>
          </w:tcPr>
          <w:p>
            <w:pPr>
              <w:spacing w:after="0" w:line="20" w:lineRule="exact"/>
              <w:rPr>
                <w:sz w:val="1"/>
                <w:szCs w:val="1"/>
                <w:color w:val="auto"/>
              </w:rPr>
            </w:pPr>
          </w:p>
        </w:tc>
        <w:tc>
          <w:tcPr>
            <w:tcW w:w="6200" w:type="dxa"/>
            <w:vAlign w:val="bottom"/>
            <w:tcBorders>
              <w:left w:val="single" w:sz="8" w:color="DDDDDD"/>
            </w:tcBorders>
            <w:gridSpan w:val="90"/>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2.20</w:t>
            </w:r>
          </w:p>
        </w:tc>
        <w:tc>
          <w:tcPr>
            <w:tcW w:w="100" w:type="dxa"/>
            <w:vAlign w:val="bottom"/>
            <w:vMerge w:val="restart"/>
          </w:tcPr>
          <w:p>
            <w:pPr>
              <w:spacing w:after="0"/>
              <w:rPr>
                <w:sz w:val="3"/>
                <w:szCs w:val="3"/>
                <w:color w:val="auto"/>
              </w:rPr>
            </w:pPr>
          </w:p>
        </w:tc>
        <w:tc>
          <w:tcPr>
            <w:tcW w:w="6700" w:type="dxa"/>
            <w:vAlign w:val="bottom"/>
            <w:gridSpan w:val="95"/>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Assignment of Commitments Under Certain Circumstances; Duty to Mitigate</w:t>
            </w:r>
          </w:p>
        </w:tc>
        <w:tc>
          <w:tcPr>
            <w:tcW w:w="220" w:type="dxa"/>
            <w:vAlign w:val="bottom"/>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85</w:t>
            </w:r>
          </w:p>
        </w:tc>
        <w:tc>
          <w:tcPr>
            <w:tcW w:w="2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700" w:type="dxa"/>
            <w:vAlign w:val="bottom"/>
            <w:gridSpan w:val="95"/>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180" w:type="dxa"/>
            <w:vAlign w:val="bottom"/>
            <w:tcBorders>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75"/>
              </w:rPr>
              <w:t>86</w:t>
            </w: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2.21</w:t>
            </w:r>
          </w:p>
        </w:tc>
        <w:tc>
          <w:tcPr>
            <w:tcW w:w="100" w:type="dxa"/>
            <w:vAlign w:val="bottom"/>
            <w:vMerge w:val="restart"/>
          </w:tcPr>
          <w:p>
            <w:pPr>
              <w:spacing w:after="0"/>
              <w:rPr>
                <w:sz w:val="3"/>
                <w:szCs w:val="3"/>
                <w:color w:val="auto"/>
              </w:rPr>
            </w:pPr>
          </w:p>
        </w:tc>
        <w:tc>
          <w:tcPr>
            <w:tcW w:w="1600" w:type="dxa"/>
            <w:vAlign w:val="bottom"/>
            <w:gridSpan w:val="20"/>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Letters of Credit</w:t>
            </w:r>
          </w:p>
        </w:tc>
        <w:tc>
          <w:tcPr>
            <w:tcW w:w="200" w:type="dxa"/>
            <w:vAlign w:val="bottom"/>
            <w:gridSpan w:val="7"/>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85"/>
              </w:rPr>
              <w:t>86</w:t>
            </w:r>
          </w:p>
        </w:tc>
        <w:tc>
          <w:tcPr>
            <w:tcW w:w="20" w:type="dxa"/>
            <w:vAlign w:val="bottom"/>
            <w:vMerge w:val="restart"/>
          </w:tcPr>
          <w:p>
            <w:pPr>
              <w:spacing w:after="0"/>
              <w:rPr>
                <w:sz w:val="3"/>
                <w:szCs w:val="3"/>
                <w:color w:val="auto"/>
              </w:rPr>
            </w:pPr>
          </w:p>
        </w:tc>
        <w:tc>
          <w:tcPr>
            <w:tcW w:w="5120" w:type="dxa"/>
            <w:vAlign w:val="bottom"/>
            <w:gridSpan w:val="69"/>
          </w:tcPr>
          <w:p>
            <w:pPr>
              <w:spacing w:after="0"/>
              <w:rPr>
                <w:sz w:val="3"/>
                <w:szCs w:val="3"/>
                <w:color w:val="auto"/>
              </w:rPr>
            </w:pPr>
          </w:p>
        </w:tc>
        <w:tc>
          <w:tcPr>
            <w:tcW w:w="180" w:type="dxa"/>
            <w:vAlign w:val="bottom"/>
            <w:tcBorders>
              <w:top w:val="single" w:sz="8" w:color="DDDDDD"/>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0" w:type="dxa"/>
            <w:vAlign w:val="bottom"/>
            <w:gridSpan w:val="20"/>
            <w:vMerge w:val="continue"/>
          </w:tcPr>
          <w:p>
            <w:pPr>
              <w:spacing w:after="0"/>
              <w:rPr>
                <w:sz w:val="17"/>
                <w:szCs w:val="17"/>
                <w:color w:val="auto"/>
              </w:rPr>
            </w:pPr>
          </w:p>
        </w:tc>
        <w:tc>
          <w:tcPr>
            <w:tcW w:w="20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left w:val="single" w:sz="8" w:color="DDDDDD"/>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87</w:t>
            </w:r>
          </w:p>
        </w:tc>
        <w:tc>
          <w:tcPr>
            <w:tcW w:w="5100" w:type="dxa"/>
            <w:vAlign w:val="bottom"/>
            <w:gridSpan w:val="65"/>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2.22</w:t>
            </w:r>
          </w:p>
        </w:tc>
        <w:tc>
          <w:tcPr>
            <w:tcW w:w="100" w:type="dxa"/>
            <w:vAlign w:val="bottom"/>
          </w:tcPr>
          <w:p>
            <w:pPr>
              <w:spacing w:after="0"/>
              <w:rPr>
                <w:sz w:val="5"/>
                <w:szCs w:val="5"/>
                <w:color w:val="auto"/>
              </w:rPr>
            </w:pPr>
          </w:p>
        </w:tc>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21"/>
                <w:szCs w:val="21"/>
                <w:color w:val="FF0000"/>
                <w:strike w:val="1"/>
                <w:w w:val="95"/>
              </w:rPr>
              <w:t>Bankers’ Acceptances</w:t>
            </w:r>
          </w:p>
        </w:tc>
        <w:tc>
          <w:tcPr>
            <w:tcW w:w="14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220" w:type="dxa"/>
            <w:vAlign w:val="bottom"/>
            <w:gridSpan w:val="10"/>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93</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5"/>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4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8"/>
            <w:vMerge w:val="continue"/>
          </w:tcPr>
          <w:p>
            <w:pPr>
              <w:spacing w:after="0"/>
              <w:rPr>
                <w:sz w:val="18"/>
                <w:szCs w:val="18"/>
                <w:color w:val="auto"/>
              </w:rPr>
            </w:pPr>
          </w:p>
        </w:tc>
        <w:tc>
          <w:tcPr>
            <w:tcW w:w="1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20" w:type="dxa"/>
            <w:vAlign w:val="bottom"/>
            <w:gridSpan w:val="10"/>
            <w:vMerge w:val="continue"/>
          </w:tcPr>
          <w:p>
            <w:pPr>
              <w:spacing w:after="0"/>
              <w:rPr>
                <w:sz w:val="18"/>
                <w:szCs w:val="18"/>
                <w:color w:val="auto"/>
              </w:rPr>
            </w:pPr>
          </w:p>
        </w:tc>
        <w:tc>
          <w:tcPr>
            <w:tcW w:w="920" w:type="dxa"/>
            <w:vAlign w:val="bottom"/>
            <w:gridSpan w:val="1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7"/>
              </w:rPr>
              <w:t>[Reserved]</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0" w:type="dxa"/>
            <w:vAlign w:val="bottom"/>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95</w:t>
            </w: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2.23</w:t>
            </w:r>
          </w:p>
        </w:tc>
        <w:tc>
          <w:tcPr>
            <w:tcW w:w="100" w:type="dxa"/>
            <w:vAlign w:val="bottom"/>
          </w:tcPr>
          <w:p>
            <w:pPr>
              <w:spacing w:after="0"/>
              <w:rPr>
                <w:sz w:val="3"/>
                <w:szCs w:val="3"/>
                <w:color w:val="auto"/>
              </w:rPr>
            </w:pPr>
          </w:p>
        </w:tc>
        <w:tc>
          <w:tcPr>
            <w:tcW w:w="1600" w:type="dxa"/>
            <w:vAlign w:val="bottom"/>
            <w:gridSpan w:val="20"/>
            <w:vMerge w:val="restart"/>
          </w:tcPr>
          <w:p>
            <w:pPr>
              <w:spacing w:after="0" w:line="234" w:lineRule="exact"/>
              <w:rPr>
                <w:sz w:val="20"/>
                <w:szCs w:val="20"/>
                <w:color w:val="auto"/>
              </w:rPr>
            </w:pPr>
            <w:r>
              <w:rPr>
                <w:rFonts w:ascii="Times New Roman" w:cs="Times New Roman" w:eastAsia="Times New Roman" w:hAnsi="Times New Roman"/>
                <w:sz w:val="21"/>
                <w:szCs w:val="21"/>
                <w:color w:val="auto"/>
              </w:rPr>
              <w:t>Swing Line Loans</w:t>
            </w:r>
          </w:p>
        </w:tc>
        <w:tc>
          <w:tcPr>
            <w:tcW w:w="160" w:type="dxa"/>
            <w:vAlign w:val="bottom"/>
            <w:gridSpan w:val="6"/>
          </w:tcPr>
          <w:p>
            <w:pPr>
              <w:spacing w:after="0"/>
              <w:rPr>
                <w:sz w:val="3"/>
                <w:szCs w:val="3"/>
                <w:color w:val="auto"/>
              </w:rPr>
            </w:pPr>
          </w:p>
        </w:tc>
        <w:tc>
          <w:tcPr>
            <w:tcW w:w="200" w:type="dxa"/>
            <w:vAlign w:val="bottom"/>
            <w:gridSpan w:val="5"/>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75"/>
              </w:rPr>
              <w:t>96</w:t>
            </w:r>
          </w:p>
        </w:tc>
        <w:tc>
          <w:tcPr>
            <w:tcW w:w="220" w:type="dxa"/>
            <w:vAlign w:val="bottom"/>
            <w:gridSpan w:val="9"/>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gridSpan w:val="3"/>
          </w:tcPr>
          <w:p>
            <w:pPr>
              <w:spacing w:after="0"/>
              <w:rPr>
                <w:sz w:val="3"/>
                <w:szCs w:val="3"/>
                <w:color w:val="auto"/>
              </w:rPr>
            </w:pPr>
          </w:p>
        </w:tc>
        <w:tc>
          <w:tcPr>
            <w:tcW w:w="940" w:type="dxa"/>
            <w:vAlign w:val="bottom"/>
            <w:tcBorders>
              <w:top w:val="single" w:sz="8" w:color="0000FF"/>
            </w:tcBorders>
            <w:gridSpan w:val="20"/>
          </w:tcPr>
          <w:p>
            <w:pPr>
              <w:spacing w:after="0"/>
              <w:rPr>
                <w:sz w:val="3"/>
                <w:szCs w:val="3"/>
                <w:color w:val="auto"/>
              </w:rPr>
            </w:pPr>
          </w:p>
        </w:tc>
        <w:tc>
          <w:tcPr>
            <w:tcW w:w="200" w:type="dxa"/>
            <w:vAlign w:val="bottom"/>
            <w:gridSpan w:val="4"/>
          </w:tcPr>
          <w:p>
            <w:pPr>
              <w:spacing w:after="0"/>
              <w:rPr>
                <w:sz w:val="3"/>
                <w:szCs w:val="3"/>
                <w:color w:val="auto"/>
              </w:rPr>
            </w:pPr>
          </w:p>
        </w:tc>
        <w:tc>
          <w:tcPr>
            <w:tcW w:w="220" w:type="dxa"/>
            <w:vAlign w:val="bottom"/>
            <w:tcBorders>
              <w:top w:val="single" w:sz="8" w:color="0000FF"/>
            </w:tcBorders>
            <w:gridSpan w:val="5"/>
          </w:tcPr>
          <w:p>
            <w:pPr>
              <w:spacing w:after="0"/>
              <w:rPr>
                <w:sz w:val="3"/>
                <w:szCs w:val="3"/>
                <w:color w:val="auto"/>
              </w:rPr>
            </w:pPr>
          </w:p>
        </w:tc>
        <w:tc>
          <w:tcPr>
            <w:tcW w:w="3500" w:type="dxa"/>
            <w:vAlign w:val="bottom"/>
            <w:gridSpan w:val="2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0"/>
            <w:vMerge w:val="continue"/>
          </w:tcPr>
          <w:p>
            <w:pPr>
              <w:spacing w:after="0"/>
              <w:rPr>
                <w:sz w:val="17"/>
                <w:szCs w:val="17"/>
                <w:color w:val="auto"/>
              </w:rPr>
            </w:pPr>
          </w:p>
        </w:tc>
        <w:tc>
          <w:tcPr>
            <w:tcW w:w="160" w:type="dxa"/>
            <w:vAlign w:val="bottom"/>
            <w:gridSpan w:val="6"/>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22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95</w:t>
            </w:r>
          </w:p>
        </w:tc>
        <w:tc>
          <w:tcPr>
            <w:tcW w:w="20" w:type="dxa"/>
            <w:vAlign w:val="bottom"/>
            <w:tcBorders>
              <w:bottom w:val="single" w:sz="8" w:color="0000FF"/>
            </w:tcBorders>
            <w:vMerge w:val="continue"/>
          </w:tcPr>
          <w:p>
            <w:pPr>
              <w:spacing w:after="0"/>
              <w:rPr>
                <w:sz w:val="17"/>
                <w:szCs w:val="17"/>
                <w:color w:val="auto"/>
              </w:rPr>
            </w:pPr>
          </w:p>
        </w:tc>
        <w:tc>
          <w:tcPr>
            <w:tcW w:w="4920" w:type="dxa"/>
            <w:vAlign w:val="bottom"/>
            <w:gridSpan w:val="57"/>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2.24</w:t>
            </w:r>
          </w:p>
        </w:tc>
        <w:tc>
          <w:tcPr>
            <w:tcW w:w="100" w:type="dxa"/>
            <w:vAlign w:val="bottom"/>
          </w:tcPr>
          <w:p>
            <w:pPr>
              <w:spacing w:after="0"/>
              <w:rPr>
                <w:sz w:val="4"/>
                <w:szCs w:val="4"/>
                <w:color w:val="auto"/>
              </w:rPr>
            </w:pPr>
          </w:p>
        </w:tc>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21"/>
                <w:szCs w:val="21"/>
                <w:color w:val="auto"/>
              </w:rPr>
              <w:t>Defaulting Lenders</w:t>
            </w:r>
          </w:p>
        </w:tc>
        <w:tc>
          <w:tcPr>
            <w:tcW w:w="320" w:type="dxa"/>
            <w:vAlign w:val="bottom"/>
            <w:gridSpan w:val="10"/>
            <w:vMerge w:val="restart"/>
          </w:tcPr>
          <w:p>
            <w:pPr>
              <w:ind w:left="20"/>
              <w:spacing w:after="0"/>
              <w:rPr>
                <w:sz w:val="20"/>
                <w:szCs w:val="20"/>
                <w:color w:val="auto"/>
              </w:rPr>
            </w:pPr>
            <w:r>
              <w:rPr>
                <w:rFonts w:ascii="Times New Roman" w:cs="Times New Roman" w:eastAsia="Times New Roman" w:hAnsi="Times New Roman"/>
                <w:sz w:val="21"/>
                <w:szCs w:val="21"/>
                <w:color w:val="FF0000"/>
                <w:strike w:val="1"/>
                <w:w w:val="88"/>
              </w:rPr>
              <w:t>100</w:t>
            </w:r>
          </w:p>
        </w:tc>
        <w:tc>
          <w:tcPr>
            <w:tcW w:w="20" w:type="dxa"/>
            <w:vAlign w:val="bottom"/>
            <w:vMerge w:val="restart"/>
          </w:tcPr>
          <w:p>
            <w:pPr>
              <w:spacing w:after="0"/>
              <w:rPr>
                <w:sz w:val="4"/>
                <w:szCs w:val="4"/>
                <w:color w:val="auto"/>
              </w:rPr>
            </w:pPr>
          </w:p>
        </w:tc>
        <w:tc>
          <w:tcPr>
            <w:tcW w:w="4960" w:type="dxa"/>
            <w:vAlign w:val="bottom"/>
            <w:gridSpan w:val="59"/>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8"/>
            <w:vMerge w:val="continue"/>
          </w:tcPr>
          <w:p>
            <w:pPr>
              <w:spacing w:after="0"/>
              <w:rPr>
                <w:sz w:val="17"/>
                <w:szCs w:val="17"/>
                <w:color w:val="auto"/>
              </w:rPr>
            </w:pPr>
          </w:p>
        </w:tc>
        <w:tc>
          <w:tcPr>
            <w:tcW w:w="320" w:type="dxa"/>
            <w:vAlign w:val="bottom"/>
            <w:gridSpan w:val="10"/>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tcBorders>
              <w:bottom w:val="single" w:sz="8" w:color="0000FF"/>
            </w:tcBorders>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5"/>
              </w:rPr>
              <w:t>99</w:t>
            </w:r>
          </w:p>
        </w:tc>
        <w:tc>
          <w:tcPr>
            <w:tcW w:w="4760" w:type="dxa"/>
            <w:vAlign w:val="bottom"/>
            <w:gridSpan w:val="50"/>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2.25</w:t>
            </w:r>
          </w:p>
        </w:tc>
        <w:tc>
          <w:tcPr>
            <w:tcW w:w="100" w:type="dxa"/>
            <w:vAlign w:val="bottom"/>
          </w:tcPr>
          <w:p>
            <w:pPr>
              <w:spacing w:after="0"/>
              <w:rPr>
                <w:sz w:val="4"/>
                <w:szCs w:val="4"/>
                <w:color w:val="auto"/>
              </w:rPr>
            </w:pPr>
          </w:p>
        </w:tc>
        <w:tc>
          <w:tcPr>
            <w:tcW w:w="3360" w:type="dxa"/>
            <w:vAlign w:val="bottom"/>
            <w:gridSpan w:val="67"/>
            <w:vMerge w:val="restart"/>
          </w:tcPr>
          <w:p>
            <w:pPr>
              <w:spacing w:after="0"/>
              <w:rPr>
                <w:sz w:val="20"/>
                <w:szCs w:val="20"/>
                <w:color w:val="auto"/>
              </w:rPr>
            </w:pPr>
            <w:r>
              <w:rPr>
                <w:rFonts w:ascii="Times New Roman" w:cs="Times New Roman" w:eastAsia="Times New Roman" w:hAnsi="Times New Roman"/>
                <w:sz w:val="21"/>
                <w:szCs w:val="21"/>
                <w:color w:val="auto"/>
              </w:rPr>
              <w:t>Incremental Revolving Credit Increase</w:t>
            </w:r>
          </w:p>
        </w:tc>
        <w:tc>
          <w:tcPr>
            <w:tcW w:w="100" w:type="dxa"/>
            <w:vAlign w:val="bottom"/>
            <w:gridSpan w:val="3"/>
          </w:tcPr>
          <w:p>
            <w:pPr>
              <w:spacing w:after="0"/>
              <w:rPr>
                <w:sz w:val="4"/>
                <w:szCs w:val="4"/>
                <w:color w:val="auto"/>
              </w:rPr>
            </w:pPr>
          </w:p>
        </w:tc>
        <w:tc>
          <w:tcPr>
            <w:tcW w:w="320" w:type="dxa"/>
            <w:vAlign w:val="bottom"/>
            <w:gridSpan w:val="8"/>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103</w:t>
            </w:r>
          </w:p>
        </w:tc>
        <w:tc>
          <w:tcPr>
            <w:tcW w:w="300" w:type="dxa"/>
            <w:vAlign w:val="bottom"/>
            <w:gridSpan w:val="6"/>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67"/>
            <w:vMerge w:val="continue"/>
          </w:tcPr>
          <w:p>
            <w:pPr>
              <w:spacing w:after="0"/>
              <w:rPr>
                <w:sz w:val="18"/>
                <w:szCs w:val="18"/>
                <w:color w:val="auto"/>
              </w:rPr>
            </w:pPr>
          </w:p>
        </w:tc>
        <w:tc>
          <w:tcPr>
            <w:tcW w:w="100" w:type="dxa"/>
            <w:vAlign w:val="bottom"/>
            <w:gridSpan w:val="3"/>
          </w:tcPr>
          <w:p>
            <w:pPr>
              <w:spacing w:after="0"/>
              <w:rPr>
                <w:sz w:val="18"/>
                <w:szCs w:val="18"/>
                <w:color w:val="auto"/>
              </w:rPr>
            </w:pPr>
          </w:p>
        </w:tc>
        <w:tc>
          <w:tcPr>
            <w:tcW w:w="320" w:type="dxa"/>
            <w:vAlign w:val="bottom"/>
            <w:gridSpan w:val="8"/>
            <w:vMerge w:val="continue"/>
          </w:tcPr>
          <w:p>
            <w:pPr>
              <w:spacing w:after="0"/>
              <w:rPr>
                <w:sz w:val="18"/>
                <w:szCs w:val="18"/>
                <w:color w:val="auto"/>
              </w:rPr>
            </w:pPr>
          </w:p>
        </w:tc>
        <w:tc>
          <w:tcPr>
            <w:tcW w:w="300" w:type="dxa"/>
            <w:vAlign w:val="bottom"/>
            <w:tcBorders>
              <w:left w:val="single" w:sz="8" w:color="DDDDDD"/>
              <w:bottom w:val="single" w:sz="8" w:color="0000FF"/>
            </w:tcBorders>
            <w:gridSpan w:val="6"/>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102</w:t>
            </w:r>
          </w:p>
        </w:tc>
        <w:tc>
          <w:tcPr>
            <w:tcW w:w="20" w:type="dxa"/>
            <w:vAlign w:val="bottom"/>
            <w:tcBorders>
              <w:bottom w:val="single" w:sz="8" w:color="0000FF"/>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2.26</w:t>
            </w:r>
          </w:p>
        </w:tc>
        <w:tc>
          <w:tcPr>
            <w:tcW w:w="100" w:type="dxa"/>
            <w:vAlign w:val="bottom"/>
          </w:tcPr>
          <w:p>
            <w:pPr>
              <w:spacing w:after="0"/>
              <w:rPr>
                <w:sz w:val="3"/>
                <w:szCs w:val="3"/>
                <w:color w:val="auto"/>
              </w:rPr>
            </w:pPr>
          </w:p>
        </w:tc>
        <w:tc>
          <w:tcPr>
            <w:tcW w:w="2260" w:type="dxa"/>
            <w:vAlign w:val="bottom"/>
            <w:gridSpan w:val="44"/>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Benchmark Replacement</w:t>
            </w:r>
          </w:p>
        </w:tc>
        <w:tc>
          <w:tcPr>
            <w:tcW w:w="60" w:type="dxa"/>
            <w:vAlign w:val="bottom"/>
            <w:gridSpan w:val="2"/>
          </w:tcPr>
          <w:p>
            <w:pPr>
              <w:spacing w:after="0"/>
              <w:rPr>
                <w:sz w:val="3"/>
                <w:szCs w:val="3"/>
                <w:color w:val="auto"/>
              </w:rPr>
            </w:pPr>
          </w:p>
        </w:tc>
        <w:tc>
          <w:tcPr>
            <w:tcW w:w="300" w:type="dxa"/>
            <w:vAlign w:val="bottom"/>
            <w:gridSpan w:val="8"/>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88"/>
              </w:rPr>
              <w:t>106</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140" w:type="dxa"/>
            <w:vAlign w:val="bottom"/>
            <w:tcBorders>
              <w:top w:val="single" w:sz="8" w:color="DDDDDD"/>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4"/>
            <w:vMerge w:val="continue"/>
          </w:tcPr>
          <w:p>
            <w:pPr>
              <w:spacing w:after="0"/>
              <w:rPr>
                <w:sz w:val="17"/>
                <w:szCs w:val="17"/>
                <w:color w:val="auto"/>
              </w:rPr>
            </w:pPr>
          </w:p>
        </w:tc>
        <w:tc>
          <w:tcPr>
            <w:tcW w:w="60" w:type="dxa"/>
            <w:vAlign w:val="bottom"/>
            <w:gridSpan w:val="2"/>
          </w:tcPr>
          <w:p>
            <w:pPr>
              <w:spacing w:after="0"/>
              <w:rPr>
                <w:sz w:val="17"/>
                <w:szCs w:val="17"/>
                <w:color w:val="auto"/>
              </w:rPr>
            </w:pPr>
          </w:p>
        </w:tc>
        <w:tc>
          <w:tcPr>
            <w:tcW w:w="300" w:type="dxa"/>
            <w:vAlign w:val="bottom"/>
            <w:gridSpan w:val="8"/>
            <w:vMerge w:val="continue"/>
          </w:tcPr>
          <w:p>
            <w:pPr>
              <w:spacing w:after="0"/>
              <w:rPr>
                <w:sz w:val="17"/>
                <w:szCs w:val="17"/>
                <w:color w:val="auto"/>
              </w:rPr>
            </w:pPr>
          </w:p>
        </w:tc>
        <w:tc>
          <w:tcPr>
            <w:tcW w:w="320" w:type="dxa"/>
            <w:vAlign w:val="bottom"/>
            <w:tcBorders>
              <w:bottom w:val="single" w:sz="8" w:color="0000FF"/>
            </w:tcBorders>
            <w:gridSpan w:val="7"/>
            <w:shd w:val="clear" w:color="auto" w:fill="DDDDDD"/>
          </w:tcPr>
          <w:p>
            <w:pPr>
              <w:ind w:left="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105</w:t>
            </w:r>
          </w:p>
        </w:tc>
        <w:tc>
          <w:tcPr>
            <w:tcW w:w="20" w:type="dxa"/>
            <w:vAlign w:val="bottom"/>
            <w:tcBorders>
              <w:bottom w:val="single" w:sz="8" w:color="0000FF"/>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gridSpan w:val="1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2.27</w:t>
            </w:r>
          </w:p>
        </w:tc>
        <w:tc>
          <w:tcPr>
            <w:tcW w:w="100" w:type="dxa"/>
            <w:vAlign w:val="bottom"/>
          </w:tcPr>
          <w:p>
            <w:pPr>
              <w:spacing w:after="0"/>
              <w:rPr>
                <w:sz w:val="3"/>
                <w:szCs w:val="3"/>
                <w:color w:val="auto"/>
              </w:rPr>
            </w:pPr>
          </w:p>
        </w:tc>
        <w:tc>
          <w:tcPr>
            <w:tcW w:w="3160" w:type="dxa"/>
            <w:vAlign w:val="bottom"/>
            <w:gridSpan w:val="63"/>
            <w:vMerge w:val="restart"/>
          </w:tcPr>
          <w:p>
            <w:pPr>
              <w:spacing w:after="0" w:line="234" w:lineRule="exact"/>
              <w:rPr>
                <w:sz w:val="20"/>
                <w:szCs w:val="20"/>
                <w:color w:val="auto"/>
              </w:rPr>
            </w:pPr>
            <w:r>
              <w:rPr>
                <w:rFonts w:ascii="Times New Roman" w:cs="Times New Roman" w:eastAsia="Times New Roman" w:hAnsi="Times New Roman"/>
                <w:sz w:val="21"/>
                <w:szCs w:val="21"/>
                <w:color w:val="auto"/>
              </w:rPr>
              <w:t>Canadian Benchmark Replacement</w:t>
            </w:r>
          </w:p>
        </w:tc>
        <w:tc>
          <w:tcPr>
            <w:tcW w:w="320" w:type="dxa"/>
            <w:vAlign w:val="bottom"/>
            <w:gridSpan w:val="8"/>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95"/>
              </w:rPr>
              <w:t>108</w:t>
            </w:r>
          </w:p>
        </w:tc>
        <w:tc>
          <w:tcPr>
            <w:tcW w:w="300" w:type="dxa"/>
            <w:vAlign w:val="bottom"/>
            <w:gridSpan w:val="7"/>
          </w:tcPr>
          <w:p>
            <w:pPr>
              <w:spacing w:after="0"/>
              <w:rPr>
                <w:sz w:val="3"/>
                <w:szCs w:val="3"/>
                <w:color w:val="auto"/>
              </w:rPr>
            </w:pPr>
          </w:p>
        </w:tc>
        <w:tc>
          <w:tcPr>
            <w:tcW w:w="160" w:type="dxa"/>
            <w:vAlign w:val="bottom"/>
            <w:gridSpan w:val="5"/>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63"/>
            <w:vMerge w:val="continue"/>
          </w:tcPr>
          <w:p>
            <w:pPr>
              <w:spacing w:after="0"/>
              <w:rPr>
                <w:sz w:val="17"/>
                <w:szCs w:val="17"/>
                <w:color w:val="auto"/>
              </w:rPr>
            </w:pPr>
          </w:p>
        </w:tc>
        <w:tc>
          <w:tcPr>
            <w:tcW w:w="320" w:type="dxa"/>
            <w:vAlign w:val="bottom"/>
            <w:gridSpan w:val="8"/>
            <w:vMerge w:val="continue"/>
          </w:tcPr>
          <w:p>
            <w:pPr>
              <w:spacing w:after="0"/>
              <w:rPr>
                <w:sz w:val="17"/>
                <w:szCs w:val="17"/>
                <w:color w:val="auto"/>
              </w:rPr>
            </w:pPr>
          </w:p>
        </w:tc>
        <w:tc>
          <w:tcPr>
            <w:tcW w:w="300" w:type="dxa"/>
            <w:vAlign w:val="bottom"/>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106</w:t>
            </w:r>
          </w:p>
        </w:tc>
        <w:tc>
          <w:tcPr>
            <w:tcW w:w="160" w:type="dxa"/>
            <w:vAlign w:val="bottom"/>
            <w:tcBorders>
              <w:left w:val="single" w:sz="8" w:color="DDDDDD"/>
            </w:tcBorders>
            <w:gridSpan w:val="5"/>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720" w:type="dxa"/>
            <w:vAlign w:val="bottom"/>
            <w:gridSpan w:val="22"/>
            <w:vMerge w:val="restart"/>
          </w:tcPr>
          <w:p>
            <w:pPr>
              <w:spacing w:after="0"/>
              <w:rPr>
                <w:sz w:val="20"/>
                <w:szCs w:val="20"/>
                <w:color w:val="auto"/>
              </w:rPr>
            </w:pPr>
            <w:r>
              <w:rPr>
                <w:rFonts w:ascii="Times New Roman" w:cs="Times New Roman" w:eastAsia="Times New Roman" w:hAnsi="Times New Roman"/>
                <w:sz w:val="21"/>
                <w:szCs w:val="21"/>
                <w:color w:val="auto"/>
              </w:rPr>
              <w:t>Article III Representations and Warranties</w:t>
            </w:r>
          </w:p>
        </w:tc>
        <w:tc>
          <w:tcPr>
            <w:tcW w:w="20" w:type="dxa"/>
            <w:vAlign w:val="bottom"/>
          </w:tcPr>
          <w:p>
            <w:pPr>
              <w:spacing w:after="0"/>
              <w:rPr>
                <w:sz w:val="23"/>
                <w:szCs w:val="23"/>
                <w:color w:val="auto"/>
              </w:rPr>
            </w:pPr>
          </w:p>
        </w:tc>
        <w:tc>
          <w:tcPr>
            <w:tcW w:w="32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113</w:t>
            </w:r>
          </w:p>
        </w:tc>
        <w:tc>
          <w:tcPr>
            <w:tcW w:w="300" w:type="dxa"/>
            <w:vAlign w:val="bottom"/>
            <w:gridSpan w:val="13"/>
          </w:tcPr>
          <w:p>
            <w:pPr>
              <w:spacing w:after="0"/>
              <w:rPr>
                <w:sz w:val="23"/>
                <w:szCs w:val="23"/>
                <w:color w:val="auto"/>
              </w:rPr>
            </w:pPr>
          </w:p>
        </w:tc>
        <w:tc>
          <w:tcPr>
            <w:tcW w:w="20" w:type="dxa"/>
            <w:vAlign w:val="bottom"/>
            <w:vMerge w:val="restart"/>
          </w:tcPr>
          <w:p>
            <w:pPr>
              <w:spacing w:after="0"/>
              <w:rPr>
                <w:sz w:val="23"/>
                <w:szCs w:val="23"/>
                <w:color w:val="auto"/>
              </w:rPr>
            </w:pPr>
          </w:p>
        </w:tc>
        <w:tc>
          <w:tcPr>
            <w:tcW w:w="1200" w:type="dxa"/>
            <w:vAlign w:val="bottom"/>
            <w:gridSpan w:val="26"/>
          </w:tcPr>
          <w:p>
            <w:pPr>
              <w:spacing w:after="0"/>
              <w:rPr>
                <w:sz w:val="23"/>
                <w:szCs w:val="23"/>
                <w:color w:val="auto"/>
              </w:rPr>
            </w:pPr>
          </w:p>
        </w:tc>
        <w:tc>
          <w:tcPr>
            <w:tcW w:w="320" w:type="dxa"/>
            <w:vAlign w:val="bottom"/>
            <w:tcBorders>
              <w:top w:val="single" w:sz="8" w:color="0000FF"/>
            </w:tcBorders>
            <w:gridSpan w:val="8"/>
          </w:tcPr>
          <w:p>
            <w:pPr>
              <w:spacing w:after="0"/>
              <w:rPr>
                <w:sz w:val="23"/>
                <w:szCs w:val="23"/>
                <w:color w:val="auto"/>
              </w:rPr>
            </w:pPr>
          </w:p>
        </w:tc>
        <w:tc>
          <w:tcPr>
            <w:tcW w:w="3340" w:type="dxa"/>
            <w:vAlign w:val="bottom"/>
            <w:gridSpan w:val="20"/>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720" w:type="dxa"/>
            <w:vAlign w:val="bottom"/>
            <w:gridSpan w:val="22"/>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300" w:type="dxa"/>
            <w:vAlign w:val="bottom"/>
            <w:tcBorders>
              <w:bottom w:val="single" w:sz="8" w:color="0000FF"/>
            </w:tcBorders>
            <w:gridSpan w:val="13"/>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110</w:t>
            </w:r>
          </w:p>
        </w:tc>
        <w:tc>
          <w:tcPr>
            <w:tcW w:w="20" w:type="dxa"/>
            <w:vAlign w:val="bottom"/>
            <w:tcBorders>
              <w:bottom w:val="single" w:sz="8" w:color="0000FF"/>
            </w:tcBorders>
            <w:vMerge w:val="continue"/>
          </w:tcPr>
          <w:p>
            <w:pPr>
              <w:spacing w:after="0"/>
              <w:rPr>
                <w:sz w:val="17"/>
                <w:szCs w:val="17"/>
                <w:color w:val="auto"/>
              </w:rPr>
            </w:pPr>
          </w:p>
        </w:tc>
        <w:tc>
          <w:tcPr>
            <w:tcW w:w="4860" w:type="dxa"/>
            <w:vAlign w:val="bottom"/>
            <w:gridSpan w:val="54"/>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3.01</w:t>
            </w:r>
          </w:p>
        </w:tc>
        <w:tc>
          <w:tcPr>
            <w:tcW w:w="100" w:type="dxa"/>
            <w:vAlign w:val="bottom"/>
          </w:tcPr>
          <w:p>
            <w:pPr>
              <w:spacing w:after="0"/>
              <w:rPr>
                <w:sz w:val="20"/>
                <w:szCs w:val="20"/>
                <w:color w:val="auto"/>
              </w:rPr>
            </w:pPr>
          </w:p>
        </w:tc>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21"/>
                <w:szCs w:val="21"/>
                <w:color w:val="auto"/>
                <w:w w:val="97"/>
              </w:rPr>
              <w:t>Organization; Powers</w:t>
            </w:r>
          </w:p>
        </w:tc>
        <w:tc>
          <w:tcPr>
            <w:tcW w:w="1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13"/>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113</w:t>
            </w:r>
          </w:p>
        </w:tc>
        <w:tc>
          <w:tcPr>
            <w:tcW w:w="20" w:type="dxa"/>
            <w:vAlign w:val="bottom"/>
          </w:tcPr>
          <w:p>
            <w:pPr>
              <w:spacing w:after="0"/>
              <w:rPr>
                <w:sz w:val="20"/>
                <w:szCs w:val="20"/>
                <w:color w:val="auto"/>
              </w:rPr>
            </w:pPr>
          </w:p>
        </w:tc>
        <w:tc>
          <w:tcPr>
            <w:tcW w:w="220" w:type="dxa"/>
            <w:vAlign w:val="bottom"/>
            <w:gridSpan w:val="6"/>
          </w:tcPr>
          <w:p>
            <w:pPr>
              <w:spacing w:after="0"/>
              <w:rPr>
                <w:sz w:val="20"/>
                <w:szCs w:val="20"/>
                <w:color w:val="auto"/>
              </w:rPr>
            </w:pPr>
          </w:p>
        </w:tc>
        <w:tc>
          <w:tcPr>
            <w:tcW w:w="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8"/>
            <w:vMerge w:val="continue"/>
          </w:tcPr>
          <w:p>
            <w:pPr>
              <w:spacing w:after="0"/>
              <w:rPr>
                <w:sz w:val="17"/>
                <w:szCs w:val="17"/>
                <w:color w:val="auto"/>
              </w:rPr>
            </w:pPr>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13"/>
            <w:vMerge w:val="continue"/>
          </w:tcPr>
          <w:p>
            <w:pPr>
              <w:spacing w:after="0"/>
              <w:rPr>
                <w:sz w:val="17"/>
                <w:szCs w:val="17"/>
                <w:color w:val="auto"/>
              </w:rPr>
            </w:pPr>
          </w:p>
        </w:tc>
        <w:tc>
          <w:tcPr>
            <w:tcW w:w="320" w:type="dxa"/>
            <w:vAlign w:val="bottom"/>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3.02</w:t>
            </w:r>
          </w:p>
        </w:tc>
        <w:tc>
          <w:tcPr>
            <w:tcW w:w="100" w:type="dxa"/>
            <w:vAlign w:val="bottom"/>
          </w:tcPr>
          <w:p>
            <w:pPr>
              <w:spacing w:after="0"/>
              <w:rPr>
                <w:sz w:val="4"/>
                <w:szCs w:val="4"/>
                <w:color w:val="auto"/>
              </w:rPr>
            </w:pPr>
          </w:p>
        </w:tc>
        <w:tc>
          <w:tcPr>
            <w:tcW w:w="1340" w:type="dxa"/>
            <w:vAlign w:val="bottom"/>
            <w:gridSpan w:val="15"/>
            <w:vMerge w:val="restart"/>
          </w:tcPr>
          <w:p>
            <w:pPr>
              <w:spacing w:after="0"/>
              <w:rPr>
                <w:sz w:val="20"/>
                <w:szCs w:val="20"/>
                <w:color w:val="auto"/>
              </w:rPr>
            </w:pPr>
            <w:r>
              <w:rPr>
                <w:rFonts w:ascii="Times New Roman" w:cs="Times New Roman" w:eastAsia="Times New Roman" w:hAnsi="Times New Roman"/>
                <w:sz w:val="21"/>
                <w:szCs w:val="21"/>
                <w:color w:val="auto"/>
              </w:rPr>
              <w:t>Authorization</w:t>
            </w:r>
          </w:p>
        </w:tc>
        <w:tc>
          <w:tcPr>
            <w:tcW w:w="40" w:type="dxa"/>
            <w:vAlign w:val="bottom"/>
          </w:tcPr>
          <w:p>
            <w:pPr>
              <w:spacing w:after="0"/>
              <w:rPr>
                <w:sz w:val="4"/>
                <w:szCs w:val="4"/>
                <w:color w:val="auto"/>
              </w:rPr>
            </w:pPr>
          </w:p>
        </w:tc>
        <w:tc>
          <w:tcPr>
            <w:tcW w:w="300" w:type="dxa"/>
            <w:vAlign w:val="bottom"/>
            <w:gridSpan w:val="7"/>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113</w:t>
            </w:r>
          </w:p>
        </w:tc>
        <w:tc>
          <w:tcPr>
            <w:tcW w:w="640" w:type="dxa"/>
            <w:vAlign w:val="bottom"/>
            <w:gridSpan w:val="23"/>
          </w:tcPr>
          <w:p>
            <w:pPr>
              <w:spacing w:after="0"/>
              <w:rPr>
                <w:sz w:val="4"/>
                <w:szCs w:val="4"/>
                <w:color w:val="auto"/>
              </w:rPr>
            </w:pPr>
          </w:p>
        </w:tc>
        <w:tc>
          <w:tcPr>
            <w:tcW w:w="20" w:type="dxa"/>
            <w:vAlign w:val="bottom"/>
            <w:tcBorders>
              <w:top w:val="single" w:sz="8" w:color="DDDDDD"/>
            </w:tcBorders>
          </w:tcPr>
          <w:p>
            <w:pPr>
              <w:spacing w:after="0"/>
              <w:rPr>
                <w:sz w:val="4"/>
                <w:szCs w:val="4"/>
                <w:color w:val="auto"/>
              </w:rPr>
            </w:pPr>
          </w:p>
        </w:tc>
        <w:tc>
          <w:tcPr>
            <w:tcW w:w="300" w:type="dxa"/>
            <w:vAlign w:val="bottom"/>
            <w:tcBorders>
              <w:top w:val="single" w:sz="8" w:color="0000FF"/>
            </w:tcBorders>
            <w:gridSpan w:val="8"/>
          </w:tcPr>
          <w:p>
            <w:pPr>
              <w:spacing w:after="0"/>
              <w:rPr>
                <w:sz w:val="4"/>
                <w:szCs w:val="4"/>
                <w:color w:val="auto"/>
              </w:rPr>
            </w:pPr>
          </w:p>
        </w:tc>
        <w:tc>
          <w:tcPr>
            <w:tcW w:w="4480" w:type="dxa"/>
            <w:vAlign w:val="bottom"/>
            <w:gridSpan w:val="43"/>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15"/>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300" w:type="dxa"/>
            <w:vAlign w:val="bottom"/>
            <w:tcBorders>
              <w:bottom w:val="single" w:sz="8" w:color="0000FF"/>
            </w:tcBorders>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110</w:t>
            </w:r>
          </w:p>
        </w:tc>
        <w:tc>
          <w:tcPr>
            <w:tcW w:w="5140" w:type="dxa"/>
            <w:vAlign w:val="bottom"/>
            <w:gridSpan w:val="66"/>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3.03</w:t>
            </w:r>
          </w:p>
        </w:tc>
        <w:tc>
          <w:tcPr>
            <w:tcW w:w="100" w:type="dxa"/>
            <w:vAlign w:val="bottom"/>
          </w:tcPr>
          <w:p>
            <w:pPr>
              <w:spacing w:after="0"/>
              <w:rPr>
                <w:sz w:val="4"/>
                <w:szCs w:val="4"/>
                <w:color w:val="auto"/>
              </w:rPr>
            </w:pPr>
          </w:p>
        </w:tc>
        <w:tc>
          <w:tcPr>
            <w:tcW w:w="1340" w:type="dxa"/>
            <w:vAlign w:val="bottom"/>
            <w:gridSpan w:val="15"/>
            <w:vMerge w:val="restart"/>
          </w:tcPr>
          <w:p>
            <w:pPr>
              <w:spacing w:after="0"/>
              <w:rPr>
                <w:sz w:val="20"/>
                <w:szCs w:val="20"/>
                <w:color w:val="auto"/>
              </w:rPr>
            </w:pPr>
            <w:r>
              <w:rPr>
                <w:rFonts w:ascii="Times New Roman" w:cs="Times New Roman" w:eastAsia="Times New Roman" w:hAnsi="Times New Roman"/>
                <w:sz w:val="21"/>
                <w:szCs w:val="21"/>
                <w:color w:val="auto"/>
              </w:rPr>
              <w:t>Enforceability</w:t>
            </w:r>
          </w:p>
        </w:tc>
        <w:tc>
          <w:tcPr>
            <w:tcW w:w="40" w:type="dxa"/>
            <w:vAlign w:val="bottom"/>
          </w:tcPr>
          <w:p>
            <w:pPr>
              <w:spacing w:after="0"/>
              <w:rPr>
                <w:sz w:val="4"/>
                <w:szCs w:val="4"/>
                <w:color w:val="auto"/>
              </w:rPr>
            </w:pPr>
          </w:p>
        </w:tc>
        <w:tc>
          <w:tcPr>
            <w:tcW w:w="340" w:type="dxa"/>
            <w:vAlign w:val="bottom"/>
            <w:gridSpan w:val="8"/>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rPr>
              <w:t>113</w:t>
            </w:r>
          </w:p>
        </w:tc>
        <w:tc>
          <w:tcPr>
            <w:tcW w:w="20" w:type="dxa"/>
            <w:vAlign w:val="bottom"/>
            <w:vMerge w:val="restart"/>
          </w:tcPr>
          <w:p>
            <w:pPr>
              <w:spacing w:after="0"/>
              <w:rPr>
                <w:sz w:val="4"/>
                <w:szCs w:val="4"/>
                <w:color w:val="auto"/>
              </w:rPr>
            </w:pPr>
          </w:p>
        </w:tc>
        <w:tc>
          <w:tcPr>
            <w:tcW w:w="5380" w:type="dxa"/>
            <w:vAlign w:val="bottom"/>
            <w:gridSpan w:val="73"/>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15"/>
            <w:vMerge w:val="continue"/>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8"/>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110</w:t>
            </w:r>
          </w:p>
        </w:tc>
        <w:tc>
          <w:tcPr>
            <w:tcW w:w="5080" w:type="dxa"/>
            <w:vAlign w:val="bottom"/>
            <w:gridSpan w:val="64"/>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3.04</w:t>
            </w:r>
          </w:p>
        </w:tc>
        <w:tc>
          <w:tcPr>
            <w:tcW w:w="100" w:type="dxa"/>
            <w:vAlign w:val="bottom"/>
          </w:tcPr>
          <w:p>
            <w:pPr>
              <w:spacing w:after="0"/>
              <w:rPr>
                <w:sz w:val="4"/>
                <w:szCs w:val="4"/>
                <w:color w:val="auto"/>
              </w:rPr>
            </w:pPr>
          </w:p>
        </w:tc>
        <w:tc>
          <w:tcPr>
            <w:tcW w:w="2260" w:type="dxa"/>
            <w:vAlign w:val="bottom"/>
            <w:gridSpan w:val="44"/>
            <w:vMerge w:val="restart"/>
          </w:tcPr>
          <w:p>
            <w:pPr>
              <w:spacing w:after="0"/>
              <w:rPr>
                <w:sz w:val="20"/>
                <w:szCs w:val="20"/>
                <w:color w:val="auto"/>
              </w:rPr>
            </w:pPr>
            <w:r>
              <w:rPr>
                <w:rFonts w:ascii="Times New Roman" w:cs="Times New Roman" w:eastAsia="Times New Roman" w:hAnsi="Times New Roman"/>
                <w:sz w:val="21"/>
                <w:szCs w:val="21"/>
                <w:color w:val="auto"/>
              </w:rPr>
              <w:t>Governmental Approvals</w:t>
            </w:r>
          </w:p>
        </w:tc>
        <w:tc>
          <w:tcPr>
            <w:tcW w:w="60" w:type="dxa"/>
            <w:vAlign w:val="bottom"/>
            <w:gridSpan w:val="2"/>
          </w:tcPr>
          <w:p>
            <w:pPr>
              <w:spacing w:after="0"/>
              <w:rPr>
                <w:sz w:val="4"/>
                <w:szCs w:val="4"/>
                <w:color w:val="auto"/>
              </w:rPr>
            </w:pPr>
          </w:p>
        </w:tc>
        <w:tc>
          <w:tcPr>
            <w:tcW w:w="32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114</w:t>
            </w:r>
          </w:p>
        </w:tc>
        <w:tc>
          <w:tcPr>
            <w:tcW w:w="2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4"/>
            <w:vMerge w:val="continue"/>
          </w:tcPr>
          <w:p>
            <w:pPr>
              <w:spacing w:after="0"/>
              <w:rPr>
                <w:sz w:val="17"/>
                <w:szCs w:val="17"/>
                <w:color w:val="auto"/>
              </w:rPr>
            </w:pPr>
          </w:p>
        </w:tc>
        <w:tc>
          <w:tcPr>
            <w:tcW w:w="60" w:type="dxa"/>
            <w:vAlign w:val="bottom"/>
            <w:gridSpan w:val="2"/>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280" w:type="dxa"/>
            <w:vAlign w:val="bottom"/>
            <w:gridSpan w:val="5"/>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111</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3.05</w:t>
            </w:r>
          </w:p>
        </w:tc>
        <w:tc>
          <w:tcPr>
            <w:tcW w:w="100" w:type="dxa"/>
            <w:vAlign w:val="bottom"/>
          </w:tcPr>
          <w:p>
            <w:pPr>
              <w:spacing w:after="0"/>
              <w:rPr>
                <w:sz w:val="5"/>
                <w:szCs w:val="5"/>
                <w:color w:val="auto"/>
              </w:rPr>
            </w:pPr>
          </w:p>
        </w:tc>
        <w:tc>
          <w:tcPr>
            <w:tcW w:w="1820" w:type="dxa"/>
            <w:vAlign w:val="bottom"/>
            <w:gridSpan w:val="28"/>
            <w:vMerge w:val="restart"/>
          </w:tcPr>
          <w:p>
            <w:pPr>
              <w:spacing w:after="0"/>
              <w:rPr>
                <w:sz w:val="20"/>
                <w:szCs w:val="20"/>
                <w:color w:val="auto"/>
              </w:rPr>
            </w:pPr>
            <w:r>
              <w:rPr>
                <w:rFonts w:ascii="Times New Roman" w:cs="Times New Roman" w:eastAsia="Times New Roman" w:hAnsi="Times New Roman"/>
                <w:sz w:val="21"/>
                <w:szCs w:val="21"/>
                <w:color w:val="auto"/>
              </w:rPr>
              <w:t>Financial Statements</w:t>
            </w:r>
          </w:p>
        </w:tc>
        <w:tc>
          <w:tcPr>
            <w:tcW w:w="140" w:type="dxa"/>
            <w:vAlign w:val="bottom"/>
            <w:gridSpan w:val="3"/>
          </w:tcPr>
          <w:p>
            <w:pPr>
              <w:spacing w:after="0"/>
              <w:rPr>
                <w:sz w:val="5"/>
                <w:szCs w:val="5"/>
                <w:color w:val="auto"/>
              </w:rPr>
            </w:pPr>
          </w:p>
        </w:tc>
        <w:tc>
          <w:tcPr>
            <w:tcW w:w="300" w:type="dxa"/>
            <w:vAlign w:val="bottom"/>
            <w:gridSpan w:val="13"/>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114</w:t>
            </w:r>
          </w:p>
        </w:tc>
        <w:tc>
          <w:tcPr>
            <w:tcW w:w="60" w:type="dxa"/>
            <w:vAlign w:val="bottom"/>
            <w:gridSpan w:val="2"/>
          </w:tcPr>
          <w:p>
            <w:pPr>
              <w:spacing w:after="0"/>
              <w:rPr>
                <w:sz w:val="5"/>
                <w:szCs w:val="5"/>
                <w:color w:val="auto"/>
              </w:rPr>
            </w:pPr>
          </w:p>
        </w:tc>
        <w:tc>
          <w:tcPr>
            <w:tcW w:w="240" w:type="dxa"/>
            <w:vAlign w:val="bottom"/>
            <w:gridSpan w:val="7"/>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8"/>
            <w:vMerge w:val="continue"/>
          </w:tcPr>
          <w:p>
            <w:pPr>
              <w:spacing w:after="0"/>
              <w:rPr>
                <w:sz w:val="17"/>
                <w:szCs w:val="17"/>
                <w:color w:val="auto"/>
              </w:rPr>
            </w:pPr>
          </w:p>
        </w:tc>
        <w:tc>
          <w:tcPr>
            <w:tcW w:w="140" w:type="dxa"/>
            <w:vAlign w:val="bottom"/>
            <w:gridSpan w:val="3"/>
          </w:tcPr>
          <w:p>
            <w:pPr>
              <w:spacing w:after="0"/>
              <w:rPr>
                <w:sz w:val="17"/>
                <w:szCs w:val="17"/>
                <w:color w:val="auto"/>
              </w:rPr>
            </w:pPr>
          </w:p>
        </w:tc>
        <w:tc>
          <w:tcPr>
            <w:tcW w:w="300" w:type="dxa"/>
            <w:vAlign w:val="bottom"/>
            <w:gridSpan w:val="13"/>
            <w:vMerge w:val="continue"/>
          </w:tcPr>
          <w:p>
            <w:pPr>
              <w:spacing w:after="0"/>
              <w:rPr>
                <w:sz w:val="17"/>
                <w:szCs w:val="17"/>
                <w:color w:val="auto"/>
              </w:rPr>
            </w:pPr>
          </w:p>
        </w:tc>
        <w:tc>
          <w:tcPr>
            <w:tcW w:w="30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3.06</w:t>
            </w:r>
          </w:p>
        </w:tc>
        <w:tc>
          <w:tcPr>
            <w:tcW w:w="100" w:type="dxa"/>
            <w:vAlign w:val="bottom"/>
          </w:tcPr>
          <w:p>
            <w:pPr>
              <w:spacing w:after="0"/>
              <w:rPr>
                <w:sz w:val="4"/>
                <w:szCs w:val="4"/>
                <w:color w:val="auto"/>
              </w:rPr>
            </w:pPr>
          </w:p>
        </w:tc>
        <w:tc>
          <w:tcPr>
            <w:tcW w:w="2660" w:type="dxa"/>
            <w:vAlign w:val="bottom"/>
            <w:gridSpan w:val="56"/>
            <w:vMerge w:val="restart"/>
          </w:tcPr>
          <w:p>
            <w:pPr>
              <w:spacing w:after="0"/>
              <w:rPr>
                <w:sz w:val="20"/>
                <w:szCs w:val="20"/>
                <w:color w:val="auto"/>
              </w:rPr>
            </w:pPr>
            <w:r>
              <w:rPr>
                <w:rFonts w:ascii="Times New Roman" w:cs="Times New Roman" w:eastAsia="Times New Roman" w:hAnsi="Times New Roman"/>
                <w:sz w:val="21"/>
                <w:szCs w:val="21"/>
                <w:color w:val="auto"/>
              </w:rPr>
              <w:t>No Material Adverse Change</w:t>
            </w:r>
          </w:p>
        </w:tc>
        <w:tc>
          <w:tcPr>
            <w:tcW w:w="3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114</w:t>
            </w:r>
          </w:p>
        </w:tc>
        <w:tc>
          <w:tcPr>
            <w:tcW w:w="300" w:type="dxa"/>
            <w:vAlign w:val="bottom"/>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56"/>
            <w:vMerge w:val="continue"/>
          </w:tcPr>
          <w:p>
            <w:pPr>
              <w:spacing w:after="0"/>
              <w:rPr>
                <w:sz w:val="18"/>
                <w:szCs w:val="18"/>
                <w:color w:val="auto"/>
              </w:rPr>
            </w:pPr>
          </w:p>
        </w:tc>
        <w:tc>
          <w:tcPr>
            <w:tcW w:w="300" w:type="dxa"/>
            <w:vAlign w:val="bottom"/>
            <w:gridSpan w:val="6"/>
            <w:vMerge w:val="continue"/>
          </w:tcPr>
          <w:p>
            <w:pPr>
              <w:spacing w:after="0"/>
              <w:rPr>
                <w:sz w:val="18"/>
                <w:szCs w:val="18"/>
                <w:color w:val="auto"/>
              </w:rPr>
            </w:pPr>
          </w:p>
        </w:tc>
        <w:tc>
          <w:tcPr>
            <w:tcW w:w="300" w:type="dxa"/>
            <w:vAlign w:val="bottom"/>
            <w:tcBorders>
              <w:left w:val="single" w:sz="8" w:color="DDDDDD"/>
              <w:bottom w:val="single" w:sz="8" w:color="0000FF"/>
            </w:tcBorders>
            <w:gridSpan w:val="3"/>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111</w:t>
            </w:r>
          </w:p>
        </w:tc>
        <w:tc>
          <w:tcPr>
            <w:tcW w:w="20" w:type="dxa"/>
            <w:vAlign w:val="bottom"/>
            <w:tcBorders>
              <w:bottom w:val="single" w:sz="8" w:color="0000FF"/>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3.07</w:t>
            </w:r>
          </w:p>
        </w:tc>
        <w:tc>
          <w:tcPr>
            <w:tcW w:w="100" w:type="dxa"/>
            <w:vAlign w:val="bottom"/>
          </w:tcPr>
          <w:p>
            <w:pPr>
              <w:spacing w:after="0"/>
              <w:rPr>
                <w:sz w:val="3"/>
                <w:szCs w:val="3"/>
                <w:color w:val="auto"/>
              </w:rPr>
            </w:pPr>
          </w:p>
        </w:tc>
        <w:tc>
          <w:tcPr>
            <w:tcW w:w="5060" w:type="dxa"/>
            <w:vAlign w:val="bottom"/>
            <w:gridSpan w:val="91"/>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Title to Properties; Possession Under Leases and Licenses</w:t>
            </w:r>
          </w:p>
        </w:tc>
        <w:tc>
          <w:tcPr>
            <w:tcW w:w="300" w:type="dxa"/>
            <w:vAlign w:val="bottom"/>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114</w:t>
            </w:r>
          </w:p>
        </w:tc>
        <w:tc>
          <w:tcPr>
            <w:tcW w:w="2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gridSpan w:val="91"/>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right w:val="single" w:sz="8" w:color="DDDDDD"/>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111</w:t>
            </w:r>
          </w:p>
        </w:tc>
        <w:tc>
          <w:tcPr>
            <w:tcW w:w="1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62" w:right="1440"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3.08</w:t>
            </w:r>
          </w:p>
        </w:tc>
        <w:tc>
          <w:tcPr>
            <w:tcW w:w="1120" w:type="dxa"/>
            <w:vAlign w:val="bottom"/>
            <w:gridSpan w:val="6"/>
            <w:vMerge w:val="restart"/>
          </w:tcPr>
          <w:p>
            <w:pPr>
              <w:ind w:left="100"/>
              <w:spacing w:after="0"/>
              <w:rPr>
                <w:sz w:val="20"/>
                <w:szCs w:val="20"/>
                <w:color w:val="auto"/>
              </w:rPr>
            </w:pPr>
            <w:r>
              <w:rPr>
                <w:rFonts w:ascii="Times New Roman" w:cs="Times New Roman" w:eastAsia="Times New Roman" w:hAnsi="Times New Roman"/>
                <w:sz w:val="21"/>
                <w:szCs w:val="21"/>
                <w:color w:val="auto"/>
                <w:w w:val="97"/>
              </w:rPr>
              <w:t>Subsidiaries</w:t>
            </w:r>
          </w:p>
        </w:tc>
        <w:tc>
          <w:tcPr>
            <w:tcW w:w="200" w:type="dxa"/>
            <w:vAlign w:val="bottom"/>
            <w:gridSpan w:val="3"/>
          </w:tcPr>
          <w:p>
            <w:pPr>
              <w:spacing w:after="0"/>
              <w:rPr>
                <w:sz w:val="3"/>
                <w:szCs w:val="3"/>
                <w:color w:val="auto"/>
              </w:rPr>
            </w:pP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115</w:t>
            </w:r>
          </w:p>
        </w:tc>
        <w:tc>
          <w:tcPr>
            <w:tcW w:w="20" w:type="dxa"/>
            <w:vAlign w:val="bottom"/>
            <w:vMerge w:val="restart"/>
          </w:tcPr>
          <w:p>
            <w:pPr>
              <w:spacing w:after="0"/>
              <w:rPr>
                <w:sz w:val="3"/>
                <w:szCs w:val="3"/>
                <w:color w:val="auto"/>
              </w:rPr>
            </w:pPr>
          </w:p>
        </w:tc>
        <w:tc>
          <w:tcPr>
            <w:tcW w:w="300" w:type="dxa"/>
            <w:vAlign w:val="bottom"/>
            <w:gridSpan w:val="11"/>
          </w:tcPr>
          <w:p>
            <w:pPr>
              <w:spacing w:after="0"/>
              <w:rPr>
                <w:sz w:val="3"/>
                <w:szCs w:val="3"/>
                <w:color w:val="auto"/>
              </w:rPr>
            </w:pPr>
          </w:p>
        </w:tc>
        <w:tc>
          <w:tcPr>
            <w:tcW w:w="20" w:type="dxa"/>
            <w:vAlign w:val="bottom"/>
            <w:vMerge w:val="restart"/>
          </w:tcPr>
          <w:p>
            <w:pPr>
              <w:spacing w:after="0"/>
              <w:rPr>
                <w:sz w:val="3"/>
                <w:szCs w:val="3"/>
                <w:color w:val="auto"/>
              </w:rPr>
            </w:pPr>
          </w:p>
        </w:tc>
        <w:tc>
          <w:tcPr>
            <w:tcW w:w="3900" w:type="dxa"/>
            <w:vAlign w:val="bottom"/>
            <w:gridSpan w:val="66"/>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200" w:type="dxa"/>
            <w:vAlign w:val="bottom"/>
            <w:gridSpan w:val="3"/>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1"/>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112</w:t>
            </w:r>
          </w:p>
        </w:tc>
        <w:tc>
          <w:tcPr>
            <w:tcW w:w="20" w:type="dxa"/>
            <w:vAlign w:val="bottom"/>
            <w:tcBorders>
              <w:bottom w:val="single" w:sz="8" w:color="0000FF"/>
            </w:tcBorders>
            <w:vMerge w:val="continue"/>
          </w:tcPr>
          <w:p>
            <w:pPr>
              <w:spacing w:after="0"/>
              <w:rPr>
                <w:sz w:val="17"/>
                <w:szCs w:val="17"/>
                <w:color w:val="auto"/>
              </w:rPr>
            </w:pPr>
          </w:p>
        </w:tc>
        <w:tc>
          <w:tcPr>
            <w:tcW w:w="3900" w:type="dxa"/>
            <w:vAlign w:val="bottom"/>
            <w:gridSpan w:val="6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gridSpan w:val="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3.09</w:t>
            </w:r>
          </w:p>
        </w:tc>
        <w:tc>
          <w:tcPr>
            <w:tcW w:w="3080" w:type="dxa"/>
            <w:vAlign w:val="bottom"/>
            <w:gridSpan w:val="61"/>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Litigation; Compliance with Laws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gridSpan w:val="10"/>
            <w:vMerge w:val="restart"/>
          </w:tcPr>
          <w:p>
            <w:pPr>
              <w:jc w:val="right"/>
              <w:ind w:right="20"/>
              <w:spacing w:after="0" w:line="235" w:lineRule="exact"/>
              <w:rPr>
                <w:sz w:val="20"/>
                <w:szCs w:val="20"/>
                <w:color w:val="auto"/>
              </w:rPr>
            </w:pPr>
            <w:r>
              <w:rPr>
                <w:rFonts w:ascii="Times New Roman" w:cs="Times New Roman" w:eastAsia="Times New Roman" w:hAnsi="Times New Roman"/>
                <w:sz w:val="21"/>
                <w:szCs w:val="21"/>
                <w:color w:val="FF0000"/>
                <w:strike w:val="1"/>
                <w:w w:val="88"/>
              </w:rPr>
              <w:t>115</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3080" w:type="dxa"/>
            <w:vAlign w:val="bottom"/>
            <w:gridSpan w:val="61"/>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10"/>
            <w:vMerge w:val="continue"/>
          </w:tcPr>
          <w:p>
            <w:pPr>
              <w:spacing w:after="0"/>
              <w:rPr>
                <w:sz w:val="18"/>
                <w:szCs w:val="18"/>
                <w:color w:val="auto"/>
              </w:rPr>
            </w:pPr>
          </w:p>
        </w:tc>
        <w:tc>
          <w:tcPr>
            <w:tcW w:w="300" w:type="dxa"/>
            <w:vAlign w:val="bottom"/>
            <w:tcBorders>
              <w:bottom w:val="single" w:sz="8" w:color="0000FF"/>
              <w:right w:val="single" w:sz="8" w:color="DDDDDD"/>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3.10</w:t>
            </w:r>
          </w:p>
        </w:tc>
        <w:tc>
          <w:tcPr>
            <w:tcW w:w="1120" w:type="dxa"/>
            <w:vAlign w:val="bottom"/>
            <w:gridSpan w:val="6"/>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w w:val="98"/>
              </w:rPr>
              <w:t>Agreements</w:t>
            </w:r>
          </w:p>
        </w:tc>
        <w:tc>
          <w:tcPr>
            <w:tcW w:w="200" w:type="dxa"/>
            <w:vAlign w:val="bottom"/>
            <w:gridSpan w:val="3"/>
          </w:tcPr>
          <w:p>
            <w:pPr>
              <w:spacing w:after="0"/>
              <w:rPr>
                <w:sz w:val="3"/>
                <w:szCs w:val="3"/>
                <w:color w:val="auto"/>
              </w:rPr>
            </w:pPr>
          </w:p>
        </w:tc>
        <w:tc>
          <w:tcPr>
            <w:tcW w:w="300" w:type="dxa"/>
            <w:vAlign w:val="bottom"/>
            <w:gridSpan w:val="6"/>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115</w:t>
            </w:r>
          </w:p>
        </w:tc>
        <w:tc>
          <w:tcPr>
            <w:tcW w:w="20" w:type="dxa"/>
            <w:vAlign w:val="bottom"/>
            <w:vMerge w:val="restart"/>
          </w:tcPr>
          <w:p>
            <w:pPr>
              <w:spacing w:after="0"/>
              <w:rPr>
                <w:sz w:val="3"/>
                <w:szCs w:val="3"/>
                <w:color w:val="auto"/>
              </w:rPr>
            </w:pPr>
          </w:p>
        </w:tc>
        <w:tc>
          <w:tcPr>
            <w:tcW w:w="300" w:type="dxa"/>
            <w:vAlign w:val="bottom"/>
            <w:gridSpan w:val="11"/>
          </w:tcPr>
          <w:p>
            <w:pPr>
              <w:spacing w:after="0"/>
              <w:rPr>
                <w:sz w:val="3"/>
                <w:szCs w:val="3"/>
                <w:color w:val="auto"/>
              </w:rPr>
            </w:pPr>
          </w:p>
        </w:tc>
        <w:tc>
          <w:tcPr>
            <w:tcW w:w="20" w:type="dxa"/>
            <w:vAlign w:val="bottom"/>
            <w:vMerge w:val="restart"/>
          </w:tcPr>
          <w:p>
            <w:pPr>
              <w:spacing w:after="0"/>
              <w:rPr>
                <w:sz w:val="3"/>
                <w:szCs w:val="3"/>
                <w:color w:val="auto"/>
              </w:rPr>
            </w:pPr>
          </w:p>
        </w:tc>
        <w:tc>
          <w:tcPr>
            <w:tcW w:w="1540" w:type="dxa"/>
            <w:vAlign w:val="bottom"/>
            <w:gridSpan w:val="45"/>
          </w:tcPr>
          <w:p>
            <w:pPr>
              <w:spacing w:after="0"/>
              <w:rPr>
                <w:sz w:val="3"/>
                <w:szCs w:val="3"/>
                <w:color w:val="auto"/>
              </w:rPr>
            </w:pPr>
          </w:p>
        </w:tc>
        <w:tc>
          <w:tcPr>
            <w:tcW w:w="300" w:type="dxa"/>
            <w:vAlign w:val="bottom"/>
            <w:tcBorders>
              <w:top w:val="single" w:sz="8" w:color="DDDDDD"/>
            </w:tcBorders>
            <w:gridSpan w:val="7"/>
          </w:tcPr>
          <w:p>
            <w:pPr>
              <w:spacing w:after="0"/>
              <w:rPr>
                <w:sz w:val="3"/>
                <w:szCs w:val="3"/>
                <w:color w:val="auto"/>
              </w:rPr>
            </w:pPr>
          </w:p>
        </w:tc>
        <w:tc>
          <w:tcPr>
            <w:tcW w:w="2080" w:type="dxa"/>
            <w:vAlign w:val="bottom"/>
            <w:gridSpan w:val="1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200" w:type="dxa"/>
            <w:vAlign w:val="bottom"/>
            <w:gridSpan w:val="3"/>
          </w:tcPr>
          <w:p>
            <w:pPr>
              <w:spacing w:after="0"/>
              <w:rPr>
                <w:sz w:val="17"/>
                <w:szCs w:val="17"/>
                <w:color w:val="auto"/>
              </w:rPr>
            </w:pPr>
          </w:p>
        </w:tc>
        <w:tc>
          <w:tcPr>
            <w:tcW w:w="30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1"/>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112</w:t>
            </w:r>
          </w:p>
        </w:tc>
        <w:tc>
          <w:tcPr>
            <w:tcW w:w="20" w:type="dxa"/>
            <w:vAlign w:val="bottom"/>
            <w:tcBorders>
              <w:bottom w:val="single" w:sz="8" w:color="0000FF"/>
            </w:tcBorders>
            <w:vMerge w:val="continue"/>
          </w:tcPr>
          <w:p>
            <w:pPr>
              <w:spacing w:after="0"/>
              <w:rPr>
                <w:sz w:val="17"/>
                <w:szCs w:val="17"/>
                <w:color w:val="auto"/>
              </w:rPr>
            </w:pPr>
          </w:p>
        </w:tc>
        <w:tc>
          <w:tcPr>
            <w:tcW w:w="3920" w:type="dxa"/>
            <w:vAlign w:val="bottom"/>
            <w:gridSpan w:val="67"/>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3.11</w:t>
            </w:r>
          </w:p>
        </w:tc>
        <w:tc>
          <w:tcPr>
            <w:tcW w:w="2700" w:type="dxa"/>
            <w:vAlign w:val="bottom"/>
            <w:gridSpan w:val="49"/>
            <w:vMerge w:val="restart"/>
          </w:tcPr>
          <w:p>
            <w:pPr>
              <w:ind w:left="100"/>
              <w:spacing w:after="0"/>
              <w:rPr>
                <w:sz w:val="20"/>
                <w:szCs w:val="20"/>
                <w:color w:val="auto"/>
              </w:rPr>
            </w:pPr>
            <w:r>
              <w:rPr>
                <w:rFonts w:ascii="Times New Roman" w:cs="Times New Roman" w:eastAsia="Times New Roman" w:hAnsi="Times New Roman"/>
                <w:sz w:val="21"/>
                <w:szCs w:val="21"/>
                <w:color w:val="auto"/>
              </w:rPr>
              <w:t>Federal Reserve Regulations</w:t>
            </w:r>
          </w:p>
        </w:tc>
        <w:tc>
          <w:tcPr>
            <w:tcW w:w="320" w:type="dxa"/>
            <w:vAlign w:val="bottom"/>
            <w:gridSpan w:val="9"/>
            <w:vMerge w:val="restart"/>
          </w:tcPr>
          <w:p>
            <w:pPr>
              <w:spacing w:after="0"/>
              <w:rPr>
                <w:sz w:val="20"/>
                <w:szCs w:val="20"/>
                <w:color w:val="auto"/>
              </w:rPr>
            </w:pPr>
            <w:r>
              <w:rPr>
                <w:rFonts w:ascii="Times New Roman" w:cs="Times New Roman" w:eastAsia="Times New Roman" w:hAnsi="Times New Roman"/>
                <w:sz w:val="21"/>
                <w:szCs w:val="21"/>
                <w:color w:val="FF0000"/>
                <w:strike w:val="1"/>
                <w:w w:val="95"/>
              </w:rPr>
              <w:t>115</w:t>
            </w:r>
          </w:p>
        </w:tc>
        <w:tc>
          <w:tcPr>
            <w:tcW w:w="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700" w:type="dxa"/>
            <w:vAlign w:val="bottom"/>
            <w:gridSpan w:val="49"/>
            <w:vMerge w:val="continue"/>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112</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3.12</w:t>
            </w:r>
          </w:p>
        </w:tc>
        <w:tc>
          <w:tcPr>
            <w:tcW w:w="2460" w:type="dxa"/>
            <w:vAlign w:val="bottom"/>
            <w:gridSpan w:val="41"/>
            <w:vMerge w:val="restart"/>
          </w:tcPr>
          <w:p>
            <w:pPr>
              <w:ind w:left="100"/>
              <w:spacing w:after="0"/>
              <w:rPr>
                <w:sz w:val="20"/>
                <w:szCs w:val="20"/>
                <w:color w:val="auto"/>
              </w:rPr>
            </w:pPr>
            <w:r>
              <w:rPr>
                <w:rFonts w:ascii="Times New Roman" w:cs="Times New Roman" w:eastAsia="Times New Roman" w:hAnsi="Times New Roman"/>
                <w:sz w:val="21"/>
                <w:szCs w:val="21"/>
                <w:color w:val="auto"/>
              </w:rPr>
              <w:t>Investment Company Act</w:t>
            </w:r>
          </w:p>
        </w:tc>
        <w:tc>
          <w:tcPr>
            <w:tcW w:w="30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116</w:t>
            </w: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460" w:type="dxa"/>
            <w:vAlign w:val="bottom"/>
            <w:gridSpan w:val="41"/>
            <w:vMerge w:val="continue"/>
          </w:tcPr>
          <w:p>
            <w:pPr>
              <w:spacing w:after="0"/>
              <w:rPr>
                <w:sz w:val="17"/>
                <w:szCs w:val="17"/>
                <w:color w:val="auto"/>
              </w:rPr>
            </w:pPr>
          </w:p>
        </w:tc>
        <w:tc>
          <w:tcPr>
            <w:tcW w:w="300" w:type="dxa"/>
            <w:vAlign w:val="bottom"/>
            <w:gridSpan w:val="9"/>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0"/>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113</w:t>
            </w:r>
          </w:p>
        </w:tc>
        <w:tc>
          <w:tcPr>
            <w:tcW w:w="20" w:type="dxa"/>
            <w:vAlign w:val="bottom"/>
            <w:tcBorders>
              <w:bottom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3.13</w:t>
            </w:r>
          </w:p>
        </w:tc>
        <w:tc>
          <w:tcPr>
            <w:tcW w:w="1500" w:type="dxa"/>
            <w:vAlign w:val="bottom"/>
            <w:gridSpan w:val="13"/>
            <w:vMerge w:val="restart"/>
          </w:tcPr>
          <w:p>
            <w:pPr>
              <w:ind w:left="100"/>
              <w:spacing w:after="0"/>
              <w:rPr>
                <w:sz w:val="20"/>
                <w:szCs w:val="20"/>
                <w:color w:val="auto"/>
              </w:rPr>
            </w:pPr>
            <w:r>
              <w:rPr>
                <w:rFonts w:ascii="Times New Roman" w:cs="Times New Roman" w:eastAsia="Times New Roman" w:hAnsi="Times New Roman"/>
                <w:sz w:val="21"/>
                <w:szCs w:val="21"/>
                <w:color w:val="auto"/>
              </w:rPr>
              <w:t>Use of Proceeds</w:t>
            </w:r>
          </w:p>
        </w:tc>
        <w:tc>
          <w:tcPr>
            <w:tcW w:w="160" w:type="dxa"/>
            <w:vAlign w:val="bottom"/>
            <w:gridSpan w:val="4"/>
          </w:tcPr>
          <w:p>
            <w:pPr>
              <w:spacing w:after="0"/>
              <w:rPr>
                <w:sz w:val="4"/>
                <w:szCs w:val="4"/>
                <w:color w:val="auto"/>
              </w:rPr>
            </w:pPr>
          </w:p>
        </w:tc>
        <w:tc>
          <w:tcPr>
            <w:tcW w:w="320" w:type="dxa"/>
            <w:vAlign w:val="bottom"/>
            <w:gridSpan w:val="12"/>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116</w:t>
            </w:r>
          </w:p>
        </w:tc>
        <w:tc>
          <w:tcPr>
            <w:tcW w:w="3900" w:type="dxa"/>
            <w:vAlign w:val="bottom"/>
            <w:gridSpan w:val="66"/>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500" w:type="dxa"/>
            <w:vAlign w:val="bottom"/>
            <w:gridSpan w:val="13"/>
            <w:vMerge w:val="continue"/>
          </w:tcPr>
          <w:p>
            <w:pPr>
              <w:spacing w:after="0"/>
              <w:rPr>
                <w:sz w:val="18"/>
                <w:szCs w:val="18"/>
                <w:color w:val="auto"/>
              </w:rPr>
            </w:pPr>
          </w:p>
        </w:tc>
        <w:tc>
          <w:tcPr>
            <w:tcW w:w="160" w:type="dxa"/>
            <w:vAlign w:val="bottom"/>
            <w:gridSpan w:val="4"/>
          </w:tcPr>
          <w:p>
            <w:pPr>
              <w:spacing w:after="0"/>
              <w:rPr>
                <w:sz w:val="18"/>
                <w:szCs w:val="18"/>
                <w:color w:val="auto"/>
              </w:rPr>
            </w:pPr>
          </w:p>
        </w:tc>
        <w:tc>
          <w:tcPr>
            <w:tcW w:w="320" w:type="dxa"/>
            <w:vAlign w:val="bottom"/>
            <w:gridSpan w:val="12"/>
            <w:vMerge w:val="continue"/>
          </w:tcPr>
          <w:p>
            <w:pPr>
              <w:spacing w:after="0"/>
              <w:rPr>
                <w:sz w:val="18"/>
                <w:szCs w:val="18"/>
                <w:color w:val="auto"/>
              </w:rPr>
            </w:pPr>
          </w:p>
        </w:tc>
        <w:tc>
          <w:tcPr>
            <w:tcW w:w="300" w:type="dxa"/>
            <w:vAlign w:val="bottom"/>
            <w:tcBorders>
              <w:bottom w:val="single" w:sz="8" w:color="0000FF"/>
            </w:tcBorders>
            <w:gridSpan w:val="8"/>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113</w:t>
            </w:r>
          </w:p>
        </w:tc>
        <w:tc>
          <w:tcPr>
            <w:tcW w:w="3600" w:type="dxa"/>
            <w:vAlign w:val="bottom"/>
            <w:gridSpan w:val="58"/>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3.14</w:t>
            </w:r>
          </w:p>
        </w:tc>
        <w:tc>
          <w:tcPr>
            <w:tcW w:w="620" w:type="dxa"/>
            <w:vAlign w:val="bottom"/>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Tax</w:t>
            </w:r>
          </w:p>
        </w:tc>
        <w:tc>
          <w:tcPr>
            <w:tcW w:w="300" w:type="dxa"/>
            <w:vAlign w:val="bottom"/>
            <w:gridSpan w:val="2"/>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116</w:t>
            </w:r>
          </w:p>
        </w:tc>
        <w:tc>
          <w:tcPr>
            <w:tcW w:w="1060" w:type="dxa"/>
            <w:vAlign w:val="bottom"/>
            <w:gridSpan w:val="26"/>
          </w:tcPr>
          <w:p>
            <w:pPr>
              <w:spacing w:after="0"/>
              <w:rPr>
                <w:sz w:val="3"/>
                <w:szCs w:val="3"/>
                <w:color w:val="auto"/>
              </w:rPr>
            </w:pPr>
          </w:p>
        </w:tc>
        <w:tc>
          <w:tcPr>
            <w:tcW w:w="300" w:type="dxa"/>
            <w:vAlign w:val="bottom"/>
            <w:tcBorders>
              <w:top w:val="single" w:sz="8" w:color="DDDDDD"/>
            </w:tcBorders>
            <w:gridSpan w:val="8"/>
          </w:tcPr>
          <w:p>
            <w:pPr>
              <w:spacing w:after="0"/>
              <w:rPr>
                <w:sz w:val="3"/>
                <w:szCs w:val="3"/>
                <w:color w:val="auto"/>
              </w:rPr>
            </w:pPr>
          </w:p>
        </w:tc>
        <w:tc>
          <w:tcPr>
            <w:tcW w:w="3600" w:type="dxa"/>
            <w:vAlign w:val="bottom"/>
            <w:gridSpan w:val="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320" w:type="dxa"/>
            <w:vAlign w:val="bottom"/>
            <w:tcBorders>
              <w:bottom w:val="single" w:sz="8" w:color="0000FF"/>
              <w:right w:val="single" w:sz="8" w:color="DDDDDD"/>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113</w:t>
            </w:r>
          </w:p>
        </w:tc>
        <w:tc>
          <w:tcPr>
            <w:tcW w:w="4640" w:type="dxa"/>
            <w:vAlign w:val="bottom"/>
            <w:gridSpan w:val="8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Borders>
              <w:right w:val="single" w:sz="8" w:color="DDDDDD"/>
            </w:tcBorders>
            <w:gridSpan w:val="8"/>
          </w:tcPr>
          <w:p>
            <w:pPr>
              <w:spacing w:after="0" w:line="20" w:lineRule="exact"/>
              <w:rPr>
                <w:sz w:val="1"/>
                <w:szCs w:val="1"/>
                <w:color w:val="auto"/>
              </w:rPr>
            </w:pPr>
          </w:p>
        </w:tc>
        <w:tc>
          <w:tcPr>
            <w:tcW w:w="4640" w:type="dxa"/>
            <w:vAlign w:val="bottom"/>
            <w:gridSpan w:val="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3.15</w:t>
            </w:r>
          </w:p>
        </w:tc>
        <w:tc>
          <w:tcPr>
            <w:tcW w:w="2460" w:type="dxa"/>
            <w:vAlign w:val="bottom"/>
            <w:gridSpan w:val="41"/>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No Material Misstatements</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gridSpan w:val="9"/>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rPr>
              <w:t>116</w:t>
            </w: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460" w:type="dxa"/>
            <w:vAlign w:val="bottom"/>
            <w:gridSpan w:val="41"/>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9"/>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113</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3.16</w:t>
            </w:r>
          </w:p>
        </w:tc>
        <w:tc>
          <w:tcPr>
            <w:tcW w:w="2140" w:type="dxa"/>
            <w:vAlign w:val="bottom"/>
            <w:gridSpan w:val="33"/>
            <w:vMerge w:val="restart"/>
          </w:tcPr>
          <w:p>
            <w:pPr>
              <w:ind w:left="100"/>
              <w:spacing w:after="0"/>
              <w:rPr>
                <w:sz w:val="20"/>
                <w:szCs w:val="20"/>
                <w:color w:val="auto"/>
              </w:rPr>
            </w:pPr>
            <w:r>
              <w:rPr>
                <w:rFonts w:ascii="Times New Roman" w:cs="Times New Roman" w:eastAsia="Times New Roman" w:hAnsi="Times New Roman"/>
                <w:sz w:val="21"/>
                <w:szCs w:val="21"/>
                <w:color w:val="auto"/>
                <w:w w:val="99"/>
              </w:rPr>
              <w:t>Employee Benefit Plans</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gridSpan w:val="8"/>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116</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140" w:type="dxa"/>
            <w:vAlign w:val="bottom"/>
            <w:gridSpan w:val="33"/>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vMerge w:val="continue"/>
          </w:tcPr>
          <w:p>
            <w:pPr>
              <w:spacing w:after="0"/>
              <w:rPr>
                <w:sz w:val="17"/>
                <w:szCs w:val="17"/>
                <w:color w:val="auto"/>
              </w:rPr>
            </w:pPr>
          </w:p>
        </w:tc>
        <w:tc>
          <w:tcPr>
            <w:tcW w:w="300" w:type="dxa"/>
            <w:vAlign w:val="bottom"/>
            <w:tcBorders>
              <w:bottom w:val="single" w:sz="8" w:color="0000FF"/>
            </w:tcBorders>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113</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3.17</w:t>
            </w:r>
          </w:p>
        </w:tc>
        <w:tc>
          <w:tcPr>
            <w:tcW w:w="2140" w:type="dxa"/>
            <w:vAlign w:val="bottom"/>
            <w:gridSpan w:val="33"/>
            <w:vMerge w:val="restart"/>
          </w:tcPr>
          <w:p>
            <w:pPr>
              <w:ind w:left="100"/>
              <w:spacing w:after="0"/>
              <w:rPr>
                <w:sz w:val="20"/>
                <w:szCs w:val="20"/>
                <w:color w:val="auto"/>
              </w:rPr>
            </w:pPr>
            <w:r>
              <w:rPr>
                <w:rFonts w:ascii="Times New Roman" w:cs="Times New Roman" w:eastAsia="Times New Roman" w:hAnsi="Times New Roman"/>
                <w:sz w:val="21"/>
                <w:szCs w:val="21"/>
                <w:color w:val="auto"/>
              </w:rPr>
              <w:t>Environmental Matters</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gridSpan w:val="9"/>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118</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140" w:type="dxa"/>
            <w:vAlign w:val="bottom"/>
            <w:gridSpan w:val="33"/>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9"/>
            <w:vMerge w:val="continue"/>
          </w:tcPr>
          <w:p>
            <w:pPr>
              <w:spacing w:after="0"/>
              <w:rPr>
                <w:sz w:val="17"/>
                <w:szCs w:val="17"/>
                <w:color w:val="auto"/>
              </w:rPr>
            </w:pPr>
          </w:p>
        </w:tc>
        <w:tc>
          <w:tcPr>
            <w:tcW w:w="320" w:type="dxa"/>
            <w:vAlign w:val="bottom"/>
            <w:tcBorders>
              <w:bottom w:val="single" w:sz="8" w:color="0000FF"/>
            </w:tcBorders>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3.18</w:t>
            </w:r>
          </w:p>
        </w:tc>
        <w:tc>
          <w:tcPr>
            <w:tcW w:w="1120" w:type="dxa"/>
            <w:vAlign w:val="bottom"/>
            <w:gridSpan w:val="6"/>
            <w:vMerge w:val="restart"/>
          </w:tcPr>
          <w:p>
            <w:pPr>
              <w:ind w:left="100"/>
              <w:spacing w:after="0"/>
              <w:rPr>
                <w:sz w:val="20"/>
                <w:szCs w:val="20"/>
                <w:color w:val="auto"/>
              </w:rPr>
            </w:pPr>
            <w:r>
              <w:rPr>
                <w:rFonts w:ascii="Times New Roman" w:cs="Times New Roman" w:eastAsia="Times New Roman" w:hAnsi="Times New Roman"/>
                <w:sz w:val="21"/>
                <w:szCs w:val="21"/>
                <w:color w:val="auto"/>
              </w:rPr>
              <w:t>Insurance</w:t>
            </w: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118</w:t>
            </w:r>
          </w:p>
        </w:tc>
        <w:tc>
          <w:tcPr>
            <w:tcW w:w="20" w:type="dxa"/>
            <w:vAlign w:val="bottom"/>
            <w:vMerge w:val="restart"/>
          </w:tcPr>
          <w:p>
            <w:pPr>
              <w:spacing w:after="0"/>
              <w:rPr>
                <w:sz w:val="4"/>
                <w:szCs w:val="4"/>
                <w:color w:val="auto"/>
              </w:rPr>
            </w:pPr>
          </w:p>
        </w:tc>
        <w:tc>
          <w:tcPr>
            <w:tcW w:w="300" w:type="dxa"/>
            <w:vAlign w:val="bottom"/>
            <w:gridSpan w:val="8"/>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940" w:type="dxa"/>
            <w:vAlign w:val="bottom"/>
            <w:gridSpan w:val="68"/>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300" w:type="dxa"/>
            <w:vAlign w:val="bottom"/>
            <w:gridSpan w:val="5"/>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115</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940" w:type="dxa"/>
            <w:vAlign w:val="bottom"/>
            <w:gridSpan w:val="68"/>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3.19</w:t>
            </w:r>
          </w:p>
        </w:tc>
        <w:tc>
          <w:tcPr>
            <w:tcW w:w="1980" w:type="dxa"/>
            <w:vAlign w:val="bottom"/>
            <w:gridSpan w:val="29"/>
            <w:vMerge w:val="restart"/>
          </w:tcPr>
          <w:p>
            <w:pPr>
              <w:ind w:left="100"/>
              <w:spacing w:after="0"/>
              <w:rPr>
                <w:sz w:val="20"/>
                <w:szCs w:val="20"/>
                <w:color w:val="auto"/>
              </w:rPr>
            </w:pPr>
            <w:r>
              <w:rPr>
                <w:rFonts w:ascii="Times New Roman" w:cs="Times New Roman" w:eastAsia="Times New Roman" w:hAnsi="Times New Roman"/>
                <w:sz w:val="21"/>
                <w:szCs w:val="21"/>
                <w:color w:val="auto"/>
              </w:rPr>
              <w:t>Security Documents</w:t>
            </w:r>
          </w:p>
        </w:tc>
        <w:tc>
          <w:tcPr>
            <w:tcW w:w="20" w:type="dxa"/>
            <w:vAlign w:val="bottom"/>
          </w:tcPr>
          <w:p>
            <w:pPr>
              <w:spacing w:after="0"/>
              <w:rPr>
                <w:sz w:val="4"/>
                <w:szCs w:val="4"/>
                <w:color w:val="auto"/>
              </w:rPr>
            </w:pPr>
          </w:p>
        </w:tc>
        <w:tc>
          <w:tcPr>
            <w:tcW w:w="32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118</w:t>
            </w:r>
          </w:p>
        </w:tc>
        <w:tc>
          <w:tcPr>
            <w:tcW w:w="300" w:type="dxa"/>
            <w:vAlign w:val="bottom"/>
            <w:gridSpan w:val="7"/>
          </w:tcPr>
          <w:p>
            <w:pPr>
              <w:spacing w:after="0"/>
              <w:rPr>
                <w:sz w:val="4"/>
                <w:szCs w:val="4"/>
                <w:color w:val="auto"/>
              </w:rPr>
            </w:pPr>
          </w:p>
        </w:tc>
        <w:tc>
          <w:tcPr>
            <w:tcW w:w="20" w:type="dxa"/>
            <w:vAlign w:val="bottom"/>
            <w:vMerge w:val="restart"/>
          </w:tcPr>
          <w:p>
            <w:pPr>
              <w:spacing w:after="0"/>
              <w:rPr>
                <w:sz w:val="4"/>
                <w:szCs w:val="4"/>
                <w:color w:val="auto"/>
              </w:rPr>
            </w:pPr>
          </w:p>
        </w:tc>
        <w:tc>
          <w:tcPr>
            <w:tcW w:w="3240" w:type="dxa"/>
            <w:vAlign w:val="bottom"/>
            <w:gridSpan w:val="48"/>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980" w:type="dxa"/>
            <w:vAlign w:val="bottom"/>
            <w:gridSpan w:val="29"/>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300" w:type="dxa"/>
            <w:vAlign w:val="bottom"/>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115</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gridSpan w:val="40"/>
          </w:tcPr>
          <w:p>
            <w:pPr>
              <w:spacing w:after="0" w:line="20" w:lineRule="exact"/>
              <w:rPr>
                <w:sz w:val="1"/>
                <w:szCs w:val="1"/>
                <w:color w:val="auto"/>
              </w:rPr>
            </w:pPr>
          </w:p>
        </w:tc>
        <w:tc>
          <w:tcPr>
            <w:tcW w:w="20" w:type="dxa"/>
            <w:vAlign w:val="bottom"/>
            <w:tcBorders>
              <w:bottom w:val="single" w:sz="8" w:color="DDDDDD"/>
            </w:tcBorders>
            <w:shd w:val="clear" w:color="auto" w:fill="0000FF"/>
          </w:tcPr>
          <w:p>
            <w:pPr>
              <w:spacing w:after="0" w:line="20" w:lineRule="exact"/>
              <w:rPr>
                <w:sz w:val="1"/>
                <w:szCs w:val="1"/>
                <w:color w:val="auto"/>
              </w:rPr>
            </w:pPr>
          </w:p>
        </w:tc>
        <w:tc>
          <w:tcPr>
            <w:tcW w:w="280" w:type="dxa"/>
            <w:vAlign w:val="bottom"/>
            <w:tcBorders>
              <w:left w:val="single" w:sz="8" w:color="0000FF"/>
              <w:bottom w:val="single" w:sz="8" w:color="DDDDDD"/>
            </w:tcBorders>
            <w:gridSpan w:val="6"/>
            <w:shd w:val="clear" w:color="auto" w:fill="0000FF"/>
          </w:tcPr>
          <w:p>
            <w:pPr>
              <w:spacing w:after="0" w:line="20" w:lineRule="exact"/>
              <w:rPr>
                <w:sz w:val="1"/>
                <w:szCs w:val="1"/>
                <w:color w:val="auto"/>
              </w:rPr>
            </w:pPr>
          </w:p>
        </w:tc>
        <w:tc>
          <w:tcPr>
            <w:tcW w:w="3260" w:type="dxa"/>
            <w:vAlign w:val="bottom"/>
            <w:gridSpan w:val="4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3.20</w:t>
            </w:r>
          </w:p>
        </w:tc>
        <w:tc>
          <w:tcPr>
            <w:tcW w:w="1980" w:type="dxa"/>
            <w:vAlign w:val="bottom"/>
            <w:gridSpan w:val="2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Intellectual Property</w:t>
            </w:r>
          </w:p>
        </w:tc>
        <w:tc>
          <w:tcPr>
            <w:tcW w:w="20" w:type="dxa"/>
            <w:vAlign w:val="bottom"/>
          </w:tcPr>
          <w:p>
            <w:pPr>
              <w:spacing w:after="0"/>
              <w:rPr>
                <w:sz w:val="3"/>
                <w:szCs w:val="3"/>
                <w:color w:val="auto"/>
              </w:rPr>
            </w:pPr>
          </w:p>
        </w:tc>
        <w:tc>
          <w:tcPr>
            <w:tcW w:w="320" w:type="dxa"/>
            <w:vAlign w:val="bottom"/>
            <w:gridSpan w:val="9"/>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119</w:t>
            </w:r>
          </w:p>
        </w:tc>
        <w:tc>
          <w:tcPr>
            <w:tcW w:w="3560" w:type="dxa"/>
            <w:vAlign w:val="bottom"/>
            <w:gridSpan w:val="5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980" w:type="dxa"/>
            <w:vAlign w:val="bottom"/>
            <w:gridSpan w:val="29"/>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9"/>
            <w:vMerge w:val="continue"/>
          </w:tcPr>
          <w:p>
            <w:pPr>
              <w:spacing w:after="0"/>
              <w:rPr>
                <w:sz w:val="18"/>
                <w:szCs w:val="18"/>
                <w:color w:val="auto"/>
              </w:rPr>
            </w:pPr>
          </w:p>
        </w:tc>
        <w:tc>
          <w:tcPr>
            <w:tcW w:w="32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3.21</w:t>
            </w:r>
          </w:p>
        </w:tc>
        <w:tc>
          <w:tcPr>
            <w:tcW w:w="1500" w:type="dxa"/>
            <w:vAlign w:val="bottom"/>
            <w:gridSpan w:val="13"/>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Labor Matters</w:t>
            </w:r>
          </w:p>
        </w:tc>
        <w:tc>
          <w:tcPr>
            <w:tcW w:w="300" w:type="dxa"/>
            <w:vAlign w:val="bottom"/>
            <w:gridSpan w:val="10"/>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119</w:t>
            </w:r>
          </w:p>
        </w:tc>
        <w:tc>
          <w:tcPr>
            <w:tcW w:w="20" w:type="dxa"/>
            <w:vAlign w:val="bottom"/>
            <w:vMerge w:val="restart"/>
          </w:tcPr>
          <w:p>
            <w:pPr>
              <w:spacing w:after="0"/>
              <w:rPr>
                <w:sz w:val="3"/>
                <w:szCs w:val="3"/>
                <w:color w:val="auto"/>
              </w:rPr>
            </w:pPr>
          </w:p>
        </w:tc>
        <w:tc>
          <w:tcPr>
            <w:tcW w:w="500" w:type="dxa"/>
            <w:vAlign w:val="bottom"/>
            <w:gridSpan w:val="15"/>
          </w:tcPr>
          <w:p>
            <w:pPr>
              <w:spacing w:after="0"/>
              <w:rPr>
                <w:sz w:val="3"/>
                <w:szCs w:val="3"/>
                <w:color w:val="auto"/>
              </w:rPr>
            </w:pPr>
          </w:p>
        </w:tc>
        <w:tc>
          <w:tcPr>
            <w:tcW w:w="320" w:type="dxa"/>
            <w:vAlign w:val="bottom"/>
            <w:tcBorders>
              <w:top w:val="single" w:sz="8" w:color="DDDDDD"/>
            </w:tcBorders>
            <w:gridSpan w:val="8"/>
          </w:tcPr>
          <w:p>
            <w:pPr>
              <w:spacing w:after="0"/>
              <w:rPr>
                <w:sz w:val="3"/>
                <w:szCs w:val="3"/>
                <w:color w:val="auto"/>
              </w:rPr>
            </w:pPr>
          </w:p>
        </w:tc>
        <w:tc>
          <w:tcPr>
            <w:tcW w:w="3240" w:type="dxa"/>
            <w:vAlign w:val="bottom"/>
            <w:gridSpan w:val="4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500" w:type="dxa"/>
            <w:vAlign w:val="bottom"/>
            <w:gridSpan w:val="13"/>
            <w:vMerge w:val="continue"/>
          </w:tcPr>
          <w:p>
            <w:pPr>
              <w:spacing w:after="0"/>
              <w:rPr>
                <w:sz w:val="17"/>
                <w:szCs w:val="17"/>
                <w:color w:val="auto"/>
              </w:rPr>
            </w:pPr>
          </w:p>
        </w:tc>
        <w:tc>
          <w:tcPr>
            <w:tcW w:w="300" w:type="dxa"/>
            <w:vAlign w:val="bottom"/>
            <w:gridSpan w:val="10"/>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116</w:t>
            </w:r>
          </w:p>
        </w:tc>
        <w:tc>
          <w:tcPr>
            <w:tcW w:w="3760" w:type="dxa"/>
            <w:vAlign w:val="bottom"/>
            <w:gridSpan w:val="63"/>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3.22</w:t>
            </w: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21"/>
                <w:szCs w:val="21"/>
                <w:color w:val="auto"/>
              </w:rPr>
              <w:t>Solvency</w:t>
            </w:r>
          </w:p>
        </w:tc>
        <w:tc>
          <w:tcPr>
            <w:tcW w:w="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119</w:t>
            </w:r>
          </w:p>
        </w:tc>
        <w:tc>
          <w:tcPr>
            <w:tcW w:w="20" w:type="dxa"/>
            <w:vAlign w:val="bottom"/>
            <w:vMerge w:val="restart"/>
          </w:tcPr>
          <w:p>
            <w:pPr>
              <w:spacing w:after="0"/>
              <w:rPr>
                <w:sz w:val="5"/>
                <w:szCs w:val="5"/>
                <w:color w:val="auto"/>
              </w:rPr>
            </w:pPr>
          </w:p>
        </w:tc>
        <w:tc>
          <w:tcPr>
            <w:tcW w:w="280" w:type="dxa"/>
            <w:vAlign w:val="bottom"/>
            <w:gridSpan w:val="7"/>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80" w:type="dxa"/>
            <w:vAlign w:val="bottom"/>
            <w:gridSpan w:val="3"/>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40" w:type="dxa"/>
            <w:vAlign w:val="bottom"/>
            <w:gridSpan w:val="2"/>
            <w:vMerge w:val="restart"/>
          </w:tcPr>
          <w:p>
            <w:pPr>
              <w:spacing w:after="0"/>
              <w:rPr>
                <w:sz w:val="5"/>
                <w:szCs w:val="5"/>
                <w:color w:val="auto"/>
              </w:rPr>
            </w:pPr>
          </w:p>
        </w:tc>
        <w:tc>
          <w:tcPr>
            <w:tcW w:w="3900" w:type="dxa"/>
            <w:vAlign w:val="bottom"/>
            <w:gridSpan w:val="66"/>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320" w:type="dxa"/>
            <w:vAlign w:val="bottom"/>
            <w:gridSpan w:val="6"/>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7"/>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116</w:t>
            </w:r>
          </w:p>
        </w:tc>
        <w:tc>
          <w:tcPr>
            <w:tcW w:w="20" w:type="dxa"/>
            <w:vAlign w:val="bottom"/>
            <w:tcBorders>
              <w:bottom w:val="single" w:sz="8" w:color="0000FF"/>
            </w:tcBorders>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gridSpan w:val="3"/>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3900" w:type="dxa"/>
            <w:vAlign w:val="bottom"/>
            <w:gridSpan w:val="66"/>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3.23</w:t>
            </w:r>
          </w:p>
        </w:tc>
        <w:tc>
          <w:tcPr>
            <w:tcW w:w="1980" w:type="dxa"/>
            <w:vAlign w:val="bottom"/>
            <w:gridSpan w:val="29"/>
            <w:vMerge w:val="restart"/>
          </w:tcPr>
          <w:p>
            <w:pPr>
              <w:ind w:left="100"/>
              <w:spacing w:after="0"/>
              <w:rPr>
                <w:sz w:val="20"/>
                <w:szCs w:val="20"/>
                <w:color w:val="auto"/>
              </w:rPr>
            </w:pPr>
            <w:r>
              <w:rPr>
                <w:rFonts w:ascii="Times New Roman" w:cs="Times New Roman" w:eastAsia="Times New Roman" w:hAnsi="Times New Roman"/>
                <w:sz w:val="21"/>
                <w:szCs w:val="21"/>
                <w:color w:val="auto"/>
                <w:w w:val="99"/>
              </w:rPr>
              <w:t>Anti-Corruption Laws</w:t>
            </w:r>
          </w:p>
        </w:tc>
        <w:tc>
          <w:tcPr>
            <w:tcW w:w="200" w:type="dxa"/>
            <w:vAlign w:val="bottom"/>
            <w:gridSpan w:val="5"/>
          </w:tcPr>
          <w:p>
            <w:pPr>
              <w:spacing w:after="0"/>
              <w:rPr>
                <w:sz w:val="4"/>
                <w:szCs w:val="4"/>
                <w:color w:val="auto"/>
              </w:rPr>
            </w:pPr>
          </w:p>
        </w:tc>
        <w:tc>
          <w:tcPr>
            <w:tcW w:w="300" w:type="dxa"/>
            <w:vAlign w:val="bottom"/>
            <w:gridSpan w:val="8"/>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119</w:t>
            </w:r>
          </w:p>
        </w:tc>
        <w:tc>
          <w:tcPr>
            <w:tcW w:w="320" w:type="dxa"/>
            <w:vAlign w:val="bottom"/>
            <w:gridSpan w:val="10"/>
          </w:tcPr>
          <w:p>
            <w:pPr>
              <w:spacing w:after="0"/>
              <w:rPr>
                <w:sz w:val="4"/>
                <w:szCs w:val="4"/>
                <w:color w:val="auto"/>
              </w:rPr>
            </w:pPr>
          </w:p>
        </w:tc>
        <w:tc>
          <w:tcPr>
            <w:tcW w:w="60" w:type="dxa"/>
            <w:vAlign w:val="bottom"/>
            <w:vMerge w:val="restart"/>
          </w:tcPr>
          <w:p>
            <w:pPr>
              <w:spacing w:after="0"/>
              <w:rPr>
                <w:sz w:val="4"/>
                <w:szCs w:val="4"/>
                <w:color w:val="auto"/>
              </w:rPr>
            </w:pPr>
          </w:p>
        </w:tc>
        <w:tc>
          <w:tcPr>
            <w:tcW w:w="3020" w:type="dxa"/>
            <w:vAlign w:val="bottom"/>
            <w:gridSpan w:val="42"/>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980" w:type="dxa"/>
            <w:vAlign w:val="bottom"/>
            <w:gridSpan w:val="29"/>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8"/>
            <w:vMerge w:val="continue"/>
          </w:tcPr>
          <w:p>
            <w:pPr>
              <w:spacing w:after="0"/>
              <w:rPr>
                <w:sz w:val="17"/>
                <w:szCs w:val="17"/>
                <w:color w:val="auto"/>
              </w:rPr>
            </w:pPr>
          </w:p>
        </w:tc>
        <w:tc>
          <w:tcPr>
            <w:tcW w:w="320" w:type="dxa"/>
            <w:vAlign w:val="bottom"/>
            <w:tcBorders>
              <w:bottom w:val="single" w:sz="8" w:color="0000FF"/>
            </w:tcBorders>
            <w:gridSpan w:val="10"/>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116</w:t>
            </w: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3.24</w:t>
            </w:r>
          </w:p>
        </w:tc>
        <w:tc>
          <w:tcPr>
            <w:tcW w:w="2700" w:type="dxa"/>
            <w:vAlign w:val="bottom"/>
            <w:gridSpan w:val="49"/>
            <w:vMerge w:val="restart"/>
          </w:tcPr>
          <w:p>
            <w:pPr>
              <w:ind w:left="100"/>
              <w:spacing w:after="0"/>
              <w:rPr>
                <w:sz w:val="20"/>
                <w:szCs w:val="20"/>
                <w:color w:val="auto"/>
              </w:rPr>
            </w:pPr>
            <w:r>
              <w:rPr>
                <w:rFonts w:ascii="Times New Roman" w:cs="Times New Roman" w:eastAsia="Times New Roman" w:hAnsi="Times New Roman"/>
                <w:sz w:val="21"/>
                <w:szCs w:val="21"/>
                <w:color w:val="auto"/>
              </w:rPr>
              <w:t>Anti-Money Laundering Laws</w:t>
            </w:r>
          </w:p>
        </w:tc>
        <w:tc>
          <w:tcPr>
            <w:tcW w:w="6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10"/>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119</w:t>
            </w:r>
          </w:p>
        </w:tc>
        <w:tc>
          <w:tcPr>
            <w:tcW w:w="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2700" w:type="dxa"/>
            <w:vAlign w:val="bottom"/>
            <w:gridSpan w:val="49"/>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10"/>
            <w:vMerge w:val="continue"/>
          </w:tcPr>
          <w:p>
            <w:pPr>
              <w:spacing w:after="0"/>
              <w:rPr>
                <w:sz w:val="17"/>
                <w:szCs w:val="17"/>
                <w:color w:val="auto"/>
              </w:rPr>
            </w:pPr>
          </w:p>
        </w:tc>
        <w:tc>
          <w:tcPr>
            <w:tcW w:w="300" w:type="dxa"/>
            <w:vAlign w:val="bottom"/>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116</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200" w:type="dxa"/>
            <w:vAlign w:val="bottom"/>
            <w:tcBorders>
              <w:right w:val="single" w:sz="8" w:color="0000FF"/>
            </w:tcBorders>
            <w:gridSpan w:val="64"/>
          </w:tcPr>
          <w:p>
            <w:pPr>
              <w:spacing w:after="0"/>
              <w:rPr>
                <w:sz w:val="2"/>
                <w:szCs w:val="2"/>
                <w:color w:val="auto"/>
              </w:rPr>
            </w:pPr>
          </w:p>
        </w:tc>
        <w:tc>
          <w:tcPr>
            <w:tcW w:w="2700" w:type="dxa"/>
            <w:vAlign w:val="bottom"/>
            <w:gridSpan w:val="3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5720" w:type="dxa"/>
            <w:vAlign w:val="bottom"/>
            <w:gridSpan w:val="78"/>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3.25  Foreign Assets Control Regulations, etc.</w:t>
            </w:r>
          </w:p>
        </w:tc>
        <w:tc>
          <w:tcPr>
            <w:tcW w:w="300" w:type="dxa"/>
            <w:vAlign w:val="bottom"/>
            <w:gridSpan w:val="7"/>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119</w:t>
            </w: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88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720" w:type="dxa"/>
            <w:vAlign w:val="bottom"/>
            <w:gridSpan w:val="78"/>
            <w:vMerge w:val="continue"/>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116</w:t>
            </w:r>
          </w:p>
        </w:tc>
        <w:tc>
          <w:tcPr>
            <w:tcW w:w="20" w:type="dxa"/>
            <w:vAlign w:val="bottom"/>
            <w:tcBorders>
              <w:bottom w:val="single" w:sz="8" w:color="0000FF"/>
            </w:tcBorders>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gridSpan w:val="30"/>
            <w:vMerge w:val="restart"/>
          </w:tcPr>
          <w:p>
            <w:pPr>
              <w:spacing w:after="0"/>
              <w:rPr>
                <w:sz w:val="20"/>
                <w:szCs w:val="20"/>
                <w:color w:val="auto"/>
              </w:rPr>
            </w:pPr>
            <w:r>
              <w:rPr>
                <w:rFonts w:ascii="Times New Roman" w:cs="Times New Roman" w:eastAsia="Times New Roman" w:hAnsi="Times New Roman"/>
                <w:sz w:val="21"/>
                <w:szCs w:val="21"/>
                <w:color w:val="auto"/>
              </w:rPr>
              <w:t>Article IV Conditions to Closing and Funding</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120</w:t>
            </w:r>
          </w:p>
        </w:tc>
        <w:tc>
          <w:tcPr>
            <w:tcW w:w="12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60" w:type="dxa"/>
            <w:vAlign w:val="bottom"/>
            <w:gridSpan w:val="2"/>
          </w:tcPr>
          <w:p>
            <w:pPr>
              <w:spacing w:after="0"/>
              <w:rPr>
                <w:sz w:val="22"/>
                <w:szCs w:val="22"/>
                <w:color w:val="auto"/>
              </w:rPr>
            </w:pPr>
          </w:p>
        </w:tc>
        <w:tc>
          <w:tcPr>
            <w:tcW w:w="10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000" w:type="dxa"/>
            <w:vAlign w:val="bottom"/>
            <w:gridSpan w:val="30"/>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9"/>
            <w:vMerge w:val="continue"/>
          </w:tcPr>
          <w:p>
            <w:pPr>
              <w:spacing w:after="0"/>
              <w:rPr>
                <w:sz w:val="17"/>
                <w:szCs w:val="17"/>
                <w:color w:val="auto"/>
              </w:rPr>
            </w:pPr>
          </w:p>
        </w:tc>
        <w:tc>
          <w:tcPr>
            <w:tcW w:w="320" w:type="dxa"/>
            <w:vAlign w:val="bottom"/>
            <w:tcBorders>
              <w:left w:val="single" w:sz="8" w:color="DDDDDD"/>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4.01</w:t>
            </w:r>
          </w:p>
        </w:tc>
        <w:tc>
          <w:tcPr>
            <w:tcW w:w="2960" w:type="dxa"/>
            <w:vAlign w:val="bottom"/>
            <w:gridSpan w:val="57"/>
            <w:vMerge w:val="restart"/>
          </w:tcPr>
          <w:p>
            <w:pPr>
              <w:ind w:left="100"/>
              <w:spacing w:after="0"/>
              <w:rPr>
                <w:sz w:val="20"/>
                <w:szCs w:val="20"/>
                <w:color w:val="auto"/>
              </w:rPr>
            </w:pPr>
            <w:r>
              <w:rPr>
                <w:rFonts w:ascii="Times New Roman" w:cs="Times New Roman" w:eastAsia="Times New Roman" w:hAnsi="Times New Roman"/>
                <w:sz w:val="21"/>
                <w:szCs w:val="21"/>
                <w:color w:val="auto"/>
              </w:rPr>
              <w:t>Conditions to All Credit Events</w:t>
            </w:r>
          </w:p>
        </w:tc>
        <w:tc>
          <w:tcPr>
            <w:tcW w:w="32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120</w:t>
            </w:r>
          </w:p>
        </w:tc>
        <w:tc>
          <w:tcPr>
            <w:tcW w:w="20" w:type="dxa"/>
            <w:vAlign w:val="bottom"/>
            <w:vMerge w:val="restart"/>
          </w:tcPr>
          <w:p>
            <w:pPr>
              <w:spacing w:after="0"/>
              <w:rPr>
                <w:sz w:val="21"/>
                <w:szCs w:val="21"/>
                <w:color w:val="auto"/>
              </w:rPr>
            </w:pPr>
          </w:p>
        </w:tc>
        <w:tc>
          <w:tcPr>
            <w:tcW w:w="4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120" w:type="dxa"/>
            <w:vAlign w:val="bottom"/>
            <w:gridSpan w:val="2"/>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80" w:type="dxa"/>
            <w:vAlign w:val="bottom"/>
            <w:gridSpan w:val="3"/>
            <w:vMerge w:val="restart"/>
          </w:tcPr>
          <w:p>
            <w:pPr>
              <w:spacing w:after="0"/>
              <w:rPr>
                <w:sz w:val="21"/>
                <w:szCs w:val="21"/>
                <w:color w:val="auto"/>
              </w:rPr>
            </w:pPr>
          </w:p>
        </w:tc>
        <w:tc>
          <w:tcPr>
            <w:tcW w:w="1160" w:type="dxa"/>
            <w:vAlign w:val="bottom"/>
            <w:gridSpan w:val="3"/>
            <w:vMerge w:val="restart"/>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960" w:type="dxa"/>
            <w:vAlign w:val="bottom"/>
            <w:gridSpan w:val="57"/>
            <w:vMerge w:val="continue"/>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117</w:t>
            </w:r>
          </w:p>
        </w:tc>
        <w:tc>
          <w:tcPr>
            <w:tcW w:w="20" w:type="dxa"/>
            <w:vAlign w:val="bottom"/>
            <w:tcBorders>
              <w:bottom w:val="single" w:sz="8" w:color="0000FF"/>
            </w:tcBorders>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4.02</w:t>
            </w:r>
          </w:p>
        </w:tc>
        <w:tc>
          <w:tcPr>
            <w:tcW w:w="1980" w:type="dxa"/>
            <w:vAlign w:val="bottom"/>
            <w:gridSpan w:val="29"/>
            <w:vMerge w:val="restart"/>
          </w:tcPr>
          <w:p>
            <w:pPr>
              <w:ind w:left="100"/>
              <w:spacing w:after="0"/>
              <w:rPr>
                <w:sz w:val="20"/>
                <w:szCs w:val="20"/>
                <w:color w:val="auto"/>
              </w:rPr>
            </w:pPr>
            <w:r>
              <w:rPr>
                <w:rFonts w:ascii="Times New Roman" w:cs="Times New Roman" w:eastAsia="Times New Roman" w:hAnsi="Times New Roman"/>
                <w:sz w:val="21"/>
                <w:szCs w:val="21"/>
                <w:color w:val="auto"/>
              </w:rPr>
              <w:t>Conditions to Closing</w:t>
            </w:r>
          </w:p>
        </w:tc>
        <w:tc>
          <w:tcPr>
            <w:tcW w:w="160" w:type="dxa"/>
            <w:vAlign w:val="bottom"/>
            <w:gridSpan w:val="4"/>
          </w:tcPr>
          <w:p>
            <w:pPr>
              <w:spacing w:after="0"/>
              <w:rPr>
                <w:sz w:val="4"/>
                <w:szCs w:val="4"/>
                <w:color w:val="auto"/>
              </w:rPr>
            </w:pPr>
          </w:p>
        </w:tc>
        <w:tc>
          <w:tcPr>
            <w:tcW w:w="320" w:type="dxa"/>
            <w:vAlign w:val="bottom"/>
            <w:gridSpan w:val="8"/>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121</w:t>
            </w:r>
          </w:p>
        </w:tc>
        <w:tc>
          <w:tcPr>
            <w:tcW w:w="3420" w:type="dxa"/>
            <w:vAlign w:val="bottom"/>
            <w:gridSpan w:val="54"/>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980" w:type="dxa"/>
            <w:vAlign w:val="bottom"/>
            <w:gridSpan w:val="29"/>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vMerge w:val="continue"/>
          </w:tcPr>
          <w:p>
            <w:pPr>
              <w:spacing w:after="0"/>
              <w:rPr>
                <w:sz w:val="17"/>
                <w:szCs w:val="17"/>
                <w:color w:val="auto"/>
              </w:rPr>
            </w:pPr>
          </w:p>
        </w:tc>
        <w:tc>
          <w:tcPr>
            <w:tcW w:w="320" w:type="dxa"/>
            <w:vAlign w:val="bottom"/>
            <w:tcBorders>
              <w:bottom w:val="single" w:sz="8" w:color="0000FF"/>
            </w:tcBorders>
            <w:gridSpan w:val="10"/>
            <w:shd w:val="clear" w:color="auto" w:fill="DDDDDD"/>
          </w:tcPr>
          <w:p>
            <w:pPr>
              <w:jc w:val="right"/>
              <w:ind w:right="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rPr>
              <w:t>Article V Affirmative Covenants</w:t>
            </w:r>
          </w:p>
        </w:tc>
        <w:tc>
          <w:tcPr>
            <w:tcW w:w="140" w:type="dxa"/>
            <w:vAlign w:val="bottom"/>
          </w:tcPr>
          <w:p>
            <w:pPr>
              <w:spacing w:after="0"/>
              <w:rPr>
                <w:sz w:val="22"/>
                <w:szCs w:val="22"/>
                <w:color w:val="auto"/>
              </w:rPr>
            </w:pPr>
          </w:p>
        </w:tc>
        <w:tc>
          <w:tcPr>
            <w:tcW w:w="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rPr>
              <w:t>124</w:t>
            </w:r>
          </w:p>
        </w:tc>
        <w:tc>
          <w:tcPr>
            <w:tcW w:w="4620" w:type="dxa"/>
            <w:vAlign w:val="bottom"/>
            <w:gridSpan w:val="8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8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280" w:type="dxa"/>
            <w:vAlign w:val="bottom"/>
            <w:gridSpan w:val="6"/>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121</w:t>
            </w:r>
          </w:p>
        </w:tc>
        <w:tc>
          <w:tcPr>
            <w:tcW w:w="4340" w:type="dxa"/>
            <w:vAlign w:val="bottom"/>
            <w:tcBorders>
              <w:left w:val="single" w:sz="8" w:color="DDDDDD"/>
            </w:tcBorders>
            <w:gridSpan w:val="81"/>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60" w:type="dxa"/>
            <w:vAlign w:val="bottom"/>
            <w:gridSpan w:val="15"/>
          </w:tcPr>
          <w:p>
            <w:pPr>
              <w:spacing w:after="0"/>
              <w:rPr>
                <w:sz w:val="2"/>
                <w:szCs w:val="2"/>
                <w:color w:val="auto"/>
              </w:rPr>
            </w:pPr>
          </w:p>
        </w:tc>
        <w:tc>
          <w:tcPr>
            <w:tcW w:w="4340" w:type="dxa"/>
            <w:vAlign w:val="bottom"/>
            <w:tcBorders>
              <w:left w:val="single" w:sz="8" w:color="0000FF"/>
            </w:tcBorders>
            <w:gridSpan w:val="8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5.01</w:t>
            </w:r>
          </w:p>
        </w:tc>
        <w:tc>
          <w:tcPr>
            <w:tcW w:w="3400" w:type="dxa"/>
            <w:vAlign w:val="bottom"/>
            <w:gridSpan w:val="70"/>
            <w:vMerge w:val="restart"/>
          </w:tcPr>
          <w:p>
            <w:pPr>
              <w:ind w:left="100"/>
              <w:spacing w:after="0"/>
              <w:rPr>
                <w:sz w:val="20"/>
                <w:szCs w:val="20"/>
                <w:color w:val="auto"/>
              </w:rPr>
            </w:pPr>
            <w:r>
              <w:rPr>
                <w:rFonts w:ascii="Times New Roman" w:cs="Times New Roman" w:eastAsia="Times New Roman" w:hAnsi="Times New Roman"/>
                <w:sz w:val="21"/>
                <w:szCs w:val="21"/>
                <w:color w:val="auto"/>
              </w:rPr>
              <w:t>Existence; Businesses and Properties</w:t>
            </w:r>
          </w:p>
        </w:tc>
        <w:tc>
          <w:tcPr>
            <w:tcW w:w="320" w:type="dxa"/>
            <w:vAlign w:val="bottom"/>
            <w:gridSpan w:val="8"/>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116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3400" w:type="dxa"/>
            <w:vAlign w:val="bottom"/>
            <w:gridSpan w:val="70"/>
            <w:vMerge w:val="continue"/>
          </w:tcPr>
          <w:p>
            <w:pPr>
              <w:spacing w:after="0"/>
              <w:rPr>
                <w:sz w:val="18"/>
                <w:szCs w:val="18"/>
                <w:color w:val="auto"/>
              </w:rPr>
            </w:pPr>
          </w:p>
        </w:tc>
        <w:tc>
          <w:tcPr>
            <w:tcW w:w="320" w:type="dxa"/>
            <w:vAlign w:val="bottom"/>
            <w:gridSpan w:val="8"/>
            <w:vMerge w:val="continue"/>
          </w:tcPr>
          <w:p>
            <w:pPr>
              <w:spacing w:after="0"/>
              <w:rPr>
                <w:sz w:val="18"/>
                <w:szCs w:val="18"/>
                <w:color w:val="auto"/>
              </w:rPr>
            </w:pPr>
          </w:p>
        </w:tc>
        <w:tc>
          <w:tcPr>
            <w:tcW w:w="320" w:type="dxa"/>
            <w:vAlign w:val="bottom"/>
            <w:gridSpan w:val="8"/>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121</w:t>
            </w:r>
          </w:p>
        </w:tc>
        <w:tc>
          <w:tcPr>
            <w:tcW w:w="11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5.02</w:t>
            </w:r>
          </w:p>
        </w:tc>
        <w:tc>
          <w:tcPr>
            <w:tcW w:w="1120" w:type="dxa"/>
            <w:vAlign w:val="bottom"/>
            <w:gridSpan w:val="6"/>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Insurance</w:t>
            </w:r>
          </w:p>
        </w:tc>
        <w:tc>
          <w:tcPr>
            <w:tcW w:w="320" w:type="dxa"/>
            <w:vAlign w:val="bottom"/>
            <w:gridSpan w:val="6"/>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95"/>
              </w:rPr>
              <w:t>125</w:t>
            </w:r>
          </w:p>
        </w:tc>
        <w:tc>
          <w:tcPr>
            <w:tcW w:w="320" w:type="dxa"/>
            <w:vAlign w:val="bottom"/>
            <w:gridSpan w:val="9"/>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900" w:type="dxa"/>
            <w:vAlign w:val="bottom"/>
            <w:gridSpan w:val="54"/>
          </w:tcPr>
          <w:p>
            <w:pPr>
              <w:spacing w:after="0"/>
              <w:rPr>
                <w:sz w:val="3"/>
                <w:szCs w:val="3"/>
                <w:color w:val="auto"/>
              </w:rPr>
            </w:pPr>
          </w:p>
        </w:tc>
        <w:tc>
          <w:tcPr>
            <w:tcW w:w="340" w:type="dxa"/>
            <w:vAlign w:val="bottom"/>
            <w:tcBorders>
              <w:top w:val="single" w:sz="8" w:color="0000FF"/>
            </w:tcBorders>
            <w:gridSpan w:val="9"/>
          </w:tcPr>
          <w:p>
            <w:pPr>
              <w:spacing w:after="0"/>
              <w:rPr>
                <w:sz w:val="3"/>
                <w:szCs w:val="3"/>
                <w:color w:val="auto"/>
              </w:rPr>
            </w:pPr>
          </w:p>
        </w:tc>
        <w:tc>
          <w:tcPr>
            <w:tcW w:w="1840" w:type="dxa"/>
            <w:vAlign w:val="bottom"/>
            <w:gridSpan w:val="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320" w:type="dxa"/>
            <w:vAlign w:val="bottom"/>
            <w:gridSpan w:val="6"/>
            <w:vMerge w:val="continue"/>
          </w:tcPr>
          <w:p>
            <w:pPr>
              <w:spacing w:after="0"/>
              <w:rPr>
                <w:sz w:val="17"/>
                <w:szCs w:val="17"/>
                <w:color w:val="auto"/>
              </w:rPr>
            </w:pPr>
          </w:p>
        </w:tc>
        <w:tc>
          <w:tcPr>
            <w:tcW w:w="320" w:type="dxa"/>
            <w:vAlign w:val="bottom"/>
            <w:tcBorders>
              <w:bottom w:val="single" w:sz="8" w:color="0000FF"/>
            </w:tcBorders>
            <w:gridSpan w:val="9"/>
            <w:shd w:val="clear" w:color="auto" w:fill="DDDDDD"/>
          </w:tcPr>
          <w:p>
            <w:pPr>
              <w:jc w:val="right"/>
              <w:ind w:right="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122</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80" w:type="dxa"/>
            <w:vAlign w:val="bottom"/>
            <w:gridSpan w:val="72"/>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5.03</w:t>
            </w:r>
          </w:p>
        </w:tc>
        <w:tc>
          <w:tcPr>
            <w:tcW w:w="1980" w:type="dxa"/>
            <w:vAlign w:val="bottom"/>
            <w:gridSpan w:val="29"/>
            <w:vMerge w:val="restart"/>
          </w:tcPr>
          <w:p>
            <w:pPr>
              <w:ind w:left="100"/>
              <w:spacing w:after="0"/>
              <w:rPr>
                <w:sz w:val="20"/>
                <w:szCs w:val="20"/>
                <w:color w:val="auto"/>
              </w:rPr>
            </w:pPr>
            <w:r>
              <w:rPr>
                <w:rFonts w:ascii="Times New Roman" w:cs="Times New Roman" w:eastAsia="Times New Roman" w:hAnsi="Times New Roman"/>
                <w:sz w:val="21"/>
                <w:szCs w:val="21"/>
                <w:color w:val="auto"/>
                <w:w w:val="98"/>
              </w:rPr>
              <w:t>Obligations and Taxes</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gridSpan w:val="9"/>
            <w:vMerge w:val="restart"/>
          </w:tcPr>
          <w:p>
            <w:pPr>
              <w:spacing w:after="0"/>
              <w:rPr>
                <w:sz w:val="20"/>
                <w:szCs w:val="20"/>
                <w:color w:val="auto"/>
              </w:rPr>
            </w:pPr>
            <w:r>
              <w:rPr>
                <w:rFonts w:ascii="Times New Roman" w:cs="Times New Roman" w:eastAsia="Times New Roman" w:hAnsi="Times New Roman"/>
                <w:sz w:val="21"/>
                <w:szCs w:val="21"/>
                <w:color w:val="FF0000"/>
                <w:strike w:val="1"/>
                <w:w w:val="95"/>
              </w:rPr>
              <w:t>126</w:t>
            </w:r>
          </w:p>
        </w:tc>
        <w:tc>
          <w:tcPr>
            <w:tcW w:w="60" w:type="dxa"/>
            <w:vAlign w:val="bottom"/>
            <w:gridSpan w:val="2"/>
          </w:tcPr>
          <w:p>
            <w:pPr>
              <w:spacing w:after="0"/>
              <w:rPr>
                <w:sz w:val="5"/>
                <w:szCs w:val="5"/>
                <w:color w:val="auto"/>
              </w:rPr>
            </w:pPr>
          </w:p>
        </w:tc>
        <w:tc>
          <w:tcPr>
            <w:tcW w:w="140" w:type="dxa"/>
            <w:vAlign w:val="bottom"/>
            <w:gridSpan w:val="4"/>
          </w:tcPr>
          <w:p>
            <w:pPr>
              <w:spacing w:after="0"/>
              <w:rPr>
                <w:sz w:val="5"/>
                <w:szCs w:val="5"/>
                <w:color w:val="auto"/>
              </w:rPr>
            </w:pPr>
          </w:p>
        </w:tc>
        <w:tc>
          <w:tcPr>
            <w:tcW w:w="1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980" w:type="dxa"/>
            <w:vAlign w:val="bottom"/>
            <w:gridSpan w:val="29"/>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300" w:type="dxa"/>
            <w:vAlign w:val="bottom"/>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123</w:t>
            </w:r>
          </w:p>
        </w:tc>
        <w:tc>
          <w:tcPr>
            <w:tcW w:w="60" w:type="dxa"/>
            <w:vAlign w:val="bottom"/>
            <w:tcBorders>
              <w:left w:val="single" w:sz="8" w:color="DDDDDD"/>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820" w:type="dxa"/>
            <w:vAlign w:val="bottom"/>
            <w:gridSpan w:val="53"/>
          </w:tcPr>
          <w:p>
            <w:pPr>
              <w:spacing w:after="0"/>
              <w:rPr>
                <w:sz w:val="2"/>
                <w:szCs w:val="2"/>
                <w:color w:val="auto"/>
              </w:rPr>
            </w:pPr>
          </w:p>
        </w:tc>
        <w:tc>
          <w:tcPr>
            <w:tcW w:w="3080" w:type="dxa"/>
            <w:vAlign w:val="bottom"/>
            <w:tcBorders>
              <w:left w:val="single" w:sz="8" w:color="0000FF"/>
            </w:tcBorders>
            <w:gridSpan w:val="4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5240" w:type="dxa"/>
            <w:vAlign w:val="bottom"/>
            <w:gridSpan w:val="66"/>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5.04  Financial Statements, Reports, etc.</w:t>
            </w:r>
          </w:p>
        </w:tc>
        <w:tc>
          <w:tcPr>
            <w:tcW w:w="30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126</w:t>
            </w:r>
          </w:p>
        </w:tc>
        <w:tc>
          <w:tcPr>
            <w:tcW w:w="22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40" w:type="dxa"/>
            <w:vAlign w:val="bottom"/>
            <w:gridSpan w:val="6"/>
            <w:vMerge w:val="restart"/>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40" w:type="dxa"/>
            <w:vAlign w:val="bottom"/>
            <w:gridSpan w:val="66"/>
            <w:vMerge w:val="continue"/>
          </w:tcPr>
          <w:p>
            <w:pPr>
              <w:spacing w:after="0"/>
              <w:rPr>
                <w:sz w:val="18"/>
                <w:szCs w:val="18"/>
                <w:color w:val="auto"/>
              </w:rPr>
            </w:pPr>
          </w:p>
        </w:tc>
        <w:tc>
          <w:tcPr>
            <w:tcW w:w="300" w:type="dxa"/>
            <w:vAlign w:val="bottom"/>
            <w:gridSpan w:val="9"/>
            <w:vMerge w:val="continue"/>
          </w:tcPr>
          <w:p>
            <w:pPr>
              <w:spacing w:after="0"/>
              <w:rPr>
                <w:sz w:val="18"/>
                <w:szCs w:val="18"/>
                <w:color w:val="auto"/>
              </w:rPr>
            </w:pPr>
          </w:p>
        </w:tc>
        <w:tc>
          <w:tcPr>
            <w:tcW w:w="32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123</w:t>
            </w:r>
          </w:p>
        </w:tc>
        <w:tc>
          <w:tcPr>
            <w:tcW w:w="20" w:type="dxa"/>
            <w:vAlign w:val="bottom"/>
            <w:tcBorders>
              <w:bottom w:val="single" w:sz="8" w:color="0000FF"/>
            </w:tcBorders>
            <w:vMerge w:val="continue"/>
          </w:tcPr>
          <w:p>
            <w:pPr>
              <w:spacing w:after="0"/>
              <w:rPr>
                <w:sz w:val="18"/>
                <w:szCs w:val="18"/>
                <w:color w:val="auto"/>
              </w:rPr>
            </w:pPr>
          </w:p>
        </w:tc>
        <w:tc>
          <w:tcPr>
            <w:tcW w:w="1340" w:type="dxa"/>
            <w:vAlign w:val="bottom"/>
            <w:gridSpan w:val="6"/>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5.05</w:t>
            </w:r>
          </w:p>
        </w:tc>
        <w:tc>
          <w:tcPr>
            <w:tcW w:w="2700" w:type="dxa"/>
            <w:vAlign w:val="bottom"/>
            <w:gridSpan w:val="4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Litigation and Other Notices</w:t>
            </w:r>
          </w:p>
        </w:tc>
        <w:tc>
          <w:tcPr>
            <w:tcW w:w="340" w:type="dxa"/>
            <w:vAlign w:val="bottom"/>
            <w:gridSpan w:val="10"/>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rPr>
              <w:t>128</w:t>
            </w:r>
          </w:p>
        </w:tc>
        <w:tc>
          <w:tcPr>
            <w:tcW w:w="20" w:type="dxa"/>
            <w:vAlign w:val="bottom"/>
            <w:vMerge w:val="restart"/>
          </w:tcPr>
          <w:p>
            <w:pPr>
              <w:spacing w:after="0"/>
              <w:rPr>
                <w:sz w:val="3"/>
                <w:szCs w:val="3"/>
                <w:color w:val="auto"/>
              </w:rPr>
            </w:pPr>
          </w:p>
        </w:tc>
        <w:tc>
          <w:tcPr>
            <w:tcW w:w="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gridSpan w:val="6"/>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10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6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700" w:type="dxa"/>
            <w:vAlign w:val="bottom"/>
            <w:gridSpan w:val="49"/>
            <w:vMerge w:val="continue"/>
          </w:tcPr>
          <w:p>
            <w:pPr>
              <w:spacing w:after="0"/>
              <w:rPr>
                <w:sz w:val="17"/>
                <w:szCs w:val="17"/>
                <w:color w:val="auto"/>
              </w:rPr>
            </w:pPr>
          </w:p>
        </w:tc>
        <w:tc>
          <w:tcPr>
            <w:tcW w:w="340" w:type="dxa"/>
            <w:vAlign w:val="bottom"/>
            <w:gridSpan w:val="10"/>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5.06</w:t>
            </w:r>
          </w:p>
        </w:tc>
        <w:tc>
          <w:tcPr>
            <w:tcW w:w="3080" w:type="dxa"/>
            <w:vAlign w:val="bottom"/>
            <w:gridSpan w:val="61"/>
            <w:vMerge w:val="restart"/>
          </w:tcPr>
          <w:p>
            <w:pPr>
              <w:ind w:left="100"/>
              <w:spacing w:after="0"/>
              <w:rPr>
                <w:sz w:val="20"/>
                <w:szCs w:val="20"/>
                <w:color w:val="auto"/>
              </w:rPr>
            </w:pPr>
            <w:r>
              <w:rPr>
                <w:rFonts w:ascii="Times New Roman" w:cs="Times New Roman" w:eastAsia="Times New Roman" w:hAnsi="Times New Roman"/>
                <w:sz w:val="21"/>
                <w:szCs w:val="21"/>
                <w:color w:val="auto"/>
              </w:rPr>
              <w:t>Information Regarding Collateral</w:t>
            </w:r>
          </w:p>
        </w:tc>
        <w:tc>
          <w:tcPr>
            <w:tcW w:w="20" w:type="dxa"/>
            <w:vAlign w:val="bottom"/>
          </w:tcPr>
          <w:p>
            <w:pPr>
              <w:spacing w:after="0"/>
              <w:rPr>
                <w:sz w:val="4"/>
                <w:szCs w:val="4"/>
                <w:color w:val="auto"/>
              </w:rPr>
            </w:pPr>
          </w:p>
        </w:tc>
        <w:tc>
          <w:tcPr>
            <w:tcW w:w="32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129</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6"/>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080" w:type="dxa"/>
            <w:vAlign w:val="bottom"/>
            <w:gridSpan w:val="61"/>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32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126</w:t>
            </w:r>
          </w:p>
        </w:tc>
        <w:tc>
          <w:tcPr>
            <w:tcW w:w="6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gridSpan w:val="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5.07</w:t>
            </w:r>
          </w:p>
        </w:tc>
        <w:tc>
          <w:tcPr>
            <w:tcW w:w="5200" w:type="dxa"/>
            <w:vAlign w:val="bottom"/>
            <w:gridSpan w:val="89"/>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Maintaining Records; Access to Properties and Inspections</w:t>
            </w:r>
          </w:p>
        </w:tc>
        <w:tc>
          <w:tcPr>
            <w:tcW w:w="40" w:type="dxa"/>
            <w:vAlign w:val="bottom"/>
          </w:tcPr>
          <w:p>
            <w:pPr>
              <w:spacing w:after="0"/>
              <w:rPr>
                <w:sz w:val="3"/>
                <w:szCs w:val="3"/>
                <w:color w:val="auto"/>
              </w:rPr>
            </w:pPr>
          </w:p>
        </w:tc>
        <w:tc>
          <w:tcPr>
            <w:tcW w:w="320" w:type="dxa"/>
            <w:vAlign w:val="bottom"/>
            <w:gridSpan w:val="3"/>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95"/>
              </w:rPr>
              <w:t>129</w:t>
            </w: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5200" w:type="dxa"/>
            <w:vAlign w:val="bottom"/>
            <w:gridSpan w:val="89"/>
            <w:vMerge w:val="continue"/>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320" w:type="dxa"/>
            <w:vAlign w:val="bottom"/>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126</w:t>
            </w: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5.08</w:t>
            </w:r>
          </w:p>
        </w:tc>
        <w:tc>
          <w:tcPr>
            <w:tcW w:w="1500" w:type="dxa"/>
            <w:vAlign w:val="bottom"/>
            <w:gridSpan w:val="13"/>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Use of Proceeds</w:t>
            </w:r>
          </w:p>
        </w:tc>
        <w:tc>
          <w:tcPr>
            <w:tcW w:w="160" w:type="dxa"/>
            <w:vAlign w:val="bottom"/>
            <w:gridSpan w:val="4"/>
          </w:tcPr>
          <w:p>
            <w:pPr>
              <w:spacing w:after="0"/>
              <w:rPr>
                <w:sz w:val="3"/>
                <w:szCs w:val="3"/>
                <w:color w:val="auto"/>
              </w:rPr>
            </w:pPr>
          </w:p>
        </w:tc>
        <w:tc>
          <w:tcPr>
            <w:tcW w:w="320" w:type="dxa"/>
            <w:vAlign w:val="bottom"/>
            <w:gridSpan w:val="12"/>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129</w:t>
            </w:r>
          </w:p>
        </w:tc>
        <w:tc>
          <w:tcPr>
            <w:tcW w:w="20" w:type="dxa"/>
            <w:vAlign w:val="bottom"/>
            <w:vMerge w:val="restart"/>
          </w:tcPr>
          <w:p>
            <w:pPr>
              <w:spacing w:after="0"/>
              <w:rPr>
                <w:sz w:val="3"/>
                <w:szCs w:val="3"/>
                <w:color w:val="auto"/>
              </w:rPr>
            </w:pPr>
          </w:p>
        </w:tc>
        <w:tc>
          <w:tcPr>
            <w:tcW w:w="3540" w:type="dxa"/>
            <w:vAlign w:val="bottom"/>
            <w:gridSpan w:val="62"/>
          </w:tcPr>
          <w:p>
            <w:pPr>
              <w:spacing w:after="0"/>
              <w:rPr>
                <w:sz w:val="3"/>
                <w:szCs w:val="3"/>
                <w:color w:val="auto"/>
              </w:rPr>
            </w:pPr>
          </w:p>
        </w:tc>
        <w:tc>
          <w:tcPr>
            <w:tcW w:w="340" w:type="dxa"/>
            <w:vAlign w:val="bottom"/>
            <w:tcBorders>
              <w:top w:val="single" w:sz="8" w:color="0000FF"/>
            </w:tcBorders>
            <w:gridSpan w:val="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500" w:type="dxa"/>
            <w:vAlign w:val="bottom"/>
            <w:gridSpan w:val="13"/>
            <w:vMerge w:val="continue"/>
          </w:tcPr>
          <w:p>
            <w:pPr>
              <w:spacing w:after="0"/>
              <w:rPr>
                <w:sz w:val="17"/>
                <w:szCs w:val="17"/>
                <w:color w:val="auto"/>
              </w:rPr>
            </w:pPr>
          </w:p>
        </w:tc>
        <w:tc>
          <w:tcPr>
            <w:tcW w:w="160" w:type="dxa"/>
            <w:vAlign w:val="bottom"/>
            <w:gridSpan w:val="4"/>
          </w:tcPr>
          <w:p>
            <w:pPr>
              <w:spacing w:after="0"/>
              <w:rPr>
                <w:sz w:val="17"/>
                <w:szCs w:val="17"/>
                <w:color w:val="auto"/>
              </w:rPr>
            </w:pPr>
          </w:p>
        </w:tc>
        <w:tc>
          <w:tcPr>
            <w:tcW w:w="320" w:type="dxa"/>
            <w:vAlign w:val="bottom"/>
            <w:gridSpan w:val="1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8"/>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126</w:t>
            </w:r>
          </w:p>
        </w:tc>
        <w:tc>
          <w:tcPr>
            <w:tcW w:w="3580" w:type="dxa"/>
            <w:vAlign w:val="bottom"/>
            <w:gridSpan w:val="57"/>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5.09</w:t>
            </w:r>
          </w:p>
        </w:tc>
        <w:tc>
          <w:tcPr>
            <w:tcW w:w="1940" w:type="dxa"/>
            <w:vAlign w:val="bottom"/>
            <w:gridSpan w:val="27"/>
            <w:vMerge w:val="restart"/>
          </w:tcPr>
          <w:p>
            <w:pPr>
              <w:ind w:left="100"/>
              <w:spacing w:after="0"/>
              <w:rPr>
                <w:sz w:val="20"/>
                <w:szCs w:val="20"/>
                <w:color w:val="auto"/>
              </w:rPr>
            </w:pPr>
            <w:r>
              <w:rPr>
                <w:rFonts w:ascii="Times New Roman" w:cs="Times New Roman" w:eastAsia="Times New Roman" w:hAnsi="Times New Roman"/>
                <w:sz w:val="21"/>
                <w:szCs w:val="21"/>
                <w:color w:val="auto"/>
              </w:rPr>
              <w:t>Further Assurances</w:t>
            </w:r>
          </w:p>
        </w:tc>
        <w:tc>
          <w:tcPr>
            <w:tcW w:w="300" w:type="dxa"/>
            <w:vAlign w:val="bottom"/>
            <w:gridSpan w:val="8"/>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129</w:t>
            </w:r>
          </w:p>
        </w:tc>
        <w:tc>
          <w:tcPr>
            <w:tcW w:w="20" w:type="dxa"/>
            <w:vAlign w:val="bottom"/>
            <w:vMerge w:val="restart"/>
          </w:tcPr>
          <w:p>
            <w:pPr>
              <w:spacing w:after="0"/>
              <w:rPr>
                <w:sz w:val="5"/>
                <w:szCs w:val="5"/>
                <w:color w:val="auto"/>
              </w:rPr>
            </w:pPr>
          </w:p>
        </w:tc>
        <w:tc>
          <w:tcPr>
            <w:tcW w:w="60" w:type="dxa"/>
            <w:vAlign w:val="bottom"/>
            <w:gridSpan w:val="3"/>
          </w:tcPr>
          <w:p>
            <w:pPr>
              <w:spacing w:after="0"/>
              <w:rPr>
                <w:sz w:val="5"/>
                <w:szCs w:val="5"/>
                <w:color w:val="auto"/>
              </w:rPr>
            </w:pPr>
          </w:p>
        </w:tc>
        <w:tc>
          <w:tcPr>
            <w:tcW w:w="240" w:type="dxa"/>
            <w:vAlign w:val="bottom"/>
            <w:gridSpan w:val="6"/>
          </w:tcPr>
          <w:p>
            <w:pPr>
              <w:spacing w:after="0"/>
              <w:rPr>
                <w:sz w:val="5"/>
                <w:szCs w:val="5"/>
                <w:color w:val="auto"/>
              </w:rPr>
            </w:pPr>
          </w:p>
        </w:tc>
        <w:tc>
          <w:tcPr>
            <w:tcW w:w="140" w:type="dxa"/>
            <w:vAlign w:val="bottom"/>
            <w:gridSpan w:val="4"/>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1940" w:type="dxa"/>
            <w:vAlign w:val="bottom"/>
            <w:gridSpan w:val="27"/>
            <w:vMerge w:val="continue"/>
          </w:tcPr>
          <w:p>
            <w:pPr>
              <w:spacing w:after="0"/>
              <w:rPr>
                <w:sz w:val="18"/>
                <w:szCs w:val="18"/>
                <w:color w:val="auto"/>
              </w:rPr>
            </w:pPr>
          </w:p>
        </w:tc>
        <w:tc>
          <w:tcPr>
            <w:tcW w:w="300" w:type="dxa"/>
            <w:vAlign w:val="bottom"/>
            <w:gridSpan w:val="8"/>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126</w:t>
            </w:r>
          </w:p>
        </w:tc>
        <w:tc>
          <w:tcPr>
            <w:tcW w:w="14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5.10</w:t>
            </w:r>
          </w:p>
        </w:tc>
        <w:tc>
          <w:tcPr>
            <w:tcW w:w="1120" w:type="dxa"/>
            <w:vAlign w:val="bottom"/>
            <w:gridSpan w:val="6"/>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[Reserved]</w:t>
            </w:r>
          </w:p>
        </w:tc>
        <w:tc>
          <w:tcPr>
            <w:tcW w:w="120" w:type="dxa"/>
            <w:vAlign w:val="bottom"/>
          </w:tcPr>
          <w:p>
            <w:pPr>
              <w:spacing w:after="0"/>
              <w:rPr>
                <w:sz w:val="3"/>
                <w:szCs w:val="3"/>
                <w:color w:val="auto"/>
              </w:rPr>
            </w:pPr>
          </w:p>
        </w:tc>
        <w:tc>
          <w:tcPr>
            <w:tcW w:w="300" w:type="dxa"/>
            <w:vAlign w:val="bottom"/>
            <w:gridSpan w:val="7"/>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131</w:t>
            </w:r>
          </w:p>
        </w:tc>
        <w:tc>
          <w:tcPr>
            <w:tcW w:w="320" w:type="dxa"/>
            <w:vAlign w:val="bottom"/>
            <w:gridSpan w:val="11"/>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20" w:type="dxa"/>
            <w:vAlign w:val="bottom"/>
            <w:gridSpan w:val="9"/>
          </w:tcPr>
          <w:p>
            <w:pPr>
              <w:spacing w:after="0"/>
              <w:rPr>
                <w:sz w:val="3"/>
                <w:szCs w:val="3"/>
                <w:color w:val="auto"/>
              </w:rPr>
            </w:pPr>
          </w:p>
        </w:tc>
        <w:tc>
          <w:tcPr>
            <w:tcW w:w="300" w:type="dxa"/>
            <w:vAlign w:val="bottom"/>
            <w:tcBorders>
              <w:top w:val="single" w:sz="8" w:color="DDDDDD"/>
            </w:tcBorders>
            <w:gridSpan w:val="9"/>
          </w:tcPr>
          <w:p>
            <w:pPr>
              <w:spacing w:after="0"/>
              <w:rPr>
                <w:sz w:val="3"/>
                <w:szCs w:val="3"/>
                <w:color w:val="auto"/>
              </w:rPr>
            </w:pPr>
          </w:p>
        </w:tc>
        <w:tc>
          <w:tcPr>
            <w:tcW w:w="3320" w:type="dxa"/>
            <w:vAlign w:val="bottom"/>
            <w:gridSpan w:val="5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320" w:type="dxa"/>
            <w:vAlign w:val="bottom"/>
            <w:tcBorders>
              <w:left w:val="single" w:sz="8" w:color="DDDDDD"/>
              <w:bottom w:val="single" w:sz="8" w:color="0000FF"/>
            </w:tcBorders>
            <w:gridSpan w:val="11"/>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128</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940" w:type="dxa"/>
            <w:vAlign w:val="bottom"/>
            <w:gridSpan w:val="68"/>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rPr>
              <w:t>Article VI Negative Covenants</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131</w:t>
            </w:r>
          </w:p>
        </w:tc>
        <w:tc>
          <w:tcPr>
            <w:tcW w:w="20" w:type="dxa"/>
            <w:vAlign w:val="bottom"/>
            <w:vMerge w:val="restart"/>
          </w:tcPr>
          <w:p>
            <w:pPr>
              <w:spacing w:after="0"/>
              <w:rPr>
                <w:sz w:val="22"/>
                <w:szCs w:val="22"/>
                <w:color w:val="auto"/>
              </w:rPr>
            </w:pPr>
          </w:p>
        </w:tc>
        <w:tc>
          <w:tcPr>
            <w:tcW w:w="4760" w:type="dxa"/>
            <w:vAlign w:val="bottom"/>
            <w:gridSpan w:val="89"/>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00" w:type="dxa"/>
            <w:vAlign w:val="bottom"/>
            <w:gridSpan w:val="3"/>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20" w:type="dxa"/>
            <w:vAlign w:val="bottom"/>
            <w:tcBorders>
              <w:bottom w:val="single" w:sz="8" w:color="0000FF"/>
            </w:tcBorders>
            <w:gridSpan w:val="6"/>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128</w:t>
            </w:r>
          </w:p>
        </w:tc>
        <w:tc>
          <w:tcPr>
            <w:tcW w:w="4440" w:type="dxa"/>
            <w:vAlign w:val="bottom"/>
            <w:gridSpan w:val="83"/>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6.01</w:t>
            </w:r>
          </w:p>
        </w:tc>
        <w:tc>
          <w:tcPr>
            <w:tcW w:w="1420" w:type="dxa"/>
            <w:vAlign w:val="bottom"/>
            <w:gridSpan w:val="11"/>
            <w:vMerge w:val="restart"/>
          </w:tcPr>
          <w:p>
            <w:pPr>
              <w:ind w:left="100"/>
              <w:spacing w:after="0"/>
              <w:rPr>
                <w:sz w:val="20"/>
                <w:szCs w:val="20"/>
                <w:color w:val="auto"/>
              </w:rPr>
            </w:pPr>
            <w:r>
              <w:rPr>
                <w:rFonts w:ascii="Times New Roman" w:cs="Times New Roman" w:eastAsia="Times New Roman" w:hAnsi="Times New Roman"/>
                <w:sz w:val="21"/>
                <w:szCs w:val="21"/>
                <w:color w:val="auto"/>
              </w:rPr>
              <w:t>Indebtedness</w:t>
            </w:r>
          </w:p>
        </w:tc>
        <w:tc>
          <w:tcPr>
            <w:tcW w:w="300" w:type="dxa"/>
            <w:vAlign w:val="bottom"/>
            <w:gridSpan w:val="8"/>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132</w:t>
            </w:r>
          </w:p>
        </w:tc>
        <w:tc>
          <w:tcPr>
            <w:tcW w:w="4160" w:type="dxa"/>
            <w:vAlign w:val="bottom"/>
            <w:gridSpan w:val="76"/>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420" w:type="dxa"/>
            <w:vAlign w:val="bottom"/>
            <w:gridSpan w:val="11"/>
            <w:vMerge w:val="continue"/>
          </w:tcPr>
          <w:p>
            <w:pPr>
              <w:spacing w:after="0"/>
              <w:rPr>
                <w:sz w:val="18"/>
                <w:szCs w:val="18"/>
                <w:color w:val="auto"/>
              </w:rPr>
            </w:pPr>
          </w:p>
        </w:tc>
        <w:tc>
          <w:tcPr>
            <w:tcW w:w="300" w:type="dxa"/>
            <w:vAlign w:val="bottom"/>
            <w:gridSpan w:val="8"/>
            <w:vMerge w:val="continue"/>
          </w:tcPr>
          <w:p>
            <w:pPr>
              <w:spacing w:after="0"/>
              <w:rPr>
                <w:sz w:val="18"/>
                <w:szCs w:val="18"/>
                <w:color w:val="auto"/>
              </w:rPr>
            </w:pPr>
          </w:p>
        </w:tc>
        <w:tc>
          <w:tcPr>
            <w:tcW w:w="320" w:type="dxa"/>
            <w:vAlign w:val="bottom"/>
            <w:tcBorders>
              <w:right w:val="single" w:sz="8" w:color="DDDDDD"/>
            </w:tcBorders>
            <w:gridSpan w:val="1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128</w:t>
            </w:r>
          </w:p>
        </w:tc>
        <w:tc>
          <w:tcPr>
            <w:tcW w:w="3840" w:type="dxa"/>
            <w:vAlign w:val="bottom"/>
            <w:gridSpan w:val="64"/>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6.02</w:t>
            </w:r>
          </w:p>
        </w:tc>
        <w:tc>
          <w:tcPr>
            <w:tcW w:w="780" w:type="dxa"/>
            <w:vAlign w:val="bottom"/>
            <w:gridSpan w:val="2"/>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Liens</w:t>
            </w:r>
          </w:p>
        </w:tc>
        <w:tc>
          <w:tcPr>
            <w:tcW w:w="300" w:type="dxa"/>
            <w:vAlign w:val="bottom"/>
            <w:gridSpan w:val="2"/>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88"/>
              </w:rPr>
              <w:t>132</w:t>
            </w:r>
          </w:p>
        </w:tc>
        <w:tc>
          <w:tcPr>
            <w:tcW w:w="20" w:type="dxa"/>
            <w:vAlign w:val="bottom"/>
            <w:vMerge w:val="restart"/>
          </w:tcPr>
          <w:p>
            <w:pPr>
              <w:spacing w:after="0"/>
              <w:rPr>
                <w:sz w:val="3"/>
                <w:szCs w:val="3"/>
                <w:color w:val="auto"/>
              </w:rPr>
            </w:pPr>
          </w:p>
        </w:tc>
        <w:tc>
          <w:tcPr>
            <w:tcW w:w="600" w:type="dxa"/>
            <w:vAlign w:val="bottom"/>
            <w:gridSpan w:val="13"/>
          </w:tcPr>
          <w:p>
            <w:pPr>
              <w:spacing w:after="0"/>
              <w:rPr>
                <w:sz w:val="3"/>
                <w:szCs w:val="3"/>
                <w:color w:val="auto"/>
              </w:rPr>
            </w:pPr>
          </w:p>
        </w:tc>
        <w:tc>
          <w:tcPr>
            <w:tcW w:w="340" w:type="dxa"/>
            <w:vAlign w:val="bottom"/>
            <w:tcBorders>
              <w:top w:val="single" w:sz="8" w:color="0000FF"/>
            </w:tcBorders>
            <w:gridSpan w:val="13"/>
          </w:tcPr>
          <w:p>
            <w:pPr>
              <w:spacing w:after="0"/>
              <w:rPr>
                <w:sz w:val="3"/>
                <w:szCs w:val="3"/>
                <w:color w:val="auto"/>
              </w:rPr>
            </w:pPr>
          </w:p>
        </w:tc>
        <w:tc>
          <w:tcPr>
            <w:tcW w:w="3840" w:type="dxa"/>
            <w:vAlign w:val="bottom"/>
            <w:gridSpan w:val="6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40" w:type="dxa"/>
            <w:vAlign w:val="bottom"/>
            <w:tcBorders>
              <w:bottom w:val="single" w:sz="8" w:color="0000FF"/>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129</w:t>
            </w:r>
          </w:p>
        </w:tc>
        <w:tc>
          <w:tcPr>
            <w:tcW w:w="4440" w:type="dxa"/>
            <w:vAlign w:val="bottom"/>
            <w:gridSpan w:val="83"/>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6.03</w:t>
            </w:r>
          </w:p>
        </w:tc>
        <w:tc>
          <w:tcPr>
            <w:tcW w:w="3080" w:type="dxa"/>
            <w:vAlign w:val="bottom"/>
            <w:gridSpan w:val="61"/>
            <w:vMerge w:val="restart"/>
          </w:tcPr>
          <w:p>
            <w:pPr>
              <w:ind w:left="100"/>
              <w:spacing w:after="0"/>
              <w:rPr>
                <w:sz w:val="20"/>
                <w:szCs w:val="20"/>
                <w:color w:val="auto"/>
              </w:rPr>
            </w:pPr>
            <w:r>
              <w:rPr>
                <w:rFonts w:ascii="Times New Roman" w:cs="Times New Roman" w:eastAsia="Times New Roman" w:hAnsi="Times New Roman"/>
                <w:sz w:val="21"/>
                <w:szCs w:val="21"/>
                <w:color w:val="auto"/>
              </w:rPr>
              <w:t>Sale and Lease-Back Transactions</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10"/>
            <w:vMerge w:val="restart"/>
          </w:tcPr>
          <w:p>
            <w:pPr>
              <w:jc w:val="right"/>
              <w:ind w:right="20"/>
              <w:spacing w:after="0"/>
              <w:rPr>
                <w:sz w:val="20"/>
                <w:szCs w:val="20"/>
                <w:color w:val="auto"/>
              </w:rPr>
            </w:pPr>
            <w:r>
              <w:rPr>
                <w:rFonts w:ascii="Times New Roman" w:cs="Times New Roman" w:eastAsia="Times New Roman" w:hAnsi="Times New Roman"/>
                <w:sz w:val="21"/>
                <w:szCs w:val="21"/>
                <w:color w:val="FF0000"/>
                <w:strike w:val="1"/>
                <w:w w:val="88"/>
              </w:rPr>
              <w:t>134</w:t>
            </w:r>
          </w:p>
        </w:tc>
        <w:tc>
          <w:tcPr>
            <w:tcW w:w="300" w:type="dxa"/>
            <w:vAlign w:val="bottom"/>
            <w:gridSpan w:val="7"/>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3080" w:type="dxa"/>
            <w:vAlign w:val="bottom"/>
            <w:gridSpan w:val="61"/>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10"/>
            <w:vMerge w:val="continue"/>
          </w:tcPr>
          <w:p>
            <w:pPr>
              <w:spacing w:after="0"/>
              <w:rPr>
                <w:sz w:val="18"/>
                <w:szCs w:val="18"/>
                <w:color w:val="auto"/>
              </w:rPr>
            </w:pPr>
          </w:p>
        </w:tc>
        <w:tc>
          <w:tcPr>
            <w:tcW w:w="300" w:type="dxa"/>
            <w:vAlign w:val="bottom"/>
            <w:tcBorders>
              <w:bottom w:val="single" w:sz="8" w:color="0000FF"/>
              <w:right w:val="single" w:sz="8" w:color="DDDDDD"/>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131</w:t>
            </w:r>
          </w:p>
        </w:tc>
        <w:tc>
          <w:tcPr>
            <w:tcW w:w="20" w:type="dxa"/>
            <w:vAlign w:val="bottom"/>
            <w:tcBorders>
              <w:bottom w:val="single" w:sz="8" w:color="0000FF"/>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6.04</w:t>
            </w:r>
          </w:p>
        </w:tc>
        <w:tc>
          <w:tcPr>
            <w:tcW w:w="3080" w:type="dxa"/>
            <w:vAlign w:val="bottom"/>
            <w:gridSpan w:val="61"/>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Investments, Loans and Advances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9"/>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88"/>
              </w:rPr>
              <w:t>134</w:t>
            </w:r>
          </w:p>
        </w:tc>
        <w:tc>
          <w:tcPr>
            <w:tcW w:w="20" w:type="dxa"/>
            <w:vAlign w:val="bottom"/>
            <w:vMerge w:val="restart"/>
          </w:tcPr>
          <w:p>
            <w:pPr>
              <w:spacing w:after="0"/>
              <w:rPr>
                <w:sz w:val="3"/>
                <w:szCs w:val="3"/>
                <w:color w:val="auto"/>
              </w:rPr>
            </w:pPr>
          </w:p>
        </w:tc>
        <w:tc>
          <w:tcPr>
            <w:tcW w:w="300" w:type="dxa"/>
            <w:vAlign w:val="bottom"/>
            <w:tcBorders>
              <w:top w:val="single" w:sz="8" w:color="DDDDDD"/>
            </w:tcBorders>
            <w:gridSpan w:val="7"/>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080" w:type="dxa"/>
            <w:vAlign w:val="bottom"/>
            <w:gridSpan w:val="61"/>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9"/>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right w:val="single" w:sz="8" w:color="DDDDDD"/>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right w:val="single" w:sz="8" w:color="DDDDDD"/>
            </w:tcBorders>
            <w:gridSpan w:val="81"/>
          </w:tcPr>
          <w:p>
            <w:pPr>
              <w:spacing w:after="0" w:line="20" w:lineRule="exact"/>
              <w:rPr>
                <w:sz w:val="1"/>
                <w:szCs w:val="1"/>
                <w:color w:val="auto"/>
              </w:rPr>
            </w:pPr>
          </w:p>
        </w:tc>
        <w:tc>
          <w:tcPr>
            <w:tcW w:w="20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6.05</w:t>
            </w:r>
          </w:p>
        </w:tc>
        <w:tc>
          <w:tcPr>
            <w:tcW w:w="5200" w:type="dxa"/>
            <w:vAlign w:val="bottom"/>
            <w:gridSpan w:val="8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Mergers, Consolidations, Sales of Assets and Acquisitions</w:t>
            </w:r>
          </w:p>
        </w:tc>
        <w:tc>
          <w:tcPr>
            <w:tcW w:w="320" w:type="dxa"/>
            <w:vAlign w:val="bottom"/>
            <w:gridSpan w:val="2"/>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137</w:t>
            </w:r>
          </w:p>
        </w:tc>
        <w:tc>
          <w:tcPr>
            <w:tcW w:w="20" w:type="dxa"/>
            <w:vAlign w:val="bottom"/>
            <w:vMerge w:val="restart"/>
          </w:tcPr>
          <w:p>
            <w:pPr>
              <w:spacing w:after="0"/>
              <w:rPr>
                <w:sz w:val="3"/>
                <w:szCs w:val="3"/>
                <w:color w:val="auto"/>
              </w:rPr>
            </w:pPr>
          </w:p>
        </w:tc>
        <w:tc>
          <w:tcPr>
            <w:tcW w:w="2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5200" w:type="dxa"/>
            <w:vAlign w:val="bottom"/>
            <w:gridSpan w:val="89"/>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62"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6.06</w:t>
            </w:r>
          </w:p>
        </w:tc>
        <w:tc>
          <w:tcPr>
            <w:tcW w:w="4000" w:type="dxa"/>
            <w:vAlign w:val="bottom"/>
            <w:gridSpan w:val="71"/>
            <w:vMerge w:val="restart"/>
          </w:tcPr>
          <w:p>
            <w:pPr>
              <w:ind w:left="100"/>
              <w:spacing w:after="0"/>
              <w:rPr>
                <w:sz w:val="20"/>
                <w:szCs w:val="20"/>
                <w:color w:val="auto"/>
              </w:rPr>
            </w:pPr>
            <w:r>
              <w:rPr>
                <w:rFonts w:ascii="Times New Roman" w:cs="Times New Roman" w:eastAsia="Times New Roman" w:hAnsi="Times New Roman"/>
                <w:sz w:val="21"/>
                <w:szCs w:val="21"/>
                <w:color w:val="auto"/>
              </w:rPr>
              <w:t>Restricted Payments; Restrictive Agreements</w:t>
            </w:r>
          </w:p>
        </w:tc>
        <w:tc>
          <w:tcPr>
            <w:tcW w:w="100" w:type="dxa"/>
            <w:vAlign w:val="bottom"/>
          </w:tcPr>
          <w:p>
            <w:pPr>
              <w:spacing w:after="0"/>
              <w:rPr>
                <w:sz w:val="3"/>
                <w:szCs w:val="3"/>
                <w:color w:val="auto"/>
              </w:rPr>
            </w:pP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138</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124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4000" w:type="dxa"/>
            <w:vAlign w:val="bottom"/>
            <w:gridSpan w:val="71"/>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5"/>
            <w:vMerge w:val="continue"/>
          </w:tcPr>
          <w:p>
            <w:pPr>
              <w:spacing w:after="0"/>
              <w:rPr>
                <w:sz w:val="18"/>
                <w:szCs w:val="18"/>
                <w:color w:val="auto"/>
              </w:rPr>
            </w:pPr>
          </w:p>
        </w:tc>
        <w:tc>
          <w:tcPr>
            <w:tcW w:w="320" w:type="dxa"/>
            <w:vAlign w:val="bottom"/>
            <w:tcBorders>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135</w:t>
            </w:r>
          </w:p>
        </w:tc>
        <w:tc>
          <w:tcPr>
            <w:tcW w:w="20" w:type="dxa"/>
            <w:vAlign w:val="bottom"/>
            <w:tcBorders>
              <w:bottom w:val="single" w:sz="8" w:color="0000FF"/>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6.07</w:t>
            </w:r>
          </w:p>
        </w:tc>
        <w:tc>
          <w:tcPr>
            <w:tcW w:w="2620" w:type="dxa"/>
            <w:vAlign w:val="bottom"/>
            <w:gridSpan w:val="38"/>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Transactions with Affiliates</w:t>
            </w:r>
          </w:p>
        </w:tc>
        <w:tc>
          <w:tcPr>
            <w:tcW w:w="320" w:type="dxa"/>
            <w:vAlign w:val="bottom"/>
            <w:gridSpan w:val="11"/>
            <w:vMerge w:val="restart"/>
          </w:tcPr>
          <w:p>
            <w:pPr>
              <w:ind w:left="20"/>
              <w:spacing w:after="0" w:line="235" w:lineRule="exact"/>
              <w:rPr>
                <w:sz w:val="20"/>
                <w:szCs w:val="20"/>
                <w:color w:val="auto"/>
              </w:rPr>
            </w:pPr>
            <w:r>
              <w:rPr>
                <w:rFonts w:ascii="Times New Roman" w:cs="Times New Roman" w:eastAsia="Times New Roman" w:hAnsi="Times New Roman"/>
                <w:sz w:val="21"/>
                <w:szCs w:val="21"/>
                <w:color w:val="FF0000"/>
                <w:strike w:val="1"/>
                <w:w w:val="88"/>
              </w:rPr>
              <w:t>139</w:t>
            </w:r>
          </w:p>
        </w:tc>
        <w:tc>
          <w:tcPr>
            <w:tcW w:w="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2620" w:type="dxa"/>
            <w:vAlign w:val="bottom"/>
            <w:gridSpan w:val="38"/>
            <w:vMerge w:val="continue"/>
          </w:tcPr>
          <w:p>
            <w:pPr>
              <w:spacing w:after="0"/>
              <w:rPr>
                <w:sz w:val="17"/>
                <w:szCs w:val="17"/>
                <w:color w:val="auto"/>
              </w:rPr>
            </w:pPr>
          </w:p>
        </w:tc>
        <w:tc>
          <w:tcPr>
            <w:tcW w:w="320" w:type="dxa"/>
            <w:vAlign w:val="bottom"/>
            <w:gridSpan w:val="11"/>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left w:val="single" w:sz="8" w:color="DDDDDD"/>
              <w:bottom w:val="single" w:sz="8" w:color="0000FF"/>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gridSpan w:val="51"/>
          </w:tcPr>
          <w:p>
            <w:pPr>
              <w:spacing w:after="0" w:line="20" w:lineRule="exact"/>
              <w:rPr>
                <w:sz w:val="1"/>
                <w:szCs w:val="1"/>
                <w:color w:val="auto"/>
              </w:rPr>
            </w:pPr>
          </w:p>
        </w:tc>
        <w:tc>
          <w:tcPr>
            <w:tcW w:w="5080" w:type="dxa"/>
            <w:vAlign w:val="bottom"/>
            <w:tcBorders>
              <w:left w:val="single" w:sz="8" w:color="DDDDDD"/>
            </w:tcBorders>
            <w:gridSpan w:val="48"/>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6.08</w:t>
            </w:r>
          </w:p>
        </w:tc>
        <w:tc>
          <w:tcPr>
            <w:tcW w:w="3660" w:type="dxa"/>
            <w:vAlign w:val="bottom"/>
            <w:gridSpan w:val="64"/>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Business of Borrowers and Subsidiaries</w:t>
            </w:r>
          </w:p>
        </w:tc>
        <w:tc>
          <w:tcPr>
            <w:tcW w:w="300" w:type="dxa"/>
            <w:vAlign w:val="bottom"/>
            <w:gridSpan w:val="5"/>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88"/>
              </w:rPr>
              <w:t>139</w:t>
            </w:r>
          </w:p>
        </w:tc>
        <w:tc>
          <w:tcPr>
            <w:tcW w:w="2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gridSpan w:val="3"/>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124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3660" w:type="dxa"/>
            <w:vAlign w:val="bottom"/>
            <w:gridSpan w:val="64"/>
            <w:vMerge w:val="continue"/>
          </w:tcPr>
          <w:p>
            <w:pPr>
              <w:spacing w:after="0"/>
              <w:rPr>
                <w:sz w:val="17"/>
                <w:szCs w:val="17"/>
                <w:color w:val="auto"/>
              </w:rPr>
            </w:pPr>
          </w:p>
        </w:tc>
        <w:tc>
          <w:tcPr>
            <w:tcW w:w="300" w:type="dxa"/>
            <w:vAlign w:val="bottom"/>
            <w:gridSpan w:val="5"/>
            <w:vMerge w:val="continue"/>
          </w:tcPr>
          <w:p>
            <w:pPr>
              <w:spacing w:after="0"/>
              <w:rPr>
                <w:sz w:val="17"/>
                <w:szCs w:val="17"/>
                <w:color w:val="auto"/>
              </w:rPr>
            </w:pPr>
          </w:p>
        </w:tc>
        <w:tc>
          <w:tcPr>
            <w:tcW w:w="320" w:type="dxa"/>
            <w:vAlign w:val="bottom"/>
            <w:tcBorders>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136</w:t>
            </w:r>
          </w:p>
        </w:tc>
        <w:tc>
          <w:tcPr>
            <w:tcW w:w="20" w:type="dxa"/>
            <w:vAlign w:val="bottom"/>
            <w:tcBorders>
              <w:bottom w:val="single" w:sz="8" w:color="0000FF"/>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6.09</w:t>
            </w:r>
          </w:p>
        </w:tc>
        <w:tc>
          <w:tcPr>
            <w:tcW w:w="3180" w:type="dxa"/>
            <w:vAlign w:val="bottom"/>
            <w:gridSpan w:val="53"/>
            <w:vMerge w:val="restart"/>
          </w:tcPr>
          <w:p>
            <w:pPr>
              <w:ind w:left="100"/>
              <w:spacing w:after="0"/>
              <w:rPr>
                <w:sz w:val="20"/>
                <w:szCs w:val="20"/>
                <w:color w:val="auto"/>
              </w:rPr>
            </w:pPr>
            <w:r>
              <w:rPr>
                <w:rFonts w:ascii="Times New Roman" w:cs="Times New Roman" w:eastAsia="Times New Roman" w:hAnsi="Times New Roman"/>
                <w:sz w:val="21"/>
                <w:szCs w:val="21"/>
                <w:color w:val="auto"/>
              </w:rPr>
              <w:t>Other Indebtedness and Agreements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gridSpan w:val="9"/>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139</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3180" w:type="dxa"/>
            <w:vAlign w:val="bottom"/>
            <w:gridSpan w:val="53"/>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9"/>
            <w:vMerge w:val="continue"/>
          </w:tcPr>
          <w:p>
            <w:pPr>
              <w:spacing w:after="0"/>
              <w:rPr>
                <w:sz w:val="18"/>
                <w:szCs w:val="18"/>
                <w:color w:val="auto"/>
              </w:rPr>
            </w:pPr>
          </w:p>
        </w:tc>
        <w:tc>
          <w:tcPr>
            <w:tcW w:w="300" w:type="dxa"/>
            <w:vAlign w:val="bottom"/>
            <w:tcBorders>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136</w:t>
            </w:r>
          </w:p>
        </w:tc>
        <w:tc>
          <w:tcPr>
            <w:tcW w:w="20" w:type="dxa"/>
            <w:vAlign w:val="bottom"/>
            <w:tcBorders>
              <w:bottom w:val="single" w:sz="8" w:color="0000FF"/>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6.10</w:t>
            </w:r>
          </w:p>
        </w:tc>
        <w:tc>
          <w:tcPr>
            <w:tcW w:w="2220" w:type="dxa"/>
            <w:vAlign w:val="bottom"/>
            <w:gridSpan w:val="25"/>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Interest Coverage Ratio</w:t>
            </w:r>
          </w:p>
        </w:tc>
        <w:tc>
          <w:tcPr>
            <w:tcW w:w="60" w:type="dxa"/>
            <w:vAlign w:val="bottom"/>
            <w:gridSpan w:val="2"/>
          </w:tcPr>
          <w:p>
            <w:pPr>
              <w:spacing w:after="0"/>
              <w:rPr>
                <w:sz w:val="3"/>
                <w:szCs w:val="3"/>
                <w:color w:val="auto"/>
              </w:rPr>
            </w:pPr>
          </w:p>
        </w:tc>
        <w:tc>
          <w:tcPr>
            <w:tcW w:w="340" w:type="dxa"/>
            <w:vAlign w:val="bottom"/>
            <w:gridSpan w:val="11"/>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rPr>
              <w:t>139</w:t>
            </w:r>
          </w:p>
        </w:tc>
        <w:tc>
          <w:tcPr>
            <w:tcW w:w="1060" w:type="dxa"/>
            <w:vAlign w:val="bottom"/>
            <w:gridSpan w:val="27"/>
          </w:tcPr>
          <w:p>
            <w:pPr>
              <w:spacing w:after="0"/>
              <w:rPr>
                <w:sz w:val="3"/>
                <w:szCs w:val="3"/>
                <w:color w:val="auto"/>
              </w:rPr>
            </w:pPr>
          </w:p>
        </w:tc>
        <w:tc>
          <w:tcPr>
            <w:tcW w:w="300" w:type="dxa"/>
            <w:vAlign w:val="bottom"/>
            <w:tcBorders>
              <w:top w:val="single" w:sz="8" w:color="DDDDDD"/>
            </w:tcBorders>
            <w:gridSpan w:val="5"/>
          </w:tcPr>
          <w:p>
            <w:pPr>
              <w:spacing w:after="0"/>
              <w:rPr>
                <w:sz w:val="3"/>
                <w:szCs w:val="3"/>
                <w:color w:val="auto"/>
              </w:rPr>
            </w:pPr>
          </w:p>
        </w:tc>
        <w:tc>
          <w:tcPr>
            <w:tcW w:w="4060" w:type="dxa"/>
            <w:vAlign w:val="bottom"/>
            <w:gridSpan w:val="2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220" w:type="dxa"/>
            <w:vAlign w:val="bottom"/>
            <w:gridSpan w:val="25"/>
            <w:vMerge w:val="continue"/>
          </w:tcPr>
          <w:p>
            <w:pPr>
              <w:spacing w:after="0"/>
              <w:rPr>
                <w:sz w:val="17"/>
                <w:szCs w:val="17"/>
                <w:color w:val="auto"/>
              </w:rPr>
            </w:pPr>
          </w:p>
        </w:tc>
        <w:tc>
          <w:tcPr>
            <w:tcW w:w="60" w:type="dxa"/>
            <w:vAlign w:val="bottom"/>
            <w:gridSpan w:val="2"/>
          </w:tcPr>
          <w:p>
            <w:pPr>
              <w:spacing w:after="0"/>
              <w:rPr>
                <w:sz w:val="17"/>
                <w:szCs w:val="17"/>
                <w:color w:val="auto"/>
              </w:rPr>
            </w:pPr>
          </w:p>
        </w:tc>
        <w:tc>
          <w:tcPr>
            <w:tcW w:w="340" w:type="dxa"/>
            <w:vAlign w:val="bottom"/>
            <w:gridSpan w:val="11"/>
            <w:vMerge w:val="continue"/>
          </w:tcPr>
          <w:p>
            <w:pPr>
              <w:spacing w:after="0"/>
              <w:rPr>
                <w:sz w:val="17"/>
                <w:szCs w:val="17"/>
                <w:color w:val="auto"/>
              </w:rPr>
            </w:pPr>
          </w:p>
        </w:tc>
        <w:tc>
          <w:tcPr>
            <w:tcW w:w="5420" w:type="dxa"/>
            <w:vAlign w:val="bottom"/>
            <w:gridSpan w:val="60"/>
            <w:shd w:val="clear" w:color="auto" w:fill="DDDDDD"/>
          </w:tcPr>
          <w:p>
            <w:pPr>
              <w:jc w:val="right"/>
              <w:ind w:right="51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136</w:t>
            </w: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6.11</w:t>
            </w:r>
          </w:p>
        </w:tc>
        <w:tc>
          <w:tcPr>
            <w:tcW w:w="1480" w:type="dxa"/>
            <w:vAlign w:val="bottom"/>
            <w:gridSpan w:val="8"/>
            <w:vMerge w:val="restart"/>
          </w:tcPr>
          <w:p>
            <w:pPr>
              <w:ind w:left="100"/>
              <w:spacing w:after="0"/>
              <w:rPr>
                <w:sz w:val="20"/>
                <w:szCs w:val="20"/>
                <w:color w:val="auto"/>
              </w:rPr>
            </w:pPr>
            <w:r>
              <w:rPr>
                <w:rFonts w:ascii="Times New Roman" w:cs="Times New Roman" w:eastAsia="Times New Roman" w:hAnsi="Times New Roman"/>
                <w:sz w:val="21"/>
                <w:szCs w:val="21"/>
                <w:color w:val="auto"/>
                <w:w w:val="99"/>
              </w:rPr>
              <w:t>Leverage Ratios</w:t>
            </w:r>
          </w:p>
        </w:tc>
        <w:tc>
          <w:tcPr>
            <w:tcW w:w="180" w:type="dxa"/>
            <w:vAlign w:val="bottom"/>
            <w:gridSpan w:val="3"/>
          </w:tcPr>
          <w:p>
            <w:pPr>
              <w:spacing w:after="0"/>
              <w:rPr>
                <w:sz w:val="4"/>
                <w:szCs w:val="4"/>
                <w:color w:val="auto"/>
              </w:rPr>
            </w:pPr>
          </w:p>
        </w:tc>
        <w:tc>
          <w:tcPr>
            <w:tcW w:w="3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139</w:t>
            </w:r>
          </w:p>
        </w:tc>
        <w:tc>
          <w:tcPr>
            <w:tcW w:w="620" w:type="dxa"/>
            <w:vAlign w:val="bottom"/>
            <w:gridSpan w:val="21"/>
          </w:tcPr>
          <w:p>
            <w:pPr>
              <w:spacing w:after="0"/>
              <w:rPr>
                <w:sz w:val="4"/>
                <w:szCs w:val="4"/>
                <w:color w:val="auto"/>
              </w:rPr>
            </w:pPr>
          </w:p>
        </w:tc>
        <w:tc>
          <w:tcPr>
            <w:tcW w:w="320" w:type="dxa"/>
            <w:vAlign w:val="bottom"/>
            <w:tcBorders>
              <w:top w:val="single" w:sz="8" w:color="0000FF"/>
            </w:tcBorders>
            <w:gridSpan w:val="11"/>
          </w:tcPr>
          <w:p>
            <w:pPr>
              <w:spacing w:after="0"/>
              <w:rPr>
                <w:sz w:val="4"/>
                <w:szCs w:val="4"/>
                <w:color w:val="auto"/>
              </w:rPr>
            </w:pPr>
          </w:p>
        </w:tc>
        <w:tc>
          <w:tcPr>
            <w:tcW w:w="5120" w:type="dxa"/>
            <w:vAlign w:val="bottom"/>
            <w:gridSpan w:val="50"/>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480" w:type="dxa"/>
            <w:vAlign w:val="bottom"/>
            <w:gridSpan w:val="8"/>
            <w:vMerge w:val="continue"/>
          </w:tcPr>
          <w:p>
            <w:pPr>
              <w:spacing w:after="0"/>
              <w:rPr>
                <w:sz w:val="17"/>
                <w:szCs w:val="17"/>
                <w:color w:val="auto"/>
              </w:rPr>
            </w:pPr>
          </w:p>
        </w:tc>
        <w:tc>
          <w:tcPr>
            <w:tcW w:w="180" w:type="dxa"/>
            <w:vAlign w:val="bottom"/>
            <w:gridSpan w:val="3"/>
          </w:tcPr>
          <w:p>
            <w:pPr>
              <w:spacing w:after="0"/>
              <w:rPr>
                <w:sz w:val="17"/>
                <w:szCs w:val="17"/>
                <w:color w:val="auto"/>
              </w:rPr>
            </w:pPr>
          </w:p>
        </w:tc>
        <w:tc>
          <w:tcPr>
            <w:tcW w:w="320" w:type="dxa"/>
            <w:vAlign w:val="bottom"/>
            <w:gridSpan w:val="5"/>
            <w:vMerge w:val="continue"/>
          </w:tcPr>
          <w:p>
            <w:pPr>
              <w:spacing w:after="0"/>
              <w:rPr>
                <w:sz w:val="17"/>
                <w:szCs w:val="17"/>
                <w:color w:val="auto"/>
              </w:rPr>
            </w:pPr>
          </w:p>
        </w:tc>
        <w:tc>
          <w:tcPr>
            <w:tcW w:w="300" w:type="dxa"/>
            <w:vAlign w:val="bottom"/>
            <w:gridSpan w:val="11"/>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136</w:t>
            </w:r>
          </w:p>
        </w:tc>
        <w:tc>
          <w:tcPr>
            <w:tcW w:w="5760" w:type="dxa"/>
            <w:vAlign w:val="bottom"/>
            <w:tcBorders>
              <w:left w:val="single" w:sz="8" w:color="DDDDDD"/>
            </w:tcBorders>
            <w:gridSpan w:val="71"/>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80" w:type="dxa"/>
            <w:vAlign w:val="bottom"/>
            <w:tcBorders>
              <w:right w:val="single" w:sz="8" w:color="0000FF"/>
            </w:tcBorders>
            <w:gridSpan w:val="23"/>
          </w:tcPr>
          <w:p>
            <w:pPr>
              <w:spacing w:after="0"/>
              <w:rPr>
                <w:sz w:val="2"/>
                <w:szCs w:val="2"/>
                <w:color w:val="auto"/>
              </w:rPr>
            </w:pPr>
          </w:p>
        </w:tc>
        <w:tc>
          <w:tcPr>
            <w:tcW w:w="120" w:type="dxa"/>
            <w:vAlign w:val="bottom"/>
            <w:gridSpan w:val="5"/>
            <w:shd w:val="clear" w:color="auto" w:fill="0000FF"/>
          </w:tcPr>
          <w:p>
            <w:pPr>
              <w:spacing w:after="0"/>
              <w:rPr>
                <w:sz w:val="2"/>
                <w:szCs w:val="2"/>
                <w:color w:val="auto"/>
              </w:rPr>
            </w:pPr>
          </w:p>
        </w:tc>
        <w:tc>
          <w:tcPr>
            <w:tcW w:w="5760" w:type="dxa"/>
            <w:vAlign w:val="bottom"/>
            <w:tcBorders>
              <w:left w:val="single" w:sz="8" w:color="0000FF"/>
            </w:tcBorders>
            <w:gridSpan w:val="7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6.12</w:t>
            </w:r>
          </w:p>
        </w:tc>
        <w:tc>
          <w:tcPr>
            <w:tcW w:w="1960" w:type="dxa"/>
            <w:vAlign w:val="bottom"/>
            <w:gridSpan w:val="15"/>
            <w:vMerge w:val="restart"/>
          </w:tcPr>
          <w:p>
            <w:pPr>
              <w:ind w:left="100"/>
              <w:spacing w:after="0"/>
              <w:rPr>
                <w:sz w:val="20"/>
                <w:szCs w:val="20"/>
                <w:color w:val="auto"/>
              </w:rPr>
            </w:pPr>
            <w:r>
              <w:rPr>
                <w:rFonts w:ascii="Times New Roman" w:cs="Times New Roman" w:eastAsia="Times New Roman" w:hAnsi="Times New Roman"/>
                <w:sz w:val="21"/>
                <w:szCs w:val="21"/>
                <w:color w:val="auto"/>
              </w:rPr>
              <w:t>Hedging Agreements</w:t>
            </w:r>
          </w:p>
        </w:tc>
        <w:tc>
          <w:tcPr>
            <w:tcW w:w="100" w:type="dxa"/>
            <w:vAlign w:val="bottom"/>
            <w:gridSpan w:val="4"/>
            <w:vMerge w:val="restart"/>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gridSpan w:val="10"/>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140</w:t>
            </w:r>
          </w:p>
        </w:tc>
        <w:tc>
          <w:tcPr>
            <w:tcW w:w="320" w:type="dxa"/>
            <w:vAlign w:val="bottom"/>
            <w:gridSpan w:val="12"/>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5120" w:type="dxa"/>
            <w:vAlign w:val="bottom"/>
            <w:gridSpan w:val="50"/>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960" w:type="dxa"/>
            <w:vAlign w:val="bottom"/>
            <w:gridSpan w:val="15"/>
            <w:vMerge w:val="continue"/>
          </w:tcPr>
          <w:p>
            <w:pPr>
              <w:spacing w:after="0"/>
              <w:rPr>
                <w:sz w:val="17"/>
                <w:szCs w:val="17"/>
                <w:color w:val="auto"/>
              </w:rPr>
            </w:pPr>
          </w:p>
        </w:tc>
        <w:tc>
          <w:tcPr>
            <w:tcW w:w="10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10"/>
            <w:vMerge w:val="continue"/>
          </w:tcPr>
          <w:p>
            <w:pPr>
              <w:spacing w:after="0"/>
              <w:rPr>
                <w:sz w:val="17"/>
                <w:szCs w:val="17"/>
                <w:color w:val="auto"/>
              </w:rPr>
            </w:pPr>
          </w:p>
        </w:tc>
        <w:tc>
          <w:tcPr>
            <w:tcW w:w="320" w:type="dxa"/>
            <w:vAlign w:val="bottom"/>
            <w:tcBorders>
              <w:bottom w:val="single" w:sz="8" w:color="0000FF"/>
            </w:tcBorders>
            <w:gridSpan w:val="12"/>
            <w:shd w:val="clear" w:color="auto" w:fill="DDDDDD"/>
          </w:tcPr>
          <w:p>
            <w:pPr>
              <w:jc w:val="center"/>
              <w:spacing w:after="0" w:line="196" w:lineRule="exact"/>
              <w:rPr>
                <w:sz w:val="20"/>
                <w:szCs w:val="20"/>
                <w:color w:val="auto"/>
              </w:rPr>
            </w:pPr>
            <w:r>
              <w:rPr>
                <w:rFonts w:ascii="Times New Roman" w:cs="Times New Roman" w:eastAsia="Times New Roman" w:hAnsi="Times New Roman"/>
                <w:sz w:val="21"/>
                <w:szCs w:val="21"/>
                <w:color w:val="0000FF"/>
                <w:highlight w:val="lightGray"/>
              </w:rPr>
              <w:t>137</w:t>
            </w:r>
          </w:p>
        </w:tc>
        <w:tc>
          <w:tcPr>
            <w:tcW w:w="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120" w:type="dxa"/>
            <w:vAlign w:val="bottom"/>
            <w:gridSpan w:val="50"/>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6.13</w:t>
            </w:r>
          </w:p>
        </w:tc>
        <w:tc>
          <w:tcPr>
            <w:tcW w:w="1480" w:type="dxa"/>
            <w:vAlign w:val="bottom"/>
            <w:gridSpan w:val="8"/>
            <w:vMerge w:val="restart"/>
          </w:tcPr>
          <w:p>
            <w:pPr>
              <w:ind w:left="100"/>
              <w:spacing w:after="0"/>
              <w:rPr>
                <w:sz w:val="20"/>
                <w:szCs w:val="20"/>
                <w:color w:val="auto"/>
              </w:rPr>
            </w:pPr>
            <w:r>
              <w:rPr>
                <w:rFonts w:ascii="Times New Roman" w:cs="Times New Roman" w:eastAsia="Times New Roman" w:hAnsi="Times New Roman"/>
                <w:sz w:val="21"/>
                <w:szCs w:val="21"/>
                <w:color w:val="auto"/>
              </w:rPr>
              <w:t>Pension Plans</w:t>
            </w: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140</w:t>
            </w:r>
          </w:p>
        </w:tc>
        <w:tc>
          <w:tcPr>
            <w:tcW w:w="340" w:type="dxa"/>
            <w:vAlign w:val="bottom"/>
            <w:gridSpan w:val="8"/>
          </w:tcPr>
          <w:p>
            <w:pPr>
              <w:spacing w:after="0"/>
              <w:rPr>
                <w:sz w:val="4"/>
                <w:szCs w:val="4"/>
                <w:color w:val="auto"/>
              </w:rPr>
            </w:pPr>
          </w:p>
        </w:tc>
        <w:tc>
          <w:tcPr>
            <w:tcW w:w="4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5820" w:type="dxa"/>
            <w:vAlign w:val="bottom"/>
            <w:gridSpan w:val="73"/>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480" w:type="dxa"/>
            <w:vAlign w:val="bottom"/>
            <w:gridSpan w:val="8"/>
            <w:vMerge w:val="continue"/>
          </w:tcPr>
          <w:p>
            <w:pPr>
              <w:spacing w:after="0"/>
              <w:rPr>
                <w:sz w:val="17"/>
                <w:szCs w:val="17"/>
                <w:color w:val="auto"/>
              </w:rPr>
            </w:pPr>
          </w:p>
        </w:tc>
        <w:tc>
          <w:tcPr>
            <w:tcW w:w="300" w:type="dxa"/>
            <w:vAlign w:val="bottom"/>
            <w:gridSpan w:val="5"/>
            <w:vMerge w:val="continue"/>
          </w:tcPr>
          <w:p>
            <w:pPr>
              <w:spacing w:after="0"/>
              <w:rPr>
                <w:sz w:val="17"/>
                <w:szCs w:val="17"/>
                <w:color w:val="auto"/>
              </w:rPr>
            </w:pPr>
          </w:p>
        </w:tc>
        <w:tc>
          <w:tcPr>
            <w:tcW w:w="340" w:type="dxa"/>
            <w:vAlign w:val="bottom"/>
            <w:tcBorders>
              <w:left w:val="single" w:sz="8" w:color="DDDDDD"/>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137</w:t>
            </w:r>
          </w:p>
        </w:tc>
        <w:tc>
          <w:tcPr>
            <w:tcW w:w="4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20" w:type="dxa"/>
            <w:vAlign w:val="bottom"/>
            <w:gridSpan w:val="73"/>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6.14</w:t>
            </w:r>
          </w:p>
        </w:tc>
        <w:tc>
          <w:tcPr>
            <w:tcW w:w="4000" w:type="dxa"/>
            <w:vAlign w:val="bottom"/>
            <w:gridSpan w:val="71"/>
            <w:vMerge w:val="restart"/>
          </w:tcPr>
          <w:p>
            <w:pPr>
              <w:ind w:left="100"/>
              <w:spacing w:after="0"/>
              <w:rPr>
                <w:sz w:val="20"/>
                <w:szCs w:val="20"/>
                <w:color w:val="auto"/>
              </w:rPr>
            </w:pPr>
            <w:r>
              <w:rPr>
                <w:rFonts w:ascii="Times New Roman" w:cs="Times New Roman" w:eastAsia="Times New Roman" w:hAnsi="Times New Roman"/>
                <w:sz w:val="21"/>
                <w:szCs w:val="21"/>
                <w:color w:val="auto"/>
                <w:w w:val="99"/>
              </w:rPr>
              <w:t>Amendment of the Organizational Documents</w:t>
            </w:r>
          </w:p>
        </w:tc>
        <w:tc>
          <w:tcPr>
            <w:tcW w:w="180" w:type="dxa"/>
            <w:vAlign w:val="bottom"/>
            <w:gridSpan w:val="2"/>
          </w:tcPr>
          <w:p>
            <w:pPr>
              <w:spacing w:after="0"/>
              <w:rPr>
                <w:sz w:val="5"/>
                <w:szCs w:val="5"/>
                <w:color w:val="auto"/>
              </w:rPr>
            </w:pP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141</w:t>
            </w:r>
          </w:p>
        </w:tc>
        <w:tc>
          <w:tcPr>
            <w:tcW w:w="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gridSpan w:val="3"/>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4000" w:type="dxa"/>
            <w:vAlign w:val="bottom"/>
            <w:gridSpan w:val="71"/>
            <w:vMerge w:val="continue"/>
          </w:tcPr>
          <w:p>
            <w:pPr>
              <w:spacing w:after="0"/>
              <w:rPr>
                <w:sz w:val="18"/>
                <w:szCs w:val="18"/>
                <w:color w:val="auto"/>
              </w:rPr>
            </w:pPr>
          </w:p>
        </w:tc>
        <w:tc>
          <w:tcPr>
            <w:tcW w:w="180" w:type="dxa"/>
            <w:vAlign w:val="bottom"/>
            <w:gridSpan w:val="2"/>
          </w:tcPr>
          <w:p>
            <w:pPr>
              <w:spacing w:after="0"/>
              <w:rPr>
                <w:sz w:val="18"/>
                <w:szCs w:val="18"/>
                <w:color w:val="auto"/>
              </w:rPr>
            </w:pPr>
          </w:p>
        </w:tc>
        <w:tc>
          <w:tcPr>
            <w:tcW w:w="300" w:type="dxa"/>
            <w:vAlign w:val="bottom"/>
            <w:gridSpan w:val="5"/>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138</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6.15</w:t>
            </w:r>
          </w:p>
        </w:tc>
        <w:tc>
          <w:tcPr>
            <w:tcW w:w="2940" w:type="dxa"/>
            <w:vAlign w:val="bottom"/>
            <w:gridSpan w:val="4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Sanction Laws and Regulations</w:t>
            </w:r>
          </w:p>
        </w:tc>
        <w:tc>
          <w:tcPr>
            <w:tcW w:w="20" w:type="dxa"/>
            <w:vAlign w:val="bottom"/>
          </w:tcPr>
          <w:p>
            <w:pPr>
              <w:spacing w:after="0"/>
              <w:rPr>
                <w:sz w:val="3"/>
                <w:szCs w:val="3"/>
                <w:color w:val="auto"/>
              </w:rPr>
            </w:pPr>
          </w:p>
        </w:tc>
        <w:tc>
          <w:tcPr>
            <w:tcW w:w="300" w:type="dxa"/>
            <w:vAlign w:val="bottom"/>
            <w:gridSpan w:val="4"/>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141</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40" w:type="dxa"/>
            <w:vAlign w:val="bottom"/>
            <w:tcBorders>
              <w:top w:val="single" w:sz="8" w:color="DDDDDD"/>
            </w:tcBorders>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2940" w:type="dxa"/>
            <w:vAlign w:val="bottom"/>
            <w:gridSpan w:val="49"/>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4"/>
            <w:vMerge w:val="continue"/>
          </w:tcPr>
          <w:p>
            <w:pPr>
              <w:spacing w:after="0"/>
              <w:rPr>
                <w:sz w:val="18"/>
                <w:szCs w:val="18"/>
                <w:color w:val="auto"/>
              </w:rPr>
            </w:pPr>
          </w:p>
        </w:tc>
        <w:tc>
          <w:tcPr>
            <w:tcW w:w="320" w:type="dxa"/>
            <w:vAlign w:val="bottom"/>
            <w:tcBorders>
              <w:bottom w:val="single" w:sz="8" w:color="0000FF"/>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138</w:t>
            </w:r>
          </w:p>
        </w:tc>
        <w:tc>
          <w:tcPr>
            <w:tcW w:w="20" w:type="dxa"/>
            <w:vAlign w:val="bottom"/>
            <w:tcBorders>
              <w:bottom w:val="single" w:sz="8" w:color="0000FF"/>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6.16</w:t>
            </w:r>
          </w:p>
        </w:tc>
        <w:tc>
          <w:tcPr>
            <w:tcW w:w="2060" w:type="dxa"/>
            <w:vAlign w:val="bottom"/>
            <w:gridSpan w:val="1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Anti-Corruption Laws</w:t>
            </w:r>
          </w:p>
        </w:tc>
        <w:tc>
          <w:tcPr>
            <w:tcW w:w="120" w:type="dxa"/>
            <w:vAlign w:val="bottom"/>
            <w:gridSpan w:val="4"/>
          </w:tcPr>
          <w:p>
            <w:pPr>
              <w:spacing w:after="0"/>
              <w:rPr>
                <w:sz w:val="3"/>
                <w:szCs w:val="3"/>
                <w:color w:val="auto"/>
              </w:rPr>
            </w:pPr>
          </w:p>
        </w:tc>
        <w:tc>
          <w:tcPr>
            <w:tcW w:w="300" w:type="dxa"/>
            <w:vAlign w:val="bottom"/>
            <w:gridSpan w:val="9"/>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141</w:t>
            </w:r>
          </w:p>
        </w:tc>
        <w:tc>
          <w:tcPr>
            <w:tcW w:w="20" w:type="dxa"/>
            <w:vAlign w:val="bottom"/>
            <w:vMerge w:val="restart"/>
          </w:tcPr>
          <w:p>
            <w:pPr>
              <w:spacing w:after="0"/>
              <w:rPr>
                <w:sz w:val="3"/>
                <w:szCs w:val="3"/>
                <w:color w:val="auto"/>
              </w:rPr>
            </w:pPr>
          </w:p>
        </w:tc>
        <w:tc>
          <w:tcPr>
            <w:tcW w:w="760" w:type="dxa"/>
            <w:vAlign w:val="bottom"/>
            <w:gridSpan w:val="21"/>
          </w:tcPr>
          <w:p>
            <w:pPr>
              <w:spacing w:after="0"/>
              <w:rPr>
                <w:sz w:val="3"/>
                <w:szCs w:val="3"/>
                <w:color w:val="auto"/>
              </w:rPr>
            </w:pPr>
          </w:p>
        </w:tc>
        <w:tc>
          <w:tcPr>
            <w:tcW w:w="320" w:type="dxa"/>
            <w:vAlign w:val="bottom"/>
            <w:tcBorders>
              <w:top w:val="single" w:sz="8" w:color="DDDDDD"/>
            </w:tcBorders>
            <w:gridSpan w:val="7"/>
          </w:tcPr>
          <w:p>
            <w:pPr>
              <w:spacing w:after="0"/>
              <w:rPr>
                <w:sz w:val="3"/>
                <w:szCs w:val="3"/>
                <w:color w:val="auto"/>
              </w:rPr>
            </w:pPr>
          </w:p>
        </w:tc>
        <w:tc>
          <w:tcPr>
            <w:tcW w:w="4460" w:type="dxa"/>
            <w:vAlign w:val="bottom"/>
            <w:gridSpan w:val="3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060" w:type="dxa"/>
            <w:vAlign w:val="bottom"/>
            <w:gridSpan w:val="19"/>
            <w:vMerge w:val="continue"/>
          </w:tcPr>
          <w:p>
            <w:pPr>
              <w:spacing w:after="0"/>
              <w:rPr>
                <w:sz w:val="17"/>
                <w:szCs w:val="17"/>
                <w:color w:val="auto"/>
              </w:rPr>
            </w:pPr>
          </w:p>
        </w:tc>
        <w:tc>
          <w:tcPr>
            <w:tcW w:w="120" w:type="dxa"/>
            <w:vAlign w:val="bottom"/>
            <w:gridSpan w:val="4"/>
          </w:tcPr>
          <w:p>
            <w:pPr>
              <w:spacing w:after="0"/>
              <w:rPr>
                <w:sz w:val="17"/>
                <w:szCs w:val="17"/>
                <w:color w:val="auto"/>
              </w:rPr>
            </w:pPr>
          </w:p>
        </w:tc>
        <w:tc>
          <w:tcPr>
            <w:tcW w:w="300" w:type="dxa"/>
            <w:vAlign w:val="bottom"/>
            <w:gridSpan w:val="9"/>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1"/>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138</w:t>
            </w:r>
          </w:p>
        </w:tc>
        <w:tc>
          <w:tcPr>
            <w:tcW w:w="5240" w:type="dxa"/>
            <w:vAlign w:val="bottom"/>
            <w:gridSpan w:val="54"/>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6.17</w:t>
            </w:r>
          </w:p>
        </w:tc>
        <w:tc>
          <w:tcPr>
            <w:tcW w:w="1720" w:type="dxa"/>
            <w:vAlign w:val="bottom"/>
            <w:gridSpan w:val="12"/>
            <w:vMerge w:val="restart"/>
          </w:tcPr>
          <w:p>
            <w:pPr>
              <w:ind w:left="100"/>
              <w:spacing w:after="0"/>
              <w:rPr>
                <w:sz w:val="20"/>
                <w:szCs w:val="20"/>
                <w:color w:val="auto"/>
              </w:rPr>
            </w:pPr>
            <w:r>
              <w:rPr>
                <w:rFonts w:ascii="Times New Roman" w:cs="Times New Roman" w:eastAsia="Times New Roman" w:hAnsi="Times New Roman"/>
                <w:sz w:val="21"/>
                <w:szCs w:val="21"/>
                <w:color w:val="auto"/>
              </w:rPr>
              <w:t>Cross-Guarantee</w:t>
            </w: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141</w:t>
            </w:r>
          </w:p>
        </w:tc>
        <w:tc>
          <w:tcPr>
            <w:tcW w:w="20" w:type="dxa"/>
            <w:vAlign w:val="bottom"/>
            <w:vMerge w:val="restart"/>
          </w:tcPr>
          <w:p>
            <w:pPr>
              <w:spacing w:after="0"/>
              <w:rPr>
                <w:sz w:val="4"/>
                <w:szCs w:val="4"/>
                <w:color w:val="auto"/>
              </w:rPr>
            </w:pPr>
          </w:p>
        </w:tc>
        <w:tc>
          <w:tcPr>
            <w:tcW w:w="6000" w:type="dxa"/>
            <w:vAlign w:val="bottom"/>
            <w:gridSpan w:val="80"/>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720" w:type="dxa"/>
            <w:vAlign w:val="bottom"/>
            <w:gridSpan w:val="12"/>
            <w:vMerge w:val="continue"/>
          </w:tcPr>
          <w:p>
            <w:pPr>
              <w:spacing w:after="0"/>
              <w:rPr>
                <w:sz w:val="17"/>
                <w:szCs w:val="17"/>
                <w:color w:val="auto"/>
              </w:rPr>
            </w:pPr>
          </w:p>
        </w:tc>
        <w:tc>
          <w:tcPr>
            <w:tcW w:w="300" w:type="dxa"/>
            <w:vAlign w:val="bottom"/>
            <w:gridSpan w:val="5"/>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0"/>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138</w:t>
            </w:r>
          </w:p>
        </w:tc>
        <w:tc>
          <w:tcPr>
            <w:tcW w:w="5700" w:type="dxa"/>
            <w:vAlign w:val="bottom"/>
            <w:gridSpan w:val="70"/>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66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rPr>
              <w:t>Article VII Events of Default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141</w:t>
            </w:r>
          </w:p>
        </w:tc>
        <w:tc>
          <w:tcPr>
            <w:tcW w:w="20" w:type="dxa"/>
            <w:vAlign w:val="bottom"/>
            <w:vMerge w:val="restart"/>
          </w:tcPr>
          <w:p>
            <w:pPr>
              <w:spacing w:after="0"/>
              <w:rPr>
                <w:sz w:val="22"/>
                <w:szCs w:val="22"/>
                <w:color w:val="auto"/>
              </w:rPr>
            </w:pPr>
          </w:p>
        </w:tc>
        <w:tc>
          <w:tcPr>
            <w:tcW w:w="320" w:type="dxa"/>
            <w:vAlign w:val="bottom"/>
            <w:gridSpan w:val="2"/>
          </w:tcPr>
          <w:p>
            <w:pPr>
              <w:spacing w:after="0"/>
              <w:rPr>
                <w:sz w:val="22"/>
                <w:szCs w:val="22"/>
                <w:color w:val="auto"/>
              </w:rPr>
            </w:pPr>
          </w:p>
        </w:tc>
        <w:tc>
          <w:tcPr>
            <w:tcW w:w="200" w:type="dxa"/>
            <w:vAlign w:val="bottom"/>
            <w:vMerge w:val="restart"/>
          </w:tcPr>
          <w:p>
            <w:pPr>
              <w:spacing w:after="0"/>
              <w:rPr>
                <w:sz w:val="22"/>
                <w:szCs w:val="22"/>
                <w:color w:val="auto"/>
              </w:rPr>
            </w:pPr>
          </w:p>
        </w:tc>
        <w:tc>
          <w:tcPr>
            <w:tcW w:w="6560" w:type="dxa"/>
            <w:vAlign w:val="bottom"/>
            <w:gridSpan w:val="90"/>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660" w:type="dxa"/>
            <w:vAlign w:val="bottom"/>
            <w:gridSpan w:val="4"/>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tcBorders>
              <w:bottom w:val="single" w:sz="8" w:color="0000FF"/>
            </w:tcBorders>
            <w:gridSpan w:val="2"/>
            <w:shd w:val="clear" w:color="auto" w:fill="DDDDDD"/>
          </w:tcPr>
          <w:p>
            <w:pPr>
              <w:jc w:val="right"/>
              <w:ind w:right="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138</w:t>
            </w:r>
          </w:p>
        </w:tc>
        <w:tc>
          <w:tcPr>
            <w:tcW w:w="200" w:type="dxa"/>
            <w:vAlign w:val="bottom"/>
            <w:vMerge w:val="continue"/>
          </w:tcPr>
          <w:p>
            <w:pPr>
              <w:spacing w:after="0"/>
              <w:rPr>
                <w:sz w:val="17"/>
                <w:szCs w:val="17"/>
                <w:color w:val="auto"/>
              </w:rPr>
            </w:pPr>
          </w:p>
        </w:tc>
        <w:tc>
          <w:tcPr>
            <w:tcW w:w="6560" w:type="dxa"/>
            <w:vAlign w:val="bottom"/>
            <w:gridSpan w:val="90"/>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7.01</w:t>
            </w:r>
          </w:p>
        </w:tc>
        <w:tc>
          <w:tcPr>
            <w:tcW w:w="1660" w:type="dxa"/>
            <w:vAlign w:val="bottom"/>
            <w:gridSpan w:val="11"/>
            <w:vMerge w:val="restart"/>
          </w:tcPr>
          <w:p>
            <w:pPr>
              <w:ind w:left="100"/>
              <w:spacing w:after="0"/>
              <w:rPr>
                <w:sz w:val="20"/>
                <w:szCs w:val="20"/>
                <w:color w:val="auto"/>
              </w:rPr>
            </w:pPr>
            <w:r>
              <w:rPr>
                <w:rFonts w:ascii="Times New Roman" w:cs="Times New Roman" w:eastAsia="Times New Roman" w:hAnsi="Times New Roman"/>
                <w:sz w:val="21"/>
                <w:szCs w:val="21"/>
                <w:color w:val="auto"/>
              </w:rPr>
              <w:t>Events of Default</w:t>
            </w:r>
          </w:p>
        </w:tc>
        <w:tc>
          <w:tcPr>
            <w:tcW w:w="120" w:type="dxa"/>
            <w:vAlign w:val="bottom"/>
            <w:gridSpan w:val="2"/>
          </w:tcPr>
          <w:p>
            <w:pPr>
              <w:spacing w:after="0"/>
              <w:rPr>
                <w:sz w:val="20"/>
                <w:szCs w:val="20"/>
                <w:color w:val="auto"/>
              </w:rPr>
            </w:pP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141</w:t>
            </w:r>
          </w:p>
        </w:tc>
        <w:tc>
          <w:tcPr>
            <w:tcW w:w="20" w:type="dxa"/>
            <w:vAlign w:val="bottom"/>
            <w:vMerge w:val="restart"/>
          </w:tcPr>
          <w:p>
            <w:pPr>
              <w:spacing w:after="0"/>
              <w:rPr>
                <w:sz w:val="20"/>
                <w:szCs w:val="20"/>
                <w:color w:val="auto"/>
              </w:rPr>
            </w:pPr>
          </w:p>
        </w:tc>
        <w:tc>
          <w:tcPr>
            <w:tcW w:w="5920" w:type="dxa"/>
            <w:vAlign w:val="bottom"/>
            <w:gridSpan w:val="77"/>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660" w:type="dxa"/>
            <w:vAlign w:val="bottom"/>
            <w:gridSpan w:val="11"/>
            <w:vMerge w:val="continue"/>
          </w:tcPr>
          <w:p>
            <w:pPr>
              <w:spacing w:after="0"/>
              <w:rPr>
                <w:sz w:val="17"/>
                <w:szCs w:val="17"/>
                <w:color w:val="auto"/>
              </w:rPr>
            </w:pPr>
          </w:p>
        </w:tc>
        <w:tc>
          <w:tcPr>
            <w:tcW w:w="120" w:type="dxa"/>
            <w:vAlign w:val="bottom"/>
            <w:gridSpan w:val="2"/>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0"/>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138</w:t>
            </w:r>
          </w:p>
        </w:tc>
        <w:tc>
          <w:tcPr>
            <w:tcW w:w="5620" w:type="dxa"/>
            <w:vAlign w:val="bottom"/>
            <w:gridSpan w:val="67"/>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7.02</w:t>
            </w:r>
          </w:p>
        </w:tc>
        <w:tc>
          <w:tcPr>
            <w:tcW w:w="3180" w:type="dxa"/>
            <w:vAlign w:val="bottom"/>
            <w:gridSpan w:val="53"/>
            <w:vMerge w:val="restart"/>
          </w:tcPr>
          <w:p>
            <w:pPr>
              <w:ind w:left="100"/>
              <w:spacing w:after="0"/>
              <w:rPr>
                <w:sz w:val="20"/>
                <w:szCs w:val="20"/>
                <w:color w:val="auto"/>
              </w:rPr>
            </w:pPr>
            <w:r>
              <w:rPr>
                <w:rFonts w:ascii="Times New Roman" w:cs="Times New Roman" w:eastAsia="Times New Roman" w:hAnsi="Times New Roman"/>
                <w:sz w:val="21"/>
                <w:szCs w:val="21"/>
                <w:color w:val="auto"/>
              </w:rPr>
              <w:t>Optional Acceleration of Maturity</w:t>
            </w:r>
          </w:p>
        </w:tc>
        <w:tc>
          <w:tcPr>
            <w:tcW w:w="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143</w:t>
            </w:r>
          </w:p>
        </w:tc>
        <w:tc>
          <w:tcPr>
            <w:tcW w:w="16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3180" w:type="dxa"/>
            <w:vAlign w:val="bottom"/>
            <w:gridSpan w:val="53"/>
            <w:vMerge w:val="continue"/>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320" w:type="dxa"/>
            <w:vAlign w:val="bottom"/>
            <w:tcBorders>
              <w:bottom w:val="single" w:sz="8" w:color="0000FF"/>
              <w:right w:val="single" w:sz="8" w:color="DDDDDD"/>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140</w:t>
            </w:r>
          </w:p>
        </w:tc>
        <w:tc>
          <w:tcPr>
            <w:tcW w:w="20" w:type="dxa"/>
            <w:vAlign w:val="bottom"/>
            <w:tcBorders>
              <w:bottom w:val="single" w:sz="8" w:color="0000FF"/>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right w:val="single" w:sz="8" w:color="DDDDDD"/>
            </w:tcBorders>
            <w:gridSpan w:val="68"/>
          </w:tcPr>
          <w:p>
            <w:pPr>
              <w:spacing w:after="0" w:line="20" w:lineRule="exact"/>
              <w:rPr>
                <w:sz w:val="1"/>
                <w:szCs w:val="1"/>
                <w:color w:val="auto"/>
              </w:rPr>
            </w:pPr>
          </w:p>
        </w:tc>
        <w:tc>
          <w:tcPr>
            <w:tcW w:w="424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7.03</w:t>
            </w:r>
          </w:p>
        </w:tc>
        <w:tc>
          <w:tcPr>
            <w:tcW w:w="3180" w:type="dxa"/>
            <w:vAlign w:val="bottom"/>
            <w:gridSpan w:val="53"/>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Automatic Acceleration of Maturity</w:t>
            </w: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gridSpan w:val="8"/>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144</w:t>
            </w:r>
          </w:p>
        </w:tc>
        <w:tc>
          <w:tcPr>
            <w:tcW w:w="20" w:type="dxa"/>
            <w:vAlign w:val="bottom"/>
            <w:vMerge w:val="restart"/>
          </w:tcPr>
          <w:p>
            <w:pPr>
              <w:spacing w:after="0"/>
              <w:rPr>
                <w:sz w:val="3"/>
                <w:szCs w:val="3"/>
                <w:color w:val="auto"/>
              </w:rPr>
            </w:pPr>
          </w:p>
        </w:tc>
        <w:tc>
          <w:tcPr>
            <w:tcW w:w="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3180" w:type="dxa"/>
            <w:vAlign w:val="bottom"/>
            <w:gridSpan w:val="53"/>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8"/>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7.04</w:t>
            </w:r>
          </w:p>
        </w:tc>
        <w:tc>
          <w:tcPr>
            <w:tcW w:w="2620" w:type="dxa"/>
            <w:vAlign w:val="bottom"/>
            <w:gridSpan w:val="38"/>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Non-exclusivity of Remedies</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340" w:type="dxa"/>
            <w:vAlign w:val="bottom"/>
            <w:gridSpan w:val="9"/>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rPr>
              <w:t>144</w:t>
            </w:r>
          </w:p>
        </w:tc>
        <w:tc>
          <w:tcPr>
            <w:tcW w:w="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40" w:type="dxa"/>
            <w:vAlign w:val="bottom"/>
            <w:tcBorders>
              <w:top w:val="single" w:sz="8" w:color="DDDDDD"/>
            </w:tcBorders>
          </w:tcPr>
          <w:p>
            <w:pPr>
              <w:spacing w:after="0"/>
              <w:rPr>
                <w:sz w:val="3"/>
                <w:szCs w:val="3"/>
                <w:color w:val="auto"/>
              </w:rPr>
            </w:pPr>
          </w:p>
        </w:tc>
        <w:tc>
          <w:tcPr>
            <w:tcW w:w="8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140" w:type="dxa"/>
            <w:vAlign w:val="bottom"/>
            <w:tcBorders>
              <w:top w:val="single" w:sz="8" w:color="DDDDDD"/>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2620" w:type="dxa"/>
            <w:vAlign w:val="bottom"/>
            <w:gridSpan w:val="38"/>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340" w:type="dxa"/>
            <w:vAlign w:val="bottom"/>
            <w:gridSpan w:val="9"/>
            <w:vMerge w:val="continue"/>
          </w:tcPr>
          <w:p>
            <w:pPr>
              <w:spacing w:after="0"/>
              <w:rPr>
                <w:sz w:val="18"/>
                <w:szCs w:val="18"/>
                <w:color w:val="auto"/>
              </w:rPr>
            </w:pPr>
          </w:p>
        </w:tc>
        <w:tc>
          <w:tcPr>
            <w:tcW w:w="320" w:type="dxa"/>
            <w:vAlign w:val="bottom"/>
            <w:gridSpan w:val="6"/>
            <w:shd w:val="clear" w:color="auto" w:fill="DDDDDD"/>
          </w:tcPr>
          <w:p>
            <w:pPr>
              <w:jc w:val="right"/>
              <w:ind w:right="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7.05</w:t>
            </w:r>
          </w:p>
        </w:tc>
        <w:tc>
          <w:tcPr>
            <w:tcW w:w="2220" w:type="dxa"/>
            <w:vAlign w:val="bottom"/>
            <w:gridSpan w:val="25"/>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Application of Proceeds</w:t>
            </w:r>
          </w:p>
        </w:tc>
        <w:tc>
          <w:tcPr>
            <w:tcW w:w="120" w:type="dxa"/>
            <w:vAlign w:val="bottom"/>
            <w:gridSpan w:val="3"/>
          </w:tcPr>
          <w:p>
            <w:pPr>
              <w:spacing w:after="0"/>
              <w:rPr>
                <w:sz w:val="3"/>
                <w:szCs w:val="3"/>
                <w:color w:val="auto"/>
              </w:rPr>
            </w:pPr>
          </w:p>
        </w:tc>
        <w:tc>
          <w:tcPr>
            <w:tcW w:w="300" w:type="dxa"/>
            <w:vAlign w:val="bottom"/>
            <w:gridSpan w:val="11"/>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88"/>
              </w:rPr>
              <w:t>144</w:t>
            </w:r>
          </w:p>
        </w:tc>
        <w:tc>
          <w:tcPr>
            <w:tcW w:w="420" w:type="dxa"/>
            <w:vAlign w:val="bottom"/>
            <w:gridSpan w:val="12"/>
          </w:tcPr>
          <w:p>
            <w:pPr>
              <w:spacing w:after="0"/>
              <w:rPr>
                <w:sz w:val="3"/>
                <w:szCs w:val="3"/>
                <w:color w:val="auto"/>
              </w:rPr>
            </w:pPr>
          </w:p>
        </w:tc>
        <w:tc>
          <w:tcPr>
            <w:tcW w:w="320" w:type="dxa"/>
            <w:vAlign w:val="bottom"/>
            <w:tcBorders>
              <w:top w:val="single" w:sz="8" w:color="0000FF"/>
            </w:tcBorders>
            <w:gridSpan w:val="6"/>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4640" w:type="dxa"/>
            <w:vAlign w:val="bottom"/>
            <w:gridSpan w:val="4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2220" w:type="dxa"/>
            <w:vAlign w:val="bottom"/>
            <w:gridSpan w:val="25"/>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11"/>
            <w:vMerge w:val="continue"/>
          </w:tcPr>
          <w:p>
            <w:pPr>
              <w:spacing w:after="0"/>
              <w:rPr>
                <w:sz w:val="17"/>
                <w:szCs w:val="17"/>
                <w:color w:val="auto"/>
              </w:rPr>
            </w:pPr>
          </w:p>
        </w:tc>
        <w:tc>
          <w:tcPr>
            <w:tcW w:w="320" w:type="dxa"/>
            <w:vAlign w:val="bottom"/>
            <w:gridSpan w:val="11"/>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060" w:type="dxa"/>
            <w:vAlign w:val="bottom"/>
            <w:gridSpan w:val="9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9420" w:type="dxa"/>
            <w:vAlign w:val="bottom"/>
            <w:gridSpan w:val="95"/>
            <w:vMerge w:val="restart"/>
          </w:tcPr>
          <w:p>
            <w:pPr>
              <w:jc w:val="center"/>
              <w:ind w:right="220"/>
              <w:spacing w:after="0"/>
              <w:rPr>
                <w:sz w:val="20"/>
                <w:szCs w:val="20"/>
                <w:color w:val="auto"/>
              </w:rPr>
            </w:pPr>
            <w:r>
              <w:rPr>
                <w:rFonts w:ascii="Times New Roman" w:cs="Times New Roman" w:eastAsia="Times New Roman" w:hAnsi="Times New Roman"/>
                <w:sz w:val="21"/>
                <w:szCs w:val="21"/>
                <w:color w:val="auto"/>
                <w:w w:val="99"/>
              </w:rPr>
              <w:t>Article VIII The Administrative Agents, the Collateral Agents, the Issuing Banks and the Swing Line Lenders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146</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9420" w:type="dxa"/>
            <w:vAlign w:val="bottom"/>
            <w:gridSpan w:val="95"/>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20" w:type="dxa"/>
            <w:vAlign w:val="bottom"/>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8.01</w:t>
            </w:r>
          </w:p>
        </w:tc>
        <w:tc>
          <w:tcPr>
            <w:tcW w:w="2620" w:type="dxa"/>
            <w:vAlign w:val="bottom"/>
            <w:gridSpan w:val="38"/>
            <w:vMerge w:val="restart"/>
          </w:tcPr>
          <w:p>
            <w:pPr>
              <w:ind w:left="100"/>
              <w:spacing w:after="0"/>
              <w:rPr>
                <w:sz w:val="20"/>
                <w:szCs w:val="20"/>
                <w:color w:val="auto"/>
              </w:rPr>
            </w:pPr>
            <w:r>
              <w:rPr>
                <w:rFonts w:ascii="Times New Roman" w:cs="Times New Roman" w:eastAsia="Times New Roman" w:hAnsi="Times New Roman"/>
                <w:sz w:val="21"/>
                <w:szCs w:val="21"/>
                <w:color w:val="auto"/>
              </w:rPr>
              <w:t>Appointment and Authority</w:t>
            </w:r>
          </w:p>
        </w:tc>
        <w:tc>
          <w:tcPr>
            <w:tcW w:w="320" w:type="dxa"/>
            <w:vAlign w:val="bottom"/>
            <w:gridSpan w:val="11"/>
            <w:vMerge w:val="restart"/>
          </w:tcPr>
          <w:p>
            <w:pPr>
              <w:ind w:left="20"/>
              <w:spacing w:after="0"/>
              <w:rPr>
                <w:sz w:val="20"/>
                <w:szCs w:val="20"/>
                <w:color w:val="auto"/>
              </w:rPr>
            </w:pPr>
            <w:r>
              <w:rPr>
                <w:rFonts w:ascii="Times New Roman" w:cs="Times New Roman" w:eastAsia="Times New Roman" w:hAnsi="Times New Roman"/>
                <w:sz w:val="21"/>
                <w:szCs w:val="21"/>
                <w:color w:val="FF0000"/>
                <w:strike w:val="1"/>
                <w:w w:val="88"/>
              </w:rPr>
              <w:t>146</w:t>
            </w:r>
          </w:p>
        </w:tc>
        <w:tc>
          <w:tcPr>
            <w:tcW w:w="20" w:type="dxa"/>
            <w:vAlign w:val="bottom"/>
            <w:vMerge w:val="restart"/>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2620" w:type="dxa"/>
            <w:vAlign w:val="bottom"/>
            <w:gridSpan w:val="38"/>
            <w:vMerge w:val="continue"/>
          </w:tcPr>
          <w:p>
            <w:pPr>
              <w:spacing w:after="0"/>
              <w:rPr>
                <w:sz w:val="18"/>
                <w:szCs w:val="18"/>
                <w:color w:val="auto"/>
              </w:rPr>
            </w:pPr>
          </w:p>
        </w:tc>
        <w:tc>
          <w:tcPr>
            <w:tcW w:w="320" w:type="dxa"/>
            <w:vAlign w:val="bottom"/>
            <w:gridSpan w:val="11"/>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left w:val="single" w:sz="8" w:color="DDDDDD"/>
              <w:bottom w:val="single" w:sz="8" w:color="0000FF"/>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8.02</w:t>
            </w:r>
          </w:p>
        </w:tc>
        <w:tc>
          <w:tcPr>
            <w:tcW w:w="1660" w:type="dxa"/>
            <w:vAlign w:val="bottom"/>
            <w:gridSpan w:val="11"/>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w w:val="98"/>
              </w:rPr>
              <w:t>Rights as a Lender</w:t>
            </w:r>
          </w:p>
        </w:tc>
        <w:tc>
          <w:tcPr>
            <w:tcW w:w="200" w:type="dxa"/>
            <w:vAlign w:val="bottom"/>
            <w:gridSpan w:val="3"/>
          </w:tcPr>
          <w:p>
            <w:pPr>
              <w:spacing w:after="0"/>
              <w:rPr>
                <w:sz w:val="3"/>
                <w:szCs w:val="3"/>
                <w:color w:val="auto"/>
              </w:rPr>
            </w:pPr>
          </w:p>
        </w:tc>
        <w:tc>
          <w:tcPr>
            <w:tcW w:w="320" w:type="dxa"/>
            <w:vAlign w:val="bottom"/>
            <w:gridSpan w:val="9"/>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146</w:t>
            </w:r>
          </w:p>
        </w:tc>
        <w:tc>
          <w:tcPr>
            <w:tcW w:w="20" w:type="dxa"/>
            <w:vAlign w:val="bottom"/>
            <w:vMerge w:val="restart"/>
          </w:tcPr>
          <w:p>
            <w:pPr>
              <w:spacing w:after="0"/>
              <w:rPr>
                <w:sz w:val="3"/>
                <w:szCs w:val="3"/>
                <w:color w:val="auto"/>
              </w:rPr>
            </w:pPr>
          </w:p>
        </w:tc>
        <w:tc>
          <w:tcPr>
            <w:tcW w:w="760" w:type="dxa"/>
            <w:vAlign w:val="bottom"/>
            <w:gridSpan w:val="26"/>
          </w:tcPr>
          <w:p>
            <w:pPr>
              <w:spacing w:after="0"/>
              <w:rPr>
                <w:sz w:val="3"/>
                <w:szCs w:val="3"/>
                <w:color w:val="auto"/>
              </w:rPr>
            </w:pPr>
          </w:p>
        </w:tc>
        <w:tc>
          <w:tcPr>
            <w:tcW w:w="300" w:type="dxa"/>
            <w:vAlign w:val="bottom"/>
            <w:tcBorders>
              <w:top w:val="single" w:sz="8" w:color="DDDDDD"/>
            </w:tcBorders>
            <w:gridSpan w:val="4"/>
          </w:tcPr>
          <w:p>
            <w:pPr>
              <w:spacing w:after="0"/>
              <w:rPr>
                <w:sz w:val="3"/>
                <w:szCs w:val="3"/>
                <w:color w:val="auto"/>
              </w:rPr>
            </w:pPr>
          </w:p>
        </w:tc>
        <w:tc>
          <w:tcPr>
            <w:tcW w:w="4780" w:type="dxa"/>
            <w:vAlign w:val="bottom"/>
            <w:gridSpan w:val="4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660" w:type="dxa"/>
            <w:vAlign w:val="bottom"/>
            <w:gridSpan w:val="11"/>
            <w:vMerge w:val="continue"/>
          </w:tcPr>
          <w:p>
            <w:pPr>
              <w:spacing w:after="0"/>
              <w:rPr>
                <w:sz w:val="17"/>
                <w:szCs w:val="17"/>
                <w:color w:val="auto"/>
              </w:rPr>
            </w:pPr>
          </w:p>
        </w:tc>
        <w:tc>
          <w:tcPr>
            <w:tcW w:w="200" w:type="dxa"/>
            <w:vAlign w:val="bottom"/>
            <w:gridSpan w:val="3"/>
          </w:tcPr>
          <w:p>
            <w:pPr>
              <w:spacing w:after="0"/>
              <w:rPr>
                <w:sz w:val="17"/>
                <w:szCs w:val="17"/>
                <w:color w:val="auto"/>
              </w:rPr>
            </w:pPr>
          </w:p>
        </w:tc>
        <w:tc>
          <w:tcPr>
            <w:tcW w:w="320" w:type="dxa"/>
            <w:vAlign w:val="bottom"/>
            <w:gridSpan w:val="9"/>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20" w:type="dxa"/>
            <w:vAlign w:val="bottom"/>
            <w:tcBorders>
              <w:bottom w:val="single" w:sz="8" w:color="0000FF"/>
            </w:tcBorders>
            <w:gridSpan w:val="10"/>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143</w:t>
            </w:r>
          </w:p>
        </w:tc>
        <w:tc>
          <w:tcPr>
            <w:tcW w:w="5520" w:type="dxa"/>
            <w:vAlign w:val="bottom"/>
            <w:gridSpan w:val="64"/>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8.03</w:t>
            </w:r>
          </w:p>
        </w:tc>
        <w:tc>
          <w:tcPr>
            <w:tcW w:w="2220" w:type="dxa"/>
            <w:vAlign w:val="bottom"/>
            <w:gridSpan w:val="25"/>
            <w:vMerge w:val="restart"/>
          </w:tcPr>
          <w:p>
            <w:pPr>
              <w:ind w:left="100"/>
              <w:spacing w:after="0"/>
              <w:rPr>
                <w:sz w:val="20"/>
                <w:szCs w:val="20"/>
                <w:color w:val="auto"/>
              </w:rPr>
            </w:pPr>
            <w:r>
              <w:rPr>
                <w:rFonts w:ascii="Times New Roman" w:cs="Times New Roman" w:eastAsia="Times New Roman" w:hAnsi="Times New Roman"/>
                <w:sz w:val="21"/>
                <w:szCs w:val="21"/>
                <w:color w:val="auto"/>
              </w:rPr>
              <w:t>Exculpatory Provisions</w:t>
            </w:r>
          </w:p>
        </w:tc>
        <w:tc>
          <w:tcPr>
            <w:tcW w:w="40" w:type="dxa"/>
            <w:vAlign w:val="bottom"/>
          </w:tcPr>
          <w:p>
            <w:pPr>
              <w:spacing w:after="0"/>
              <w:rPr>
                <w:sz w:val="4"/>
                <w:szCs w:val="4"/>
                <w:color w:val="auto"/>
              </w:rPr>
            </w:pPr>
          </w:p>
        </w:tc>
        <w:tc>
          <w:tcPr>
            <w:tcW w:w="320" w:type="dxa"/>
            <w:vAlign w:val="bottom"/>
            <w:gridSpan w:val="10"/>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146</w:t>
            </w:r>
          </w:p>
        </w:tc>
        <w:tc>
          <w:tcPr>
            <w:tcW w:w="20" w:type="dxa"/>
            <w:vAlign w:val="bottom"/>
            <w:vMerge w:val="restart"/>
          </w:tcPr>
          <w:p>
            <w:pPr>
              <w:spacing w:after="0"/>
              <w:rPr>
                <w:sz w:val="4"/>
                <w:szCs w:val="4"/>
                <w:color w:val="auto"/>
              </w:rPr>
            </w:pPr>
          </w:p>
        </w:tc>
        <w:tc>
          <w:tcPr>
            <w:tcW w:w="5440" w:type="dxa"/>
            <w:vAlign w:val="bottom"/>
            <w:gridSpan w:val="61"/>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220" w:type="dxa"/>
            <w:vAlign w:val="bottom"/>
            <w:gridSpan w:val="25"/>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10"/>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0"/>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143</w:t>
            </w:r>
          </w:p>
        </w:tc>
        <w:tc>
          <w:tcPr>
            <w:tcW w:w="5140" w:type="dxa"/>
            <w:vAlign w:val="bottom"/>
            <w:gridSpan w:val="51"/>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8.04</w:t>
            </w:r>
          </w:p>
        </w:tc>
        <w:tc>
          <w:tcPr>
            <w:tcW w:w="6260" w:type="dxa"/>
            <w:vAlign w:val="bottom"/>
            <w:gridSpan w:val="86"/>
            <w:vMerge w:val="restart"/>
          </w:tcPr>
          <w:p>
            <w:pPr>
              <w:ind w:left="100"/>
              <w:spacing w:after="0"/>
              <w:rPr>
                <w:sz w:val="20"/>
                <w:szCs w:val="20"/>
                <w:color w:val="auto"/>
              </w:rPr>
            </w:pPr>
            <w:r>
              <w:rPr>
                <w:rFonts w:ascii="Times New Roman" w:cs="Times New Roman" w:eastAsia="Times New Roman" w:hAnsi="Times New Roman"/>
                <w:sz w:val="21"/>
                <w:szCs w:val="21"/>
                <w:color w:val="auto"/>
              </w:rPr>
              <w:t>Reliance by the Agents, the Issuing Banks and the Swing Line Lenders</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147</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44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6260" w:type="dxa"/>
            <w:vAlign w:val="bottom"/>
            <w:gridSpan w:val="86"/>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300" w:type="dxa"/>
            <w:vAlign w:val="bottom"/>
            <w:tcBorders>
              <w:bottom w:val="single" w:sz="8" w:color="0000FF"/>
            </w:tcBorders>
            <w:gridSpan w:val="3"/>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144</w:t>
            </w:r>
          </w:p>
        </w:tc>
        <w:tc>
          <w:tcPr>
            <w:tcW w:w="20" w:type="dxa"/>
            <w:vAlign w:val="bottom"/>
            <w:tcBorders>
              <w:bottom w:val="single" w:sz="8" w:color="0000FF"/>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8.05</w:t>
            </w:r>
          </w:p>
        </w:tc>
        <w:tc>
          <w:tcPr>
            <w:tcW w:w="2060" w:type="dxa"/>
            <w:vAlign w:val="bottom"/>
            <w:gridSpan w:val="1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Delegation of Duties</w:t>
            </w:r>
          </w:p>
        </w:tc>
        <w:tc>
          <w:tcPr>
            <w:tcW w:w="300" w:type="dxa"/>
            <w:vAlign w:val="bottom"/>
            <w:gridSpan w:val="10"/>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148</w:t>
            </w:r>
          </w:p>
        </w:tc>
        <w:tc>
          <w:tcPr>
            <w:tcW w:w="320" w:type="dxa"/>
            <w:vAlign w:val="bottom"/>
            <w:gridSpan w:val="11"/>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860" w:type="dxa"/>
            <w:vAlign w:val="bottom"/>
            <w:gridSpan w:val="46"/>
          </w:tcPr>
          <w:p>
            <w:pPr>
              <w:spacing w:after="0"/>
              <w:rPr>
                <w:sz w:val="3"/>
                <w:szCs w:val="3"/>
                <w:color w:val="auto"/>
              </w:rPr>
            </w:pPr>
          </w:p>
        </w:tc>
        <w:tc>
          <w:tcPr>
            <w:tcW w:w="300" w:type="dxa"/>
            <w:vAlign w:val="bottom"/>
            <w:tcBorders>
              <w:top w:val="single" w:sz="8" w:color="DDDDDD"/>
            </w:tcBorders>
            <w:gridSpan w:val="3"/>
          </w:tcPr>
          <w:p>
            <w:pPr>
              <w:spacing w:after="0"/>
              <w:rPr>
                <w:sz w:val="3"/>
                <w:szCs w:val="3"/>
                <w:color w:val="auto"/>
              </w:rPr>
            </w:pPr>
          </w:p>
        </w:tc>
        <w:tc>
          <w:tcPr>
            <w:tcW w:w="1160" w:type="dxa"/>
            <w:vAlign w:val="bottom"/>
            <w:gridSpan w:val="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060" w:type="dxa"/>
            <w:vAlign w:val="bottom"/>
            <w:gridSpan w:val="19"/>
            <w:vMerge w:val="continue"/>
          </w:tcPr>
          <w:p>
            <w:pPr>
              <w:spacing w:after="0"/>
              <w:rPr>
                <w:sz w:val="17"/>
                <w:szCs w:val="17"/>
                <w:color w:val="auto"/>
              </w:rPr>
            </w:pPr>
          </w:p>
        </w:tc>
        <w:tc>
          <w:tcPr>
            <w:tcW w:w="300" w:type="dxa"/>
            <w:vAlign w:val="bottom"/>
            <w:gridSpan w:val="10"/>
            <w:vMerge w:val="continue"/>
          </w:tcPr>
          <w:p>
            <w:pPr>
              <w:spacing w:after="0"/>
              <w:rPr>
                <w:sz w:val="17"/>
                <w:szCs w:val="17"/>
                <w:color w:val="auto"/>
              </w:rPr>
            </w:pPr>
          </w:p>
        </w:tc>
        <w:tc>
          <w:tcPr>
            <w:tcW w:w="320" w:type="dxa"/>
            <w:vAlign w:val="bottom"/>
            <w:tcBorders>
              <w:bottom w:val="single" w:sz="8" w:color="0000FF"/>
            </w:tcBorders>
            <w:gridSpan w:val="11"/>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145</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320" w:type="dxa"/>
            <w:vAlign w:val="bottom"/>
            <w:gridSpan w:val="56"/>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8.06</w:t>
            </w:r>
          </w:p>
        </w:tc>
        <w:tc>
          <w:tcPr>
            <w:tcW w:w="4380" w:type="dxa"/>
            <w:vAlign w:val="bottom"/>
            <w:gridSpan w:val="76"/>
            <w:vMerge w:val="restart"/>
          </w:tcPr>
          <w:p>
            <w:pPr>
              <w:ind w:left="100"/>
              <w:spacing w:after="0"/>
              <w:rPr>
                <w:sz w:val="20"/>
                <w:szCs w:val="20"/>
                <w:color w:val="auto"/>
              </w:rPr>
            </w:pPr>
            <w:r>
              <w:rPr>
                <w:rFonts w:ascii="Times New Roman" w:cs="Times New Roman" w:eastAsia="Times New Roman" w:hAnsi="Times New Roman"/>
                <w:sz w:val="21"/>
                <w:szCs w:val="21"/>
                <w:color w:val="auto"/>
              </w:rPr>
              <w:t>Resignation of an Agent or a Swing Line Lender</w:t>
            </w: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148</w:t>
            </w:r>
          </w:p>
        </w:tc>
        <w:tc>
          <w:tcPr>
            <w:tcW w:w="20" w:type="dxa"/>
            <w:vAlign w:val="bottom"/>
            <w:vMerge w:val="restart"/>
          </w:tcPr>
          <w:p>
            <w:pPr>
              <w:spacing w:after="0"/>
              <w:rPr>
                <w:sz w:val="5"/>
                <w:szCs w:val="5"/>
                <w:color w:val="auto"/>
              </w:rPr>
            </w:pPr>
          </w:p>
        </w:tc>
        <w:tc>
          <w:tcPr>
            <w:tcW w:w="300" w:type="dxa"/>
            <w:vAlign w:val="bottom"/>
            <w:gridSpan w:val="4"/>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4380" w:type="dxa"/>
            <w:vAlign w:val="bottom"/>
            <w:gridSpan w:val="76"/>
            <w:vMerge w:val="continue"/>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145</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60" w:type="dxa"/>
            <w:vAlign w:val="bottom"/>
            <w:gridSpan w:val="9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8.07</w:t>
            </w:r>
          </w:p>
        </w:tc>
        <w:tc>
          <w:tcPr>
            <w:tcW w:w="6260" w:type="dxa"/>
            <w:vAlign w:val="bottom"/>
            <w:gridSpan w:val="86"/>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Non-Reliance on Agents and Other Lenders; Certain Acknowledgments</w:t>
            </w:r>
          </w:p>
        </w:tc>
        <w:tc>
          <w:tcPr>
            <w:tcW w:w="80" w:type="dxa"/>
            <w:vAlign w:val="bottom"/>
          </w:tcPr>
          <w:p>
            <w:pPr>
              <w:spacing w:after="0"/>
              <w:rPr>
                <w:sz w:val="3"/>
                <w:szCs w:val="3"/>
                <w:color w:val="auto"/>
              </w:rPr>
            </w:pPr>
          </w:p>
        </w:tc>
        <w:tc>
          <w:tcPr>
            <w:tcW w:w="300" w:type="dxa"/>
            <w:vAlign w:val="bottom"/>
            <w:gridSpan w:val="2"/>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8"/>
              </w:rPr>
              <w:t>150</w:t>
            </w:r>
          </w:p>
        </w:tc>
        <w:tc>
          <w:tcPr>
            <w:tcW w:w="20" w:type="dxa"/>
            <w:vAlign w:val="bottom"/>
            <w:vMerge w:val="restart"/>
          </w:tcPr>
          <w:p>
            <w:pPr>
              <w:spacing w:after="0"/>
              <w:rPr>
                <w:sz w:val="3"/>
                <w:szCs w:val="3"/>
                <w:color w:val="auto"/>
              </w:rPr>
            </w:pPr>
          </w:p>
        </w:tc>
        <w:tc>
          <w:tcPr>
            <w:tcW w:w="300" w:type="dxa"/>
            <w:vAlign w:val="bottom"/>
            <w:gridSpan w:val="3"/>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6260" w:type="dxa"/>
            <w:vAlign w:val="bottom"/>
            <w:gridSpan w:val="86"/>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bottom w:val="single" w:sz="8" w:color="0000FF"/>
            </w:tcBorders>
            <w:gridSpan w:val="3"/>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8.08</w:t>
            </w:r>
          </w:p>
        </w:tc>
        <w:tc>
          <w:tcPr>
            <w:tcW w:w="1480" w:type="dxa"/>
            <w:vAlign w:val="bottom"/>
            <w:gridSpan w:val="8"/>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Indemnification</w:t>
            </w:r>
          </w:p>
        </w:tc>
        <w:tc>
          <w:tcPr>
            <w:tcW w:w="160" w:type="dxa"/>
            <w:vAlign w:val="bottom"/>
            <w:gridSpan w:val="2"/>
          </w:tcPr>
          <w:p>
            <w:pPr>
              <w:spacing w:after="0"/>
              <w:rPr>
                <w:sz w:val="3"/>
                <w:szCs w:val="3"/>
                <w:color w:val="auto"/>
              </w:rPr>
            </w:pPr>
          </w:p>
        </w:tc>
        <w:tc>
          <w:tcPr>
            <w:tcW w:w="320" w:type="dxa"/>
            <w:vAlign w:val="bottom"/>
            <w:gridSpan w:val="5"/>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95"/>
              </w:rPr>
              <w:t>150</w:t>
            </w:r>
          </w:p>
        </w:tc>
        <w:tc>
          <w:tcPr>
            <w:tcW w:w="4700" w:type="dxa"/>
            <w:vAlign w:val="bottom"/>
            <w:gridSpan w:val="75"/>
          </w:tcPr>
          <w:p>
            <w:pPr>
              <w:spacing w:after="0"/>
              <w:rPr>
                <w:sz w:val="3"/>
                <w:szCs w:val="3"/>
                <w:color w:val="auto"/>
              </w:rPr>
            </w:pPr>
          </w:p>
        </w:tc>
        <w:tc>
          <w:tcPr>
            <w:tcW w:w="300" w:type="dxa"/>
            <w:vAlign w:val="bottom"/>
            <w:tcBorders>
              <w:top w:val="single" w:sz="8" w:color="DDDDDD"/>
            </w:tcBorders>
            <w:gridSpan w:val="3"/>
          </w:tcPr>
          <w:p>
            <w:pPr>
              <w:spacing w:after="0"/>
              <w:rPr>
                <w:sz w:val="3"/>
                <w:szCs w:val="3"/>
                <w:color w:val="auto"/>
              </w:rPr>
            </w:pPr>
          </w:p>
        </w:tc>
        <w:tc>
          <w:tcPr>
            <w:tcW w:w="1080" w:type="dxa"/>
            <w:vAlign w:val="bottom"/>
            <w:gridSpan w:val="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1480" w:type="dxa"/>
            <w:vAlign w:val="bottom"/>
            <w:gridSpan w:val="8"/>
            <w:vMerge w:val="continue"/>
          </w:tcPr>
          <w:p>
            <w:pPr>
              <w:spacing w:after="0"/>
              <w:rPr>
                <w:sz w:val="17"/>
                <w:szCs w:val="17"/>
                <w:color w:val="auto"/>
              </w:rPr>
            </w:pPr>
          </w:p>
        </w:tc>
        <w:tc>
          <w:tcPr>
            <w:tcW w:w="160" w:type="dxa"/>
            <w:vAlign w:val="bottom"/>
            <w:gridSpan w:val="2"/>
          </w:tcPr>
          <w:p>
            <w:pPr>
              <w:spacing w:after="0"/>
              <w:rPr>
                <w:sz w:val="17"/>
                <w:szCs w:val="17"/>
                <w:color w:val="auto"/>
              </w:rPr>
            </w:pPr>
          </w:p>
        </w:tc>
        <w:tc>
          <w:tcPr>
            <w:tcW w:w="320" w:type="dxa"/>
            <w:vAlign w:val="bottom"/>
            <w:gridSpan w:val="5"/>
            <w:vMerge w:val="continue"/>
          </w:tcPr>
          <w:p>
            <w:pPr>
              <w:spacing w:after="0"/>
              <w:rPr>
                <w:sz w:val="17"/>
                <w:szCs w:val="17"/>
                <w:color w:val="auto"/>
              </w:rPr>
            </w:pPr>
          </w:p>
        </w:tc>
        <w:tc>
          <w:tcPr>
            <w:tcW w:w="320" w:type="dxa"/>
            <w:vAlign w:val="bottom"/>
            <w:tcBorders>
              <w:bottom w:val="single" w:sz="8" w:color="0000FF"/>
            </w:tcBorders>
            <w:gridSpan w:val="1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147</w:t>
            </w:r>
          </w:p>
        </w:tc>
        <w:tc>
          <w:tcPr>
            <w:tcW w:w="5760" w:type="dxa"/>
            <w:vAlign w:val="bottom"/>
            <w:gridSpan w:val="71"/>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8.09</w:t>
            </w:r>
          </w:p>
        </w:tc>
        <w:tc>
          <w:tcPr>
            <w:tcW w:w="2940" w:type="dxa"/>
            <w:vAlign w:val="bottom"/>
            <w:gridSpan w:val="49"/>
            <w:vMerge w:val="restart"/>
          </w:tcPr>
          <w:p>
            <w:pPr>
              <w:ind w:left="100"/>
              <w:spacing w:after="0"/>
              <w:rPr>
                <w:sz w:val="20"/>
                <w:szCs w:val="20"/>
                <w:color w:val="auto"/>
              </w:rPr>
            </w:pPr>
            <w:r>
              <w:rPr>
                <w:rFonts w:ascii="Times New Roman" w:cs="Times New Roman" w:eastAsia="Times New Roman" w:hAnsi="Times New Roman"/>
                <w:sz w:val="21"/>
                <w:szCs w:val="21"/>
                <w:color w:val="auto"/>
              </w:rPr>
              <w:t>Collateral and Guaranty Matters</w:t>
            </w:r>
          </w:p>
        </w:tc>
        <w:tc>
          <w:tcPr>
            <w:tcW w:w="20" w:type="dxa"/>
            <w:vAlign w:val="bottom"/>
          </w:tcPr>
          <w:p>
            <w:pPr>
              <w:spacing w:after="0"/>
              <w:rPr>
                <w:sz w:val="4"/>
                <w:szCs w:val="4"/>
                <w:color w:val="auto"/>
              </w:rPr>
            </w:pPr>
          </w:p>
        </w:tc>
        <w:tc>
          <w:tcPr>
            <w:tcW w:w="3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rPr>
              <w:t>151</w:t>
            </w:r>
          </w:p>
        </w:tc>
        <w:tc>
          <w:tcPr>
            <w:tcW w:w="20" w:type="dxa"/>
            <w:vAlign w:val="bottom"/>
            <w:vMerge w:val="restart"/>
          </w:tcPr>
          <w:p>
            <w:pPr>
              <w:spacing w:after="0"/>
              <w:rPr>
                <w:sz w:val="4"/>
                <w:szCs w:val="4"/>
                <w:color w:val="auto"/>
              </w:rPr>
            </w:pPr>
          </w:p>
        </w:tc>
        <w:tc>
          <w:tcPr>
            <w:tcW w:w="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8"/>
                <w:szCs w:val="18"/>
                <w:color w:val="auto"/>
              </w:rPr>
            </w:pPr>
          </w:p>
        </w:tc>
        <w:tc>
          <w:tcPr>
            <w:tcW w:w="2940" w:type="dxa"/>
            <w:vAlign w:val="bottom"/>
            <w:gridSpan w:val="49"/>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5"/>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20" w:type="dxa"/>
            <w:vAlign w:val="bottom"/>
            <w:tcBorders>
              <w:bottom w:val="single" w:sz="8" w:color="0000FF"/>
            </w:tcBorders>
            <w:gridSpan w:val="8"/>
            <w:shd w:val="clear" w:color="auto" w:fill="DDDDDD"/>
          </w:tcPr>
          <w:p>
            <w:pPr>
              <w:jc w:val="right"/>
              <w:ind w:right="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120" w:type="dxa"/>
            <w:vAlign w:val="bottom"/>
            <w:gridSpan w:val="21"/>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8.10  No Other Duties, etc.</w:t>
            </w:r>
          </w:p>
        </w:tc>
        <w:tc>
          <w:tcPr>
            <w:tcW w:w="300" w:type="dxa"/>
            <w:vAlign w:val="bottom"/>
            <w:gridSpan w:val="10"/>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88"/>
              </w:rPr>
              <w:t>153</w:t>
            </w:r>
          </w:p>
        </w:tc>
        <w:tc>
          <w:tcPr>
            <w:tcW w:w="320" w:type="dxa"/>
            <w:vAlign w:val="bottom"/>
            <w:gridSpan w:val="12"/>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gridSpan w:val="2"/>
            <w:vMerge w:val="restart"/>
          </w:tcPr>
          <w:p>
            <w:pPr>
              <w:spacing w:after="0"/>
              <w:rPr>
                <w:sz w:val="3"/>
                <w:szCs w:val="3"/>
                <w:color w:val="auto"/>
              </w:rPr>
            </w:pPr>
          </w:p>
        </w:tc>
        <w:tc>
          <w:tcPr>
            <w:tcW w:w="400" w:type="dxa"/>
            <w:vAlign w:val="bottom"/>
            <w:gridSpan w:val="7"/>
          </w:tcPr>
          <w:p>
            <w:pPr>
              <w:spacing w:after="0"/>
              <w:rPr>
                <w:sz w:val="3"/>
                <w:szCs w:val="3"/>
                <w:color w:val="auto"/>
              </w:rPr>
            </w:pPr>
          </w:p>
        </w:tc>
        <w:tc>
          <w:tcPr>
            <w:tcW w:w="320" w:type="dxa"/>
            <w:vAlign w:val="bottom"/>
            <w:tcBorders>
              <w:top w:val="single" w:sz="8" w:color="DDDDDD"/>
            </w:tcBorders>
            <w:gridSpan w:val="8"/>
          </w:tcPr>
          <w:p>
            <w:pPr>
              <w:spacing w:after="0"/>
              <w:rPr>
                <w:sz w:val="3"/>
                <w:szCs w:val="3"/>
                <w:color w:val="auto"/>
              </w:rPr>
            </w:pPr>
          </w:p>
        </w:tc>
        <w:tc>
          <w:tcPr>
            <w:tcW w:w="4380" w:type="dxa"/>
            <w:vAlign w:val="bottom"/>
            <w:gridSpan w:val="3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120" w:type="dxa"/>
            <w:vAlign w:val="bottom"/>
            <w:gridSpan w:val="21"/>
            <w:vMerge w:val="continue"/>
          </w:tcPr>
          <w:p>
            <w:pPr>
              <w:spacing w:after="0"/>
              <w:rPr>
                <w:sz w:val="17"/>
                <w:szCs w:val="17"/>
                <w:color w:val="auto"/>
              </w:rPr>
            </w:pPr>
          </w:p>
        </w:tc>
        <w:tc>
          <w:tcPr>
            <w:tcW w:w="300" w:type="dxa"/>
            <w:vAlign w:val="bottom"/>
            <w:gridSpan w:val="10"/>
            <w:vMerge w:val="continue"/>
          </w:tcPr>
          <w:p>
            <w:pPr>
              <w:spacing w:after="0"/>
              <w:rPr>
                <w:sz w:val="17"/>
                <w:szCs w:val="17"/>
                <w:color w:val="auto"/>
              </w:rPr>
            </w:pPr>
          </w:p>
        </w:tc>
        <w:tc>
          <w:tcPr>
            <w:tcW w:w="320" w:type="dxa"/>
            <w:vAlign w:val="bottom"/>
            <w:tcBorders>
              <w:bottom w:val="single" w:sz="8" w:color="0000FF"/>
            </w:tcBorders>
            <w:gridSpan w:val="12"/>
            <w:shd w:val="clear" w:color="auto" w:fill="DDDDDD"/>
          </w:tcPr>
          <w:p>
            <w:pPr>
              <w:jc w:val="center"/>
              <w:spacing w:after="0" w:line="196" w:lineRule="exact"/>
              <w:rPr>
                <w:sz w:val="20"/>
                <w:szCs w:val="20"/>
                <w:color w:val="auto"/>
              </w:rPr>
            </w:pPr>
            <w:r>
              <w:rPr>
                <w:rFonts w:ascii="Times New Roman" w:cs="Times New Roman" w:eastAsia="Times New Roman" w:hAnsi="Times New Roman"/>
                <w:sz w:val="21"/>
                <w:szCs w:val="21"/>
                <w:color w:val="0000FF"/>
                <w:highlight w:val="lightGray"/>
              </w:rPr>
              <w:t>150</w:t>
            </w:r>
          </w:p>
        </w:tc>
        <w:tc>
          <w:tcPr>
            <w:tcW w:w="20" w:type="dxa"/>
            <w:vAlign w:val="bottom"/>
            <w:tcBorders>
              <w:bottom w:val="single" w:sz="8" w:color="0000FF"/>
            </w:tcBorders>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5100" w:type="dxa"/>
            <w:vAlign w:val="bottom"/>
            <w:gridSpan w:val="49"/>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8.11</w:t>
            </w:r>
          </w:p>
        </w:tc>
        <w:tc>
          <w:tcPr>
            <w:tcW w:w="2940" w:type="dxa"/>
            <w:vAlign w:val="bottom"/>
            <w:gridSpan w:val="49"/>
            <w:vMerge w:val="restart"/>
          </w:tcPr>
          <w:p>
            <w:pPr>
              <w:ind w:left="100"/>
              <w:spacing w:after="0"/>
              <w:rPr>
                <w:sz w:val="20"/>
                <w:szCs w:val="20"/>
                <w:color w:val="auto"/>
              </w:rPr>
            </w:pPr>
            <w:r>
              <w:rPr>
                <w:rFonts w:ascii="Times New Roman" w:cs="Times New Roman" w:eastAsia="Times New Roman" w:hAnsi="Times New Roman"/>
                <w:sz w:val="21"/>
                <w:szCs w:val="21"/>
                <w:color w:val="auto"/>
              </w:rPr>
              <w:t>Agents May File Proofs of Claim</w:t>
            </w: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153</w:t>
            </w:r>
          </w:p>
        </w:tc>
        <w:tc>
          <w:tcPr>
            <w:tcW w:w="20" w:type="dxa"/>
            <w:vAlign w:val="bottom"/>
          </w:tcPr>
          <w:p>
            <w:pPr>
              <w:spacing w:after="0"/>
              <w:rPr>
                <w:sz w:val="4"/>
                <w:szCs w:val="4"/>
                <w:color w:val="auto"/>
              </w:rPr>
            </w:pPr>
          </w:p>
        </w:tc>
        <w:tc>
          <w:tcPr>
            <w:tcW w:w="240" w:type="dxa"/>
            <w:vAlign w:val="bottom"/>
            <w:gridSpan w:val="5"/>
          </w:tcPr>
          <w:p>
            <w:pPr>
              <w:spacing w:after="0"/>
              <w:rPr>
                <w:sz w:val="4"/>
                <w:szCs w:val="4"/>
                <w:color w:val="auto"/>
              </w:rPr>
            </w:pPr>
          </w:p>
        </w:tc>
        <w:tc>
          <w:tcPr>
            <w:tcW w:w="60" w:type="dxa"/>
            <w:vAlign w:val="bottom"/>
            <w:gridSpan w:val="2"/>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940" w:type="dxa"/>
            <w:vAlign w:val="bottom"/>
            <w:gridSpan w:val="49"/>
            <w:vMerge w:val="continue"/>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6"/>
            <w:vMerge w:val="continue"/>
          </w:tcPr>
          <w:p>
            <w:pPr>
              <w:spacing w:after="0"/>
              <w:rPr>
                <w:sz w:val="17"/>
                <w:szCs w:val="17"/>
                <w:color w:val="auto"/>
              </w:rPr>
            </w:pPr>
          </w:p>
        </w:tc>
        <w:tc>
          <w:tcPr>
            <w:tcW w:w="320" w:type="dxa"/>
            <w:vAlign w:val="bottom"/>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150</w:t>
            </w:r>
          </w:p>
        </w:tc>
        <w:tc>
          <w:tcPr>
            <w:tcW w:w="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8.12</w:t>
            </w:r>
          </w:p>
        </w:tc>
        <w:tc>
          <w:tcPr>
            <w:tcW w:w="2220" w:type="dxa"/>
            <w:vAlign w:val="bottom"/>
            <w:gridSpan w:val="25"/>
            <w:vMerge w:val="restart"/>
          </w:tcPr>
          <w:p>
            <w:pPr>
              <w:ind w:left="100"/>
              <w:spacing w:after="0"/>
              <w:rPr>
                <w:sz w:val="20"/>
                <w:szCs w:val="20"/>
                <w:color w:val="auto"/>
              </w:rPr>
            </w:pPr>
            <w:r>
              <w:rPr>
                <w:rFonts w:ascii="Arial" w:cs="Arial" w:eastAsia="Arial" w:hAnsi="Arial"/>
                <w:sz w:val="21"/>
                <w:szCs w:val="21"/>
                <w:color w:val="auto"/>
                <w:w w:val="98"/>
              </w:rPr>
              <w:t>Certain ERISA Matters</w:t>
            </w:r>
          </w:p>
        </w:tc>
        <w:tc>
          <w:tcPr>
            <w:tcW w:w="200" w:type="dxa"/>
            <w:vAlign w:val="bottom"/>
            <w:gridSpan w:val="6"/>
          </w:tcPr>
          <w:p>
            <w:pPr>
              <w:spacing w:after="0"/>
              <w:rPr>
                <w:sz w:val="5"/>
                <w:szCs w:val="5"/>
                <w:color w:val="auto"/>
              </w:rPr>
            </w:pPr>
          </w:p>
        </w:tc>
        <w:tc>
          <w:tcPr>
            <w:tcW w:w="320" w:type="dxa"/>
            <w:vAlign w:val="bottom"/>
            <w:gridSpan w:val="12"/>
            <w:vMerge w:val="restart"/>
          </w:tcPr>
          <w:p>
            <w:pPr>
              <w:jc w:val="center"/>
              <w:spacing w:after="0"/>
              <w:rPr>
                <w:sz w:val="20"/>
                <w:szCs w:val="20"/>
                <w:color w:val="auto"/>
              </w:rPr>
            </w:pPr>
            <w:r>
              <w:rPr>
                <w:rFonts w:ascii="Times New Roman" w:cs="Times New Roman" w:eastAsia="Times New Roman" w:hAnsi="Times New Roman"/>
                <w:sz w:val="21"/>
                <w:szCs w:val="21"/>
                <w:color w:val="FF0000"/>
                <w:strike w:val="1"/>
              </w:rPr>
              <w:t>154</w:t>
            </w:r>
          </w:p>
        </w:tc>
        <w:tc>
          <w:tcPr>
            <w:tcW w:w="660" w:type="dxa"/>
            <w:vAlign w:val="bottom"/>
            <w:gridSpan w:val="15"/>
          </w:tcPr>
          <w:p>
            <w:pPr>
              <w:spacing w:after="0"/>
              <w:rPr>
                <w:sz w:val="5"/>
                <w:szCs w:val="5"/>
                <w:color w:val="auto"/>
              </w:rPr>
            </w:pPr>
          </w:p>
        </w:tc>
        <w:tc>
          <w:tcPr>
            <w:tcW w:w="20" w:type="dxa"/>
            <w:vAlign w:val="bottom"/>
            <w:tcBorders>
              <w:top w:val="single" w:sz="8" w:color="DDDDDD"/>
            </w:tcBorders>
          </w:tcPr>
          <w:p>
            <w:pPr>
              <w:spacing w:after="0"/>
              <w:rPr>
                <w:sz w:val="5"/>
                <w:szCs w:val="5"/>
                <w:color w:val="auto"/>
              </w:rPr>
            </w:pPr>
          </w:p>
        </w:tc>
        <w:tc>
          <w:tcPr>
            <w:tcW w:w="380" w:type="dxa"/>
            <w:vAlign w:val="bottom"/>
            <w:tcBorders>
              <w:top w:val="single" w:sz="8" w:color="0000FF"/>
            </w:tcBorders>
            <w:gridSpan w:val="8"/>
          </w:tcPr>
          <w:p>
            <w:pPr>
              <w:spacing w:after="0"/>
              <w:rPr>
                <w:sz w:val="5"/>
                <w:szCs w:val="5"/>
                <w:color w:val="auto"/>
              </w:rPr>
            </w:pPr>
          </w:p>
        </w:tc>
        <w:tc>
          <w:tcPr>
            <w:tcW w:w="4240" w:type="dxa"/>
            <w:vAlign w:val="bottom"/>
            <w:gridSpan w:val="31"/>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220" w:type="dxa"/>
            <w:vAlign w:val="bottom"/>
            <w:gridSpan w:val="25"/>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320" w:type="dxa"/>
            <w:vAlign w:val="bottom"/>
            <w:gridSpan w:val="12"/>
            <w:vMerge w:val="continue"/>
          </w:tcPr>
          <w:p>
            <w:pPr>
              <w:spacing w:after="0"/>
              <w:rPr>
                <w:sz w:val="17"/>
                <w:szCs w:val="17"/>
                <w:color w:val="auto"/>
              </w:rPr>
            </w:pPr>
          </w:p>
        </w:tc>
        <w:tc>
          <w:tcPr>
            <w:tcW w:w="320" w:type="dxa"/>
            <w:vAlign w:val="bottom"/>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8.13</w:t>
            </w:r>
          </w:p>
        </w:tc>
        <w:tc>
          <w:tcPr>
            <w:tcW w:w="2060" w:type="dxa"/>
            <w:vAlign w:val="bottom"/>
            <w:gridSpan w:val="19"/>
            <w:vMerge w:val="restart"/>
          </w:tcPr>
          <w:p>
            <w:pPr>
              <w:ind w:left="100"/>
              <w:spacing w:after="0"/>
              <w:rPr>
                <w:sz w:val="20"/>
                <w:szCs w:val="20"/>
                <w:color w:val="auto"/>
              </w:rPr>
            </w:pPr>
            <w:r>
              <w:rPr>
                <w:rFonts w:ascii="Arial" w:cs="Arial" w:eastAsia="Arial" w:hAnsi="Arial"/>
                <w:sz w:val="21"/>
                <w:szCs w:val="21"/>
                <w:color w:val="auto"/>
                <w:w w:val="98"/>
              </w:rPr>
              <w:t>Erroneous Payments</w:t>
            </w:r>
          </w:p>
        </w:tc>
        <w:tc>
          <w:tcPr>
            <w:tcW w:w="200" w:type="dxa"/>
            <w:vAlign w:val="bottom"/>
            <w:gridSpan w:val="7"/>
          </w:tcPr>
          <w:p>
            <w:pPr>
              <w:spacing w:after="0"/>
              <w:rPr>
                <w:sz w:val="4"/>
                <w:szCs w:val="4"/>
                <w:color w:val="auto"/>
              </w:rPr>
            </w:pPr>
          </w:p>
        </w:tc>
        <w:tc>
          <w:tcPr>
            <w:tcW w:w="320" w:type="dxa"/>
            <w:vAlign w:val="bottom"/>
            <w:gridSpan w:val="10"/>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155</w:t>
            </w:r>
          </w:p>
        </w:tc>
        <w:tc>
          <w:tcPr>
            <w:tcW w:w="140" w:type="dxa"/>
            <w:vAlign w:val="bottom"/>
            <w:gridSpan w:val="6"/>
          </w:tcPr>
          <w:p>
            <w:pPr>
              <w:spacing w:after="0"/>
              <w:rPr>
                <w:sz w:val="4"/>
                <w:szCs w:val="4"/>
                <w:color w:val="auto"/>
              </w:rPr>
            </w:pPr>
          </w:p>
        </w:tc>
        <w:tc>
          <w:tcPr>
            <w:tcW w:w="160" w:type="dxa"/>
            <w:vAlign w:val="bottom"/>
            <w:tcBorders>
              <w:top w:val="single" w:sz="8" w:color="0000FF"/>
            </w:tcBorders>
            <w:gridSpan w:val="4"/>
          </w:tcPr>
          <w:p>
            <w:pPr>
              <w:spacing w:after="0"/>
              <w:rPr>
                <w:sz w:val="4"/>
                <w:szCs w:val="4"/>
                <w:color w:val="auto"/>
              </w:rPr>
            </w:pPr>
          </w:p>
        </w:tc>
        <w:tc>
          <w:tcPr>
            <w:tcW w:w="20" w:type="dxa"/>
            <w:vAlign w:val="bottom"/>
            <w:tcBorders>
              <w:top w:val="single" w:sz="8" w:color="0000FF"/>
            </w:tcBorders>
            <w:vMerge w:val="restart"/>
          </w:tcPr>
          <w:p>
            <w:pPr>
              <w:spacing w:after="0"/>
              <w:rPr>
                <w:sz w:val="4"/>
                <w:szCs w:val="4"/>
                <w:color w:val="auto"/>
              </w:rPr>
            </w:pPr>
          </w:p>
        </w:tc>
        <w:tc>
          <w:tcPr>
            <w:tcW w:w="160" w:type="dxa"/>
            <w:vAlign w:val="bottom"/>
            <w:tcBorders>
              <w:top w:val="single" w:sz="8" w:color="0000FF"/>
            </w:tcBorders>
            <w:gridSpan w:val="4"/>
          </w:tcPr>
          <w:p>
            <w:pPr>
              <w:spacing w:after="0"/>
              <w:rPr>
                <w:sz w:val="4"/>
                <w:szCs w:val="4"/>
                <w:color w:val="auto"/>
              </w:rPr>
            </w:pPr>
          </w:p>
        </w:tc>
        <w:tc>
          <w:tcPr>
            <w:tcW w:w="4980" w:type="dxa"/>
            <w:vAlign w:val="bottom"/>
            <w:gridSpan w:val="47"/>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060" w:type="dxa"/>
            <w:vAlign w:val="bottom"/>
            <w:gridSpan w:val="19"/>
            <w:vMerge w:val="continue"/>
          </w:tcPr>
          <w:p>
            <w:pPr>
              <w:spacing w:after="0"/>
              <w:rPr>
                <w:sz w:val="17"/>
                <w:szCs w:val="17"/>
                <w:color w:val="auto"/>
              </w:rPr>
            </w:pPr>
          </w:p>
        </w:tc>
        <w:tc>
          <w:tcPr>
            <w:tcW w:w="200" w:type="dxa"/>
            <w:vAlign w:val="bottom"/>
            <w:gridSpan w:val="7"/>
          </w:tcPr>
          <w:p>
            <w:pPr>
              <w:spacing w:after="0"/>
              <w:rPr>
                <w:sz w:val="17"/>
                <w:szCs w:val="17"/>
                <w:color w:val="auto"/>
              </w:rPr>
            </w:pPr>
          </w:p>
        </w:tc>
        <w:tc>
          <w:tcPr>
            <w:tcW w:w="320" w:type="dxa"/>
            <w:vAlign w:val="bottom"/>
            <w:gridSpan w:val="10"/>
            <w:vMerge w:val="continue"/>
          </w:tcPr>
          <w:p>
            <w:pPr>
              <w:spacing w:after="0"/>
              <w:rPr>
                <w:sz w:val="17"/>
                <w:szCs w:val="17"/>
                <w:color w:val="auto"/>
              </w:rPr>
            </w:pPr>
          </w:p>
        </w:tc>
        <w:tc>
          <w:tcPr>
            <w:tcW w:w="300" w:type="dxa"/>
            <w:vAlign w:val="bottom"/>
            <w:tcBorders>
              <w:bottom w:val="single" w:sz="8" w:color="0000FF"/>
            </w:tcBorders>
            <w:gridSpan w:val="10"/>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152</w:t>
            </w:r>
          </w:p>
        </w:tc>
        <w:tc>
          <w:tcPr>
            <w:tcW w:w="20" w:type="dxa"/>
            <w:vAlign w:val="bottom"/>
            <w:tcBorders>
              <w:bottom w:val="single" w:sz="8" w:color="0000FF"/>
            </w:tcBorders>
            <w:vMerge w:val="continue"/>
          </w:tcPr>
          <w:p>
            <w:pPr>
              <w:spacing w:after="0"/>
              <w:rPr>
                <w:sz w:val="17"/>
                <w:szCs w:val="17"/>
                <w:color w:val="auto"/>
              </w:rPr>
            </w:pPr>
          </w:p>
        </w:tc>
        <w:tc>
          <w:tcPr>
            <w:tcW w:w="5140" w:type="dxa"/>
            <w:vAlign w:val="bottom"/>
            <w:gridSpan w:val="51"/>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Article IX Miscellaneous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158</w:t>
            </w:r>
          </w:p>
        </w:tc>
        <w:tc>
          <w:tcPr>
            <w:tcW w:w="20" w:type="dxa"/>
            <w:vAlign w:val="bottom"/>
            <w:vMerge w:val="restart"/>
          </w:tcPr>
          <w:p>
            <w:pPr>
              <w:spacing w:after="0"/>
              <w:rPr>
                <w:sz w:val="22"/>
                <w:szCs w:val="22"/>
                <w:color w:val="auto"/>
              </w:rPr>
            </w:pPr>
          </w:p>
        </w:tc>
        <w:tc>
          <w:tcPr>
            <w:tcW w:w="7400" w:type="dxa"/>
            <w:vAlign w:val="bottom"/>
            <w:gridSpan w:val="95"/>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32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155</w:t>
            </w:r>
          </w:p>
        </w:tc>
        <w:tc>
          <w:tcPr>
            <w:tcW w:w="7100" w:type="dxa"/>
            <w:vAlign w:val="bottom"/>
            <w:gridSpan w:val="94"/>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9.01</w:t>
            </w:r>
          </w:p>
        </w:tc>
        <w:tc>
          <w:tcPr>
            <w:tcW w:w="940" w:type="dxa"/>
            <w:vAlign w:val="bottom"/>
            <w:gridSpan w:val="4"/>
            <w:vMerge w:val="restart"/>
          </w:tcPr>
          <w:p>
            <w:pPr>
              <w:ind w:left="100"/>
              <w:spacing w:after="0"/>
              <w:rPr>
                <w:sz w:val="20"/>
                <w:szCs w:val="20"/>
                <w:color w:val="auto"/>
              </w:rPr>
            </w:pPr>
            <w:r>
              <w:rPr>
                <w:rFonts w:ascii="Times New Roman" w:cs="Times New Roman" w:eastAsia="Times New Roman" w:hAnsi="Times New Roman"/>
                <w:sz w:val="21"/>
                <w:szCs w:val="21"/>
                <w:color w:val="auto"/>
              </w:rPr>
              <w:t>Notices</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158</w:t>
            </w:r>
          </w:p>
        </w:tc>
        <w:tc>
          <w:tcPr>
            <w:tcW w:w="20" w:type="dxa"/>
            <w:vAlign w:val="bottom"/>
            <w:vMerge w:val="restart"/>
          </w:tcPr>
          <w:p>
            <w:pPr>
              <w:spacing w:after="0"/>
              <w:rPr>
                <w:sz w:val="20"/>
                <w:szCs w:val="20"/>
                <w:color w:val="auto"/>
              </w:rPr>
            </w:pPr>
          </w:p>
        </w:tc>
        <w:tc>
          <w:tcPr>
            <w:tcW w:w="6760" w:type="dxa"/>
            <w:vAlign w:val="bottom"/>
            <w:gridSpan w:val="91"/>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left w:val="single" w:sz="8" w:color="DDDDDD"/>
              <w:bottom w:val="single" w:sz="8" w:color="0000FF"/>
              <w:right w:val="single" w:sz="8" w:color="DDDDDD"/>
            </w:tcBorders>
            <w:gridSpan w:val="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155</w:t>
            </w:r>
          </w:p>
        </w:tc>
        <w:tc>
          <w:tcPr>
            <w:tcW w:w="6460" w:type="dxa"/>
            <w:vAlign w:val="bottom"/>
            <w:gridSpan w:val="8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gridSpan w:val="8"/>
          </w:tcPr>
          <w:p>
            <w:pPr>
              <w:spacing w:after="0" w:line="20" w:lineRule="exact"/>
              <w:rPr>
                <w:sz w:val="1"/>
                <w:szCs w:val="1"/>
                <w:color w:val="auto"/>
              </w:rPr>
            </w:pPr>
          </w:p>
        </w:tc>
        <w:tc>
          <w:tcPr>
            <w:tcW w:w="300" w:type="dxa"/>
            <w:vAlign w:val="bottom"/>
            <w:tcBorders>
              <w:left w:val="single" w:sz="8" w:color="DDDDDD"/>
              <w:right w:val="single" w:sz="8" w:color="DDDDDD"/>
            </w:tcBorders>
            <w:gridSpan w:val="2"/>
            <w:shd w:val="clear" w:color="auto" w:fill="DDDDDD"/>
          </w:tcPr>
          <w:p>
            <w:pPr>
              <w:spacing w:after="0" w:line="20" w:lineRule="exact"/>
              <w:rPr>
                <w:sz w:val="1"/>
                <w:szCs w:val="1"/>
                <w:color w:val="auto"/>
              </w:rPr>
            </w:pPr>
          </w:p>
        </w:tc>
        <w:tc>
          <w:tcPr>
            <w:tcW w:w="6460" w:type="dxa"/>
            <w:vAlign w:val="bottom"/>
            <w:gridSpan w:val="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4" w:lineRule="exact"/>
              <w:rPr>
                <w:sz w:val="20"/>
                <w:szCs w:val="20"/>
                <w:color w:val="auto"/>
              </w:rPr>
            </w:pPr>
            <w:r>
              <w:rPr>
                <w:rFonts w:ascii="Times New Roman" w:cs="Times New Roman" w:eastAsia="Times New Roman" w:hAnsi="Times New Roman"/>
                <w:sz w:val="21"/>
                <w:szCs w:val="21"/>
                <w:color w:val="auto"/>
              </w:rPr>
              <w:t>SECTION 9.02</w:t>
            </w:r>
          </w:p>
        </w:tc>
        <w:tc>
          <w:tcPr>
            <w:tcW w:w="2060" w:type="dxa"/>
            <w:vAlign w:val="bottom"/>
            <w:gridSpan w:val="19"/>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Survival of Agreement</w:t>
            </w:r>
          </w:p>
        </w:tc>
        <w:tc>
          <w:tcPr>
            <w:tcW w:w="160" w:type="dxa"/>
            <w:vAlign w:val="bottom"/>
            <w:gridSpan w:val="6"/>
          </w:tcPr>
          <w:p>
            <w:pPr>
              <w:spacing w:after="0"/>
              <w:rPr>
                <w:sz w:val="3"/>
                <w:szCs w:val="3"/>
                <w:color w:val="auto"/>
              </w:rPr>
            </w:pPr>
          </w:p>
        </w:tc>
        <w:tc>
          <w:tcPr>
            <w:tcW w:w="320" w:type="dxa"/>
            <w:vAlign w:val="bottom"/>
            <w:gridSpan w:val="10"/>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95"/>
              </w:rPr>
              <w:t>160</w:t>
            </w:r>
          </w:p>
        </w:tc>
        <w:tc>
          <w:tcPr>
            <w:tcW w:w="5500" w:type="dxa"/>
            <w:vAlign w:val="bottom"/>
            <w:gridSpan w:val="6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060" w:type="dxa"/>
            <w:vAlign w:val="bottom"/>
            <w:gridSpan w:val="19"/>
            <w:vMerge w:val="continue"/>
          </w:tcPr>
          <w:p>
            <w:pPr>
              <w:spacing w:after="0"/>
              <w:rPr>
                <w:sz w:val="17"/>
                <w:szCs w:val="17"/>
                <w:color w:val="auto"/>
              </w:rPr>
            </w:pPr>
          </w:p>
        </w:tc>
        <w:tc>
          <w:tcPr>
            <w:tcW w:w="160" w:type="dxa"/>
            <w:vAlign w:val="bottom"/>
            <w:gridSpan w:val="6"/>
          </w:tcPr>
          <w:p>
            <w:pPr>
              <w:spacing w:after="0"/>
              <w:rPr>
                <w:sz w:val="17"/>
                <w:szCs w:val="17"/>
                <w:color w:val="auto"/>
              </w:rPr>
            </w:pPr>
          </w:p>
        </w:tc>
        <w:tc>
          <w:tcPr>
            <w:tcW w:w="320" w:type="dxa"/>
            <w:vAlign w:val="bottom"/>
            <w:gridSpan w:val="10"/>
            <w:vMerge w:val="continue"/>
          </w:tcPr>
          <w:p>
            <w:pPr>
              <w:spacing w:after="0"/>
              <w:rPr>
                <w:sz w:val="17"/>
                <w:szCs w:val="17"/>
                <w:color w:val="auto"/>
              </w:rPr>
            </w:pPr>
          </w:p>
        </w:tc>
        <w:tc>
          <w:tcPr>
            <w:tcW w:w="5500" w:type="dxa"/>
            <w:vAlign w:val="bottom"/>
            <w:gridSpan w:val="63"/>
            <w:shd w:val="clear" w:color="auto" w:fill="DDDDDD"/>
          </w:tcPr>
          <w:p>
            <w:pPr>
              <w:jc w:val="right"/>
              <w:ind w:right="5180"/>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157</w:t>
            </w:r>
          </w:p>
        </w:tc>
        <w:tc>
          <w:tcPr>
            <w:tcW w:w="0" w:type="dxa"/>
            <w:vAlign w:val="bottom"/>
          </w:tcPr>
          <w:p>
            <w:pPr>
              <w:spacing w:after="0"/>
              <w:rPr>
                <w:sz w:val="1"/>
                <w:szCs w:val="1"/>
                <w:color w:val="auto"/>
              </w:rPr>
            </w:pPr>
          </w:p>
        </w:tc>
      </w:tr>
      <w:tr>
        <w:trPr>
          <w:trHeight w:val="65"/>
        </w:trPr>
        <w:tc>
          <w:tcPr>
            <w:tcW w:w="202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9.03</w:t>
            </w:r>
          </w:p>
        </w:tc>
        <w:tc>
          <w:tcPr>
            <w:tcW w:w="1480" w:type="dxa"/>
            <w:vAlign w:val="bottom"/>
            <w:gridSpan w:val="8"/>
            <w:vMerge w:val="restart"/>
          </w:tcPr>
          <w:p>
            <w:pPr>
              <w:ind w:left="100"/>
              <w:spacing w:after="0"/>
              <w:rPr>
                <w:sz w:val="20"/>
                <w:szCs w:val="20"/>
                <w:color w:val="auto"/>
              </w:rPr>
            </w:pPr>
            <w:r>
              <w:rPr>
                <w:rFonts w:ascii="Times New Roman" w:cs="Times New Roman" w:eastAsia="Times New Roman" w:hAnsi="Times New Roman"/>
                <w:sz w:val="21"/>
                <w:szCs w:val="21"/>
                <w:color w:val="auto"/>
              </w:rPr>
              <w:t>Binding Effect</w:t>
            </w:r>
          </w:p>
        </w:tc>
        <w:tc>
          <w:tcPr>
            <w:tcW w:w="100" w:type="dxa"/>
            <w:vAlign w:val="bottom"/>
          </w:tcPr>
          <w:p>
            <w:pPr>
              <w:spacing w:after="0"/>
              <w:rPr>
                <w:sz w:val="5"/>
                <w:szCs w:val="5"/>
                <w:color w:val="auto"/>
              </w:rPr>
            </w:pPr>
          </w:p>
        </w:tc>
        <w:tc>
          <w:tcPr>
            <w:tcW w:w="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2"/>
              </w:rPr>
              <w:t>160</w:t>
            </w:r>
          </w:p>
        </w:tc>
        <w:tc>
          <w:tcPr>
            <w:tcW w:w="300" w:type="dxa"/>
            <w:vAlign w:val="bottom"/>
            <w:gridSpan w:val="8"/>
          </w:tcPr>
          <w:p>
            <w:pPr>
              <w:spacing w:after="0"/>
              <w:rPr>
                <w:sz w:val="5"/>
                <w:szCs w:val="5"/>
                <w:color w:val="auto"/>
              </w:rPr>
            </w:pPr>
          </w:p>
        </w:tc>
        <w:tc>
          <w:tcPr>
            <w:tcW w:w="20" w:type="dxa"/>
            <w:vAlign w:val="bottom"/>
            <w:vMerge w:val="restart"/>
          </w:tcPr>
          <w:p>
            <w:pPr>
              <w:spacing w:after="0"/>
              <w:rPr>
                <w:sz w:val="5"/>
                <w:szCs w:val="5"/>
                <w:color w:val="auto"/>
              </w:rPr>
            </w:pPr>
          </w:p>
        </w:tc>
        <w:tc>
          <w:tcPr>
            <w:tcW w:w="340" w:type="dxa"/>
            <w:vAlign w:val="bottom"/>
            <w:gridSpan w:val="11"/>
          </w:tcPr>
          <w:p>
            <w:pPr>
              <w:spacing w:after="0"/>
              <w:rPr>
                <w:sz w:val="5"/>
                <w:szCs w:val="5"/>
                <w:color w:val="auto"/>
              </w:rPr>
            </w:pPr>
          </w:p>
        </w:tc>
        <w:tc>
          <w:tcPr>
            <w:tcW w:w="340" w:type="dxa"/>
            <w:vAlign w:val="bottom"/>
            <w:tcBorders>
              <w:top w:val="single" w:sz="8" w:color="0000FF"/>
            </w:tcBorders>
            <w:gridSpan w:val="11"/>
          </w:tcPr>
          <w:p>
            <w:pPr>
              <w:spacing w:after="0"/>
              <w:rPr>
                <w:sz w:val="5"/>
                <w:szCs w:val="5"/>
                <w:color w:val="auto"/>
              </w:rPr>
            </w:pPr>
          </w:p>
        </w:tc>
        <w:tc>
          <w:tcPr>
            <w:tcW w:w="5180" w:type="dxa"/>
            <w:vAlign w:val="bottom"/>
            <w:gridSpan w:val="53"/>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480" w:type="dxa"/>
            <w:vAlign w:val="bottom"/>
            <w:gridSpan w:val="8"/>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5"/>
            <w:vMerge w:val="continue"/>
          </w:tcPr>
          <w:p>
            <w:pPr>
              <w:spacing w:after="0"/>
              <w:rPr>
                <w:sz w:val="17"/>
                <w:szCs w:val="17"/>
                <w:color w:val="auto"/>
              </w:rPr>
            </w:pPr>
          </w:p>
        </w:tc>
        <w:tc>
          <w:tcPr>
            <w:tcW w:w="300" w:type="dxa"/>
            <w:vAlign w:val="bottom"/>
            <w:tcBorders>
              <w:bottom w:val="single" w:sz="8" w:color="0000FF"/>
              <w:right w:val="single" w:sz="8" w:color="DDDDDD"/>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157</w:t>
            </w:r>
          </w:p>
        </w:tc>
        <w:tc>
          <w:tcPr>
            <w:tcW w:w="20" w:type="dxa"/>
            <w:vAlign w:val="bottom"/>
            <w:tcBorders>
              <w:bottom w:val="single" w:sz="8" w:color="0000FF"/>
            </w:tcBorders>
            <w:vMerge w:val="continue"/>
          </w:tcPr>
          <w:p>
            <w:pPr>
              <w:spacing w:after="0"/>
              <w:rPr>
                <w:sz w:val="17"/>
                <w:szCs w:val="17"/>
                <w:color w:val="auto"/>
              </w:rPr>
            </w:pPr>
          </w:p>
        </w:tc>
        <w:tc>
          <w:tcPr>
            <w:tcW w:w="5860" w:type="dxa"/>
            <w:vAlign w:val="bottom"/>
            <w:gridSpan w:val="7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right w:val="single" w:sz="8" w:color="DDDDDD"/>
            </w:tcBorders>
            <w:gridSpan w:val="23"/>
          </w:tcPr>
          <w:p>
            <w:pPr>
              <w:spacing w:after="0" w:line="20" w:lineRule="exact"/>
              <w:rPr>
                <w:sz w:val="1"/>
                <w:szCs w:val="1"/>
                <w:color w:val="auto"/>
              </w:rPr>
            </w:pPr>
          </w:p>
        </w:tc>
        <w:tc>
          <w:tcPr>
            <w:tcW w:w="5880" w:type="dxa"/>
            <w:vAlign w:val="bottom"/>
            <w:gridSpan w:val="7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20" w:type="dxa"/>
            <w:vAlign w:val="bottom"/>
            <w:vMerge w:val="restart"/>
          </w:tcPr>
          <w:p>
            <w:pPr>
              <w:ind w:left="640"/>
              <w:spacing w:after="0" w:line="235" w:lineRule="exact"/>
              <w:rPr>
                <w:sz w:val="20"/>
                <w:szCs w:val="20"/>
                <w:color w:val="auto"/>
              </w:rPr>
            </w:pPr>
            <w:r>
              <w:rPr>
                <w:rFonts w:ascii="Times New Roman" w:cs="Times New Roman" w:eastAsia="Times New Roman" w:hAnsi="Times New Roman"/>
                <w:sz w:val="21"/>
                <w:szCs w:val="21"/>
                <w:color w:val="auto"/>
              </w:rPr>
              <w:t>SECTION 9.04</w:t>
            </w:r>
          </w:p>
        </w:tc>
        <w:tc>
          <w:tcPr>
            <w:tcW w:w="2220" w:type="dxa"/>
            <w:vAlign w:val="bottom"/>
            <w:gridSpan w:val="25"/>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Successors and Assigns</w:t>
            </w:r>
          </w:p>
        </w:tc>
        <w:tc>
          <w:tcPr>
            <w:tcW w:w="60" w:type="dxa"/>
            <w:vAlign w:val="bottom"/>
            <w:gridSpan w:val="2"/>
          </w:tcPr>
          <w:p>
            <w:pPr>
              <w:spacing w:after="0"/>
              <w:rPr>
                <w:sz w:val="3"/>
                <w:szCs w:val="3"/>
                <w:color w:val="auto"/>
              </w:rPr>
            </w:pPr>
          </w:p>
        </w:tc>
        <w:tc>
          <w:tcPr>
            <w:tcW w:w="340" w:type="dxa"/>
            <w:vAlign w:val="bottom"/>
            <w:gridSpan w:val="11"/>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rPr>
              <w:t>160</w:t>
            </w:r>
          </w:p>
        </w:tc>
        <w:tc>
          <w:tcPr>
            <w:tcW w:w="5420" w:type="dxa"/>
            <w:vAlign w:val="bottom"/>
            <w:gridSpan w:val="6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20" w:type="dxa"/>
            <w:vAlign w:val="bottom"/>
            <w:vMerge w:val="continue"/>
          </w:tcPr>
          <w:p>
            <w:pPr>
              <w:spacing w:after="0"/>
              <w:rPr>
                <w:sz w:val="17"/>
                <w:szCs w:val="17"/>
                <w:color w:val="auto"/>
              </w:rPr>
            </w:pPr>
          </w:p>
        </w:tc>
        <w:tc>
          <w:tcPr>
            <w:tcW w:w="2220" w:type="dxa"/>
            <w:vAlign w:val="bottom"/>
            <w:gridSpan w:val="25"/>
            <w:vMerge w:val="continue"/>
          </w:tcPr>
          <w:p>
            <w:pPr>
              <w:spacing w:after="0"/>
              <w:rPr>
                <w:sz w:val="17"/>
                <w:szCs w:val="17"/>
                <w:color w:val="auto"/>
              </w:rPr>
            </w:pPr>
          </w:p>
        </w:tc>
        <w:tc>
          <w:tcPr>
            <w:tcW w:w="60" w:type="dxa"/>
            <w:vAlign w:val="bottom"/>
            <w:gridSpan w:val="2"/>
          </w:tcPr>
          <w:p>
            <w:pPr>
              <w:spacing w:after="0"/>
              <w:rPr>
                <w:sz w:val="17"/>
                <w:szCs w:val="17"/>
                <w:color w:val="auto"/>
              </w:rPr>
            </w:pPr>
          </w:p>
        </w:tc>
        <w:tc>
          <w:tcPr>
            <w:tcW w:w="340" w:type="dxa"/>
            <w:vAlign w:val="bottom"/>
            <w:gridSpan w:val="11"/>
            <w:vMerge w:val="continue"/>
          </w:tcPr>
          <w:p>
            <w:pPr>
              <w:spacing w:after="0"/>
              <w:rPr>
                <w:sz w:val="17"/>
                <w:szCs w:val="17"/>
                <w:color w:val="auto"/>
              </w:rPr>
            </w:pPr>
          </w:p>
        </w:tc>
        <w:tc>
          <w:tcPr>
            <w:tcW w:w="300" w:type="dxa"/>
            <w:vAlign w:val="bottom"/>
            <w:tcBorders>
              <w:bottom w:val="single" w:sz="8" w:color="0000FF"/>
            </w:tcBorders>
            <w:gridSpan w:val="10"/>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62" w:right="1440" w:bottom="1440" w:gutter="0" w:footer="0" w:header="0"/>
        </w:sectPr>
      </w:pPr>
    </w:p>
    <w:bookmarkStart w:id="46" w:name="page47"/>
    <w:bookmarkEnd w:id="46"/>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45"/>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9.05</w:t>
            </w:r>
          </w:p>
        </w:tc>
        <w:tc>
          <w:tcPr>
            <w:tcW w:w="1960" w:type="dxa"/>
            <w:vAlign w:val="bottom"/>
            <w:gridSpan w:val="19"/>
            <w:vMerge w:val="restart"/>
          </w:tcPr>
          <w:p>
            <w:pPr>
              <w:ind w:left="100"/>
              <w:spacing w:after="0"/>
              <w:rPr>
                <w:sz w:val="20"/>
                <w:szCs w:val="20"/>
                <w:color w:val="auto"/>
              </w:rPr>
            </w:pPr>
            <w:r>
              <w:rPr>
                <w:rFonts w:ascii="Times New Roman" w:cs="Times New Roman" w:eastAsia="Times New Roman" w:hAnsi="Times New Roman"/>
                <w:sz w:val="21"/>
                <w:szCs w:val="21"/>
                <w:color w:val="auto"/>
              </w:rPr>
              <w:t>Expenses; Indemnity</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166</w:t>
            </w: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380" w:type="dxa"/>
            <w:vAlign w:val="bottom"/>
            <w:vMerge w:val="continue"/>
          </w:tcPr>
          <w:p>
            <w:pPr>
              <w:spacing w:after="0"/>
              <w:rPr>
                <w:sz w:val="18"/>
                <w:szCs w:val="18"/>
                <w:color w:val="auto"/>
              </w:rPr>
            </w:pPr>
          </w:p>
        </w:tc>
        <w:tc>
          <w:tcPr>
            <w:tcW w:w="1960" w:type="dxa"/>
            <w:vAlign w:val="bottom"/>
            <w:gridSpan w:val="19"/>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6"/>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9.06</w:t>
            </w:r>
          </w:p>
        </w:tc>
        <w:tc>
          <w:tcPr>
            <w:tcW w:w="1500" w:type="dxa"/>
            <w:vAlign w:val="bottom"/>
            <w:gridSpan w:val="5"/>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Right of Setoff</w:t>
            </w:r>
          </w:p>
        </w:tc>
        <w:tc>
          <w:tcPr>
            <w:tcW w:w="60" w:type="dxa"/>
            <w:vAlign w:val="bottom"/>
          </w:tcPr>
          <w:p>
            <w:pPr>
              <w:spacing w:after="0"/>
              <w:rPr>
                <w:sz w:val="3"/>
                <w:szCs w:val="3"/>
                <w:color w:val="auto"/>
              </w:rPr>
            </w:pPr>
          </w:p>
        </w:tc>
        <w:tc>
          <w:tcPr>
            <w:tcW w:w="340" w:type="dxa"/>
            <w:vAlign w:val="bottom"/>
            <w:gridSpan w:val="10"/>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168</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1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40" w:type="dxa"/>
            <w:vAlign w:val="bottom"/>
            <w:tcBorders>
              <w:top w:val="single" w:sz="8" w:color="DDDDDD"/>
            </w:tcBorders>
          </w:tcPr>
          <w:p>
            <w:pPr>
              <w:spacing w:after="0"/>
              <w:rPr>
                <w:sz w:val="3"/>
                <w:szCs w:val="3"/>
                <w:color w:val="auto"/>
              </w:rPr>
            </w:pPr>
          </w:p>
        </w:tc>
        <w:tc>
          <w:tcPr>
            <w:tcW w:w="40" w:type="dxa"/>
            <w:vAlign w:val="bottom"/>
            <w:tcBorders>
              <w:top w:val="single" w:sz="8" w:color="DDDDDD"/>
            </w:tcBorders>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50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10"/>
            <w:vMerge w:val="continue"/>
          </w:tcPr>
          <w:p>
            <w:pPr>
              <w:spacing w:after="0"/>
              <w:rPr>
                <w:sz w:val="17"/>
                <w:szCs w:val="17"/>
                <w:color w:val="auto"/>
              </w:rPr>
            </w:pPr>
          </w:p>
        </w:tc>
        <w:tc>
          <w:tcPr>
            <w:tcW w:w="240" w:type="dxa"/>
            <w:vAlign w:val="bottom"/>
            <w:gridSpan w:val="9"/>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165</w:t>
            </w:r>
          </w:p>
        </w:tc>
        <w:tc>
          <w:tcPr>
            <w:tcW w:w="120" w:type="dxa"/>
            <w:vAlign w:val="bottom"/>
            <w:tcBorders>
              <w:left w:val="single" w:sz="8" w:color="DDDDDD"/>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80" w:type="dxa"/>
            <w:vAlign w:val="bottom"/>
            <w:tcBorders>
              <w:right w:val="single" w:sz="8" w:color="0000FF"/>
            </w:tcBorders>
            <w:gridSpan w:val="17"/>
          </w:tcPr>
          <w:p>
            <w:pPr>
              <w:spacing w:after="0"/>
              <w:rPr>
                <w:sz w:val="2"/>
                <w:szCs w:val="2"/>
                <w:color w:val="auto"/>
              </w:rPr>
            </w:pPr>
          </w:p>
        </w:tc>
        <w:tc>
          <w:tcPr>
            <w:tcW w:w="240" w:type="dxa"/>
            <w:vAlign w:val="bottom"/>
            <w:gridSpan w:val="9"/>
            <w:shd w:val="clear" w:color="auto" w:fill="0000FF"/>
          </w:tcPr>
          <w:p>
            <w:pPr>
              <w:spacing w:after="0"/>
              <w:rPr>
                <w:sz w:val="2"/>
                <w:szCs w:val="2"/>
                <w:color w:val="auto"/>
              </w:rPr>
            </w:pPr>
          </w:p>
        </w:tc>
        <w:tc>
          <w:tcPr>
            <w:tcW w:w="5160" w:type="dxa"/>
            <w:vAlign w:val="bottom"/>
            <w:tcBorders>
              <w:left w:val="single" w:sz="8" w:color="DDDDDD"/>
            </w:tcBorders>
            <w:gridSpan w:val="3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9.07</w:t>
            </w:r>
          </w:p>
        </w:tc>
        <w:tc>
          <w:tcPr>
            <w:tcW w:w="1500" w:type="dxa"/>
            <w:vAlign w:val="bottom"/>
            <w:gridSpan w:val="5"/>
            <w:vMerge w:val="restart"/>
          </w:tcPr>
          <w:p>
            <w:pPr>
              <w:ind w:left="100"/>
              <w:spacing w:after="0"/>
              <w:rPr>
                <w:sz w:val="20"/>
                <w:szCs w:val="20"/>
                <w:color w:val="auto"/>
              </w:rPr>
            </w:pPr>
            <w:r>
              <w:rPr>
                <w:rFonts w:ascii="Times New Roman" w:cs="Times New Roman" w:eastAsia="Times New Roman" w:hAnsi="Times New Roman"/>
                <w:sz w:val="21"/>
                <w:szCs w:val="21"/>
                <w:color w:val="auto"/>
              </w:rPr>
              <w:t>Applicable Law</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gridSpan w:val="11"/>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169</w:t>
            </w: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150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11"/>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7"/>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166</w:t>
            </w:r>
          </w:p>
        </w:tc>
        <w:tc>
          <w:tcPr>
            <w:tcW w:w="20" w:type="dxa"/>
            <w:vAlign w:val="bottom"/>
            <w:tcBorders>
              <w:bottom w:val="single" w:sz="8" w:color="0000FF"/>
            </w:tcBorders>
            <w:shd w:val="clear" w:color="auto" w:fill="DDDDDD"/>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9.08</w:t>
            </w:r>
          </w:p>
        </w:tc>
        <w:tc>
          <w:tcPr>
            <w:tcW w:w="1960" w:type="dxa"/>
            <w:vAlign w:val="bottom"/>
            <w:gridSpan w:val="19"/>
            <w:vMerge w:val="restart"/>
          </w:tcPr>
          <w:p>
            <w:pPr>
              <w:ind w:left="100"/>
              <w:spacing w:after="0"/>
              <w:rPr>
                <w:sz w:val="20"/>
                <w:szCs w:val="20"/>
                <w:color w:val="auto"/>
              </w:rPr>
            </w:pPr>
            <w:r>
              <w:rPr>
                <w:rFonts w:ascii="Times New Roman" w:cs="Times New Roman" w:eastAsia="Times New Roman" w:hAnsi="Times New Roman"/>
                <w:sz w:val="21"/>
                <w:szCs w:val="21"/>
                <w:color w:val="auto"/>
                <w:w w:val="99"/>
              </w:rPr>
              <w:t>Waivers; Amendment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gridSpan w:val="8"/>
            <w:vMerge w:val="restart"/>
          </w:tcPr>
          <w:p>
            <w:pPr>
              <w:ind w:left="20"/>
              <w:spacing w:after="0"/>
              <w:rPr>
                <w:sz w:val="20"/>
                <w:szCs w:val="20"/>
                <w:color w:val="auto"/>
              </w:rPr>
            </w:pPr>
            <w:r>
              <w:rPr>
                <w:rFonts w:ascii="Times New Roman" w:cs="Times New Roman" w:eastAsia="Times New Roman" w:hAnsi="Times New Roman"/>
                <w:sz w:val="21"/>
                <w:szCs w:val="21"/>
                <w:color w:val="FF0000"/>
                <w:strike w:val="1"/>
                <w:w w:val="88"/>
              </w:rPr>
              <w:t>169</w:t>
            </w: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960" w:type="dxa"/>
            <w:vAlign w:val="bottom"/>
            <w:gridSpan w:val="19"/>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8"/>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40" w:type="dxa"/>
            <w:vAlign w:val="bottom"/>
            <w:tcBorders>
              <w:left w:val="single" w:sz="8" w:color="DDDDDD"/>
              <w:bottom w:val="single" w:sz="8" w:color="0000FF"/>
            </w:tcBorders>
            <w:gridSpan w:val="5"/>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166</w:t>
            </w:r>
          </w:p>
        </w:tc>
        <w:tc>
          <w:tcPr>
            <w:tcW w:w="180" w:type="dxa"/>
            <w:vAlign w:val="bottom"/>
            <w:tcBorders>
              <w:left w:val="single" w:sz="8" w:color="DDDDDD"/>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gridSpan w:val="34"/>
          </w:tcPr>
          <w:p>
            <w:pPr>
              <w:spacing w:after="0" w:line="20" w:lineRule="exact"/>
              <w:rPr>
                <w:sz w:val="1"/>
                <w:szCs w:val="1"/>
                <w:color w:val="auto"/>
              </w:rPr>
            </w:pPr>
          </w:p>
        </w:tc>
        <w:tc>
          <w:tcPr>
            <w:tcW w:w="240" w:type="dxa"/>
            <w:vAlign w:val="bottom"/>
            <w:tcBorders>
              <w:left w:val="single" w:sz="8" w:color="DDDDDD"/>
            </w:tcBorders>
            <w:gridSpan w:val="5"/>
            <w:shd w:val="clear" w:color="auto" w:fill="DDDDDD"/>
          </w:tcPr>
          <w:p>
            <w:pPr>
              <w:spacing w:after="0" w:line="20" w:lineRule="exact"/>
              <w:rPr>
                <w:sz w:val="1"/>
                <w:szCs w:val="1"/>
                <w:color w:val="auto"/>
              </w:rPr>
            </w:pPr>
          </w:p>
        </w:tc>
        <w:tc>
          <w:tcPr>
            <w:tcW w:w="4600" w:type="dxa"/>
            <w:vAlign w:val="bottom"/>
            <w:tcBorders>
              <w:left w:val="single" w:sz="8" w:color="DDDDDD"/>
            </w:tcBorders>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9.09</w:t>
            </w:r>
          </w:p>
        </w:tc>
        <w:tc>
          <w:tcPr>
            <w:tcW w:w="2140" w:type="dxa"/>
            <w:vAlign w:val="bottom"/>
            <w:gridSpan w:val="25"/>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w w:val="99"/>
              </w:rPr>
              <w:t>Interest Rate Limitation</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gridSpan w:val="8"/>
            <w:vMerge w:val="restart"/>
          </w:tcPr>
          <w:p>
            <w:pPr>
              <w:spacing w:after="0" w:line="235" w:lineRule="exact"/>
              <w:rPr>
                <w:sz w:val="20"/>
                <w:szCs w:val="20"/>
                <w:color w:val="auto"/>
              </w:rPr>
            </w:pPr>
            <w:r>
              <w:rPr>
                <w:rFonts w:ascii="Times New Roman" w:cs="Times New Roman" w:eastAsia="Times New Roman" w:hAnsi="Times New Roman"/>
                <w:sz w:val="21"/>
                <w:szCs w:val="21"/>
                <w:color w:val="FF0000"/>
                <w:strike w:val="1"/>
                <w:w w:val="95"/>
              </w:rPr>
              <w:t>173</w:t>
            </w:r>
          </w:p>
        </w:tc>
        <w:tc>
          <w:tcPr>
            <w:tcW w:w="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2140" w:type="dxa"/>
            <w:vAlign w:val="bottom"/>
            <w:gridSpan w:val="25"/>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8"/>
            <w:vMerge w:val="continue"/>
          </w:tcPr>
          <w:p>
            <w:pPr>
              <w:spacing w:after="0"/>
              <w:rPr>
                <w:sz w:val="18"/>
                <w:szCs w:val="18"/>
                <w:color w:val="auto"/>
              </w:rPr>
            </w:pPr>
          </w:p>
        </w:tc>
        <w:tc>
          <w:tcPr>
            <w:tcW w:w="320" w:type="dxa"/>
            <w:vAlign w:val="bottom"/>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4" w:lineRule="exact"/>
              <w:rPr>
                <w:sz w:val="20"/>
                <w:szCs w:val="20"/>
                <w:color w:val="auto"/>
              </w:rPr>
            </w:pPr>
            <w:r>
              <w:rPr>
                <w:rFonts w:ascii="Times New Roman" w:cs="Times New Roman" w:eastAsia="Times New Roman" w:hAnsi="Times New Roman"/>
                <w:sz w:val="21"/>
                <w:szCs w:val="21"/>
                <w:color w:val="auto"/>
              </w:rPr>
              <w:t>SECTION 9.10</w:t>
            </w:r>
          </w:p>
        </w:tc>
        <w:tc>
          <w:tcPr>
            <w:tcW w:w="1800" w:type="dxa"/>
            <w:vAlign w:val="bottom"/>
            <w:gridSpan w:val="14"/>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Entire Agreement</w:t>
            </w:r>
          </w:p>
        </w:tc>
        <w:tc>
          <w:tcPr>
            <w:tcW w:w="320" w:type="dxa"/>
            <w:vAlign w:val="bottom"/>
            <w:gridSpan w:val="10"/>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w w:val="95"/>
              </w:rPr>
              <w:t>173</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gridSpan w:val="3"/>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800" w:type="dxa"/>
            <w:vAlign w:val="bottom"/>
            <w:gridSpan w:val="14"/>
            <w:vMerge w:val="continue"/>
          </w:tcPr>
          <w:p>
            <w:pPr>
              <w:spacing w:after="0"/>
              <w:rPr>
                <w:sz w:val="17"/>
                <w:szCs w:val="17"/>
                <w:color w:val="auto"/>
              </w:rPr>
            </w:pPr>
          </w:p>
        </w:tc>
        <w:tc>
          <w:tcPr>
            <w:tcW w:w="320" w:type="dxa"/>
            <w:vAlign w:val="bottom"/>
            <w:gridSpan w:val="10"/>
            <w:vMerge w:val="continue"/>
          </w:tcPr>
          <w:p>
            <w:pPr>
              <w:spacing w:after="0"/>
              <w:rPr>
                <w:sz w:val="17"/>
                <w:szCs w:val="17"/>
                <w:color w:val="auto"/>
              </w:rPr>
            </w:pPr>
          </w:p>
        </w:tc>
        <w:tc>
          <w:tcPr>
            <w:tcW w:w="300" w:type="dxa"/>
            <w:vAlign w:val="bottom"/>
            <w:tcBorders>
              <w:bottom w:val="single" w:sz="8" w:color="0000FF"/>
            </w:tcBorders>
            <w:gridSpan w:val="7"/>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170</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gridSpan w:val="26"/>
          </w:tcPr>
          <w:p>
            <w:pPr>
              <w:spacing w:after="0" w:line="20" w:lineRule="exact"/>
              <w:rPr>
                <w:sz w:val="1"/>
                <w:szCs w:val="1"/>
                <w:color w:val="auto"/>
              </w:rPr>
            </w:pPr>
          </w:p>
        </w:tc>
        <w:tc>
          <w:tcPr>
            <w:tcW w:w="5160" w:type="dxa"/>
            <w:vAlign w:val="bottom"/>
            <w:tcBorders>
              <w:left w:val="single" w:sz="8" w:color="DDDDDD"/>
            </w:tcBorders>
            <w:gridSpan w:val="31"/>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9.11</w:t>
            </w:r>
          </w:p>
        </w:tc>
        <w:tc>
          <w:tcPr>
            <w:tcW w:w="2660" w:type="dxa"/>
            <w:vAlign w:val="bottom"/>
            <w:gridSpan w:val="37"/>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WAIVER OF JURY TRIAL</w:t>
            </w:r>
          </w:p>
        </w:tc>
        <w:tc>
          <w:tcPr>
            <w:tcW w:w="320" w:type="dxa"/>
            <w:vAlign w:val="bottom"/>
            <w:gridSpan w:val="4"/>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173</w:t>
            </w:r>
          </w:p>
        </w:tc>
        <w:tc>
          <w:tcPr>
            <w:tcW w:w="2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vMerge w:val="continue"/>
          </w:tcPr>
          <w:p>
            <w:pPr>
              <w:spacing w:after="0"/>
              <w:rPr>
                <w:sz w:val="18"/>
                <w:szCs w:val="18"/>
                <w:color w:val="auto"/>
              </w:rPr>
            </w:pPr>
          </w:p>
        </w:tc>
        <w:tc>
          <w:tcPr>
            <w:tcW w:w="2660" w:type="dxa"/>
            <w:vAlign w:val="bottom"/>
            <w:gridSpan w:val="37"/>
            <w:vMerge w:val="continue"/>
          </w:tcPr>
          <w:p>
            <w:pPr>
              <w:spacing w:after="0"/>
              <w:rPr>
                <w:sz w:val="18"/>
                <w:szCs w:val="18"/>
                <w:color w:val="auto"/>
              </w:rPr>
            </w:pPr>
          </w:p>
        </w:tc>
        <w:tc>
          <w:tcPr>
            <w:tcW w:w="320" w:type="dxa"/>
            <w:vAlign w:val="bottom"/>
            <w:gridSpan w:val="4"/>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bottom w:val="single" w:sz="8" w:color="0000FF"/>
              <w:right w:val="single" w:sz="8" w:color="DDDDDD"/>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170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9.12</w:t>
            </w:r>
          </w:p>
        </w:tc>
        <w:tc>
          <w:tcPr>
            <w:tcW w:w="1320" w:type="dxa"/>
            <w:vAlign w:val="bottom"/>
            <w:gridSpan w:val="2"/>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Severability</w:t>
            </w:r>
          </w:p>
        </w:tc>
        <w:tc>
          <w:tcPr>
            <w:tcW w:w="320" w:type="dxa"/>
            <w:vAlign w:val="bottom"/>
            <w:gridSpan w:val="5"/>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174</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top w:val="single" w:sz="8" w:color="DDDDDD"/>
            </w:tcBorders>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20" w:type="dxa"/>
            <w:vAlign w:val="bottom"/>
            <w:gridSpan w:val="5"/>
            <w:vMerge w:val="continue"/>
          </w:tcPr>
          <w:p>
            <w:pPr>
              <w:spacing w:after="0"/>
              <w:rPr>
                <w:sz w:val="17"/>
                <w:szCs w:val="17"/>
                <w:color w:val="auto"/>
              </w:rPr>
            </w:pPr>
          </w:p>
        </w:tc>
        <w:tc>
          <w:tcPr>
            <w:tcW w:w="300" w:type="dxa"/>
            <w:vAlign w:val="bottom"/>
            <w:tcBorders>
              <w:bottom w:val="single" w:sz="8" w:color="0000FF"/>
            </w:tcBorders>
            <w:gridSpan w:val="11"/>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171</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9.13</w:t>
            </w: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1"/>
                <w:szCs w:val="21"/>
                <w:color w:val="auto"/>
              </w:rPr>
              <w:t>Counterparts</w:t>
            </w:r>
          </w:p>
        </w:tc>
        <w:tc>
          <w:tcPr>
            <w:tcW w:w="80" w:type="dxa"/>
            <w:vAlign w:val="bottom"/>
          </w:tcPr>
          <w:p>
            <w:pPr>
              <w:spacing w:after="0"/>
              <w:rPr>
                <w:sz w:val="5"/>
                <w:szCs w:val="5"/>
                <w:color w:val="auto"/>
              </w:rPr>
            </w:pPr>
          </w:p>
        </w:tc>
        <w:tc>
          <w:tcPr>
            <w:tcW w:w="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174</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320" w:type="dxa"/>
            <w:vAlign w:val="bottom"/>
            <w:gridSpan w:val="12"/>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171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9.14</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1"/>
                <w:szCs w:val="21"/>
                <w:color w:val="auto"/>
              </w:rPr>
              <w:t>Headings</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174</w:t>
            </w:r>
          </w:p>
        </w:tc>
        <w:tc>
          <w:tcPr>
            <w:tcW w:w="2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FF"/>
            </w:tcBorders>
            <w:gridSpan w:val="2"/>
          </w:tcPr>
          <w:p>
            <w:pPr>
              <w:spacing w:after="0"/>
              <w:rPr>
                <w:sz w:val="4"/>
                <w:szCs w:val="4"/>
                <w:color w:val="auto"/>
              </w:rPr>
            </w:pPr>
          </w:p>
        </w:tc>
        <w:tc>
          <w:tcPr>
            <w:tcW w:w="20" w:type="dxa"/>
            <w:vAlign w:val="bottom"/>
            <w:tcBorders>
              <w:top w:val="single" w:sz="8" w:color="0000FF"/>
            </w:tcBorders>
            <w:vMerge w:val="restart"/>
          </w:tcPr>
          <w:p>
            <w:pPr>
              <w:spacing w:after="0"/>
              <w:rPr>
                <w:sz w:val="4"/>
                <w:szCs w:val="4"/>
                <w:color w:val="auto"/>
              </w:rPr>
            </w:pPr>
          </w:p>
        </w:tc>
        <w:tc>
          <w:tcPr>
            <w:tcW w:w="20" w:type="dxa"/>
            <w:vAlign w:val="bottom"/>
            <w:tcBorders>
              <w:top w:val="single" w:sz="8" w:color="0000FF"/>
            </w:tcBorders>
            <w:vMerge w:val="restart"/>
          </w:tcPr>
          <w:p>
            <w:pPr>
              <w:spacing w:after="0"/>
              <w:rPr>
                <w:sz w:val="4"/>
                <w:szCs w:val="4"/>
                <w:color w:val="auto"/>
              </w:rPr>
            </w:pPr>
          </w:p>
        </w:tc>
        <w:tc>
          <w:tcPr>
            <w:tcW w:w="40" w:type="dxa"/>
            <w:vAlign w:val="bottom"/>
            <w:tcBorders>
              <w:top w:val="single" w:sz="8" w:color="0000FF"/>
            </w:tcBorders>
            <w:vMerge w:val="restart"/>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320" w:type="dxa"/>
            <w:vAlign w:val="bottom"/>
            <w:tcBorders>
              <w:bottom w:val="single" w:sz="8" w:color="0000FF"/>
            </w:tcBorders>
            <w:gridSpan w:val="8"/>
            <w:shd w:val="clear" w:color="auto" w:fill="DDDDDD"/>
          </w:tcPr>
          <w:p>
            <w:pPr>
              <w:ind w:left="20"/>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171</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9.15</w:t>
            </w:r>
          </w:p>
        </w:tc>
        <w:tc>
          <w:tcPr>
            <w:tcW w:w="3920" w:type="dxa"/>
            <w:vAlign w:val="bottom"/>
            <w:gridSpan w:val="45"/>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Jurisdiction; Consent to Service of Process</w:t>
            </w:r>
          </w:p>
        </w:tc>
        <w:tc>
          <w:tcPr>
            <w:tcW w:w="280" w:type="dxa"/>
            <w:vAlign w:val="bottom"/>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82"/>
              </w:rPr>
              <w:t>175</w:t>
            </w:r>
          </w:p>
        </w:tc>
        <w:tc>
          <w:tcPr>
            <w:tcW w:w="3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44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vMerge w:val="continue"/>
          </w:tcPr>
          <w:p>
            <w:pPr>
              <w:spacing w:after="0"/>
              <w:rPr>
                <w:sz w:val="18"/>
                <w:szCs w:val="18"/>
                <w:color w:val="auto"/>
              </w:rPr>
            </w:pPr>
          </w:p>
        </w:tc>
        <w:tc>
          <w:tcPr>
            <w:tcW w:w="3920" w:type="dxa"/>
            <w:vAlign w:val="bottom"/>
            <w:gridSpan w:val="45"/>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320" w:type="dxa"/>
            <w:vAlign w:val="bottom"/>
            <w:tcBorders>
              <w:left w:val="single" w:sz="8" w:color="DDDDDD"/>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172</w:t>
            </w:r>
          </w:p>
        </w:tc>
        <w:tc>
          <w:tcPr>
            <w:tcW w:w="20" w:type="dxa"/>
            <w:vAlign w:val="bottom"/>
            <w:tcBorders>
              <w:bottom w:val="single" w:sz="8" w:color="0000FF"/>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4" w:lineRule="exact"/>
              <w:rPr>
                <w:sz w:val="20"/>
                <w:szCs w:val="20"/>
                <w:color w:val="auto"/>
              </w:rPr>
            </w:pPr>
            <w:r>
              <w:rPr>
                <w:rFonts w:ascii="Times New Roman" w:cs="Times New Roman" w:eastAsia="Times New Roman" w:hAnsi="Times New Roman"/>
                <w:sz w:val="21"/>
                <w:szCs w:val="21"/>
                <w:color w:val="auto"/>
              </w:rPr>
              <w:t>SECTION 9.16</w:t>
            </w:r>
          </w:p>
        </w:tc>
        <w:tc>
          <w:tcPr>
            <w:tcW w:w="1500" w:type="dxa"/>
            <w:vAlign w:val="bottom"/>
            <w:gridSpan w:val="5"/>
            <w:vMerge w:val="restart"/>
          </w:tcPr>
          <w:p>
            <w:pPr>
              <w:ind w:left="100"/>
              <w:spacing w:after="0" w:line="234" w:lineRule="exact"/>
              <w:rPr>
                <w:sz w:val="20"/>
                <w:szCs w:val="20"/>
                <w:color w:val="auto"/>
              </w:rPr>
            </w:pPr>
            <w:r>
              <w:rPr>
                <w:rFonts w:ascii="Times New Roman" w:cs="Times New Roman" w:eastAsia="Times New Roman" w:hAnsi="Times New Roman"/>
                <w:sz w:val="21"/>
                <w:szCs w:val="21"/>
                <w:color w:val="auto"/>
              </w:rPr>
              <w:t>Confidentiality</w:t>
            </w:r>
          </w:p>
        </w:tc>
        <w:tc>
          <w:tcPr>
            <w:tcW w:w="60" w:type="dxa"/>
            <w:vAlign w:val="bottom"/>
          </w:tcPr>
          <w:p>
            <w:pPr>
              <w:spacing w:after="0"/>
              <w:rPr>
                <w:sz w:val="3"/>
                <w:szCs w:val="3"/>
                <w:color w:val="auto"/>
              </w:rPr>
            </w:pPr>
          </w:p>
        </w:tc>
        <w:tc>
          <w:tcPr>
            <w:tcW w:w="340" w:type="dxa"/>
            <w:vAlign w:val="bottom"/>
            <w:gridSpan w:val="10"/>
            <w:vMerge w:val="restart"/>
          </w:tcPr>
          <w:p>
            <w:pPr>
              <w:jc w:val="right"/>
              <w:spacing w:after="0" w:line="234" w:lineRule="exact"/>
              <w:rPr>
                <w:sz w:val="20"/>
                <w:szCs w:val="20"/>
                <w:color w:val="auto"/>
              </w:rPr>
            </w:pPr>
            <w:r>
              <w:rPr>
                <w:rFonts w:ascii="Times New Roman" w:cs="Times New Roman" w:eastAsia="Times New Roman" w:hAnsi="Times New Roman"/>
                <w:sz w:val="21"/>
                <w:szCs w:val="21"/>
                <w:color w:val="FF0000"/>
                <w:strike w:val="1"/>
              </w:rPr>
              <w:t>175</w:t>
            </w:r>
          </w:p>
        </w:tc>
        <w:tc>
          <w:tcPr>
            <w:tcW w:w="20" w:type="dxa"/>
            <w:vAlign w:val="bottom"/>
            <w:vMerge w:val="restart"/>
          </w:tcPr>
          <w:p>
            <w:pPr>
              <w:spacing w:after="0"/>
              <w:rPr>
                <w:sz w:val="3"/>
                <w:szCs w:val="3"/>
                <w:color w:val="auto"/>
              </w:rPr>
            </w:pPr>
          </w:p>
        </w:tc>
        <w:tc>
          <w:tcPr>
            <w:tcW w:w="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Borders>
              <w:top w:val="single" w:sz="8" w:color="DDDDDD"/>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150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10"/>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20" w:type="dxa"/>
            <w:vAlign w:val="bottom"/>
            <w:tcBorders>
              <w:bottom w:val="single" w:sz="8" w:color="0000FF"/>
            </w:tcBorders>
            <w:gridSpan w:val="8"/>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172</w:t>
            </w:r>
          </w:p>
        </w:tc>
        <w:tc>
          <w:tcPr>
            <w:tcW w:w="120" w:type="dxa"/>
            <w:vAlign w:val="bottom"/>
            <w:tcBorders>
              <w:left w:val="single" w:sz="8" w:color="DDDDDD"/>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9.17</w:t>
            </w:r>
          </w:p>
        </w:tc>
        <w:tc>
          <w:tcPr>
            <w:tcW w:w="1800" w:type="dxa"/>
            <w:vAlign w:val="bottom"/>
            <w:gridSpan w:val="14"/>
            <w:vMerge w:val="restart"/>
          </w:tcPr>
          <w:p>
            <w:pPr>
              <w:ind w:left="100"/>
              <w:spacing w:after="0"/>
              <w:rPr>
                <w:sz w:val="20"/>
                <w:szCs w:val="20"/>
                <w:color w:val="auto"/>
              </w:rPr>
            </w:pPr>
            <w:r>
              <w:rPr>
                <w:rFonts w:ascii="Times New Roman" w:cs="Times New Roman" w:eastAsia="Times New Roman" w:hAnsi="Times New Roman"/>
                <w:sz w:val="21"/>
                <w:szCs w:val="21"/>
                <w:color w:val="auto"/>
              </w:rPr>
              <w:t>Judgment Currency</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176</w:t>
            </w:r>
          </w:p>
        </w:tc>
        <w:tc>
          <w:tcPr>
            <w:tcW w:w="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gridSpan w:val="5"/>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800" w:type="dxa"/>
            <w:vAlign w:val="bottom"/>
            <w:gridSpan w:val="14"/>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7"/>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40" w:type="dxa"/>
            <w:vAlign w:val="bottom"/>
            <w:tcBorders>
              <w:bottom w:val="single" w:sz="8" w:color="0000FF"/>
            </w:tcBorders>
            <w:gridSpan w:val="9"/>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rPr>
              <w:t>173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gridSpan w:val="34"/>
          </w:tcPr>
          <w:p>
            <w:pPr>
              <w:spacing w:after="0" w:line="20" w:lineRule="exact"/>
              <w:rPr>
                <w:sz w:val="1"/>
                <w:szCs w:val="1"/>
                <w:color w:val="auto"/>
              </w:rPr>
            </w:pPr>
          </w:p>
        </w:tc>
        <w:tc>
          <w:tcPr>
            <w:tcW w:w="4840" w:type="dxa"/>
            <w:vAlign w:val="bottom"/>
            <w:tcBorders>
              <w:left w:val="single" w:sz="8" w:color="DDDDDD"/>
            </w:tcBorders>
            <w:gridSpan w:val="23"/>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9.18</w:t>
            </w:r>
          </w:p>
        </w:tc>
        <w:tc>
          <w:tcPr>
            <w:tcW w:w="2140" w:type="dxa"/>
            <w:vAlign w:val="bottom"/>
            <w:gridSpan w:val="25"/>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Exculpation Provisions</w:t>
            </w:r>
          </w:p>
        </w:tc>
        <w:tc>
          <w:tcPr>
            <w:tcW w:w="120" w:type="dxa"/>
            <w:vAlign w:val="bottom"/>
          </w:tcPr>
          <w:p>
            <w:pPr>
              <w:spacing w:after="0"/>
              <w:rPr>
                <w:sz w:val="3"/>
                <w:szCs w:val="3"/>
                <w:color w:val="auto"/>
              </w:rPr>
            </w:pPr>
          </w:p>
        </w:tc>
        <w:tc>
          <w:tcPr>
            <w:tcW w:w="320" w:type="dxa"/>
            <w:vAlign w:val="bottom"/>
            <w:gridSpan w:val="8"/>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177</w:t>
            </w: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2140" w:type="dxa"/>
            <w:vAlign w:val="bottom"/>
            <w:gridSpan w:val="25"/>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gridSpan w:val="8"/>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280" w:type="dxa"/>
            <w:vAlign w:val="bottom"/>
            <w:tcBorders>
              <w:bottom w:val="single" w:sz="8" w:color="0000FF"/>
            </w:tcBorders>
            <w:gridSpan w:val="4"/>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2"/>
              </w:rPr>
              <w:t>174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9.19</w:t>
            </w:r>
          </w:p>
        </w:tc>
        <w:tc>
          <w:tcPr>
            <w:tcW w:w="1800" w:type="dxa"/>
            <w:vAlign w:val="bottom"/>
            <w:gridSpan w:val="14"/>
            <w:vMerge w:val="restart"/>
          </w:tcPr>
          <w:p>
            <w:pPr>
              <w:ind w:left="100"/>
              <w:spacing w:after="0"/>
              <w:rPr>
                <w:sz w:val="20"/>
                <w:szCs w:val="20"/>
                <w:color w:val="auto"/>
              </w:rPr>
            </w:pPr>
            <w:r>
              <w:rPr>
                <w:rFonts w:ascii="Times New Roman" w:cs="Times New Roman" w:eastAsia="Times New Roman" w:hAnsi="Times New Roman"/>
                <w:sz w:val="21"/>
                <w:szCs w:val="21"/>
                <w:color w:val="auto"/>
                <w:w w:val="99"/>
              </w:rPr>
              <w:t>Payments Set Aside</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gridSpan w:val="7"/>
            <w:vMerge w:val="restart"/>
          </w:tcPr>
          <w:p>
            <w:pPr>
              <w:spacing w:after="0"/>
              <w:rPr>
                <w:sz w:val="20"/>
                <w:szCs w:val="20"/>
                <w:color w:val="auto"/>
              </w:rPr>
            </w:pPr>
            <w:r>
              <w:rPr>
                <w:rFonts w:ascii="Times New Roman" w:cs="Times New Roman" w:eastAsia="Times New Roman" w:hAnsi="Times New Roman"/>
                <w:sz w:val="21"/>
                <w:szCs w:val="21"/>
                <w:color w:val="FF0000"/>
                <w:strike w:val="1"/>
                <w:w w:val="88"/>
              </w:rPr>
              <w:t>177</w:t>
            </w:r>
          </w:p>
        </w:tc>
        <w:tc>
          <w:tcPr>
            <w:tcW w:w="160" w:type="dxa"/>
            <w:vAlign w:val="bottom"/>
            <w:gridSpan w:val="5"/>
          </w:tcPr>
          <w:p>
            <w:pPr>
              <w:spacing w:after="0"/>
              <w:rPr>
                <w:sz w:val="5"/>
                <w:szCs w:val="5"/>
                <w:color w:val="auto"/>
              </w:rPr>
            </w:pPr>
          </w:p>
        </w:tc>
        <w:tc>
          <w:tcPr>
            <w:tcW w:w="1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380" w:type="dxa"/>
            <w:vAlign w:val="bottom"/>
            <w:vMerge w:val="continue"/>
          </w:tcPr>
          <w:p>
            <w:pPr>
              <w:spacing w:after="0"/>
              <w:rPr>
                <w:sz w:val="18"/>
                <w:szCs w:val="18"/>
                <w:color w:val="auto"/>
              </w:rPr>
            </w:pPr>
          </w:p>
        </w:tc>
        <w:tc>
          <w:tcPr>
            <w:tcW w:w="1800" w:type="dxa"/>
            <w:vAlign w:val="bottom"/>
            <w:gridSpan w:val="14"/>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7"/>
            <w:vMerge w:val="continue"/>
          </w:tcPr>
          <w:p>
            <w:pPr>
              <w:spacing w:after="0"/>
              <w:rPr>
                <w:sz w:val="18"/>
                <w:szCs w:val="18"/>
                <w:color w:val="auto"/>
              </w:rPr>
            </w:pPr>
          </w:p>
        </w:tc>
        <w:tc>
          <w:tcPr>
            <w:tcW w:w="320" w:type="dxa"/>
            <w:vAlign w:val="bottom"/>
            <w:tcBorders>
              <w:bottom w:val="single" w:sz="8" w:color="0000FF"/>
            </w:tcBorders>
            <w:gridSpan w:val="8"/>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9.20</w:t>
            </w:r>
          </w:p>
        </w:tc>
        <w:tc>
          <w:tcPr>
            <w:tcW w:w="1320" w:type="dxa"/>
            <w:vAlign w:val="bottom"/>
            <w:gridSpan w:val="2"/>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Termination</w:t>
            </w:r>
          </w:p>
        </w:tc>
        <w:tc>
          <w:tcPr>
            <w:tcW w:w="320" w:type="dxa"/>
            <w:vAlign w:val="bottom"/>
            <w:gridSpan w:val="5"/>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177</w:t>
            </w: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1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20" w:type="dxa"/>
            <w:vAlign w:val="bottom"/>
            <w:gridSpan w:val="5"/>
            <w:vMerge w:val="continue"/>
          </w:tcPr>
          <w:p>
            <w:pPr>
              <w:spacing w:after="0"/>
              <w:rPr>
                <w:sz w:val="17"/>
                <w:szCs w:val="17"/>
                <w:color w:val="auto"/>
              </w:rPr>
            </w:pPr>
          </w:p>
        </w:tc>
        <w:tc>
          <w:tcPr>
            <w:tcW w:w="20" w:type="dxa"/>
            <w:vAlign w:val="bottom"/>
            <w:tcBorders>
              <w:bottom w:val="single" w:sz="8" w:color="0000FF"/>
            </w:tcBorders>
            <w:vMerge w:val="continue"/>
          </w:tcPr>
          <w:p>
            <w:pPr>
              <w:spacing w:after="0"/>
              <w:rPr>
                <w:sz w:val="17"/>
                <w:szCs w:val="17"/>
                <w:color w:val="auto"/>
              </w:rPr>
            </w:pPr>
          </w:p>
        </w:tc>
        <w:tc>
          <w:tcPr>
            <w:tcW w:w="300" w:type="dxa"/>
            <w:vAlign w:val="bottom"/>
            <w:tcBorders>
              <w:bottom w:val="single" w:sz="8" w:color="0000FF"/>
            </w:tcBorders>
            <w:gridSpan w:val="11"/>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9.21</w:t>
            </w:r>
          </w:p>
        </w:tc>
        <w:tc>
          <w:tcPr>
            <w:tcW w:w="1800" w:type="dxa"/>
            <w:vAlign w:val="bottom"/>
            <w:gridSpan w:val="14"/>
            <w:vMerge w:val="restart"/>
          </w:tcPr>
          <w:p>
            <w:pPr>
              <w:ind w:left="100"/>
              <w:spacing w:after="0"/>
              <w:rPr>
                <w:sz w:val="20"/>
                <w:szCs w:val="20"/>
                <w:color w:val="auto"/>
              </w:rPr>
            </w:pPr>
            <w:r>
              <w:rPr>
                <w:rFonts w:ascii="Times New Roman" w:cs="Times New Roman" w:eastAsia="Times New Roman" w:hAnsi="Times New Roman"/>
                <w:sz w:val="21"/>
                <w:szCs w:val="21"/>
                <w:color w:val="auto"/>
              </w:rPr>
              <w:t>Patriot Act Notice</w:t>
            </w:r>
          </w:p>
        </w:tc>
        <w:tc>
          <w:tcPr>
            <w:tcW w:w="40" w:type="dxa"/>
            <w:vAlign w:val="bottom"/>
          </w:tcPr>
          <w:p>
            <w:pPr>
              <w:spacing w:after="0"/>
              <w:rPr>
                <w:sz w:val="4"/>
                <w:szCs w:val="4"/>
                <w:color w:val="auto"/>
              </w:rPr>
            </w:pPr>
          </w:p>
        </w:tc>
        <w:tc>
          <w:tcPr>
            <w:tcW w:w="3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178</w:t>
            </w:r>
          </w:p>
        </w:tc>
        <w:tc>
          <w:tcPr>
            <w:tcW w:w="320" w:type="dxa"/>
            <w:vAlign w:val="bottom"/>
            <w:gridSpan w:val="8"/>
          </w:tcPr>
          <w:p>
            <w:pPr>
              <w:spacing w:after="0"/>
              <w:rPr>
                <w:sz w:val="4"/>
                <w:szCs w:val="4"/>
                <w:color w:val="auto"/>
              </w:rPr>
            </w:pPr>
          </w:p>
        </w:tc>
        <w:tc>
          <w:tcPr>
            <w:tcW w:w="1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380" w:type="dxa"/>
            <w:vAlign w:val="bottom"/>
            <w:vMerge w:val="continue"/>
          </w:tcPr>
          <w:p>
            <w:pPr>
              <w:spacing w:after="0"/>
              <w:rPr>
                <w:sz w:val="18"/>
                <w:szCs w:val="18"/>
                <w:color w:val="auto"/>
              </w:rPr>
            </w:pPr>
          </w:p>
        </w:tc>
        <w:tc>
          <w:tcPr>
            <w:tcW w:w="1800" w:type="dxa"/>
            <w:vAlign w:val="bottom"/>
            <w:gridSpan w:val="14"/>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10"/>
            <w:vMerge w:val="continue"/>
          </w:tcPr>
          <w:p>
            <w:pPr>
              <w:spacing w:after="0"/>
              <w:rPr>
                <w:sz w:val="18"/>
                <w:szCs w:val="18"/>
                <w:color w:val="auto"/>
              </w:rPr>
            </w:pPr>
          </w:p>
        </w:tc>
        <w:tc>
          <w:tcPr>
            <w:tcW w:w="320" w:type="dxa"/>
            <w:vAlign w:val="bottom"/>
            <w:tcBorders>
              <w:left w:val="single" w:sz="8" w:color="DDDDDD"/>
              <w:bottom w:val="single" w:sz="8" w:color="0000FF"/>
            </w:tcBorders>
            <w:gridSpan w:val="8"/>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175</w:t>
            </w:r>
          </w:p>
        </w:tc>
        <w:tc>
          <w:tcPr>
            <w:tcW w:w="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9.22</w:t>
            </w:r>
          </w:p>
        </w:tc>
        <w:tc>
          <w:tcPr>
            <w:tcW w:w="1320" w:type="dxa"/>
            <w:vAlign w:val="bottom"/>
            <w:gridSpan w:val="2"/>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Public Offer</w:t>
            </w:r>
          </w:p>
        </w:tc>
        <w:tc>
          <w:tcPr>
            <w:tcW w:w="360" w:type="dxa"/>
            <w:vAlign w:val="bottom"/>
            <w:gridSpan w:val="7"/>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rPr>
              <w:t>178</w:t>
            </w:r>
          </w:p>
        </w:tc>
        <w:tc>
          <w:tcPr>
            <w:tcW w:w="6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7"/>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8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20" w:type="dxa"/>
            <w:vAlign w:val="bottom"/>
            <w:tcBorders>
              <w:top w:val="single" w:sz="8" w:color="DDDDDD"/>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60" w:type="dxa"/>
            <w:vAlign w:val="bottom"/>
            <w:gridSpan w:val="7"/>
            <w:vMerge w:val="continue"/>
          </w:tcPr>
          <w:p>
            <w:pPr>
              <w:spacing w:after="0"/>
              <w:rPr>
                <w:sz w:val="17"/>
                <w:szCs w:val="17"/>
                <w:color w:val="auto"/>
              </w:rPr>
            </w:pPr>
          </w:p>
        </w:tc>
        <w:tc>
          <w:tcPr>
            <w:tcW w:w="300" w:type="dxa"/>
            <w:vAlign w:val="bottom"/>
            <w:tcBorders>
              <w:bottom w:val="single" w:sz="8" w:color="0000FF"/>
            </w:tcBorders>
            <w:gridSpan w:val="11"/>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175</w:t>
            </w:r>
          </w:p>
        </w:tc>
        <w:tc>
          <w:tcPr>
            <w:tcW w:w="2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9.23</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1"/>
                <w:szCs w:val="21"/>
                <w:color w:val="auto"/>
              </w:rPr>
              <w:t>Keepwell</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95"/>
              </w:rPr>
              <w:t>179</w:t>
            </w:r>
          </w:p>
        </w:tc>
        <w:tc>
          <w:tcPr>
            <w:tcW w:w="240" w:type="dxa"/>
            <w:vAlign w:val="bottom"/>
            <w:gridSpan w:val="4"/>
          </w:tcPr>
          <w:p>
            <w:pPr>
              <w:spacing w:after="0"/>
              <w:rPr>
                <w:sz w:val="4"/>
                <w:szCs w:val="4"/>
                <w:color w:val="auto"/>
              </w:rPr>
            </w:pPr>
          </w:p>
        </w:tc>
        <w:tc>
          <w:tcPr>
            <w:tcW w:w="80" w:type="dxa"/>
            <w:vAlign w:val="bottom"/>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320" w:type="dxa"/>
            <w:vAlign w:val="bottom"/>
            <w:tcBorders>
              <w:bottom w:val="single" w:sz="8" w:color="0000FF"/>
            </w:tcBorders>
            <w:gridSpan w:val="8"/>
            <w:shd w:val="clear" w:color="auto" w:fill="DDDDDD"/>
          </w:tcPr>
          <w:p>
            <w:pPr>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176</w:t>
            </w:r>
          </w:p>
        </w:tc>
        <w:tc>
          <w:tcPr>
            <w:tcW w:w="20" w:type="dxa"/>
            <w:vAlign w:val="bottom"/>
            <w:tcBorders>
              <w:bottom w:val="single" w:sz="8" w:color="0000FF"/>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1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9.24</w:t>
            </w:r>
          </w:p>
        </w:tc>
        <w:tc>
          <w:tcPr>
            <w:tcW w:w="6680" w:type="dxa"/>
            <w:vAlign w:val="bottom"/>
            <w:gridSpan w:val="53"/>
            <w:vMerge w:val="restart"/>
          </w:tcPr>
          <w:p>
            <w:pPr>
              <w:ind w:left="100"/>
              <w:spacing w:after="0"/>
              <w:rPr>
                <w:sz w:val="20"/>
                <w:szCs w:val="20"/>
                <w:color w:val="auto"/>
              </w:rPr>
            </w:pPr>
            <w:r>
              <w:rPr>
                <w:rFonts w:ascii="Times New Roman" w:cs="Times New Roman" w:eastAsia="Times New Roman" w:hAnsi="Times New Roman"/>
                <w:sz w:val="21"/>
                <w:szCs w:val="21"/>
                <w:color w:val="auto"/>
              </w:rPr>
              <w:t>Acknowledgement and Consent to Bail-In of Affected Financial Institutions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FF0000"/>
                <w:strike w:val="1"/>
                <w:w w:val="88"/>
              </w:rPr>
              <w:t>179</w:t>
            </w:r>
          </w:p>
        </w:tc>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380" w:type="dxa"/>
            <w:vAlign w:val="bottom"/>
            <w:vMerge w:val="continue"/>
          </w:tcPr>
          <w:p>
            <w:pPr>
              <w:spacing w:after="0"/>
              <w:rPr>
                <w:sz w:val="18"/>
                <w:szCs w:val="18"/>
                <w:color w:val="auto"/>
              </w:rPr>
            </w:pPr>
          </w:p>
        </w:tc>
        <w:tc>
          <w:tcPr>
            <w:tcW w:w="6680" w:type="dxa"/>
            <w:vAlign w:val="bottom"/>
            <w:gridSpan w:val="53"/>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 w:type="dxa"/>
            <w:vAlign w:val="bottom"/>
            <w:tcBorders>
              <w:bottom w:val="single" w:sz="8" w:color="0000FF"/>
            </w:tcBorders>
            <w:vMerge w:val="continue"/>
          </w:tcPr>
          <w:p>
            <w:pPr>
              <w:spacing w:after="0"/>
              <w:rPr>
                <w:sz w:val="18"/>
                <w:szCs w:val="18"/>
                <w:color w:val="auto"/>
              </w:rPr>
            </w:pPr>
          </w:p>
        </w:tc>
        <w:tc>
          <w:tcPr>
            <w:tcW w:w="300" w:type="dxa"/>
            <w:vAlign w:val="bottom"/>
            <w:tcBorders>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88"/>
              </w:rPr>
              <w:t>176</w:t>
            </w: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9.25</w:t>
            </w:r>
          </w:p>
        </w:tc>
        <w:tc>
          <w:tcPr>
            <w:tcW w:w="4580" w:type="dxa"/>
            <w:vAlign w:val="bottom"/>
            <w:gridSpan w:val="49"/>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Acknowledgment Regarding Any Supported QFCs</w:t>
            </w:r>
          </w:p>
        </w:tc>
        <w:tc>
          <w:tcPr>
            <w:tcW w:w="320" w:type="dxa"/>
            <w:vAlign w:val="bottom"/>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180</w:t>
            </w:r>
          </w:p>
        </w:tc>
        <w:tc>
          <w:tcPr>
            <w:tcW w:w="3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760" w:type="dxa"/>
            <w:vAlign w:val="bottom"/>
            <w:gridSpan w:val="3"/>
            <w:vMerge w:val="restart"/>
          </w:tcPr>
          <w:p>
            <w:pPr>
              <w:spacing w:after="0"/>
              <w:rPr>
                <w:sz w:val="3"/>
                <w:szCs w:val="3"/>
                <w:color w:val="auto"/>
              </w:rPr>
            </w:pPr>
          </w:p>
        </w:tc>
        <w:tc>
          <w:tcPr>
            <w:tcW w:w="300" w:type="dxa"/>
            <w:vAlign w:val="bottom"/>
            <w:tcBorders>
              <w:top w:val="single" w:sz="8" w:color="DDDDDD"/>
            </w:tcBorders>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vMerge w:val="continue"/>
          </w:tcPr>
          <w:p>
            <w:pPr>
              <w:spacing w:after="0"/>
              <w:rPr>
                <w:sz w:val="18"/>
                <w:szCs w:val="18"/>
                <w:color w:val="auto"/>
              </w:rPr>
            </w:pPr>
          </w:p>
        </w:tc>
        <w:tc>
          <w:tcPr>
            <w:tcW w:w="4580" w:type="dxa"/>
            <w:vAlign w:val="bottom"/>
            <w:gridSpan w:val="49"/>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320" w:type="dxa"/>
            <w:vAlign w:val="bottom"/>
            <w:tcBorders>
              <w:bottom w:val="single" w:sz="8" w:color="0000FF"/>
            </w:tcBorders>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177</w:t>
            </w:r>
          </w:p>
        </w:tc>
        <w:tc>
          <w:tcPr>
            <w:tcW w:w="20" w:type="dxa"/>
            <w:vAlign w:val="bottom"/>
            <w:tcBorders>
              <w:bottom w:val="single" w:sz="8" w:color="0000FF"/>
            </w:tcBorders>
            <w:vMerge w:val="continue"/>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380" w:type="dxa"/>
            <w:vAlign w:val="bottom"/>
            <w:vMerge w:val="restart"/>
          </w:tcPr>
          <w:p>
            <w:pPr>
              <w:spacing w:after="0" w:line="235" w:lineRule="exact"/>
              <w:rPr>
                <w:sz w:val="20"/>
                <w:szCs w:val="20"/>
                <w:color w:val="auto"/>
              </w:rPr>
            </w:pPr>
            <w:r>
              <w:rPr>
                <w:rFonts w:ascii="Times New Roman" w:cs="Times New Roman" w:eastAsia="Times New Roman" w:hAnsi="Times New Roman"/>
                <w:sz w:val="21"/>
                <w:szCs w:val="21"/>
                <w:color w:val="auto"/>
              </w:rPr>
              <w:t>SECTION 9.26</w:t>
            </w:r>
          </w:p>
        </w:tc>
        <w:tc>
          <w:tcPr>
            <w:tcW w:w="3600" w:type="dxa"/>
            <w:vAlign w:val="bottom"/>
            <w:gridSpan w:val="44"/>
            <w:vMerge w:val="restart"/>
          </w:tcPr>
          <w:p>
            <w:pPr>
              <w:ind w:left="100"/>
              <w:spacing w:after="0" w:line="235" w:lineRule="exact"/>
              <w:rPr>
                <w:sz w:val="20"/>
                <w:szCs w:val="20"/>
                <w:color w:val="auto"/>
              </w:rPr>
            </w:pPr>
            <w:r>
              <w:rPr>
                <w:rFonts w:ascii="Times New Roman" w:cs="Times New Roman" w:eastAsia="Times New Roman" w:hAnsi="Times New Roman"/>
                <w:sz w:val="21"/>
                <w:szCs w:val="21"/>
                <w:color w:val="auto"/>
              </w:rPr>
              <w:t>Recognition of Hong Kong Stay Power</w:t>
            </w:r>
          </w:p>
        </w:tc>
        <w:tc>
          <w:tcPr>
            <w:tcW w:w="320" w:type="dxa"/>
            <w:vAlign w:val="bottom"/>
            <w:vMerge w:val="restart"/>
          </w:tcPr>
          <w:p>
            <w:pPr>
              <w:jc w:val="right"/>
              <w:spacing w:after="0" w:line="235" w:lineRule="exact"/>
              <w:rPr>
                <w:sz w:val="20"/>
                <w:szCs w:val="20"/>
                <w:color w:val="auto"/>
              </w:rPr>
            </w:pPr>
            <w:r>
              <w:rPr>
                <w:rFonts w:ascii="Times New Roman" w:cs="Times New Roman" w:eastAsia="Times New Roman" w:hAnsi="Times New Roman"/>
                <w:sz w:val="21"/>
                <w:szCs w:val="21"/>
                <w:color w:val="FF0000"/>
                <w:strike w:val="1"/>
                <w:w w:val="95"/>
              </w:rPr>
              <w:t>181</w:t>
            </w:r>
          </w:p>
        </w:tc>
        <w:tc>
          <w:tcPr>
            <w:tcW w:w="280" w:type="dxa"/>
            <w:vAlign w:val="bottom"/>
          </w:tcPr>
          <w:p>
            <w:pPr>
              <w:spacing w:after="0"/>
              <w:rPr>
                <w:sz w:val="3"/>
                <w:szCs w:val="3"/>
                <w:color w:val="auto"/>
              </w:rPr>
            </w:pPr>
          </w:p>
        </w:tc>
        <w:tc>
          <w:tcPr>
            <w:tcW w:w="700" w:type="dxa"/>
            <w:vAlign w:val="bottom"/>
            <w:gridSpan w:val="4"/>
          </w:tcPr>
          <w:p>
            <w:pPr>
              <w:spacing w:after="0"/>
              <w:rPr>
                <w:sz w:val="3"/>
                <w:szCs w:val="3"/>
                <w:color w:val="auto"/>
              </w:rPr>
            </w:pPr>
          </w:p>
        </w:tc>
        <w:tc>
          <w:tcPr>
            <w:tcW w:w="320" w:type="dxa"/>
            <w:vAlign w:val="bottom"/>
            <w:tcBorders>
              <w:top w:val="single" w:sz="8" w:color="DDDDDD"/>
            </w:tcBorders>
          </w:tcPr>
          <w:p>
            <w:pPr>
              <w:spacing w:after="0"/>
              <w:rPr>
                <w:sz w:val="3"/>
                <w:szCs w:val="3"/>
                <w:color w:val="auto"/>
              </w:rPr>
            </w:pPr>
          </w:p>
        </w:tc>
        <w:tc>
          <w:tcPr>
            <w:tcW w:w="2080" w:type="dxa"/>
            <w:vAlign w:val="bottom"/>
            <w:gridSpan w:val="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3600" w:type="dxa"/>
            <w:vAlign w:val="bottom"/>
            <w:gridSpan w:val="44"/>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80" w:type="dxa"/>
            <w:vAlign w:val="bottom"/>
            <w:shd w:val="clear" w:color="auto" w:fill="DDDDDD"/>
          </w:tcPr>
          <w:p>
            <w:pPr>
              <w:jc w:val="right"/>
              <w:spacing w:after="0" w:line="196" w:lineRule="exact"/>
              <w:rPr>
                <w:sz w:val="20"/>
                <w:szCs w:val="20"/>
                <w:color w:val="auto"/>
              </w:rPr>
            </w:pPr>
            <w:r>
              <w:rPr>
                <w:rFonts w:ascii="Times New Roman" w:cs="Times New Roman" w:eastAsia="Times New Roman" w:hAnsi="Times New Roman"/>
                <w:sz w:val="21"/>
                <w:szCs w:val="21"/>
                <w:color w:val="0000FF"/>
                <w:highlight w:val="lightGray"/>
                <w:w w:val="95"/>
              </w:rPr>
              <w:t>178</w:t>
            </w:r>
          </w:p>
        </w:tc>
        <w:tc>
          <w:tcPr>
            <w:tcW w:w="3100" w:type="dxa"/>
            <w:vAlign w:val="bottom"/>
            <w:tcBorders>
              <w:left w:val="single" w:sz="8" w:color="DDDDDD"/>
            </w:tcBorders>
            <w:gridSpan w:val="10"/>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00" w:type="dxa"/>
            <w:vAlign w:val="bottom"/>
            <w:tcBorders>
              <w:right w:val="single" w:sz="8" w:color="0000FF"/>
            </w:tcBorders>
            <w:gridSpan w:val="46"/>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100" w:type="dxa"/>
            <w:vAlign w:val="bottom"/>
            <w:tcBorders>
              <w:left w:val="single" w:sz="8" w:color="0000FF"/>
            </w:tcBorders>
            <w:gridSpan w:val="1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Schedule 1.01(a)</w:t>
      </w:r>
      <w:r>
        <w:rPr>
          <w:sz w:val="20"/>
          <w:szCs w:val="20"/>
          <w:color w:val="auto"/>
        </w:rPr>
        <w:tab/>
      </w:r>
      <w:r>
        <w:rPr>
          <w:rFonts w:ascii="Times New Roman" w:cs="Times New Roman" w:eastAsia="Times New Roman" w:hAnsi="Times New Roman"/>
          <w:sz w:val="20"/>
          <w:szCs w:val="20"/>
          <w:color w:val="auto"/>
        </w:rPr>
        <w:t>Rolled Letters of Credit</w:t>
      </w:r>
    </w:p>
    <w:p>
      <w:pPr>
        <w:spacing w:after="0" w:line="31"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Schedule 1.01(b)</w:t>
      </w:r>
      <w:r>
        <w:rPr>
          <w:sz w:val="20"/>
          <w:szCs w:val="20"/>
          <w:color w:val="auto"/>
        </w:rPr>
        <w:tab/>
      </w:r>
      <w:r>
        <w:rPr>
          <w:rFonts w:ascii="Times New Roman" w:cs="Times New Roman" w:eastAsia="Times New Roman" w:hAnsi="Times New Roman"/>
          <w:sz w:val="20"/>
          <w:szCs w:val="20"/>
          <w:color w:val="auto"/>
        </w:rPr>
        <w:t>U.S. Subsidiary Guarantors</w:t>
      </w:r>
    </w:p>
    <w:p>
      <w:pPr>
        <w:spacing w:after="0" w:line="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Schedule 1.01(c)</w:t>
      </w:r>
      <w:r>
        <w:rPr>
          <w:sz w:val="20"/>
          <w:szCs w:val="20"/>
          <w:color w:val="auto"/>
        </w:rPr>
        <w:tab/>
      </w:r>
      <w:r>
        <w:rPr>
          <w:rFonts w:ascii="Times New Roman" w:cs="Times New Roman" w:eastAsia="Times New Roman" w:hAnsi="Times New Roman"/>
          <w:sz w:val="20"/>
          <w:szCs w:val="20"/>
          <w:color w:val="auto"/>
        </w:rPr>
        <w:t>Canadian Subsidiary Guarantors</w:t>
      </w:r>
    </w:p>
    <w:p>
      <w:pPr>
        <w:spacing w:after="0" w:line="2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Schedule 1.01(d)</w:t>
      </w:r>
      <w:r>
        <w:rPr>
          <w:sz w:val="20"/>
          <w:szCs w:val="20"/>
          <w:color w:val="auto"/>
        </w:rPr>
        <w:tab/>
      </w:r>
      <w:r>
        <w:rPr>
          <w:rFonts w:ascii="Times New Roman" w:cs="Times New Roman" w:eastAsia="Times New Roman" w:hAnsi="Times New Roman"/>
          <w:sz w:val="20"/>
          <w:szCs w:val="20"/>
          <w:color w:val="auto"/>
        </w:rPr>
        <w:t>Australian Subsidiary Guarantors</w:t>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2.01</w:t>
      </w:r>
      <w:r>
        <w:rPr>
          <w:sz w:val="20"/>
          <w:szCs w:val="20"/>
          <w:color w:val="auto"/>
        </w:rPr>
        <w:tab/>
      </w:r>
      <w:r>
        <w:rPr>
          <w:rFonts w:ascii="Times New Roman" w:cs="Times New Roman" w:eastAsia="Times New Roman" w:hAnsi="Times New Roman"/>
          <w:sz w:val="20"/>
          <w:szCs w:val="20"/>
          <w:color w:val="auto"/>
        </w:rPr>
        <w:t>Lenders and Commitments</w:t>
      </w:r>
    </w:p>
    <w:p>
      <w:pPr>
        <w:spacing w:after="0" w:line="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1"/>
          <w:szCs w:val="21"/>
          <w:color w:val="auto"/>
        </w:rPr>
        <w:t>Schedule 2.04</w:t>
        <w:tab/>
        <w:t>Amortization</w:t>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2.21</w:t>
      </w:r>
      <w:r>
        <w:rPr>
          <w:sz w:val="20"/>
          <w:szCs w:val="20"/>
          <w:color w:val="auto"/>
        </w:rPr>
        <w:tab/>
      </w:r>
      <w:r>
        <w:rPr>
          <w:rFonts w:ascii="Times New Roman" w:cs="Times New Roman" w:eastAsia="Times New Roman" w:hAnsi="Times New Roman"/>
          <w:sz w:val="20"/>
          <w:szCs w:val="20"/>
          <w:color w:val="auto"/>
        </w:rPr>
        <w:t>L/C Issuance Limits</w:t>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3.08</w:t>
      </w:r>
      <w:r>
        <w:rPr>
          <w:sz w:val="20"/>
          <w:szCs w:val="20"/>
          <w:color w:val="auto"/>
        </w:rPr>
        <w:tab/>
      </w:r>
      <w:r>
        <w:rPr>
          <w:rFonts w:ascii="Times New Roman" w:cs="Times New Roman" w:eastAsia="Times New Roman" w:hAnsi="Times New Roman"/>
          <w:sz w:val="20"/>
          <w:szCs w:val="20"/>
          <w:color w:val="auto"/>
        </w:rPr>
        <w:t>Subsidiaries and Special Purpose Business Entities</w:t>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3.09</w:t>
      </w:r>
      <w:r>
        <w:rPr>
          <w:sz w:val="20"/>
          <w:szCs w:val="20"/>
          <w:color w:val="auto"/>
        </w:rPr>
        <w:tab/>
      </w:r>
      <w:r>
        <w:rPr>
          <w:rFonts w:ascii="Times New Roman" w:cs="Times New Roman" w:eastAsia="Times New Roman" w:hAnsi="Times New Roman"/>
          <w:sz w:val="20"/>
          <w:szCs w:val="20"/>
          <w:color w:val="auto"/>
        </w:rPr>
        <w:t>Litigation</w:t>
      </w:r>
    </w:p>
    <w:p>
      <w:pPr>
        <w:spacing w:after="0" w:line="2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Schedule 3.16(a)</w:t>
      </w:r>
      <w:r>
        <w:rPr>
          <w:sz w:val="20"/>
          <w:szCs w:val="20"/>
          <w:color w:val="auto"/>
        </w:rPr>
        <w:tab/>
      </w:r>
      <w:r>
        <w:rPr>
          <w:rFonts w:ascii="Times New Roman" w:cs="Times New Roman" w:eastAsia="Times New Roman" w:hAnsi="Times New Roman"/>
          <w:sz w:val="20"/>
          <w:szCs w:val="20"/>
          <w:color w:val="auto"/>
        </w:rPr>
        <w:t>Unfunded Plans</w:t>
      </w:r>
    </w:p>
    <w:p>
      <w:pPr>
        <w:spacing w:after="0" w:line="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1"/>
          <w:szCs w:val="21"/>
          <w:color w:val="auto"/>
        </w:rPr>
        <w:t>Schedule 3.16(b)</w:t>
      </w:r>
      <w:r>
        <w:rPr>
          <w:sz w:val="20"/>
          <w:szCs w:val="20"/>
          <w:color w:val="auto"/>
        </w:rPr>
        <w:tab/>
      </w:r>
      <w:r>
        <w:rPr>
          <w:rFonts w:ascii="Times New Roman" w:cs="Times New Roman" w:eastAsia="Times New Roman" w:hAnsi="Times New Roman"/>
          <w:sz w:val="20"/>
          <w:szCs w:val="20"/>
          <w:color w:val="auto"/>
        </w:rPr>
        <w:t>Canadian Benefit Plans</w:t>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3.17</w:t>
      </w:r>
      <w:r>
        <w:rPr>
          <w:sz w:val="20"/>
          <w:szCs w:val="20"/>
          <w:color w:val="auto"/>
        </w:rPr>
        <w:tab/>
      </w:r>
      <w:r>
        <w:rPr>
          <w:rFonts w:ascii="Times New Roman" w:cs="Times New Roman" w:eastAsia="Times New Roman" w:hAnsi="Times New Roman"/>
          <w:sz w:val="20"/>
          <w:szCs w:val="20"/>
          <w:color w:val="auto"/>
        </w:rPr>
        <w:t>Environmental Matters</w:t>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6.01</w:t>
      </w:r>
      <w:r>
        <w:rPr>
          <w:sz w:val="20"/>
          <w:szCs w:val="20"/>
          <w:color w:val="auto"/>
        </w:rPr>
        <w:tab/>
      </w:r>
      <w:r>
        <w:rPr>
          <w:rFonts w:ascii="Times New Roman" w:cs="Times New Roman" w:eastAsia="Times New Roman" w:hAnsi="Times New Roman"/>
          <w:sz w:val="20"/>
          <w:szCs w:val="20"/>
          <w:color w:val="auto"/>
        </w:rPr>
        <w:t>Existing Indebtedness</w:t>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6.02</w:t>
        <w:tab/>
        <w:t>Existing Liens</w:t>
      </w:r>
    </w:p>
    <w:p>
      <w:pPr>
        <w:spacing w:after="0" w:line="2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1"/>
          <w:szCs w:val="21"/>
          <w:color w:val="auto"/>
        </w:rPr>
        <w:t>Schedule 6.04</w:t>
      </w:r>
      <w:r>
        <w:rPr>
          <w:sz w:val="20"/>
          <w:szCs w:val="20"/>
          <w:color w:val="auto"/>
        </w:rPr>
        <w:tab/>
      </w:r>
      <w:r>
        <w:rPr>
          <w:rFonts w:ascii="Times New Roman" w:cs="Times New Roman" w:eastAsia="Times New Roman" w:hAnsi="Times New Roman"/>
          <w:sz w:val="20"/>
          <w:szCs w:val="20"/>
          <w:color w:val="auto"/>
        </w:rPr>
        <w:t>Existing Investments</w:t>
      </w:r>
    </w:p>
    <w:p>
      <w:pPr>
        <w:spacing w:after="0" w:line="1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Exhibit A</w:t>
      </w:r>
      <w:r>
        <w:rPr>
          <w:sz w:val="20"/>
          <w:szCs w:val="20"/>
          <w:color w:val="auto"/>
        </w:rPr>
        <w:tab/>
      </w:r>
      <w:r>
        <w:rPr>
          <w:rFonts w:ascii="Times New Roman" w:cs="Times New Roman" w:eastAsia="Times New Roman" w:hAnsi="Times New Roman"/>
          <w:sz w:val="20"/>
          <w:szCs w:val="20"/>
          <w:color w:val="auto"/>
        </w:rPr>
        <w:t>Form of Assignment and Acceptance</w:t>
      </w:r>
    </w:p>
    <w:p>
      <w:pPr>
        <w:spacing w:after="0" w:line="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B-1</w:t>
      </w:r>
      <w:r>
        <w:rPr>
          <w:sz w:val="20"/>
          <w:szCs w:val="20"/>
          <w:color w:val="auto"/>
        </w:rPr>
        <w:tab/>
      </w:r>
      <w:r>
        <w:rPr>
          <w:rFonts w:ascii="Times New Roman" w:cs="Times New Roman" w:eastAsia="Times New Roman" w:hAnsi="Times New Roman"/>
          <w:sz w:val="20"/>
          <w:szCs w:val="20"/>
          <w:color w:val="auto"/>
        </w:rPr>
        <w:t>Form of U.S. Borrowing Request</w:t>
      </w:r>
    </w:p>
    <w:p>
      <w:pPr>
        <w:sectPr>
          <w:pgSz w:w="11900" w:h="16838" w:orient="portrait"/>
          <w:cols w:equalWidth="0" w:num="1">
            <w:col w:w="10139"/>
          </w:cols>
          <w:pgMar w:left="320" w:top="1362" w:right="1440" w:bottom="1440" w:gutter="0" w:footer="0" w:header="0"/>
        </w:sectPr>
      </w:pPr>
    </w:p>
    <w:bookmarkStart w:id="47" w:name="page48"/>
    <w:bookmarkEnd w:id="47"/>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B-2</w:t>
      </w:r>
      <w:r>
        <w:rPr>
          <w:sz w:val="20"/>
          <w:szCs w:val="20"/>
          <w:color w:val="auto"/>
        </w:rPr>
        <w:tab/>
      </w:r>
      <w:r>
        <w:rPr>
          <w:rFonts w:ascii="Times New Roman" w:cs="Times New Roman" w:eastAsia="Times New Roman" w:hAnsi="Times New Roman"/>
          <w:sz w:val="20"/>
          <w:szCs w:val="20"/>
          <w:color w:val="auto"/>
        </w:rPr>
        <w:t>Form of Canadian Borrowing Request</w:t>
      </w:r>
    </w:p>
    <w:p>
      <w:pPr>
        <w:spacing w:after="0" w:line="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B-3</w:t>
      </w:r>
      <w:r>
        <w:rPr>
          <w:sz w:val="20"/>
          <w:szCs w:val="20"/>
          <w:color w:val="auto"/>
        </w:rPr>
        <w:tab/>
      </w:r>
      <w:r>
        <w:rPr>
          <w:rFonts w:ascii="Times New Roman" w:cs="Times New Roman" w:eastAsia="Times New Roman" w:hAnsi="Times New Roman"/>
          <w:sz w:val="20"/>
          <w:szCs w:val="20"/>
          <w:color w:val="auto"/>
        </w:rPr>
        <w:t>Form of Australian Borrowing Request</w:t>
      </w:r>
    </w:p>
    <w:p>
      <w:pPr>
        <w:spacing w:after="0" w:line="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B-4</w:t>
      </w:r>
      <w:r>
        <w:rPr>
          <w:sz w:val="20"/>
          <w:szCs w:val="20"/>
          <w:color w:val="auto"/>
        </w:rPr>
        <w:tab/>
      </w:r>
      <w:r>
        <w:rPr>
          <w:rFonts w:ascii="Times New Roman" w:cs="Times New Roman" w:eastAsia="Times New Roman" w:hAnsi="Times New Roman"/>
          <w:sz w:val="20"/>
          <w:szCs w:val="20"/>
          <w:color w:val="auto"/>
        </w:rPr>
        <w:t>Form of Swing Line Borrowing Request</w:t>
      </w:r>
    </w:p>
    <w:p>
      <w:pPr>
        <w:spacing w:after="0" w:line="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B-5</w:t>
      </w:r>
      <w:r>
        <w:rPr>
          <w:sz w:val="20"/>
          <w:szCs w:val="20"/>
          <w:color w:val="auto"/>
        </w:rPr>
        <w:tab/>
      </w:r>
      <w:r>
        <w:rPr>
          <w:rFonts w:ascii="Times New Roman" w:cs="Times New Roman" w:eastAsia="Times New Roman" w:hAnsi="Times New Roman"/>
          <w:sz w:val="20"/>
          <w:szCs w:val="20"/>
          <w:color w:val="auto"/>
        </w:rPr>
        <w:t>Form of Prepayment Notice</w:t>
      </w:r>
    </w:p>
    <w:p>
      <w:pPr>
        <w:spacing w:after="0" w:line="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B-6</w:t>
      </w:r>
      <w:r>
        <w:rPr>
          <w:sz w:val="20"/>
          <w:szCs w:val="20"/>
          <w:color w:val="auto"/>
        </w:rPr>
        <w:tab/>
      </w:r>
      <w:r>
        <w:rPr>
          <w:rFonts w:ascii="Times New Roman" w:cs="Times New Roman" w:eastAsia="Times New Roman" w:hAnsi="Times New Roman"/>
          <w:sz w:val="20"/>
          <w:szCs w:val="20"/>
          <w:color w:val="auto"/>
        </w:rPr>
        <w:t>Form of Conversion/Continuation Notice</w:t>
      </w:r>
    </w:p>
    <w:p>
      <w:pPr>
        <w:spacing w:after="0" w:line="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C-1</w:t>
      </w:r>
      <w:r>
        <w:rPr>
          <w:sz w:val="20"/>
          <w:szCs w:val="20"/>
          <w:color w:val="auto"/>
        </w:rPr>
        <w:tab/>
      </w:r>
      <w:r>
        <w:rPr>
          <w:rFonts w:ascii="Times New Roman" w:cs="Times New Roman" w:eastAsia="Times New Roman" w:hAnsi="Times New Roman"/>
          <w:sz w:val="20"/>
          <w:szCs w:val="20"/>
          <w:color w:val="auto"/>
        </w:rPr>
        <w:t>Form of Australian Guarantee Agreement</w:t>
      </w:r>
    </w:p>
    <w:p>
      <w:pPr>
        <w:spacing w:after="0" w:line="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C-2</w:t>
      </w:r>
      <w:r>
        <w:rPr>
          <w:sz w:val="20"/>
          <w:szCs w:val="20"/>
          <w:color w:val="auto"/>
        </w:rPr>
        <w:tab/>
      </w:r>
      <w:r>
        <w:rPr>
          <w:rFonts w:ascii="Times New Roman" w:cs="Times New Roman" w:eastAsia="Times New Roman" w:hAnsi="Times New Roman"/>
          <w:sz w:val="20"/>
          <w:szCs w:val="20"/>
          <w:color w:val="auto"/>
        </w:rPr>
        <w:t>Form of Canadian Guarantee Agreement</w:t>
      </w:r>
    </w:p>
    <w:p>
      <w:pPr>
        <w:spacing w:after="0" w:line="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C-3</w:t>
      </w:r>
      <w:r>
        <w:rPr>
          <w:sz w:val="20"/>
          <w:szCs w:val="20"/>
          <w:color w:val="auto"/>
        </w:rPr>
        <w:tab/>
      </w:r>
      <w:r>
        <w:rPr>
          <w:rFonts w:ascii="Times New Roman" w:cs="Times New Roman" w:eastAsia="Times New Roman" w:hAnsi="Times New Roman"/>
          <w:sz w:val="20"/>
          <w:szCs w:val="20"/>
          <w:color w:val="auto"/>
        </w:rPr>
        <w:t>Form of U.S. Guarantee Agreement</w:t>
      </w:r>
    </w:p>
    <w:p>
      <w:pPr>
        <w:spacing w:after="0" w:line="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D-1</w:t>
        <w:tab/>
        <w:t>Form of Canadian Pledge Agreement</w:t>
      </w:r>
    </w:p>
    <w:p>
      <w:pPr>
        <w:spacing w:after="0" w:line="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Exhibit D-2</w:t>
        <w:tab/>
        <w:t>Form of U.S. Pledge Agreement</w:t>
      </w:r>
    </w:p>
    <w:p>
      <w:pPr>
        <w:spacing w:after="0" w:line="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Exhibit E-1</w:t>
      </w:r>
      <w:r>
        <w:rPr>
          <w:sz w:val="20"/>
          <w:szCs w:val="20"/>
          <w:color w:val="auto"/>
        </w:rPr>
        <w:tab/>
      </w:r>
      <w:r>
        <w:rPr>
          <w:rFonts w:ascii="Times New Roman" w:cs="Times New Roman" w:eastAsia="Times New Roman" w:hAnsi="Times New Roman"/>
          <w:sz w:val="20"/>
          <w:szCs w:val="20"/>
          <w:color w:val="auto"/>
        </w:rPr>
        <w:t>Form of Australian Security Deed</w:t>
      </w:r>
    </w:p>
    <w:p>
      <w:pPr>
        <w:spacing w:after="0" w:line="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Exhibit E-2</w:t>
      </w:r>
      <w:r>
        <w:rPr>
          <w:sz w:val="20"/>
          <w:szCs w:val="20"/>
          <w:color w:val="auto"/>
        </w:rPr>
        <w:tab/>
      </w:r>
      <w:r>
        <w:rPr>
          <w:rFonts w:ascii="Times New Roman" w:cs="Times New Roman" w:eastAsia="Times New Roman" w:hAnsi="Times New Roman"/>
          <w:sz w:val="20"/>
          <w:szCs w:val="20"/>
          <w:color w:val="auto"/>
        </w:rPr>
        <w:t>Form of Canadian Security Agreement</w:t>
      </w:r>
    </w:p>
    <w:p>
      <w:pPr>
        <w:spacing w:after="0" w:line="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Exhibit E-3</w:t>
      </w:r>
      <w:r>
        <w:rPr>
          <w:sz w:val="20"/>
          <w:szCs w:val="20"/>
          <w:color w:val="auto"/>
        </w:rPr>
        <w:tab/>
      </w:r>
      <w:r>
        <w:rPr>
          <w:rFonts w:ascii="Times New Roman" w:cs="Times New Roman" w:eastAsia="Times New Roman" w:hAnsi="Times New Roman"/>
          <w:sz w:val="20"/>
          <w:szCs w:val="20"/>
          <w:color w:val="auto"/>
        </w:rPr>
        <w:t>Form of U.S. Security Agreement</w:t>
      </w:r>
    </w:p>
    <w:p>
      <w:pPr>
        <w:spacing w:after="0" w:line="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color w:val="auto"/>
        </w:rPr>
        <w:t>Exhibit F</w:t>
      </w:r>
      <w:r>
        <w:rPr>
          <w:sz w:val="20"/>
          <w:szCs w:val="20"/>
          <w:color w:val="auto"/>
        </w:rPr>
        <w:tab/>
      </w:r>
      <w:r>
        <w:rPr>
          <w:rFonts w:ascii="Times New Roman" w:cs="Times New Roman" w:eastAsia="Times New Roman" w:hAnsi="Times New Roman"/>
          <w:sz w:val="20"/>
          <w:szCs w:val="20"/>
          <w:color w:val="auto"/>
        </w:rPr>
        <w:t>Form of Compliance Certificate</w:t>
      </w:r>
    </w:p>
    <w:p>
      <w:pPr>
        <w:spacing w:after="0" w:line="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Exhibit G</w:t>
      </w:r>
      <w:r>
        <w:rPr>
          <w:sz w:val="20"/>
          <w:szCs w:val="20"/>
          <w:color w:val="auto"/>
        </w:rPr>
        <w:tab/>
      </w:r>
      <w:r>
        <w:rPr>
          <w:rFonts w:ascii="Times New Roman" w:cs="Times New Roman" w:eastAsia="Times New Roman" w:hAnsi="Times New Roman"/>
          <w:sz w:val="20"/>
          <w:szCs w:val="20"/>
          <w:color w:val="FF0000"/>
          <w:strike w:val="1"/>
        </w:rPr>
        <w:t>Form of Discount Note</w:t>
      </w:r>
      <w:r>
        <w:rPr>
          <w:rFonts w:ascii="Times New Roman" w:cs="Times New Roman" w:eastAsia="Times New Roman" w:hAnsi="Times New Roman"/>
          <w:sz w:val="20"/>
          <w:szCs w:val="20"/>
          <w:u w:val="single" w:color="auto"/>
          <w:color w:val="0000FF"/>
          <w:highlight w:val="lightGray"/>
          <w:strike w:val="1"/>
        </w:rPr>
        <w:t>[Reserved]</w:t>
      </w:r>
    </w:p>
    <w:p>
      <w:pPr>
        <w:spacing w:after="0" w:line="20"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1"/>
          <w:szCs w:val="21"/>
          <w:color w:val="auto"/>
        </w:rPr>
        <w:t>Exhibit H-1 – H-4</w:t>
      </w:r>
      <w:r>
        <w:rPr>
          <w:sz w:val="20"/>
          <w:szCs w:val="20"/>
          <w:color w:val="auto"/>
        </w:rPr>
        <w:tab/>
      </w:r>
      <w:r>
        <w:rPr>
          <w:rFonts w:ascii="Times New Roman" w:cs="Times New Roman" w:eastAsia="Times New Roman" w:hAnsi="Times New Roman"/>
          <w:sz w:val="20"/>
          <w:szCs w:val="20"/>
          <w:color w:val="auto"/>
        </w:rPr>
        <w:t>Forms of Exemption Certificate</w:t>
      </w:r>
    </w:p>
    <w:p>
      <w:pPr>
        <w:spacing w:after="0" w:line="218" w:lineRule="exact"/>
        <w:rPr>
          <w:sz w:val="20"/>
          <w:szCs w:val="20"/>
          <w:color w:val="auto"/>
        </w:rPr>
      </w:pPr>
    </w:p>
    <w:p>
      <w:pPr>
        <w:ind w:firstLine="627"/>
        <w:spacing w:after="0" w:line="252" w:lineRule="auto"/>
        <w:rPr>
          <w:sz w:val="20"/>
          <w:szCs w:val="20"/>
          <w:color w:val="auto"/>
        </w:rPr>
      </w:pPr>
      <w:r>
        <w:rPr>
          <w:rFonts w:ascii="Times New Roman" w:cs="Times New Roman" w:eastAsia="Times New Roman" w:hAnsi="Times New Roman"/>
          <w:sz w:val="21"/>
          <w:szCs w:val="21"/>
          <w:color w:val="auto"/>
        </w:rPr>
        <w:t>THIS SYNDICATED FACILITY AGREEMENT dated as of September 8, 2021 (as amended, supplemented or modified from time to time,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is among CIVEO CORPORATION, a corporation incorporated under the laws of the Province of British Columbia (the “</w:t>
      </w:r>
      <w:r>
        <w:rPr>
          <w:rFonts w:ascii="Times New Roman" w:cs="Times New Roman" w:eastAsia="Times New Roman" w:hAnsi="Times New Roman"/>
          <w:sz w:val="21"/>
          <w:szCs w:val="21"/>
          <w:i w:val="1"/>
          <w:iCs w:val="1"/>
          <w:color w:val="auto"/>
        </w:rPr>
        <w:t>Parent Borrower</w:t>
      </w:r>
      <w:r>
        <w:rPr>
          <w:rFonts w:ascii="Times New Roman" w:cs="Times New Roman" w:eastAsia="Times New Roman" w:hAnsi="Times New Roman"/>
          <w:sz w:val="21"/>
          <w:szCs w:val="21"/>
          <w:color w:val="auto"/>
        </w:rPr>
        <w:t>”), CIVEO MANAGEMENT LLC, a Delaware limited liability company (the “</w:t>
      </w:r>
      <w:r>
        <w:rPr>
          <w:rFonts w:ascii="Times New Roman" w:cs="Times New Roman" w:eastAsia="Times New Roman" w:hAnsi="Times New Roman"/>
          <w:sz w:val="21"/>
          <w:szCs w:val="21"/>
          <w:i w:val="1"/>
          <w:iCs w:val="1"/>
          <w:color w:val="auto"/>
        </w:rPr>
        <w: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Borrower</w:t>
      </w:r>
      <w:r>
        <w:rPr>
          <w:rFonts w:ascii="Times New Roman" w:cs="Times New Roman" w:eastAsia="Times New Roman" w:hAnsi="Times New Roman"/>
          <w:sz w:val="21"/>
          <w:szCs w:val="21"/>
          <w:color w:val="auto"/>
        </w:rPr>
        <w:t>”), CIVEO PTY LIMITED ACN 003 657 510, an Australian proprietary limited company (the “</w:t>
      </w:r>
      <w:r>
        <w:rPr>
          <w:rFonts w:ascii="Times New Roman" w:cs="Times New Roman" w:eastAsia="Times New Roman" w:hAnsi="Times New Roman"/>
          <w:sz w:val="21"/>
          <w:szCs w:val="21"/>
          <w:i w:val="1"/>
          <w:iCs w:val="1"/>
          <w:color w:val="auto"/>
        </w:rPr>
        <w:t>Australian Borrower</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together with the Parent Borrower and the U.S. Borrower, the “</w:t>
      </w:r>
      <w:r>
        <w:rPr>
          <w:rFonts w:ascii="Times New Roman" w:cs="Times New Roman" w:eastAsia="Times New Roman" w:hAnsi="Times New Roman"/>
          <w:sz w:val="21"/>
          <w:szCs w:val="21"/>
          <w:i w:val="1"/>
          <w:iCs w:val="1"/>
          <w:color w:val="auto"/>
        </w:rPr>
        <w:t>Borrowers</w:t>
      </w:r>
      <w:r>
        <w:rPr>
          <w:rFonts w:ascii="Times New Roman" w:cs="Times New Roman" w:eastAsia="Times New Roman" w:hAnsi="Times New Roman"/>
          <w:sz w:val="21"/>
          <w:szCs w:val="21"/>
          <w:color w:val="auto"/>
        </w:rPr>
        <w:t>”), the Lenders (as defined in Article I), ROYAL BANK OF CANADA (“</w:t>
      </w:r>
      <w:r>
        <w:rPr>
          <w:rFonts w:ascii="Times New Roman" w:cs="Times New Roman" w:eastAsia="Times New Roman" w:hAnsi="Times New Roman"/>
          <w:sz w:val="21"/>
          <w:szCs w:val="21"/>
          <w:i w:val="1"/>
          <w:iCs w:val="1"/>
          <w:color w:val="auto"/>
        </w:rPr>
        <w:t>RBC</w:t>
      </w:r>
      <w:r>
        <w:rPr>
          <w:rFonts w:ascii="Times New Roman" w:cs="Times New Roman" w:eastAsia="Times New Roman" w:hAnsi="Times New Roman"/>
          <w:sz w:val="21"/>
          <w:szCs w:val="21"/>
          <w:color w:val="auto"/>
        </w:rPr>
        <w:t>”), as administrative agent (in such capacity, the “</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for the U.S. Lenders, as U.S. collateral agent (in such capacity, the “</w:t>
      </w:r>
      <w:r>
        <w:rPr>
          <w:rFonts w:ascii="Times New Roman" w:cs="Times New Roman" w:eastAsia="Times New Roman" w:hAnsi="Times New Roman"/>
          <w:sz w:val="21"/>
          <w:szCs w:val="21"/>
          <w:i w:val="1"/>
          <w:iCs w:val="1"/>
          <w:color w:val="auto"/>
        </w:rPr>
        <w:t>U.S. Collateral Agent</w:t>
      </w:r>
      <w:r>
        <w:rPr>
          <w:rFonts w:ascii="Times New Roman" w:cs="Times New Roman" w:eastAsia="Times New Roman" w:hAnsi="Times New Roman"/>
          <w:sz w:val="21"/>
          <w:szCs w:val="21"/>
          <w:color w:val="auto"/>
        </w:rPr>
        <w:t>”) for the Lenders, as administrative agent (in such capacity, the “</w:t>
      </w:r>
      <w:r>
        <w:rPr>
          <w:rFonts w:ascii="Times New Roman" w:cs="Times New Roman" w:eastAsia="Times New Roman" w:hAnsi="Times New Roman"/>
          <w:sz w:val="21"/>
          <w:szCs w:val="21"/>
          <w:i w:val="1"/>
          <w:iCs w:val="1"/>
          <w:color w:val="auto"/>
        </w:rPr>
        <w:t>Canadian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for the Canadian Lenders (as defined in Article I) and as Canadian collateral agent (in such capacity,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Collateral Agent</w:t>
      </w:r>
      <w:r>
        <w:rPr>
          <w:rFonts w:ascii="Times New Roman" w:cs="Times New Roman" w:eastAsia="Times New Roman" w:hAnsi="Times New Roman"/>
          <w:sz w:val="21"/>
          <w:szCs w:val="21"/>
          <w:color w:val="auto"/>
        </w:rPr>
        <w:t>”) for the Lenders, and RBC EUROPE LIMITED (“</w:t>
      </w:r>
      <w:r>
        <w:rPr>
          <w:rFonts w:ascii="Times New Roman" w:cs="Times New Roman" w:eastAsia="Times New Roman" w:hAnsi="Times New Roman"/>
          <w:sz w:val="21"/>
          <w:szCs w:val="21"/>
          <w:i w:val="1"/>
          <w:iCs w:val="1"/>
          <w:color w:val="auto"/>
        </w:rPr>
        <w:t>RBC Europe</w:t>
      </w:r>
      <w:r>
        <w:rPr>
          <w:rFonts w:ascii="Times New Roman" w:cs="Times New Roman" w:eastAsia="Times New Roman" w:hAnsi="Times New Roman"/>
          <w:sz w:val="21"/>
          <w:szCs w:val="21"/>
          <w:color w:val="auto"/>
        </w:rPr>
        <w:t>”), as administrative agent (in such capacity, the “</w:t>
      </w:r>
      <w:r>
        <w:rPr>
          <w:rFonts w:ascii="Times New Roman" w:cs="Times New Roman" w:eastAsia="Times New Roman" w:hAnsi="Times New Roman"/>
          <w:sz w:val="21"/>
          <w:szCs w:val="21"/>
          <w:i w:val="1"/>
          <w:iCs w:val="1"/>
          <w:color w:val="auto"/>
        </w:rPr>
        <w:t>Australian Administrative Agent</w:t>
      </w:r>
      <w:r>
        <w:rPr>
          <w:rFonts w:ascii="Times New Roman" w:cs="Times New Roman" w:eastAsia="Times New Roman" w:hAnsi="Times New Roman"/>
          <w:sz w:val="21"/>
          <w:szCs w:val="21"/>
          <w:color w:val="auto"/>
        </w:rPr>
        <w:t>”) for the Australian Lenders (as defined in Article I) and as Australian collateral agent (in such capacity, the “</w:t>
      </w:r>
      <w:r>
        <w:rPr>
          <w:rFonts w:ascii="Times New Roman" w:cs="Times New Roman" w:eastAsia="Times New Roman" w:hAnsi="Times New Roman"/>
          <w:sz w:val="21"/>
          <w:szCs w:val="21"/>
          <w:i w:val="1"/>
          <w:iCs w:val="1"/>
          <w:color w:val="auto"/>
        </w:rPr>
        <w:t>Australian Collateral Agent</w:t>
      </w:r>
      <w:r>
        <w:rPr>
          <w:rFonts w:ascii="Times New Roman" w:cs="Times New Roman" w:eastAsia="Times New Roman" w:hAnsi="Times New Roman"/>
          <w:sz w:val="21"/>
          <w:szCs w:val="21"/>
          <w:color w:val="auto"/>
        </w:rPr>
        <w:t>”) for the Lenders.</w:t>
      </w:r>
    </w:p>
    <w:p>
      <w:pPr>
        <w:spacing w:after="0" w:line="177"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color w:val="auto"/>
        </w:rPr>
        <w:t>WHEREAS, the Parent Borrower, certain of its Subsidiaries, the lenders party thereto, and the Administrative Agents are party to that certain Amended and Restated Syndicated Facility Agreement, dated as of April 2, 2018 (such Syndicated Facility Agreement as amended prior to the date hereof, the “</w:t>
      </w:r>
      <w:r>
        <w:rPr>
          <w:rFonts w:ascii="Times New Roman" w:cs="Times New Roman" w:eastAsia="Times New Roman" w:hAnsi="Times New Roman"/>
          <w:sz w:val="21"/>
          <w:szCs w:val="21"/>
          <w:i w:val="1"/>
          <w:iCs w:val="1"/>
          <w:color w:val="auto"/>
        </w:rPr>
        <w:t>Existing Credit Agreement</w:t>
      </w:r>
      <w:r>
        <w:rPr>
          <w:rFonts w:ascii="Times New Roman" w:cs="Times New Roman" w:eastAsia="Times New Roman" w:hAnsi="Times New Roman"/>
          <w:sz w:val="21"/>
          <w:szCs w:val="21"/>
          <w:color w:val="auto"/>
        </w:rPr>
        <w:t>”); and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Existing Credit Agreement is being refinanced pursuant to this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consideration of the mutual covenants and agreements herein contained, the parties hereto hereby agree as follows:</w:t>
      </w:r>
    </w:p>
    <w:p>
      <w:pPr>
        <w:sectPr>
          <w:pgSz w:w="11900" w:h="16838" w:orient="portrait"/>
          <w:cols w:equalWidth="0" w:num="1">
            <w:col w:w="11240"/>
          </w:cols>
          <w:pgMar w:left="320" w:top="1380" w:right="339" w:bottom="1440" w:gutter="0" w:footer="0" w:header="0"/>
        </w:sectPr>
      </w:pPr>
    </w:p>
    <w:bookmarkStart w:id="48" w:name="page49"/>
    <w:bookmarkEnd w:id="48"/>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16" w:lineRule="exact"/>
        <w:rPr>
          <w:sz w:val="20"/>
          <w:szCs w:val="20"/>
          <w:color w:val="auto"/>
        </w:rPr>
      </w:pPr>
    </w:p>
    <w:p>
      <w:pPr>
        <w:jc w:val="center"/>
        <w:ind w:left="400"/>
        <w:spacing w:after="0"/>
        <w:tabs>
          <w:tab w:leader="none" w:pos="180" w:val="left"/>
        </w:tabs>
        <w:rPr>
          <w:sz w:val="20"/>
          <w:szCs w:val="20"/>
          <w:color w:val="auto"/>
        </w:rPr>
      </w:pPr>
      <w:r>
        <w:rPr>
          <w:rFonts w:ascii="Times New Roman" w:cs="Times New Roman" w:eastAsia="Times New Roman" w:hAnsi="Times New Roman"/>
          <w:sz w:val="21"/>
          <w:szCs w:val="21"/>
          <w:b w:val="1"/>
          <w:bCs w:val="1"/>
          <w:color w:val="auto"/>
        </w:rPr>
        <w:t>SECTION 1.01</w:t>
      </w:r>
      <w:r>
        <w:rPr>
          <w:sz w:val="20"/>
          <w:szCs w:val="20"/>
          <w:color w:val="auto"/>
        </w:rPr>
        <w:tab/>
      </w:r>
      <w:r>
        <w:rPr>
          <w:rFonts w:ascii="Times New Roman" w:cs="Times New Roman" w:eastAsia="Times New Roman" w:hAnsi="Times New Roman"/>
          <w:sz w:val="20"/>
          <w:szCs w:val="20"/>
          <w:b w:val="1"/>
          <w:bCs w:val="1"/>
          <w:i w:val="1"/>
          <w:iCs w:val="1"/>
          <w:color w:val="auto"/>
        </w:rPr>
        <w:t>Defined Terms</w:t>
      </w:r>
      <w:r>
        <w:rPr>
          <w:rFonts w:ascii="Times New Roman" w:cs="Times New Roman" w:eastAsia="Times New Roman" w:hAnsi="Times New Roman"/>
          <w:sz w:val="20"/>
          <w:szCs w:val="20"/>
          <w:color w:val="auto"/>
        </w:rPr>
        <w:t>. As used in this Agreement, the following terms shall have the meanings specified below:</w:t>
      </w:r>
    </w:p>
    <w:p>
      <w:pPr>
        <w:spacing w:after="0" w:line="218" w:lineRule="exact"/>
        <w:rPr>
          <w:sz w:val="20"/>
          <w:szCs w:val="20"/>
          <w:color w:val="auto"/>
        </w:rPr>
      </w:pPr>
    </w:p>
    <w:p>
      <w:pPr>
        <w:ind w:firstLine="632"/>
        <w:spacing w:after="0" w:line="279" w:lineRule="auto"/>
        <w:tabs>
          <w:tab w:leader="none" w:pos="124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ABR</w:t>
      </w:r>
      <w:r>
        <w:rPr>
          <w:rFonts w:ascii="Times New Roman" w:cs="Times New Roman" w:eastAsia="Times New Roman" w:hAnsi="Times New Roman"/>
          <w:sz w:val="21"/>
          <w:szCs w:val="21"/>
          <w:color w:val="auto"/>
        </w:rPr>
        <w:t>”, when used in reference to any Loan or Borrowing, refers to whether such Loan, or the Loans comprising such Borrowing, are bearing interest at a rate determined by reference to the Alternate Base Rate.</w:t>
      </w:r>
    </w:p>
    <w:p>
      <w:pPr>
        <w:spacing w:after="0" w:line="144"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Acceptance Fee</w:t>
      </w:r>
      <w:r>
        <w:rPr>
          <w:rFonts w:ascii="Times New Roman" w:cs="Times New Roman" w:eastAsia="Times New Roman" w:hAnsi="Times New Roman"/>
          <w:sz w:val="21"/>
          <w:szCs w:val="21"/>
          <w:color w:val="FF0000"/>
          <w:strike w:val="1"/>
        </w:rPr>
        <w:t>” shall mean a fee payable in Canadian dollars by the Parent Borrower to the Canadian Administrative Agent for the account of a Canadian Lender with respect to the acceptance of a B/A or the making of a B/A Equivalent Loan on the date of such acceptance or loan, calculated on the face amount of the B/A or the B/A Equivalent Loan at the rate per annum applicable on such date as set forth in the row labeled “SOFR/BBSY Rate/B/A Spread” in the definition of the term “Applicable Percentage” on the basis of the number of days in the applicable Contract Period (including the date of acceptance and excluding the date of maturity) and a year of 365 days (it being agreed that the rate per annum applicable to any B/A Equivalent Loan is equivalent to the rate per annum otherwise applicable to the Bankers’ Acceptance which has been replaced by the making of such B/A Equivalent Loan pursuant to Section 2.22).</w:t>
      </w:r>
    </w:p>
    <w:p>
      <w:pPr>
        <w:spacing w:after="0" w:line="169" w:lineRule="exact"/>
        <w:rPr>
          <w:sz w:val="20"/>
          <w:szCs w:val="20"/>
          <w:color w:val="auto"/>
        </w:rPr>
      </w:pPr>
    </w:p>
    <w:p>
      <w:pPr>
        <w:ind w:left="1260" w:hanging="628"/>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Additional Permitted Amount</w:t>
      </w:r>
      <w:r>
        <w:rPr>
          <w:rFonts w:ascii="Times New Roman" w:cs="Times New Roman" w:eastAsia="Times New Roman" w:hAnsi="Times New Roman"/>
          <w:sz w:val="21"/>
          <w:szCs w:val="21"/>
          <w:color w:val="auto"/>
        </w:rPr>
        <w:t>” has the meaning set forth in the definition of Permitted Refinancing Indebtedness.</w:t>
      </w:r>
    </w:p>
    <w:p>
      <w:pPr>
        <w:spacing w:after="0" w:line="229" w:lineRule="exact"/>
        <w:rPr>
          <w:rFonts w:ascii="Times New Roman" w:cs="Times New Roman" w:eastAsia="Times New Roman" w:hAnsi="Times New Roman"/>
          <w:sz w:val="21"/>
          <w:szCs w:val="21"/>
          <w:color w:val="auto"/>
        </w:rPr>
      </w:pPr>
    </w:p>
    <w:p>
      <w:pPr>
        <w:jc w:val="both"/>
        <w:ind w:firstLine="632"/>
        <w:spacing w:after="0" w:line="233" w:lineRule="auto"/>
        <w:tabs>
          <w:tab w:leader="none" w:pos="1249" w:val="left"/>
        </w:tabs>
        <w:numPr>
          <w:ilvl w:val="0"/>
          <w:numId w:val="31"/>
        </w:numPr>
        <w:rPr>
          <w:rFonts w:ascii="Times New Roman" w:cs="Times New Roman" w:eastAsia="Times New Roman" w:hAnsi="Times New Roman"/>
          <w:sz w:val="21"/>
          <w:szCs w:val="21"/>
          <w:color w:val="auto"/>
        </w:rPr>
      </w:pPr>
      <w:r>
        <w:rPr>
          <w:rFonts w:ascii="Calibri" w:cs="Calibri" w:eastAsia="Calibri" w:hAnsi="Calibri"/>
          <w:sz w:val="21"/>
          <w:szCs w:val="21"/>
          <w:i w:val="1"/>
          <w:iCs w:val="1"/>
          <w:color w:val="auto"/>
        </w:rPr>
        <w:t xml:space="preserve">“Adjusted Term </w:t>
      </w:r>
      <w:r>
        <w:rPr>
          <w:rFonts w:ascii="Calibri" w:cs="Calibri" w:eastAsia="Calibri" w:hAnsi="Calibri"/>
          <w:sz w:val="21"/>
          <w:szCs w:val="21"/>
          <w:i w:val="1"/>
          <w:iCs w:val="1"/>
          <w:color w:val="FF0000"/>
          <w:strike w:val="1"/>
        </w:rPr>
        <w:t>SOFR</w:t>
      </w:r>
      <w:r>
        <w:rPr>
          <w:rFonts w:ascii="Calibri" w:cs="Calibri" w:eastAsia="Calibri" w:hAnsi="Calibri"/>
          <w:sz w:val="21"/>
          <w:szCs w:val="21"/>
          <w:i w:val="1"/>
          <w:iCs w:val="1"/>
          <w:u w:val="single" w:color="auto"/>
          <w:color w:val="0000FF"/>
          <w:highlight w:val="lightGray"/>
        </w:rPr>
        <w:t>CORRA</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means, for purposes of any calculaton, the rate per annum equal to (a) Term</w:t>
      </w:r>
      <w:r>
        <w:rPr>
          <w:rFonts w:ascii="Calibri" w:cs="Calibri" w:eastAsia="Calibri" w:hAnsi="Calibri"/>
          <w:sz w:val="21"/>
          <w:szCs w:val="21"/>
          <w:i w:val="1"/>
          <w:iCs w:val="1"/>
          <w:color w:val="auto"/>
        </w:rPr>
        <w:t xml:space="preserve"> </w:t>
      </w:r>
      <w:r>
        <w:rPr>
          <w:rFonts w:ascii="Calibri" w:cs="Calibri" w:eastAsia="Calibri" w:hAnsi="Calibri"/>
          <w:sz w:val="21"/>
          <w:szCs w:val="21"/>
          <w:color w:val="FF0000"/>
          <w:strike w:val="1"/>
        </w:rPr>
        <w:t>SOFR</w:t>
      </w:r>
      <w:r>
        <w:rPr>
          <w:rFonts w:ascii="Calibri" w:cs="Calibri" w:eastAsia="Calibri" w:hAnsi="Calibri"/>
          <w:sz w:val="21"/>
          <w:szCs w:val="21"/>
          <w:u w:val="single" w:color="auto"/>
          <w:color w:val="0000FF"/>
          <w:highlight w:val="lightGray"/>
        </w:rPr>
        <w:t>CORRA</w:t>
      </w:r>
      <w:r>
        <w:rPr>
          <w:rFonts w:ascii="Calibri" w:cs="Calibri" w:eastAsia="Calibri" w:hAnsi="Calibri"/>
          <w:sz w:val="21"/>
          <w:szCs w:val="21"/>
          <w:color w:val="FF0000"/>
        </w:rPr>
        <w:t xml:space="preserve"> </w:t>
      </w:r>
      <w:r>
        <w:rPr>
          <w:rFonts w:ascii="Calibri" w:cs="Calibri" w:eastAsia="Calibri" w:hAnsi="Calibri"/>
          <w:sz w:val="21"/>
          <w:szCs w:val="21"/>
          <w:color w:val="000000"/>
        </w:rPr>
        <w:t>for such calculaton plus (b) the Term</w:t>
      </w:r>
      <w:r>
        <w:rPr>
          <w:rFonts w:ascii="Calibri" w:cs="Calibri" w:eastAsia="Calibri" w:hAnsi="Calibri"/>
          <w:sz w:val="21"/>
          <w:szCs w:val="21"/>
          <w:color w:val="FF0000"/>
        </w:rPr>
        <w:t xml:space="preserve"> </w:t>
      </w:r>
      <w:r>
        <w:rPr>
          <w:rFonts w:ascii="Calibri" w:cs="Calibri" w:eastAsia="Calibri" w:hAnsi="Calibri"/>
          <w:sz w:val="21"/>
          <w:szCs w:val="21"/>
          <w:color w:val="FF0000"/>
          <w:strike w:val="1"/>
        </w:rPr>
        <w:t>SOFR</w:t>
      </w:r>
      <w:r>
        <w:rPr>
          <w:rFonts w:ascii="Calibri" w:cs="Calibri" w:eastAsia="Calibri" w:hAnsi="Calibri"/>
          <w:sz w:val="21"/>
          <w:szCs w:val="21"/>
          <w:u w:val="single" w:color="auto"/>
          <w:color w:val="0000FF"/>
          <w:highlight w:val="lightGray"/>
        </w:rPr>
        <w:t>CORRA</w:t>
      </w:r>
      <w:r>
        <w:rPr>
          <w:rFonts w:ascii="Calibri" w:cs="Calibri" w:eastAsia="Calibri" w:hAnsi="Calibri"/>
          <w:sz w:val="21"/>
          <w:szCs w:val="21"/>
          <w:color w:val="FF0000"/>
        </w:rPr>
        <w:t xml:space="preserve"> </w:t>
      </w:r>
      <w:r>
        <w:rPr>
          <w:rFonts w:ascii="Calibri" w:cs="Calibri" w:eastAsia="Calibri" w:hAnsi="Calibri"/>
          <w:sz w:val="21"/>
          <w:szCs w:val="21"/>
          <w:color w:val="000000"/>
        </w:rPr>
        <w:t>Adjustment</w:t>
      </w:r>
      <w:r>
        <w:rPr>
          <w:rFonts w:ascii="Calibri" w:cs="Calibri" w:eastAsia="Calibri" w:hAnsi="Calibri"/>
          <w:sz w:val="21"/>
          <w:szCs w:val="21"/>
          <w:u w:val="single" w:color="auto"/>
          <w:color w:val="0000FF"/>
          <w:highlight w:val="lightGray"/>
        </w:rPr>
        <w:t>; provided that if Adjusted Term CORRA as so determined</w:t>
      </w:r>
      <w:r>
        <w:rPr>
          <w:rFonts w:ascii="Calibri" w:cs="Calibri" w:eastAsia="Calibri" w:hAnsi="Calibri"/>
          <w:sz w:val="21"/>
          <w:szCs w:val="21"/>
          <w:color w:val="FF0000"/>
        </w:rPr>
        <w:t xml:space="preserve"> </w:t>
      </w:r>
      <w:r>
        <w:rPr>
          <w:rFonts w:ascii="Calibri" w:cs="Calibri" w:eastAsia="Calibri" w:hAnsi="Calibri"/>
          <w:sz w:val="21"/>
          <w:szCs w:val="21"/>
          <w:u w:val="single" w:color="auto"/>
          <w:color w:val="0000FF"/>
          <w:highlight w:val="lightGray"/>
        </w:rPr>
        <w:t>shall ever be less than the Floor, then Adjusted Term CORRA shall be deemed to be the Floor</w:t>
      </w:r>
      <w:r>
        <w:rPr>
          <w:rFonts w:ascii="Calibri" w:cs="Calibri" w:eastAsia="Calibri" w:hAnsi="Calibri"/>
          <w:sz w:val="21"/>
          <w:szCs w:val="21"/>
          <w:color w:val="000000"/>
        </w:rPr>
        <w:t>.</w:t>
      </w:r>
    </w:p>
    <w:p>
      <w:pPr>
        <w:spacing w:after="0" w:line="246" w:lineRule="exact"/>
        <w:rPr>
          <w:rFonts w:ascii="Times New Roman" w:cs="Times New Roman" w:eastAsia="Times New Roman" w:hAnsi="Times New Roman"/>
          <w:sz w:val="21"/>
          <w:szCs w:val="21"/>
          <w:color w:val="auto"/>
        </w:rPr>
      </w:pPr>
    </w:p>
    <w:p>
      <w:pPr>
        <w:jc w:val="both"/>
        <w:ind w:firstLine="632"/>
        <w:spacing w:after="0" w:line="233" w:lineRule="auto"/>
        <w:tabs>
          <w:tab w:leader="none" w:pos="1249" w:val="left"/>
        </w:tabs>
        <w:numPr>
          <w:ilvl w:val="0"/>
          <w:numId w:val="31"/>
        </w:numPr>
        <w:rPr>
          <w:rFonts w:ascii="Times New Roman" w:cs="Times New Roman" w:eastAsia="Times New Roman" w:hAnsi="Times New Roman"/>
          <w:sz w:val="21"/>
          <w:szCs w:val="21"/>
          <w:color w:val="auto"/>
        </w:rPr>
      </w:pPr>
      <w:r>
        <w:rPr>
          <w:rFonts w:ascii="Calibri" w:cs="Calibri" w:eastAsia="Calibri" w:hAnsi="Calibri"/>
          <w:sz w:val="21"/>
          <w:szCs w:val="21"/>
          <w:i w:val="1"/>
          <w:iCs w:val="1"/>
          <w:u w:val="single" w:color="auto"/>
          <w:color w:val="0000FF"/>
        </w:rPr>
        <w:t xml:space="preserve">“Adjusted Term SOFR” </w:t>
      </w:r>
      <w:r>
        <w:rPr>
          <w:rFonts w:ascii="Calibri" w:cs="Calibri" w:eastAsia="Calibri" w:hAnsi="Calibri"/>
          <w:sz w:val="21"/>
          <w:szCs w:val="21"/>
          <w:u w:val="single" w:color="auto"/>
          <w:color w:val="0000FF"/>
          <w:highlight w:val="lightGray"/>
        </w:rPr>
        <w:t>means, for purposes of any calculaton, the rate per annum equal to (a) Term SOFR for such</w:t>
      </w:r>
      <w:r>
        <w:rPr>
          <w:rFonts w:ascii="Calibri" w:cs="Calibri" w:eastAsia="Calibri" w:hAnsi="Calibri"/>
          <w:sz w:val="21"/>
          <w:szCs w:val="21"/>
          <w:i w:val="1"/>
          <w:iCs w:val="1"/>
          <w:u w:val="single" w:color="auto"/>
          <w:color w:val="0000FF"/>
        </w:rPr>
        <w:t xml:space="preserve"> </w:t>
      </w:r>
      <w:r>
        <w:rPr>
          <w:rFonts w:ascii="Calibri" w:cs="Calibri" w:eastAsia="Calibri" w:hAnsi="Calibri"/>
          <w:sz w:val="21"/>
          <w:szCs w:val="21"/>
          <w:u w:val="single" w:color="auto"/>
          <w:color w:val="0000FF"/>
          <w:highlight w:val="lightGray"/>
        </w:rPr>
        <w:t>calculaton plus (b) the Term SOFR Adjustment; provided that if Adjusted Term SOFR as so determined shall ever be less than the Floor, then Adjusted Term SOFR shall be deemed to be the Floor.</w:t>
      </w:r>
    </w:p>
    <w:p>
      <w:pPr>
        <w:spacing w:after="0" w:line="220"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firstLine="632"/>
        <w:spacing w:after="0" w:line="292" w:lineRule="auto"/>
        <w:tabs>
          <w:tab w:leader="none" w:pos="124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Agents</w:t>
      </w:r>
      <w:r>
        <w:rPr>
          <w:rFonts w:ascii="Times New Roman" w:cs="Times New Roman" w:eastAsia="Times New Roman" w:hAnsi="Times New Roman"/>
          <w:sz w:val="21"/>
          <w:szCs w:val="21"/>
          <w:color w:val="auto"/>
        </w:rPr>
        <w:t>” shall mean the Administrative Agent, the Canadian Administrative Agent and the Australian Administrative Agent.</w:t>
      </w:r>
    </w:p>
    <w:p>
      <w:pPr>
        <w:spacing w:after="0" w:line="131"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Questionnaire</w:t>
      </w:r>
      <w:r>
        <w:rPr>
          <w:rFonts w:ascii="Times New Roman" w:cs="Times New Roman" w:eastAsia="Times New Roman" w:hAnsi="Times New Roman"/>
          <w:sz w:val="21"/>
          <w:szCs w:val="21"/>
          <w:color w:val="auto"/>
        </w:rPr>
        <w:t>” shall mean an administrative questionnaire in a form supplied from time to time by the Applicable Administrative Agent.</w:t>
      </w:r>
    </w:p>
    <w:p>
      <w:pPr>
        <w:spacing w:after="0" w:line="146"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“Affected Financial Institution” shall mean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-1936115</wp:posOffset>
            </wp:positionV>
            <wp:extent cx="1584960" cy="132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84960" cy="13271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49" w:name="page50"/>
    <w:bookmarkEnd w:id="49"/>
    <w:p>
      <w:pPr>
        <w:jc w:val="both"/>
        <w:ind w:left="-632" w:firstLine="632"/>
        <w:spacing w:after="0" w:line="261" w:lineRule="auto"/>
        <w:tabs>
          <w:tab w:leader="none" w:pos="61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6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Agent Parties</w:t>
      </w:r>
      <w:r>
        <w:rPr>
          <w:rFonts w:ascii="Times New Roman" w:cs="Times New Roman" w:eastAsia="Times New Roman" w:hAnsi="Times New Roman"/>
          <w:sz w:val="21"/>
          <w:szCs w:val="21"/>
          <w:color w:val="auto"/>
        </w:rPr>
        <w:t>” shall have the meaning assigned to such term in Section 9.01(d).</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Agents</w:t>
      </w:r>
      <w:r>
        <w:rPr>
          <w:rFonts w:ascii="Times New Roman" w:cs="Times New Roman" w:eastAsia="Times New Roman" w:hAnsi="Times New Roman"/>
          <w:sz w:val="21"/>
          <w:szCs w:val="21"/>
          <w:color w:val="auto"/>
        </w:rPr>
        <w:t>” shall mean, collectively, the Administrative Agents and the Collateral Agents.</w:t>
      </w:r>
    </w:p>
    <w:p>
      <w:pPr>
        <w:spacing w:after="0" w:line="21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Aggregate L/C Exposure</w:t>
      </w:r>
      <w:r>
        <w:rPr>
          <w:rFonts w:ascii="Times New Roman" w:cs="Times New Roman" w:eastAsia="Times New Roman" w:hAnsi="Times New Roman"/>
          <w:sz w:val="21"/>
          <w:szCs w:val="21"/>
          <w:color w:val="auto"/>
        </w:rPr>
        <w:t>” shall mean, at any time, the sum of the U.S. L/C Exposure, the U.S. Dollar Equivalent of the Canadian L/C Exposure and the U.S. Dollar Equivalent of the Australian L/C Exposure at such time.</w:t>
      </w:r>
    </w:p>
    <w:p>
      <w:pPr>
        <w:spacing w:after="0" w:line="157"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54" w:lineRule="auto"/>
        <w:tabs>
          <w:tab w:leader="none" w:pos="61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Alternate Base Rate</w:t>
      </w:r>
      <w:r>
        <w:rPr>
          <w:rFonts w:ascii="Times New Roman" w:cs="Times New Roman" w:eastAsia="Times New Roman" w:hAnsi="Times New Roman"/>
          <w:sz w:val="21"/>
          <w:szCs w:val="21"/>
          <w:color w:val="auto"/>
        </w:rPr>
        <w:t xml:space="preserve">” shall mean, for any day, a rate per annum equal to the greatest of (i) the Prime Rate in effect on such day, (ii) the Federal Funds Effective Rate in effect on such day plus ½ of 1.00% and (iii) Adjusted Term SOFR for a one-month tenor in effect for such day plus 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highest rate as calculated above shall, at any time, be less than the Floor, such rate shall be deemed to be Floor for all purposes herein. Any change in the Alternate Base Rate due to a change in the Prime Rate, the Federal Funds Effective Rate or Adjusted Term SOFR shall be effective on the opening of business on the day specified in the public announcement of such change in the Prime Rate, the Federal Funds Effective Rate or Adjusted Term SOFR, respectively.</w:t>
      </w:r>
    </w:p>
    <w:p>
      <w:pPr>
        <w:spacing w:after="0" w:line="171"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Alternative Currency</w:t>
      </w:r>
      <w:r>
        <w:rPr>
          <w:rFonts w:ascii="Times New Roman" w:cs="Times New Roman" w:eastAsia="Times New Roman" w:hAnsi="Times New Roman"/>
          <w:sz w:val="21"/>
          <w:szCs w:val="21"/>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173" w:lineRule="exact"/>
        <w:rPr>
          <w:rFonts w:ascii="Times New Roman" w:cs="Times New Roman" w:eastAsia="Times New Roman" w:hAnsi="Times New Roman"/>
          <w:sz w:val="21"/>
          <w:szCs w:val="21"/>
          <w:color w:val="auto"/>
        </w:rPr>
      </w:pPr>
    </w:p>
    <w:p>
      <w:pPr>
        <w:jc w:val="both"/>
        <w:ind w:left="-632" w:firstLine="632"/>
        <w:spacing w:after="0" w:line="257" w:lineRule="auto"/>
        <w:tabs>
          <w:tab w:leader="none" w:pos="61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Anti-Corruption Laws</w:t>
      </w:r>
      <w:r>
        <w:rPr>
          <w:rFonts w:ascii="Times New Roman" w:cs="Times New Roman" w:eastAsia="Times New Roman" w:hAnsi="Times New Roman"/>
          <w:sz w:val="21"/>
          <w:szCs w:val="21"/>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67"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Anti-Money Laundering Laws</w:t>
      </w:r>
      <w:r>
        <w:rPr>
          <w:rFonts w:ascii="Times New Roman" w:cs="Times New Roman" w:eastAsia="Times New Roman" w:hAnsi="Times New Roman"/>
          <w:sz w:val="21"/>
          <w:szCs w:val="21"/>
          <w:color w:val="auto"/>
        </w:rPr>
        <w:t>”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w:t>
      </w:r>
    </w:p>
    <w:p>
      <w:pPr>
        <w:sectPr>
          <w:pgSz w:w="11900" w:h="16838" w:orient="portrait"/>
          <w:cols w:equalWidth="0" w:num="1">
            <w:col w:w="10608"/>
          </w:cols>
          <w:pgMar w:left="952" w:top="1378" w:right="339" w:bottom="1440" w:gutter="0" w:footer="0" w:header="0"/>
        </w:sectPr>
      </w:pPr>
    </w:p>
    <w:bookmarkStart w:id="50" w:name="page51"/>
    <w:bookmarkEnd w:id="50"/>
    <w:p>
      <w:pPr>
        <w:jc w:val="both"/>
        <w:ind w:firstLine="632"/>
        <w:spacing w:after="0" w:line="263" w:lineRule="auto"/>
        <w:tabs>
          <w:tab w:leader="none" w:pos="124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Administrative Agent</w:t>
      </w:r>
      <w:r>
        <w:rPr>
          <w:rFonts w:ascii="Times New Roman" w:cs="Times New Roman" w:eastAsia="Times New Roman" w:hAnsi="Times New Roman"/>
          <w:sz w:val="21"/>
          <w:szCs w:val="21"/>
          <w:color w:val="auto"/>
        </w:rPr>
        <w:t>” shall mean (a) the Administrative Agent, with respect to any U.S. Loan or U.S. Letter of Credit, (b) the Canadian Administrative Agent, with respect to any Canadian Loan or Canadian Letter of Credit and (c) the Australian Administrative Agent, with respect to any Australian Revolving Credit Loan or Australian Letter of Credit.</w:t>
      </w:r>
    </w:p>
    <w:p>
      <w:pPr>
        <w:spacing w:after="0" w:line="173" w:lineRule="exact"/>
        <w:rPr>
          <w:sz w:val="20"/>
          <w:szCs w:val="20"/>
          <w:color w:val="auto"/>
        </w:rPr>
      </w:pPr>
    </w:p>
    <w:p>
      <w:pPr>
        <w:jc w:val="both"/>
        <w:ind w:firstLine="62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Borrower</w:t>
      </w:r>
      <w:r>
        <w:rPr>
          <w:rFonts w:ascii="Times New Roman" w:cs="Times New Roman" w:eastAsia="Times New Roman" w:hAnsi="Times New Roman"/>
          <w:sz w:val="21"/>
          <w:szCs w:val="21"/>
          <w:color w:val="auto"/>
        </w:rPr>
        <w:t>” shall mean (a) the Parent Borrower, with respect to the Canadian Term Loan Facility or the Canadian Revolving Credit Facility, (b) the U.S. Borrower, with respect to the U.S. Revolving Credit Facility, and (c) the Australian Borrower, with respect to the Australian Revolving Credit Facility.</w:t>
      </w:r>
    </w:p>
    <w:p>
      <w:pPr>
        <w:spacing w:after="0" w:line="160" w:lineRule="exact"/>
        <w:rPr>
          <w:sz w:val="20"/>
          <w:szCs w:val="20"/>
          <w:color w:val="auto"/>
        </w:rPr>
      </w:pPr>
    </w:p>
    <w:p>
      <w:pPr>
        <w:jc w:val="both"/>
        <w:ind w:firstLine="632"/>
        <w:spacing w:after="0" w:line="269" w:lineRule="auto"/>
        <w:tabs>
          <w:tab w:leader="none" w:pos="124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Collateral Agent</w:t>
      </w:r>
      <w:r>
        <w:rPr>
          <w:rFonts w:ascii="Times New Roman" w:cs="Times New Roman" w:eastAsia="Times New Roman" w:hAnsi="Times New Roman"/>
          <w:sz w:val="21"/>
          <w:szCs w:val="21"/>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155"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Issuing Bank</w:t>
      </w:r>
      <w:r>
        <w:rPr>
          <w:rFonts w:ascii="Times New Roman" w:cs="Times New Roman" w:eastAsia="Times New Roman" w:hAnsi="Times New Roman"/>
          <w:sz w:val="21"/>
          <w:szCs w:val="21"/>
          <w:color w:val="auto"/>
        </w:rPr>
        <w:t>” shall mean (a) RBC or any other Issuing Bank that has issued, or has a commitment to issue, U.S. Letters of Credit, (b) RBC or any other Issuing Bank that has issued, or has a commitment to issue, Canadian Letters of Credit, or (c) RBC Europe, or any other Issuing Bank that has issued, or has a commitment to issue, Australian Letters of Credit.</w:t>
      </w:r>
    </w:p>
    <w:p>
      <w:pPr>
        <w:spacing w:after="0" w:line="160"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Lender</w:t>
      </w:r>
      <w:r>
        <w:rPr>
          <w:rFonts w:ascii="Times New Roman" w:cs="Times New Roman" w:eastAsia="Times New Roman" w:hAnsi="Times New Roman"/>
          <w:sz w:val="21"/>
          <w:szCs w:val="21"/>
          <w:color w:val="auto"/>
        </w:rPr>
        <w:t>” shall mean (a) when used with respect to the U.S. Revolving Credit Facility, the Canadian Term Loan Facility, the Canadian Revolving Credit Facility or the Australian Revolving Credit Facility, a Lender that has a Commitment or holds a Loan with respect to such Facility, (b) with respect to any Letter of Credit, (i) the Issuing Banks and (ii) if any L/C Disbursements have been made by an Issuing Bank and not reimbursed or refinanced by Section 2.02(g), the Canadian Revolving Lenders, the U.S. Revolving Lenders or the Australian Lenders, as the case may be, and (c) with respect to the U.S. Swing Line Sublimit or the Canadian Swing Line Sublimit, the Applicable Swing Line Lender.</w:t>
      </w:r>
    </w:p>
    <w:p>
      <w:pPr>
        <w:spacing w:after="0" w:line="172"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Percentage</w:t>
      </w:r>
      <w:r>
        <w:rPr>
          <w:rFonts w:ascii="Times New Roman" w:cs="Times New Roman" w:eastAsia="Times New Roman" w:hAnsi="Times New Roman"/>
          <w:sz w:val="21"/>
          <w:szCs w:val="21"/>
          <w:color w:val="auto"/>
        </w:rPr>
        <w:t xml:space="preserve">” shall mean, for any day, with respect to any SOFR Loan, ABR Loan,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Loan, Canadian Prime Rate Loan, U.S. Base Rate Loan, BBSY Rate Loan or the Commitment Fee, the applicable percentage set forth below under the applicable caption, based upon the Total Net Leverage Ratio as of the relevant date of determination:</w:t>
      </w:r>
    </w:p>
    <w:p>
      <w:pPr>
        <w:sectPr>
          <w:pgSz w:w="11900" w:h="16838" w:orient="portrait"/>
          <w:cols w:equalWidth="0" w:num="1">
            <w:col w:w="11240"/>
          </w:cols>
          <w:pgMar w:left="320" w:top="137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1"/>
                <w:szCs w:val="21"/>
                <w:color w:val="auto"/>
              </w:rPr>
            </w:pPr>
          </w:p>
        </w:tc>
        <w:tc>
          <w:tcPr>
            <w:tcW w:w="1760" w:type="dxa"/>
            <w:vAlign w:val="bottom"/>
            <w:gridSpan w:val="6"/>
            <w:vMerge w:val="restart"/>
          </w:tcPr>
          <w:p>
            <w:pPr>
              <w:jc w:val="center"/>
              <w:ind w:right="320"/>
              <w:spacing w:after="0"/>
              <w:rPr>
                <w:sz w:val="20"/>
                <w:szCs w:val="20"/>
                <w:color w:val="auto"/>
              </w:rPr>
            </w:pPr>
            <w:r>
              <w:rPr>
                <w:rFonts w:ascii="Times New Roman" w:cs="Times New Roman" w:eastAsia="Times New Roman" w:hAnsi="Times New Roman"/>
                <w:sz w:val="21"/>
                <w:szCs w:val="21"/>
                <w:b w:val="1"/>
                <w:bCs w:val="1"/>
                <w:color w:val="auto"/>
                <w:w w:val="98"/>
              </w:rPr>
              <w:t>SOFR/ BBSY</w:t>
            </w:r>
          </w:p>
        </w:tc>
        <w:tc>
          <w:tcPr>
            <w:tcW w:w="21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ABR, Canadian</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240" w:type="dxa"/>
            <w:vAlign w:val="bottom"/>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212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1"/>
                <w:szCs w:val="21"/>
                <w:b w:val="1"/>
                <w:bCs w:val="1"/>
                <w:color w:val="auto"/>
              </w:rPr>
              <w:t>Prime Rate and</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540" w:type="dxa"/>
            <w:vAlign w:val="bottom"/>
            <w:vMerge w:val="restart"/>
          </w:tcPr>
          <w:p>
            <w:pPr>
              <w:ind w:left="60"/>
              <w:spacing w:after="0" w:line="230" w:lineRule="exact"/>
              <w:rPr>
                <w:sz w:val="20"/>
                <w:szCs w:val="20"/>
                <w:color w:val="auto"/>
              </w:rPr>
            </w:pPr>
            <w:r>
              <w:rPr>
                <w:rFonts w:ascii="Times New Roman" w:cs="Times New Roman" w:eastAsia="Times New Roman" w:hAnsi="Times New Roman"/>
                <w:sz w:val="21"/>
                <w:szCs w:val="21"/>
                <w:b w:val="1"/>
                <w:bCs w:val="1"/>
                <w:color w:val="auto"/>
                <w:w w:val="96"/>
              </w:rPr>
              <w:t>Rate/</w:t>
            </w:r>
          </w:p>
        </w:tc>
        <w:tc>
          <w:tcPr>
            <w:tcW w:w="340" w:type="dxa"/>
            <w:vAlign w:val="bottom"/>
            <w:gridSpan w:val="2"/>
            <w:vMerge w:val="restart"/>
          </w:tcPr>
          <w:p>
            <w:pPr>
              <w:jc w:val="center"/>
              <w:spacing w:after="0" w:line="230" w:lineRule="exact"/>
              <w:rPr>
                <w:sz w:val="20"/>
                <w:szCs w:val="20"/>
                <w:color w:val="auto"/>
              </w:rPr>
            </w:pPr>
            <w:r>
              <w:rPr>
                <w:rFonts w:ascii="Times New Roman" w:cs="Times New Roman" w:eastAsia="Times New Roman" w:hAnsi="Times New Roman"/>
                <w:sz w:val="21"/>
                <w:szCs w:val="21"/>
                <w:b w:val="1"/>
                <w:bCs w:val="1"/>
                <w:color w:val="FF0000"/>
                <w:strike w:val="1"/>
                <w:w w:val="96"/>
              </w:rPr>
              <w:t>B/A</w:t>
            </w:r>
          </w:p>
        </w:tc>
        <w:tc>
          <w:tcPr>
            <w:tcW w:w="20" w:type="dxa"/>
            <w:vAlign w:val="bottom"/>
          </w:tcPr>
          <w:p>
            <w:pPr>
              <w:spacing w:after="0"/>
              <w:rPr>
                <w:sz w:val="3"/>
                <w:szCs w:val="3"/>
                <w:color w:val="auto"/>
              </w:rPr>
            </w:pPr>
          </w:p>
        </w:tc>
        <w:tc>
          <w:tcPr>
            <w:tcW w:w="460" w:type="dxa"/>
            <w:vAlign w:val="bottom"/>
            <w:vMerge w:val="restart"/>
            <w:shd w:val="clear" w:color="auto" w:fill="DDDDDD"/>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0000FF"/>
                <w:highlight w:val="lightGray"/>
                <w:w w:val="96"/>
              </w:rPr>
              <w:t>Term</w:t>
            </w:r>
          </w:p>
        </w:tc>
        <w:tc>
          <w:tcPr>
            <w:tcW w:w="4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2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60" w:type="dxa"/>
            <w:vAlign w:val="bottom"/>
            <w:tcBorders>
              <w:bottom w:val="single" w:sz="8" w:color="0000FF"/>
            </w:tcBorders>
            <w:vMerge w:val="continue"/>
            <w:shd w:val="clear" w:color="auto" w:fill="DDDDDD"/>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w w:val="98"/>
              </w:rPr>
              <w:t>U.S. Base Rate</w:t>
            </w:r>
          </w:p>
        </w:tc>
        <w:tc>
          <w:tcPr>
            <w:tcW w:w="21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w w:val="99"/>
              </w:rPr>
              <w:t>Commitment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DDDDDD"/>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40" w:type="dxa"/>
            <w:vAlign w:val="bottom"/>
          </w:tcPr>
          <w:p>
            <w:pPr>
              <w:ind w:left="40"/>
              <w:spacing w:after="0" w:line="189" w:lineRule="exact"/>
              <w:rPr>
                <w:sz w:val="20"/>
                <w:szCs w:val="20"/>
                <w:color w:val="auto"/>
              </w:rPr>
            </w:pPr>
            <w:r>
              <w:rPr>
                <w:rFonts w:ascii="Times New Roman" w:cs="Times New Roman" w:eastAsia="Times New Roman" w:hAnsi="Times New Roman"/>
                <w:sz w:val="21"/>
                <w:szCs w:val="21"/>
                <w:b w:val="1"/>
                <w:bCs w:val="1"/>
                <w:color w:val="auto"/>
              </w:rPr>
              <w:t>Total Net Leverage Ratio</w:t>
            </w:r>
          </w:p>
        </w:tc>
        <w:tc>
          <w:tcPr>
            <w:tcW w:w="780" w:type="dxa"/>
            <w:vAlign w:val="bottom"/>
            <w:tcBorders>
              <w:bottom w:val="single" w:sz="8" w:color="0000FF"/>
              <w:right w:val="single" w:sz="8" w:color="DDDDDD"/>
            </w:tcBorders>
            <w:gridSpan w:val="2"/>
            <w:shd w:val="clear" w:color="auto" w:fill="DDDDDD"/>
          </w:tcPr>
          <w:p>
            <w:pPr>
              <w:spacing w:after="0" w:line="176" w:lineRule="exact"/>
              <w:rPr>
                <w:sz w:val="20"/>
                <w:szCs w:val="20"/>
                <w:color w:val="auto"/>
              </w:rPr>
            </w:pPr>
            <w:r>
              <w:rPr>
                <w:rFonts w:ascii="Times New Roman" w:cs="Times New Roman" w:eastAsia="Times New Roman" w:hAnsi="Times New Roman"/>
                <w:sz w:val="20"/>
                <w:szCs w:val="20"/>
                <w:b w:val="1"/>
                <w:bCs w:val="1"/>
                <w:color w:val="0000FF"/>
                <w:highlight w:val="lightGray"/>
              </w:rPr>
              <w:t>CORRA</w:t>
            </w:r>
          </w:p>
        </w:tc>
        <w:tc>
          <w:tcPr>
            <w:tcW w:w="980" w:type="dxa"/>
            <w:vAlign w:val="bottom"/>
            <w:gridSpan w:val="4"/>
          </w:tcPr>
          <w:p>
            <w:pPr>
              <w:jc w:val="center"/>
              <w:ind w:right="300"/>
              <w:spacing w:after="0" w:line="189" w:lineRule="exact"/>
              <w:rPr>
                <w:sz w:val="20"/>
                <w:szCs w:val="20"/>
                <w:color w:val="auto"/>
              </w:rPr>
            </w:pPr>
            <w:r>
              <w:rPr>
                <w:rFonts w:ascii="Times New Roman" w:cs="Times New Roman" w:eastAsia="Times New Roman" w:hAnsi="Times New Roman"/>
                <w:sz w:val="21"/>
                <w:szCs w:val="21"/>
                <w:b w:val="1"/>
                <w:bCs w:val="1"/>
                <w:color w:val="auto"/>
                <w:w w:val="99"/>
              </w:rPr>
              <w:t>Spread</w:t>
            </w:r>
          </w:p>
        </w:tc>
        <w:tc>
          <w:tcPr>
            <w:tcW w:w="2120" w:type="dxa"/>
            <w:vAlign w:val="bottom"/>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w w:val="96"/>
              </w:rPr>
              <w:t>Spread</w:t>
            </w:r>
          </w:p>
        </w:tc>
        <w:tc>
          <w:tcPr>
            <w:tcW w:w="2120" w:type="dxa"/>
            <w:vAlign w:val="bottom"/>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w w:val="98"/>
              </w:rPr>
              <w:t>Fee Percentage</w:t>
            </w:r>
          </w:p>
        </w:tc>
        <w:tc>
          <w:tcPr>
            <w:tcW w:w="0" w:type="dxa"/>
            <w:vAlign w:val="bottom"/>
          </w:tcPr>
          <w:p>
            <w:pPr>
              <w:spacing w:after="0"/>
              <w:rPr>
                <w:sz w:val="1"/>
                <w:szCs w:val="1"/>
                <w:color w:val="auto"/>
              </w:rPr>
            </w:pPr>
          </w:p>
        </w:tc>
      </w:tr>
      <w:tr>
        <w:trPr>
          <w:trHeight w:val="38"/>
        </w:trPr>
        <w:tc>
          <w:tcPr>
            <w:tcW w:w="5240" w:type="dxa"/>
            <w:vAlign w:val="bottom"/>
            <w:tcBorders>
              <w:bottom w:val="single" w:sz="8" w:color="auto"/>
            </w:tcBorders>
          </w:tcPr>
          <w:p>
            <w:pPr>
              <w:spacing w:after="0"/>
              <w:rPr>
                <w:sz w:val="3"/>
                <w:szCs w:val="3"/>
                <w:color w:val="auto"/>
              </w:rPr>
            </w:pPr>
          </w:p>
        </w:tc>
        <w:tc>
          <w:tcPr>
            <w:tcW w:w="540" w:type="dxa"/>
            <w:vAlign w:val="bottom"/>
            <w:tcBorders>
              <w:top w:val="single" w:sz="8" w:color="DDDDDD"/>
              <w:bottom w:val="single" w:sz="8" w:color="auto"/>
            </w:tcBorders>
          </w:tcPr>
          <w:p>
            <w:pPr>
              <w:spacing w:after="0"/>
              <w:rPr>
                <w:sz w:val="3"/>
                <w:szCs w:val="3"/>
                <w:color w:val="auto"/>
              </w:rPr>
            </w:pPr>
          </w:p>
        </w:tc>
        <w:tc>
          <w:tcPr>
            <w:tcW w:w="240" w:type="dxa"/>
            <w:vAlign w:val="bottom"/>
            <w:tcBorders>
              <w:top w:val="single" w:sz="8" w:color="DDDDDD"/>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1375"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u w:val="single" w:color="auto"/>
          <w:color w:val="auto"/>
        </w:rPr>
        <w:t>Category 1</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Less than 1.50 to 1.00</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u w:val="single" w:color="auto"/>
          <w:color w:val="auto"/>
        </w:rPr>
        <w:t>Category 2</w:t>
      </w:r>
    </w:p>
    <w:p>
      <w:pPr>
        <w:spacing w:after="0" w:line="31"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Greater than or equal to 1.50 to 1.00 but less than 2.00 to 1.00</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u w:val="single" w:color="auto"/>
          <w:color w:val="auto"/>
        </w:rPr>
        <w:t>Category 3</w:t>
      </w:r>
    </w:p>
    <w:p>
      <w:pPr>
        <w:spacing w:after="0" w:line="31" w:lineRule="exact"/>
        <w:rPr>
          <w:sz w:val="20"/>
          <w:szCs w:val="20"/>
          <w:color w:val="auto"/>
        </w:rPr>
      </w:pPr>
    </w:p>
    <w:p>
      <w:pPr>
        <w:ind w:left="360"/>
        <w:spacing w:after="0" w:line="253" w:lineRule="auto"/>
        <w:rPr>
          <w:sz w:val="20"/>
          <w:szCs w:val="20"/>
          <w:color w:val="auto"/>
        </w:rPr>
      </w:pPr>
      <w:r>
        <w:rPr>
          <w:rFonts w:ascii="Times New Roman" w:cs="Times New Roman" w:eastAsia="Times New Roman" w:hAnsi="Times New Roman"/>
          <w:sz w:val="21"/>
          <w:szCs w:val="21"/>
          <w:color w:val="auto"/>
        </w:rPr>
        <w:t>Greater than or equal to 2.00 to 1.00 but less than 2.50 to 1.00</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u w:val="single" w:color="auto"/>
          <w:color w:val="auto"/>
        </w:rPr>
        <w:t>Category 4</w:t>
      </w:r>
    </w:p>
    <w:p>
      <w:pPr>
        <w:spacing w:after="0" w:line="31" w:lineRule="exact"/>
        <w:rPr>
          <w:sz w:val="20"/>
          <w:szCs w:val="20"/>
          <w:color w:val="auto"/>
        </w:rPr>
      </w:pPr>
    </w:p>
    <w:p>
      <w:pPr>
        <w:ind w:left="360"/>
        <w:spacing w:after="0" w:line="253" w:lineRule="auto"/>
        <w:rPr>
          <w:sz w:val="20"/>
          <w:szCs w:val="20"/>
          <w:color w:val="auto"/>
        </w:rPr>
      </w:pPr>
      <w:r>
        <w:rPr>
          <w:rFonts w:ascii="Times New Roman" w:cs="Times New Roman" w:eastAsia="Times New Roman" w:hAnsi="Times New Roman"/>
          <w:sz w:val="21"/>
          <w:szCs w:val="21"/>
          <w:color w:val="auto"/>
        </w:rPr>
        <w:t>Greater than or equal to 2.50 to 1.00 but less than 3.00 to 1.00</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u w:val="single" w:color="auto"/>
          <w:color w:val="auto"/>
        </w:rPr>
        <w:t>Category 5</w:t>
      </w:r>
    </w:p>
    <w:p>
      <w:pPr>
        <w:spacing w:after="0" w:line="31" w:lineRule="exact"/>
        <w:rPr>
          <w:sz w:val="20"/>
          <w:szCs w:val="20"/>
          <w:color w:val="auto"/>
        </w:rPr>
      </w:pPr>
    </w:p>
    <w:p>
      <w:pPr>
        <w:ind w:left="360"/>
        <w:spacing w:after="0" w:line="253" w:lineRule="auto"/>
        <w:rPr>
          <w:sz w:val="20"/>
          <w:szCs w:val="20"/>
          <w:color w:val="auto"/>
        </w:rPr>
      </w:pPr>
      <w:r>
        <w:rPr>
          <w:rFonts w:ascii="Times New Roman" w:cs="Times New Roman" w:eastAsia="Times New Roman" w:hAnsi="Times New Roman"/>
          <w:sz w:val="21"/>
          <w:szCs w:val="21"/>
          <w:color w:val="auto"/>
        </w:rPr>
        <w:t>Greater than or equal to 3.00 to 1.00 but less than 3.50 to 1.00</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1260" w:type="dxa"/>
            <w:vAlign w:val="bottom"/>
          </w:tcPr>
          <w:p>
            <w:pPr>
              <w:jc w:val="right"/>
              <w:ind w:right="615"/>
              <w:spacing w:after="0"/>
              <w:rPr>
                <w:sz w:val="20"/>
                <w:szCs w:val="20"/>
                <w:color w:val="auto"/>
              </w:rPr>
            </w:pPr>
            <w:r>
              <w:rPr>
                <w:rFonts w:ascii="Times New Roman" w:cs="Times New Roman" w:eastAsia="Times New Roman" w:hAnsi="Times New Roman"/>
                <w:sz w:val="21"/>
                <w:szCs w:val="21"/>
                <w:color w:val="auto"/>
                <w:w w:val="95"/>
              </w:rPr>
              <w:t>3.00%</w:t>
            </w:r>
          </w:p>
        </w:tc>
        <w:tc>
          <w:tcPr>
            <w:tcW w:w="2080" w:type="dxa"/>
            <w:vAlign w:val="bottom"/>
          </w:tcPr>
          <w:p>
            <w:pPr>
              <w:jc w:val="right"/>
              <w:ind w:right="695"/>
              <w:spacing w:after="0"/>
              <w:rPr>
                <w:sz w:val="20"/>
                <w:szCs w:val="20"/>
                <w:color w:val="auto"/>
              </w:rPr>
            </w:pPr>
            <w:r>
              <w:rPr>
                <w:rFonts w:ascii="Times New Roman" w:cs="Times New Roman" w:eastAsia="Times New Roman" w:hAnsi="Times New Roman"/>
                <w:sz w:val="21"/>
                <w:szCs w:val="21"/>
                <w:color w:val="auto"/>
              </w:rPr>
              <w:t>2.00%</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0.675%</w:t>
            </w:r>
          </w:p>
        </w:tc>
      </w:tr>
      <w:tr>
        <w:trPr>
          <w:trHeight w:val="810"/>
        </w:trPr>
        <w:tc>
          <w:tcPr>
            <w:tcW w:w="1260" w:type="dxa"/>
            <w:vAlign w:val="bottom"/>
          </w:tcPr>
          <w:p>
            <w:pPr>
              <w:jc w:val="right"/>
              <w:ind w:right="615"/>
              <w:spacing w:after="0"/>
              <w:rPr>
                <w:sz w:val="20"/>
                <w:szCs w:val="20"/>
                <w:color w:val="auto"/>
              </w:rPr>
            </w:pPr>
            <w:r>
              <w:rPr>
                <w:rFonts w:ascii="Times New Roman" w:cs="Times New Roman" w:eastAsia="Times New Roman" w:hAnsi="Times New Roman"/>
                <w:sz w:val="21"/>
                <w:szCs w:val="21"/>
                <w:color w:val="auto"/>
                <w:w w:val="95"/>
              </w:rPr>
              <w:t>3.25%</w:t>
            </w:r>
          </w:p>
        </w:tc>
        <w:tc>
          <w:tcPr>
            <w:tcW w:w="2080" w:type="dxa"/>
            <w:vAlign w:val="bottom"/>
          </w:tcPr>
          <w:p>
            <w:pPr>
              <w:jc w:val="right"/>
              <w:ind w:right="695"/>
              <w:spacing w:after="0"/>
              <w:rPr>
                <w:sz w:val="20"/>
                <w:szCs w:val="20"/>
                <w:color w:val="auto"/>
              </w:rPr>
            </w:pPr>
            <w:r>
              <w:rPr>
                <w:rFonts w:ascii="Times New Roman" w:cs="Times New Roman" w:eastAsia="Times New Roman" w:hAnsi="Times New Roman"/>
                <w:sz w:val="21"/>
                <w:szCs w:val="21"/>
                <w:color w:val="auto"/>
              </w:rPr>
              <w:t>2.25%</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0.731%</w:t>
            </w:r>
          </w:p>
        </w:tc>
      </w:tr>
      <w:tr>
        <w:trPr>
          <w:trHeight w:val="810"/>
        </w:trPr>
        <w:tc>
          <w:tcPr>
            <w:tcW w:w="1260" w:type="dxa"/>
            <w:vAlign w:val="bottom"/>
          </w:tcPr>
          <w:p>
            <w:pPr>
              <w:jc w:val="right"/>
              <w:ind w:right="615"/>
              <w:spacing w:after="0"/>
              <w:rPr>
                <w:sz w:val="20"/>
                <w:szCs w:val="20"/>
                <w:color w:val="auto"/>
              </w:rPr>
            </w:pPr>
            <w:r>
              <w:rPr>
                <w:rFonts w:ascii="Times New Roman" w:cs="Times New Roman" w:eastAsia="Times New Roman" w:hAnsi="Times New Roman"/>
                <w:sz w:val="21"/>
                <w:szCs w:val="21"/>
                <w:color w:val="auto"/>
                <w:w w:val="95"/>
              </w:rPr>
              <w:t>3.50%</w:t>
            </w:r>
          </w:p>
        </w:tc>
        <w:tc>
          <w:tcPr>
            <w:tcW w:w="2080" w:type="dxa"/>
            <w:vAlign w:val="bottom"/>
          </w:tcPr>
          <w:p>
            <w:pPr>
              <w:jc w:val="right"/>
              <w:ind w:right="695"/>
              <w:spacing w:after="0"/>
              <w:rPr>
                <w:sz w:val="20"/>
                <w:szCs w:val="20"/>
                <w:color w:val="auto"/>
              </w:rPr>
            </w:pPr>
            <w:r>
              <w:rPr>
                <w:rFonts w:ascii="Times New Roman" w:cs="Times New Roman" w:eastAsia="Times New Roman" w:hAnsi="Times New Roman"/>
                <w:sz w:val="21"/>
                <w:szCs w:val="21"/>
                <w:color w:val="auto"/>
              </w:rPr>
              <w:t>2.50%</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0.788%</w:t>
            </w:r>
          </w:p>
        </w:tc>
      </w:tr>
      <w:tr>
        <w:trPr>
          <w:trHeight w:val="810"/>
        </w:trPr>
        <w:tc>
          <w:tcPr>
            <w:tcW w:w="1260" w:type="dxa"/>
            <w:vAlign w:val="bottom"/>
          </w:tcPr>
          <w:p>
            <w:pPr>
              <w:jc w:val="right"/>
              <w:ind w:right="615"/>
              <w:spacing w:after="0"/>
              <w:rPr>
                <w:sz w:val="20"/>
                <w:szCs w:val="20"/>
                <w:color w:val="auto"/>
              </w:rPr>
            </w:pPr>
            <w:r>
              <w:rPr>
                <w:rFonts w:ascii="Times New Roman" w:cs="Times New Roman" w:eastAsia="Times New Roman" w:hAnsi="Times New Roman"/>
                <w:sz w:val="21"/>
                <w:szCs w:val="21"/>
                <w:color w:val="auto"/>
                <w:w w:val="95"/>
              </w:rPr>
              <w:t>3.75%</w:t>
            </w:r>
          </w:p>
        </w:tc>
        <w:tc>
          <w:tcPr>
            <w:tcW w:w="2080" w:type="dxa"/>
            <w:vAlign w:val="bottom"/>
          </w:tcPr>
          <w:p>
            <w:pPr>
              <w:jc w:val="right"/>
              <w:ind w:right="695"/>
              <w:spacing w:after="0"/>
              <w:rPr>
                <w:sz w:val="20"/>
                <w:szCs w:val="20"/>
                <w:color w:val="auto"/>
              </w:rPr>
            </w:pPr>
            <w:r>
              <w:rPr>
                <w:rFonts w:ascii="Times New Roman" w:cs="Times New Roman" w:eastAsia="Times New Roman" w:hAnsi="Times New Roman"/>
                <w:sz w:val="21"/>
                <w:szCs w:val="21"/>
                <w:color w:val="auto"/>
              </w:rPr>
              <w:t>2.75%</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0.844%</w:t>
            </w:r>
          </w:p>
        </w:tc>
      </w:tr>
      <w:tr>
        <w:trPr>
          <w:trHeight w:val="810"/>
        </w:trPr>
        <w:tc>
          <w:tcPr>
            <w:tcW w:w="1260" w:type="dxa"/>
            <w:vAlign w:val="bottom"/>
          </w:tcPr>
          <w:p>
            <w:pPr>
              <w:jc w:val="right"/>
              <w:ind w:right="615"/>
              <w:spacing w:after="0"/>
              <w:rPr>
                <w:sz w:val="20"/>
                <w:szCs w:val="20"/>
                <w:color w:val="auto"/>
              </w:rPr>
            </w:pPr>
            <w:r>
              <w:rPr>
                <w:rFonts w:ascii="Times New Roman" w:cs="Times New Roman" w:eastAsia="Times New Roman" w:hAnsi="Times New Roman"/>
                <w:sz w:val="21"/>
                <w:szCs w:val="21"/>
                <w:color w:val="auto"/>
                <w:w w:val="95"/>
              </w:rPr>
              <w:t>4.00%</w:t>
            </w:r>
          </w:p>
        </w:tc>
        <w:tc>
          <w:tcPr>
            <w:tcW w:w="2080" w:type="dxa"/>
            <w:vAlign w:val="bottom"/>
          </w:tcPr>
          <w:p>
            <w:pPr>
              <w:jc w:val="right"/>
              <w:ind w:right="695"/>
              <w:spacing w:after="0"/>
              <w:rPr>
                <w:sz w:val="20"/>
                <w:szCs w:val="20"/>
                <w:color w:val="auto"/>
              </w:rPr>
            </w:pPr>
            <w:r>
              <w:rPr>
                <w:rFonts w:ascii="Times New Roman" w:cs="Times New Roman" w:eastAsia="Times New Roman" w:hAnsi="Times New Roman"/>
                <w:sz w:val="21"/>
                <w:szCs w:val="21"/>
                <w:color w:val="auto"/>
              </w:rPr>
              <w:t>3.00%</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0.900%</w:t>
            </w:r>
          </w:p>
        </w:tc>
      </w:tr>
    </w:tbl>
    <w:p>
      <w:pPr>
        <w:spacing w:after="0" w:line="200" w:lineRule="exact"/>
        <w:rPr>
          <w:sz w:val="20"/>
          <w:szCs w:val="20"/>
          <w:color w:val="auto"/>
        </w:rPr>
      </w:pPr>
    </w:p>
    <w:p>
      <w:pPr>
        <w:sectPr>
          <w:pgSz w:w="11900" w:h="16838" w:orient="portrait"/>
          <w:cols w:equalWidth="0" w:num="2">
            <w:col w:w="4920" w:space="80"/>
            <w:col w:w="6240"/>
          </w:cols>
          <w:pgMar w:left="320" w:top="1375"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both"/>
        <w:ind w:firstLine="632"/>
        <w:spacing w:after="0" w:line="252" w:lineRule="auto"/>
        <w:tabs>
          <w:tab w:leader="none" w:pos="124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change in the Applicable Percentage resulting from a change in the Total Net Leverage Ratio shall be effective with respect to all Loans and Letters of Credit outstanding on and after the date of delivery to the Administrative Agent of the financial statements required by Section 5.04(a) or (b) and the Compliance Certificate required by Section 5.04(c), respectively, indicating such change until the date immediately preceding the next date of delivery of such financial statements indicating another such change; provided, however, that at any time during which the Parent Borrower has failed to deliver when due the financial statements required by Section 5.04(a) or (b) and the Compliance Certificate required by Section 5.04(c), respectively, the Total Net Leverage Ratio shall be deemed to be in Category 5 for purposes of determining the Applicable Percentage. Notwithstanding the foregoing, as of the Closing Date, the Applicable Percentage shall be based on Category 3 until adjusted in accordance with this paragraph.</w:t>
      </w:r>
    </w:p>
    <w:p>
      <w:pPr>
        <w:spacing w:after="0" w:line="172" w:lineRule="exact"/>
        <w:rPr>
          <w:rFonts w:ascii="Times New Roman" w:cs="Times New Roman" w:eastAsia="Times New Roman" w:hAnsi="Times New Roman"/>
          <w:sz w:val="21"/>
          <w:szCs w:val="21"/>
          <w:color w:val="auto"/>
        </w:rPr>
      </w:pPr>
    </w:p>
    <w:p>
      <w:pPr>
        <w:ind w:firstLine="632"/>
        <w:spacing w:after="0" w:line="292" w:lineRule="auto"/>
        <w:tabs>
          <w:tab w:leader="none" w:pos="130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Pro Rata Percentage</w:t>
      </w:r>
      <w:r>
        <w:rPr>
          <w:rFonts w:ascii="Times New Roman" w:cs="Times New Roman" w:eastAsia="Times New Roman" w:hAnsi="Times New Roman"/>
          <w:sz w:val="21"/>
          <w:szCs w:val="21"/>
          <w:color w:val="auto"/>
        </w:rPr>
        <w:t>” shall mean the Canadian Applicable Pro Rata Percentage, the Australian Revolving Pro Rata Percentage or the U.S. Revolving Pro Rata Percentage, as the context may require.</w:t>
      </w:r>
    </w:p>
    <w:p>
      <w:pPr>
        <w:spacing w:after="0" w:line="131" w:lineRule="exact"/>
        <w:rPr>
          <w:rFonts w:ascii="Times New Roman" w:cs="Times New Roman" w:eastAsia="Times New Roman" w:hAnsi="Times New Roman"/>
          <w:sz w:val="21"/>
          <w:szCs w:val="21"/>
          <w:color w:val="auto"/>
        </w:rPr>
      </w:pPr>
    </w:p>
    <w:p>
      <w:pPr>
        <w:jc w:val="both"/>
        <w:ind w:firstLine="632"/>
        <w:spacing w:after="0" w:line="257" w:lineRule="auto"/>
        <w:tabs>
          <w:tab w:leader="none" w:pos="124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Required Lenders</w:t>
      </w:r>
      <w:r>
        <w:rPr>
          <w:rFonts w:ascii="Times New Roman" w:cs="Times New Roman" w:eastAsia="Times New Roman" w:hAnsi="Times New Roman"/>
          <w:sz w:val="21"/>
          <w:szCs w:val="21"/>
          <w:color w:val="auto"/>
        </w:rPr>
        <w:t>” shall mean (a) the Required U.S. Lenders with respect to the U.S. Revolving Credit Facility, (b) the Required Canadian Revolving Lenders with respect to the Canadian Revolving Credit Facility, (c) the Required Canadian Term Lenders with respect to the Canadian Term Loan Facility, or (d) the Required Australian Lenders with respect to the Australian Revolving Credit Facility.</w:t>
      </w:r>
    </w:p>
    <w:p>
      <w:pPr>
        <w:sectPr>
          <w:pgSz w:w="11900" w:h="16838" w:orient="portrait"/>
          <w:cols w:equalWidth="0" w:num="1">
            <w:col w:w="11240"/>
          </w:cols>
          <w:pgMar w:left="320" w:top="1375" w:right="339" w:bottom="1440" w:gutter="0" w:footer="0" w:header="0"/>
          <w:type w:val="continuous"/>
        </w:sectPr>
      </w:pPr>
    </w:p>
    <w:bookmarkStart w:id="52" w:name="page53"/>
    <w:bookmarkEnd w:id="52"/>
    <w:p>
      <w:pPr>
        <w:jc w:val="both"/>
        <w:ind w:firstLine="632"/>
        <w:spacing w:after="0" w:line="258" w:lineRule="auto"/>
        <w:tabs>
          <w:tab w:leader="none" w:pos="124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Swing Line Lender</w:t>
      </w:r>
      <w:r>
        <w:rPr>
          <w:rFonts w:ascii="Times New Roman" w:cs="Times New Roman" w:eastAsia="Times New Roman" w:hAnsi="Times New Roman"/>
          <w:sz w:val="21"/>
          <w:szCs w:val="21"/>
          <w:color w:val="auto"/>
        </w:rPr>
        <w:t>” shall mean (a) with respect to the U.S. Swing Line Sublimit, (i) the U.S. Swing Line Lender and (ii) if any U.S. Swing Line Loans are outstanding and have not been refinanced by a U.S. Revolving Borrowing pursuant to Section 2.23(c)(ii), the U.S. Revolving Lenders and (b) with respect to the Canadian Swing Line Sublimit, the Canadian Swing Line Lender and (ii) if any Canadian Swing Line Loans are outstanding and have not been refinanced by a Canadian Revolving Borrowing pursuant to Section 2.23(c)(ii), the Canadian Revolving Lenders.</w:t>
      </w:r>
    </w:p>
    <w:p>
      <w:pPr>
        <w:spacing w:after="0" w:line="16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Approved Fund</w:t>
      </w:r>
      <w:r>
        <w:rPr>
          <w:rFonts w:ascii="Times New Roman" w:cs="Times New Roman" w:eastAsia="Times New Roman" w:hAnsi="Times New Roman"/>
          <w:sz w:val="20"/>
          <w:szCs w:val="20"/>
          <w:color w:val="auto"/>
        </w:rPr>
        <w:t>” shall mean any Fund that is administered or managed by (a) a Lender, (b) an Affiliate of a Lender or</w:t>
      </w:r>
    </w:p>
    <w:p>
      <w:pPr>
        <w:spacing w:after="0" w:line="44" w:lineRule="exact"/>
        <w:rPr>
          <w:rFonts w:ascii="Times New Roman" w:cs="Times New Roman" w:eastAsia="Times New Roman" w:hAnsi="Times New Roman"/>
          <w:sz w:val="20"/>
          <w:szCs w:val="20"/>
          <w:color w:val="auto"/>
        </w:rPr>
      </w:pPr>
    </w:p>
    <w:p>
      <w:pPr>
        <w:ind w:left="280" w:hanging="275"/>
        <w:spacing w:after="0"/>
        <w:tabs>
          <w:tab w:leader="none" w:pos="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entity or an Affiliate of an entity that administers or manages a Lender.</w:t>
      </w:r>
    </w:p>
    <w:p>
      <w:pPr>
        <w:spacing w:after="0" w:line="189" w:lineRule="exact"/>
        <w:rPr>
          <w:rFonts w:ascii="Times New Roman" w:cs="Times New Roman" w:eastAsia="Times New Roman" w:hAnsi="Times New Roman"/>
          <w:sz w:val="21"/>
          <w:szCs w:val="21"/>
          <w:color w:val="auto"/>
        </w:rPr>
      </w:pPr>
    </w:p>
    <w:p>
      <w:pPr>
        <w:jc w:val="both"/>
        <w:ind w:firstLine="632"/>
        <w:spacing w:after="0" w:line="256" w:lineRule="auto"/>
        <w:tabs>
          <w:tab w:leader="none" w:pos="124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Asset Sale</w:t>
      </w:r>
      <w:r>
        <w:rPr>
          <w:rFonts w:ascii="Times New Roman" w:cs="Times New Roman" w:eastAsia="Times New Roman" w:hAnsi="Times New Roman"/>
          <w:sz w:val="21"/>
          <w:szCs w:val="21"/>
          <w:color w:val="auto"/>
        </w:rPr>
        <w:t>” shall mean the sale, transfer or other disposition (by way of merger, casualty, condemnation or otherwise) of any or all of the property of the Parent Borrower or any of its Subsidiaries to any person other than the Parent Borrower or any of its Subsidiaries (other than (a) Equity Interests in the Parent Borrower or directors’ qualifying shares in any Subsidiary, (b) inventory, damaged, obsolete or worn out assets, scrap and Permitted Investments, in each case disposed of in the ordinary course of business,</w:t>
      </w:r>
    </w:p>
    <w:p>
      <w:pPr>
        <w:spacing w:after="0" w:line="1" w:lineRule="exact"/>
        <w:rPr>
          <w:rFonts w:ascii="Times New Roman" w:cs="Times New Roman" w:eastAsia="Times New Roman" w:hAnsi="Times New Roman"/>
          <w:sz w:val="21"/>
          <w:szCs w:val="21"/>
          <w:color w:val="auto"/>
        </w:rPr>
      </w:pPr>
    </w:p>
    <w:p>
      <w:pPr>
        <w:jc w:val="both"/>
        <w:ind w:firstLine="5"/>
        <w:spacing w:after="0" w:line="250" w:lineRule="auto"/>
        <w:tabs>
          <w:tab w:leader="none" w:pos="28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between or among Subsidiaries that are not Loan Parties or (d) Specified Dispositions);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asset sale or series of related asset sales described above having a value not in excess of U.S.$1,000,000 shall be deemed not to be an “Asset Sale” for purposes of this Agreement.</w:t>
      </w:r>
    </w:p>
    <w:p>
      <w:pPr>
        <w:spacing w:after="0" w:line="186"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Assignee Group</w:t>
      </w:r>
      <w:r>
        <w:rPr>
          <w:rFonts w:ascii="Times New Roman" w:cs="Times New Roman" w:eastAsia="Times New Roman" w:hAnsi="Times New Roman"/>
          <w:sz w:val="21"/>
          <w:szCs w:val="21"/>
          <w:color w:val="auto"/>
        </w:rPr>
        <w:t>” shall mean two or more Eligible Assignees that are Affiliates of one another or two or more Approved Funds managed by the same investment advisor.</w:t>
      </w:r>
    </w:p>
    <w:p>
      <w:pPr>
        <w:spacing w:after="0" w:line="144"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Assignment and Acceptance</w:t>
      </w:r>
      <w:r>
        <w:rPr>
          <w:rFonts w:ascii="Times New Roman" w:cs="Times New Roman" w:eastAsia="Times New Roman" w:hAnsi="Times New Roman"/>
          <w:sz w:val="21"/>
          <w:szCs w:val="21"/>
          <w:color w:val="auto"/>
        </w:rPr>
        <w:t>” shall mean an assignment and acceptance entered into by a Lender and an assignee (with the consent of any party whose consent is required by Section 9.04) and accepted by the Applicable Administrative Agent, in substantially the form of Exhibit A or such other form as shall be approved by the Applicable Administrative Agent.</w:t>
      </w:r>
    </w:p>
    <w:p>
      <w:pPr>
        <w:spacing w:after="0" w:line="173"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Associate</w:t>
      </w:r>
      <w:r>
        <w:rPr>
          <w:rFonts w:ascii="Times New Roman" w:cs="Times New Roman" w:eastAsia="Times New Roman" w:hAnsi="Times New Roman"/>
          <w:sz w:val="21"/>
          <w:szCs w:val="21"/>
          <w:color w:val="auto"/>
        </w:rPr>
        <w:t>” shall mean an “associate” as defined in section 128F(9) of the Australian Tax Act.</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Attorneys</w:t>
      </w:r>
      <w:r>
        <w:rPr>
          <w:rFonts w:ascii="Times New Roman" w:cs="Times New Roman" w:eastAsia="Times New Roman" w:hAnsi="Times New Roman"/>
          <w:sz w:val="21"/>
          <w:szCs w:val="21"/>
          <w:color w:val="auto"/>
        </w:rPr>
        <w:t>” shall have the meaning assigned to such term in Section 1.03(b).</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Administrative Agent</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1300" w:hanging="668"/>
        <w:spacing w:after="0"/>
        <w:tabs>
          <w:tab w:leader="none" w:pos="130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Borrower</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Collateral</w:t>
      </w:r>
      <w:r>
        <w:rPr>
          <w:rFonts w:ascii="Times New Roman" w:cs="Times New Roman" w:eastAsia="Times New Roman" w:hAnsi="Times New Roman"/>
          <w:sz w:val="21"/>
          <w:szCs w:val="21"/>
          <w:color w:val="auto"/>
        </w:rPr>
        <w:t>” shall mean all “Collateral” or “Secured Property” as defined in any Australian Security</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Document.</w:t>
      </w:r>
    </w:p>
    <w:p>
      <w:pPr>
        <w:spacing w:after="0" w:line="202"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Collateral Agent</w:t>
      </w:r>
      <w:r>
        <w:rPr>
          <w:rFonts w:ascii="Times New Roman" w:cs="Times New Roman" w:eastAsia="Times New Roman" w:hAnsi="Times New Roman"/>
          <w:sz w:val="21"/>
          <w:szCs w:val="21"/>
          <w:color w:val="auto"/>
        </w:rPr>
        <w:t>” shall have the meaning assigned to such term in the preamble hereto.</w:t>
      </w:r>
    </w:p>
    <w:p>
      <w:pPr>
        <w:sectPr>
          <w:pgSz w:w="11900" w:h="16838" w:orient="portrait"/>
          <w:cols w:equalWidth="0" w:num="1">
            <w:col w:w="11240"/>
          </w:cols>
          <w:pgMar w:left="320" w:top="1378" w:right="339" w:bottom="1440" w:gutter="0" w:footer="0" w:header="0"/>
        </w:sectPr>
      </w:pPr>
    </w:p>
    <w:bookmarkStart w:id="53" w:name="page54"/>
    <w:bookmarkEnd w:id="53"/>
    <w:p>
      <w:pPr>
        <w:ind w:left="628" w:hanging="628"/>
        <w:spacing w:after="0"/>
        <w:tabs>
          <w:tab w:leader="none" w:pos="6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Commitment Fee</w:t>
      </w:r>
      <w:r>
        <w:rPr>
          <w:rFonts w:ascii="Times New Roman" w:cs="Times New Roman" w:eastAsia="Times New Roman" w:hAnsi="Times New Roman"/>
          <w:sz w:val="21"/>
          <w:szCs w:val="21"/>
          <w:color w:val="auto"/>
        </w:rPr>
        <w:t>” shall have the meaning assigned to such term in Section 2.05(a).</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Corporations Act</w:t>
      </w:r>
      <w:r>
        <w:rPr>
          <w:rFonts w:ascii="Times New Roman" w:cs="Times New Roman" w:eastAsia="Times New Roman" w:hAnsi="Times New Roman"/>
          <w:sz w:val="21"/>
          <w:szCs w:val="21"/>
          <w:color w:val="auto"/>
        </w:rPr>
        <w:t xml:space="preserve">” shall mean the </w:t>
      </w:r>
      <w:r>
        <w:rPr>
          <w:rFonts w:ascii="Times New Roman" w:cs="Times New Roman" w:eastAsia="Times New Roman" w:hAnsi="Times New Roman"/>
          <w:sz w:val="21"/>
          <w:szCs w:val="21"/>
          <w:i w:val="1"/>
          <w:iCs w:val="1"/>
          <w:color w:val="auto"/>
        </w:rPr>
        <w:t>Corporations Act 2001 (Cth)</w:t>
      </w:r>
      <w:r>
        <w:rPr>
          <w:rFonts w:ascii="Times New Roman" w:cs="Times New Roman" w:eastAsia="Times New Roman" w:hAnsi="Times New Roman"/>
          <w:sz w:val="21"/>
          <w:szCs w:val="21"/>
          <w:color w:val="auto"/>
        </w:rPr>
        <w:t>.</w:t>
      </w:r>
    </w:p>
    <w:p>
      <w:pPr>
        <w:spacing w:after="0" w:line="215" w:lineRule="exact"/>
        <w:rPr>
          <w:rFonts w:ascii="Times New Roman" w:cs="Times New Roman" w:eastAsia="Times New Roman" w:hAnsi="Times New Roman"/>
          <w:sz w:val="21"/>
          <w:szCs w:val="21"/>
          <w:color w:val="auto"/>
        </w:rPr>
      </w:pPr>
    </w:p>
    <w:p>
      <w:pPr>
        <w:ind w:left="-632" w:firstLine="632"/>
        <w:spacing w:after="0" w:line="292" w:lineRule="auto"/>
        <w:tabs>
          <w:tab w:leader="none" w:pos="61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Dollar Equivalent</w:t>
      </w:r>
      <w:r>
        <w:rPr>
          <w:rFonts w:ascii="Times New Roman" w:cs="Times New Roman" w:eastAsia="Times New Roman" w:hAnsi="Times New Roman"/>
          <w:sz w:val="21"/>
          <w:szCs w:val="21"/>
          <w:color w:val="auto"/>
        </w:rPr>
        <w:t>” shall mean, on any date of determination, with respect to any amount in U.S. dollars, the equivalent in Australian dollars of such amount, determined by the Administrative Agent using the Exchange Rate then in effect.</w:t>
      </w:r>
    </w:p>
    <w:p>
      <w:pPr>
        <w:spacing w:after="0" w:line="131"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dollars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AUD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AUD$</w:t>
      </w:r>
      <w:r>
        <w:rPr>
          <w:rFonts w:ascii="Times New Roman" w:cs="Times New Roman" w:eastAsia="Times New Roman" w:hAnsi="Times New Roman"/>
          <w:sz w:val="21"/>
          <w:szCs w:val="21"/>
          <w:color w:val="auto"/>
        </w:rPr>
        <w:t>” shall mean the lawful money of the Commonwealth of Australia.</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GST</w:t>
      </w:r>
      <w:r>
        <w:rPr>
          <w:rFonts w:ascii="Times New Roman" w:cs="Times New Roman" w:eastAsia="Times New Roman" w:hAnsi="Times New Roman"/>
          <w:sz w:val="21"/>
          <w:szCs w:val="21"/>
          <w:color w:val="auto"/>
        </w:rPr>
        <w:t xml:space="preserve">” shall have the meaning given in </w:t>
      </w:r>
      <w:r>
        <w:rPr>
          <w:rFonts w:ascii="Times New Roman" w:cs="Times New Roman" w:eastAsia="Times New Roman" w:hAnsi="Times New Roman"/>
          <w:sz w:val="21"/>
          <w:szCs w:val="21"/>
          <w:i w:val="1"/>
          <w:iCs w:val="1"/>
          <w:color w:val="auto"/>
        </w:rPr>
        <w:t>A New Tax System (Goods and Services Tax) Act 1999 (Cth)</w:t>
      </w:r>
      <w:r>
        <w:rPr>
          <w:rFonts w:ascii="Times New Roman" w:cs="Times New Roman" w:eastAsia="Times New Roman" w:hAnsi="Times New Roman"/>
          <w:sz w:val="21"/>
          <w:szCs w:val="21"/>
          <w:color w:val="auto"/>
        </w:rPr>
        <w:t>.</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GST Liability</w:t>
      </w:r>
      <w:r>
        <w:rPr>
          <w:rFonts w:ascii="Times New Roman" w:cs="Times New Roman" w:eastAsia="Times New Roman" w:hAnsi="Times New Roman"/>
          <w:sz w:val="21"/>
          <w:szCs w:val="21"/>
          <w:color w:val="auto"/>
        </w:rPr>
        <w:t>” shall have the meaning assigned to such term in Section 2.19(j).</w:t>
      </w:r>
    </w:p>
    <w:p>
      <w:pPr>
        <w:spacing w:after="0" w:line="215" w:lineRule="exact"/>
        <w:rPr>
          <w:rFonts w:ascii="Times New Roman" w:cs="Times New Roman" w:eastAsia="Times New Roman" w:hAnsi="Times New Roman"/>
          <w:sz w:val="21"/>
          <w:szCs w:val="21"/>
          <w:color w:val="auto"/>
        </w:rPr>
      </w:pPr>
    </w:p>
    <w:p>
      <w:pPr>
        <w:ind w:left="-632" w:firstLine="632"/>
        <w:spacing w:after="0" w:line="292" w:lineRule="auto"/>
        <w:tabs>
          <w:tab w:leader="none" w:pos="61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Guarantee Agreement</w:t>
      </w:r>
      <w:r>
        <w:rPr>
          <w:rFonts w:ascii="Times New Roman" w:cs="Times New Roman" w:eastAsia="Times New Roman" w:hAnsi="Times New Roman"/>
          <w:sz w:val="21"/>
          <w:szCs w:val="21"/>
          <w:color w:val="auto"/>
        </w:rPr>
        <w:t>” shall mean a Deed of Guarantee and Indemnity, substantially in the form of Exhibit C-1, in favor of the Australian Collateral Agent, for the benefit of the Secured Parties.</w:t>
      </w:r>
    </w:p>
    <w:p>
      <w:pPr>
        <w:spacing w:after="0" w:line="131" w:lineRule="exact"/>
        <w:rPr>
          <w:rFonts w:ascii="Times New Roman" w:cs="Times New Roman" w:eastAsia="Times New Roman" w:hAnsi="Times New Roman"/>
          <w:sz w:val="21"/>
          <w:szCs w:val="21"/>
          <w:color w:val="auto"/>
        </w:rPr>
      </w:pPr>
    </w:p>
    <w:p>
      <w:pPr>
        <w:jc w:val="both"/>
        <w:ind w:left="-632" w:firstLine="632"/>
        <w:spacing w:after="0" w:line="257" w:lineRule="auto"/>
        <w:tabs>
          <w:tab w:leader="none" w:pos="61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L/C Exposure</w:t>
      </w:r>
      <w:r>
        <w:rPr>
          <w:rFonts w:ascii="Times New Roman" w:cs="Times New Roman" w:eastAsia="Times New Roman" w:hAnsi="Times New Roman"/>
          <w:sz w:val="21"/>
          <w:szCs w:val="21"/>
          <w:color w:val="auto"/>
        </w:rPr>
        <w:t>”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167"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L/C Participation Fee</w:t>
      </w:r>
      <w:r>
        <w:rPr>
          <w:rFonts w:ascii="Times New Roman" w:cs="Times New Roman" w:eastAsia="Times New Roman" w:hAnsi="Times New Roman"/>
          <w:sz w:val="21"/>
          <w:szCs w:val="21"/>
          <w:color w:val="auto"/>
        </w:rPr>
        <w:t>” shall have the meaning assigned to such term in Section 2.05(c).</w:t>
      </w:r>
    </w:p>
    <w:p>
      <w:pPr>
        <w:spacing w:after="0" w:line="228"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Lenders</w:t>
      </w:r>
      <w:r>
        <w:rPr>
          <w:rFonts w:ascii="Times New Roman" w:cs="Times New Roman" w:eastAsia="Times New Roman" w:hAnsi="Times New Roman"/>
          <w:sz w:val="21"/>
          <w:szCs w:val="21"/>
          <w:color w:val="auto"/>
        </w:rPr>
        <w:t>” shall mean Lenders having Australian Revolving Commitments, outstanding Australian Revolving Credit Loans or participations in Australian Letters of Credit pursuant to Section 2.21(d).</w:t>
      </w:r>
    </w:p>
    <w:p>
      <w:pPr>
        <w:spacing w:after="0" w:line="14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Loan Parties</w:t>
      </w:r>
      <w:r>
        <w:rPr>
          <w:rFonts w:ascii="Times New Roman" w:cs="Times New Roman" w:eastAsia="Times New Roman" w:hAnsi="Times New Roman"/>
          <w:sz w:val="21"/>
          <w:szCs w:val="21"/>
          <w:color w:val="auto"/>
        </w:rPr>
        <w:t>” shall mean the Australian Borrower and the Australian Subsidiary Guarantors.</w:t>
      </w:r>
    </w:p>
    <w:p>
      <w:pPr>
        <w:spacing w:after="0" w:line="21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Revolving Borrowing</w:t>
      </w:r>
      <w:r>
        <w:rPr>
          <w:rFonts w:ascii="Times New Roman" w:cs="Times New Roman" w:eastAsia="Times New Roman" w:hAnsi="Times New Roman"/>
          <w:sz w:val="21"/>
          <w:szCs w:val="21"/>
          <w:color w:val="auto"/>
        </w:rPr>
        <w:t>” shall mean a group of Australian Revolving Credit Loans of a single Type made, converted or continued by the Australian Lenders on a single date and as to which a single Interest Period is in effect.</w:t>
      </w:r>
    </w:p>
    <w:p>
      <w:pPr>
        <w:spacing w:after="0" w:line="157"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Revolving Commitment</w:t>
      </w:r>
      <w:r>
        <w:rPr>
          <w:rFonts w:ascii="Times New Roman" w:cs="Times New Roman" w:eastAsia="Times New Roman" w:hAnsi="Times New Roman"/>
          <w:sz w:val="21"/>
          <w:szCs w:val="21"/>
          <w:color w:val="auto"/>
        </w:rPr>
        <w:t>”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Schedule</w:t>
      </w:r>
    </w:p>
    <w:p>
      <w:pPr>
        <w:sectPr>
          <w:pgSz w:w="11900" w:h="16838" w:orient="portrait"/>
          <w:cols w:equalWidth="0" w:num="1">
            <w:col w:w="10608"/>
          </w:cols>
          <w:pgMar w:left="952" w:top="1378" w:right="339" w:bottom="1440" w:gutter="0" w:footer="0" w:header="0"/>
        </w:sectPr>
      </w:pPr>
    </w:p>
    <w:bookmarkStart w:id="54" w:name="page55"/>
    <w:bookmarkEnd w:id="54"/>
    <w:p>
      <w:pPr>
        <w:jc w:val="both"/>
        <w:spacing w:after="0" w:line="257" w:lineRule="auto"/>
        <w:rPr>
          <w:sz w:val="20"/>
          <w:szCs w:val="20"/>
          <w:color w:val="auto"/>
        </w:rPr>
      </w:pPr>
      <w:r>
        <w:rPr>
          <w:rFonts w:ascii="Times New Roman" w:cs="Times New Roman" w:eastAsia="Times New Roman" w:hAnsi="Times New Roman"/>
          <w:sz w:val="21"/>
          <w:szCs w:val="21"/>
          <w:color w:val="auto"/>
        </w:rPr>
        <w:t>2.01 under the caption “Australian Revolving Commitment”, or in the Assignment and Acceptance or Lender Joinder Agreement pursuant to which such Australian Lender assumed its Australian Revolving Commitment, as applicable, as the same may be (i) increased from time to time pursuant to Section 2.25, (ii) reduced from time to time pursuant to Section 2.09 and (iii) reduced or increased from time to time pursuant to assignments by or to such Australian Lender pursuant to Section 9.04. The aggregate amount of the Australian Revolving Commitments as of the Closing Date is U.S.$35,000,000.</w:t>
      </w:r>
    </w:p>
    <w:p>
      <w:pPr>
        <w:spacing w:after="0" w:line="169" w:lineRule="exact"/>
        <w:rPr>
          <w:sz w:val="20"/>
          <w:szCs w:val="20"/>
          <w:color w:val="auto"/>
        </w:rPr>
      </w:pPr>
    </w:p>
    <w:p>
      <w:pPr>
        <w:jc w:val="both"/>
        <w:ind w:firstLine="632"/>
        <w:spacing w:after="0" w:line="258" w:lineRule="auto"/>
        <w:tabs>
          <w:tab w:leader="none" w:pos="124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Revolving Credit Exposure</w:t>
      </w:r>
      <w:r>
        <w:rPr>
          <w:rFonts w:ascii="Times New Roman" w:cs="Times New Roman" w:eastAsia="Times New Roman" w:hAnsi="Times New Roman"/>
          <w:sz w:val="21"/>
          <w:szCs w:val="21"/>
          <w:color w:val="auto"/>
        </w:rPr>
        <w:t xml:space="preserve">” shall mean, with respect to any Australian Lender at any time, the aggregate principal amount at such time of all outstanding Australian Revolving Credit Loans of such Lender denominated in U.S. dollars,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U.S. Dollar Equivalent of the aggregate principal amount at such time of all outstanding Australian Revolving Credit Loans of such Australian Lender denominated in Australian dollars,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U.S. Dollar Equivalent of the aggregate amount at such time of such Australian Lender’s Australian Revolving Pro Rata Percentage of the Australian L/C Exposure.</w:t>
      </w:r>
    </w:p>
    <w:p>
      <w:pPr>
        <w:spacing w:after="0" w:line="16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Revolving Credit Facility</w:t>
      </w:r>
      <w:r>
        <w:rPr>
          <w:rFonts w:ascii="Times New Roman" w:cs="Times New Roman" w:eastAsia="Times New Roman" w:hAnsi="Times New Roman"/>
          <w:sz w:val="21"/>
          <w:szCs w:val="21"/>
          <w:color w:val="auto"/>
        </w:rPr>
        <w:t>” shall mean at any time the aggregate amount of the Australian Revolving Commitments of the Australian Lenders at such time.</w:t>
      </w:r>
    </w:p>
    <w:p>
      <w:pPr>
        <w:spacing w:after="0" w:line="144"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Revolving Credit Loans</w:t>
      </w:r>
      <w:r>
        <w:rPr>
          <w:rFonts w:ascii="Times New Roman" w:cs="Times New Roman" w:eastAsia="Times New Roman" w:hAnsi="Times New Roman"/>
          <w:sz w:val="21"/>
          <w:szCs w:val="21"/>
          <w:color w:val="auto"/>
        </w:rPr>
        <w:t>”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SOFR Loan.</w:t>
      </w:r>
    </w:p>
    <w:p>
      <w:pPr>
        <w:spacing w:after="0" w:line="165"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Revolving Pro Rata Percentage</w:t>
      </w:r>
      <w:r>
        <w:rPr>
          <w:rFonts w:ascii="Times New Roman" w:cs="Times New Roman" w:eastAsia="Times New Roman" w:hAnsi="Times New Roman"/>
          <w:sz w:val="21"/>
          <w:szCs w:val="21"/>
          <w:color w:val="auto"/>
        </w:rPr>
        <w:t xml:space="preserve">” of any Australian Lender, subject to any adjustment as provided in Section 2.24(c) or 2.25(a), shall mean the percentage of the aggregate Australian Revolving Commitments represented by such Australian Lender’s Australian Revolving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Australian Revolving Commitments have terminated, the Australian Revolving Pro Rata Percentages of the Australian Lenders shall be determined based upon the Australian Revolving Commitments most recently in effect, giving effect to any assignments.</w:t>
      </w:r>
    </w:p>
    <w:p>
      <w:pPr>
        <w:spacing w:after="0" w:line="165"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Security Deed</w:t>
      </w:r>
      <w:r>
        <w:rPr>
          <w:rFonts w:ascii="Times New Roman" w:cs="Times New Roman" w:eastAsia="Times New Roman" w:hAnsi="Times New Roman"/>
          <w:sz w:val="21"/>
          <w:szCs w:val="21"/>
          <w:color w:val="auto"/>
        </w:rPr>
        <w:t>” shall mean any Australian General Security Deed governed by the laws of New South Wales, Australia, substantially in the form of Exhibit E-1, among the Australian Borrower and the Australian Subsidiary Guarantors, as grantors, and the Australian Collateral Agent for the benefit of the Secured Parties.</w:t>
      </w:r>
    </w:p>
    <w:p>
      <w:pPr>
        <w:spacing w:after="0" w:line="155"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Security Documents</w:t>
      </w:r>
      <w:r>
        <w:rPr>
          <w:rFonts w:ascii="Times New Roman" w:cs="Times New Roman" w:eastAsia="Times New Roman" w:hAnsi="Times New Roman"/>
          <w:sz w:val="21"/>
          <w:szCs w:val="21"/>
          <w:color w:val="auto"/>
        </w:rPr>
        <w:t>” shall mean the Australian Security Deed, the Australian Security Trust Deed and each other Security Document to which the Australian Borrower, or any Australian Subsidiary Guarantor is a party and that purports to grant a Lien in the assets of any such person in favor of the Australian Collateral Agent for the benefit of the Secured Parties.</w:t>
      </w:r>
    </w:p>
    <w:p>
      <w:pPr>
        <w:sectPr>
          <w:pgSz w:w="11900" w:h="16838" w:orient="portrait"/>
          <w:cols w:equalWidth="0" w:num="1">
            <w:col w:w="11240"/>
          </w:cols>
          <w:pgMar w:left="320" w:top="1380" w:right="339" w:bottom="1440" w:gutter="0" w:footer="0" w:header="0"/>
        </w:sectPr>
      </w:pPr>
    </w:p>
    <w:bookmarkStart w:id="55" w:name="page56"/>
    <w:bookmarkEnd w:id="55"/>
    <w:p>
      <w:pPr>
        <w:ind w:firstLine="632"/>
        <w:spacing w:after="0" w:line="279" w:lineRule="auto"/>
        <w:tabs>
          <w:tab w:leader="none" w:pos="124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Security Trust Deed</w:t>
      </w:r>
      <w:r>
        <w:rPr>
          <w:rFonts w:ascii="Times New Roman" w:cs="Times New Roman" w:eastAsia="Times New Roman" w:hAnsi="Times New Roman"/>
          <w:sz w:val="21"/>
          <w:szCs w:val="21"/>
          <w:color w:val="auto"/>
        </w:rPr>
        <w:t>” shall mean the security trust deed granted by the Australian Collateral Agent, as security trustee.</w:t>
      </w:r>
    </w:p>
    <w:p>
      <w:pPr>
        <w:spacing w:after="0" w:line="144"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Subsidiaries</w:t>
      </w:r>
      <w:r>
        <w:rPr>
          <w:rFonts w:ascii="Times New Roman" w:cs="Times New Roman" w:eastAsia="Times New Roman" w:hAnsi="Times New Roman"/>
          <w:sz w:val="21"/>
          <w:szCs w:val="21"/>
          <w:color w:val="auto"/>
        </w:rPr>
        <w:t>” shall mean the Subsidiaries of the Parent Borrower (other than the Australian Borrower) organized under the laws of the Commonwealth of Australia or any state, territory or other political subdivision thereof other than any U.S. Owned Subsidiary.</w:t>
      </w:r>
    </w:p>
    <w:p>
      <w:pPr>
        <w:spacing w:after="0" w:line="15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Subsidiary Guarantor</w:t>
      </w:r>
      <w:r>
        <w:rPr>
          <w:rFonts w:ascii="Times New Roman" w:cs="Times New Roman" w:eastAsia="Times New Roman" w:hAnsi="Times New Roman"/>
          <w:sz w:val="21"/>
          <w:szCs w:val="21"/>
          <w:color w:val="auto"/>
        </w:rPr>
        <w:t>” shall mean each Australian Subsidiary listed on Schedule 1.01(d), and each other Australian Subsidiary that is or becomes a party to an Australian Guarantee Agreement.</w:t>
      </w:r>
    </w:p>
    <w:p>
      <w:pPr>
        <w:spacing w:after="0" w:line="144" w:lineRule="exact"/>
        <w:rPr>
          <w:rFonts w:ascii="Times New Roman" w:cs="Times New Roman" w:eastAsia="Times New Roman" w:hAnsi="Times New Roman"/>
          <w:sz w:val="21"/>
          <w:szCs w:val="21"/>
          <w:color w:val="auto"/>
        </w:rPr>
      </w:pPr>
    </w:p>
    <w:p>
      <w:pPr>
        <w:ind w:firstLine="632"/>
        <w:spacing w:after="0" w:line="292" w:lineRule="auto"/>
        <w:tabs>
          <w:tab w:leader="none" w:pos="124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Tax Act</w:t>
      </w:r>
      <w:r>
        <w:rPr>
          <w:rFonts w:ascii="Times New Roman" w:cs="Times New Roman" w:eastAsia="Times New Roman" w:hAnsi="Times New Roman"/>
          <w:sz w:val="21"/>
          <w:szCs w:val="21"/>
          <w:color w:val="auto"/>
        </w:rPr>
        <w:t>” shall mean the Income Tax Assessment Act 1936 (Cth) (Australia) or the Income Tax Assessment Act 1997 (Cth) (Australia) as applicable.</w:t>
      </w:r>
    </w:p>
    <w:p>
      <w:pPr>
        <w:spacing w:after="0" w:line="131"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Withholding Tax</w:t>
      </w:r>
      <w:r>
        <w:rPr>
          <w:rFonts w:ascii="Times New Roman" w:cs="Times New Roman" w:eastAsia="Times New Roman" w:hAnsi="Times New Roman"/>
          <w:sz w:val="21"/>
          <w:szCs w:val="21"/>
          <w:color w:val="auto"/>
        </w:rPr>
        <w:t xml:space="preserve">” shall mean any Australian Tax required to be withheld or deducted from any interest or other payment under Division 11A of Part III of the Tax Act or Subdivision 12-F of Schedule 1 to the </w:t>
      </w:r>
      <w:r>
        <w:rPr>
          <w:rFonts w:ascii="Times New Roman" w:cs="Times New Roman" w:eastAsia="Times New Roman" w:hAnsi="Times New Roman"/>
          <w:sz w:val="21"/>
          <w:szCs w:val="21"/>
          <w:i w:val="1"/>
          <w:iCs w:val="1"/>
          <w:color w:val="auto"/>
        </w:rPr>
        <w:t>Taxation Administration Act</w:t>
      </w:r>
      <w:r>
        <w:rPr>
          <w:rFonts w:ascii="Times New Roman" w:cs="Times New Roman" w:eastAsia="Times New Roman" w:hAnsi="Times New Roman"/>
          <w:sz w:val="21"/>
          <w:szCs w:val="21"/>
          <w:color w:val="auto"/>
        </w:rPr>
        <w:t xml:space="preserve"> 1953 (Commonwealth of Australia).</w:t>
      </w:r>
    </w:p>
    <w:p>
      <w:pPr>
        <w:spacing w:after="0" w:line="160"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AutoBorrow Agreement</w:t>
      </w:r>
      <w:r>
        <w:rPr>
          <w:rFonts w:ascii="Times New Roman" w:cs="Times New Roman" w:eastAsia="Times New Roman" w:hAnsi="Times New Roman"/>
          <w:sz w:val="21"/>
          <w:szCs w:val="21"/>
          <w:color w:val="auto"/>
        </w:rPr>
        <w:t>” shall mean any agreement providing for automatic borrowing services between a Loan Party and a Swing Line Lender.</w:t>
      </w:r>
    </w:p>
    <w:p>
      <w:pPr>
        <w:spacing w:after="0" w:line="157"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“Available Tenor” </w:t>
      </w:r>
      <w:r>
        <w:rPr>
          <w:rFonts w:ascii="Times New Roman" w:cs="Times New Roman" w:eastAsia="Times New Roman" w:hAnsi="Times New Roman"/>
          <w:sz w:val="21"/>
          <w:szCs w:val="21"/>
          <w:color w:val="auto"/>
        </w:rPr>
        <w:t>means, as of any date of determination and with respect to the then-current Benchmark,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clause (d) of Section 2.26.</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B/A Discount Rate</w:t>
      </w:r>
      <w:r>
        <w:rPr>
          <w:rFonts w:ascii="Times New Roman" w:cs="Times New Roman" w:eastAsia="Times New Roman" w:hAnsi="Times New Roman"/>
          <w:sz w:val="21"/>
          <w:szCs w:val="21"/>
          <w:color w:val="FF0000"/>
          <w:strike w:val="1"/>
        </w:rPr>
        <w:t>” shall mean:</w:t>
      </w:r>
    </w:p>
    <w:p>
      <w:pPr>
        <w:spacing w:after="0" w:line="218" w:lineRule="exact"/>
        <w:rPr>
          <w:sz w:val="20"/>
          <w:szCs w:val="20"/>
          <w:color w:val="auto"/>
        </w:rPr>
      </w:pPr>
    </w:p>
    <w:p>
      <w:pPr>
        <w:ind w:firstLine="1259"/>
        <w:spacing w:after="0" w:line="277" w:lineRule="auto"/>
        <w:tabs>
          <w:tab w:leader="none" w:pos="1709" w:val="left"/>
        </w:tabs>
        <w:numPr>
          <w:ilvl w:val="0"/>
          <w:numId w:val="41"/>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with respect to an issue of Bankers’ Acceptances having the same Contract Period accepted by a Lender that is a Canadian chartered bank listed on Schedule I of the </w:t>
      </w:r>
      <w:r>
        <w:rPr>
          <w:rFonts w:ascii="Times New Roman" w:cs="Times New Roman" w:eastAsia="Times New Roman" w:hAnsi="Times New Roman"/>
          <w:sz w:val="21"/>
          <w:szCs w:val="21"/>
          <w:i w:val="1"/>
          <w:iCs w:val="1"/>
          <w:color w:val="FF0000"/>
          <w:strike w:val="1"/>
        </w:rPr>
        <w:t>Bank Act</w:t>
      </w:r>
      <w:r>
        <w:rPr>
          <w:rFonts w:ascii="Times New Roman" w:cs="Times New Roman" w:eastAsia="Times New Roman" w:hAnsi="Times New Roman"/>
          <w:sz w:val="21"/>
          <w:szCs w:val="21"/>
          <w:color w:val="FF0000"/>
          <w:strike w:val="1"/>
        </w:rPr>
        <w:t xml:space="preserve"> (Canada) (other than Canadian Western Bank), the CDOR Rate; and</w:t>
      </w:r>
    </w:p>
    <w:p>
      <w:pPr>
        <w:spacing w:after="0" w:line="148" w:lineRule="exact"/>
        <w:rPr>
          <w:rFonts w:ascii="Times New Roman" w:cs="Times New Roman" w:eastAsia="Times New Roman" w:hAnsi="Times New Roman"/>
          <w:sz w:val="21"/>
          <w:szCs w:val="21"/>
          <w:color w:val="FF0000"/>
          <w:strike w:val="1"/>
        </w:rPr>
      </w:pPr>
    </w:p>
    <w:p>
      <w:pPr>
        <w:ind w:firstLine="1259"/>
        <w:spacing w:after="0" w:line="290" w:lineRule="auto"/>
        <w:tabs>
          <w:tab w:leader="none" w:pos="1707" w:val="left"/>
        </w:tabs>
        <w:numPr>
          <w:ilvl w:val="0"/>
          <w:numId w:val="41"/>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with respect to an issue of Bankers’ Acceptances having the same Contract Period accepted by Canadian Western Bank or a Lender that is not a bank under Schedule I to the Bank Act (Canada), the CDOR Rate plus 0.10%;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FF0000"/>
          <w:strike w:val="1"/>
        </w:rPr>
        <w:t>Notwithstanding the foregoing, the B/A Discount Rate for purposes of this Agreement shall at no time be less than 0%.</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B/A Equivalent Loan</w:t>
      </w:r>
      <w:r>
        <w:rPr>
          <w:rFonts w:ascii="Times New Roman" w:cs="Times New Roman" w:eastAsia="Times New Roman" w:hAnsi="Times New Roman"/>
          <w:sz w:val="21"/>
          <w:szCs w:val="21"/>
          <w:color w:val="FF0000"/>
          <w:strike w:val="1"/>
        </w:rPr>
        <w:t>” shall have the meaning assigned to such term in Section 2.22(h).</w:t>
      </w:r>
    </w:p>
    <w:p>
      <w:pPr>
        <w:sectPr>
          <w:pgSz w:w="11900" w:h="16838" w:orient="portrait"/>
          <w:cols w:equalWidth="0" w:num="1">
            <w:col w:w="11240"/>
          </w:cols>
          <w:pgMar w:left="320" w:top="1378" w:right="339" w:bottom="1440" w:gutter="0" w:footer="0" w:header="0"/>
        </w:sectPr>
      </w:pPr>
    </w:p>
    <w:bookmarkStart w:id="56" w:name="page57"/>
    <w:bookmarkEnd w:id="56"/>
    <w:p>
      <w:pPr>
        <w:jc w:val="both"/>
        <w:ind w:firstLine="627"/>
        <w:spacing w:after="0" w:line="263"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B/A Loan</w:t>
      </w:r>
      <w:r>
        <w:rPr>
          <w:rFonts w:ascii="Times New Roman" w:cs="Times New Roman" w:eastAsia="Times New Roman" w:hAnsi="Times New Roman"/>
          <w:sz w:val="21"/>
          <w:szCs w:val="21"/>
          <w:color w:val="FF0000"/>
          <w:strike w:val="1"/>
        </w:rPr>
        <w:t xml:space="preserve">” shall mean a Borrowing comprised of one or more Bankers’ Acceptances or, as applicable, B/A Equivalent Loans. For greater certainty, all provisions of this Agreement that are applicable to Bankers’ Acceptances are also applicable, </w:t>
      </w:r>
      <w:r>
        <w:rPr>
          <w:rFonts w:ascii="Times New Roman" w:cs="Times New Roman" w:eastAsia="Times New Roman" w:hAnsi="Times New Roman"/>
          <w:sz w:val="21"/>
          <w:szCs w:val="21"/>
          <w:i w:val="1"/>
          <w:iCs w:val="1"/>
          <w:color w:val="FF0000"/>
          <w:strike w:val="1"/>
        </w:rPr>
        <w:t>mutatis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i w:val="1"/>
          <w:iCs w:val="1"/>
          <w:color w:val="FF0000"/>
          <w:strike w:val="1"/>
        </w:rPr>
        <w:t>mutandis</w:t>
      </w:r>
      <w:r>
        <w:rPr>
          <w:rFonts w:ascii="Times New Roman" w:cs="Times New Roman" w:eastAsia="Times New Roman" w:hAnsi="Times New Roman"/>
          <w:sz w:val="21"/>
          <w:szCs w:val="21"/>
          <w:color w:val="FF0000"/>
          <w:strike w:val="1"/>
        </w:rPr>
        <w:t>, to B/A Equivalent Loans.</w:t>
      </w:r>
    </w:p>
    <w:p>
      <w:pPr>
        <w:spacing w:after="0" w:line="173" w:lineRule="exact"/>
        <w:rPr>
          <w:sz w:val="20"/>
          <w:szCs w:val="20"/>
          <w:color w:val="auto"/>
        </w:rPr>
      </w:pPr>
    </w:p>
    <w:p>
      <w:pPr>
        <w:ind w:firstLine="632"/>
        <w:spacing w:after="0" w:line="279" w:lineRule="auto"/>
        <w:tabs>
          <w:tab w:leader="none" w:pos="124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Bail-In Action</w:t>
      </w:r>
      <w:r>
        <w:rPr>
          <w:rFonts w:ascii="Times New Roman" w:cs="Times New Roman" w:eastAsia="Times New Roman" w:hAnsi="Times New Roman"/>
          <w:sz w:val="21"/>
          <w:szCs w:val="21"/>
          <w:color w:val="auto"/>
        </w:rPr>
        <w:t>” shall mean the exercise of any Write-Down and Conversion Powers by the applicable EEA Resolution Authority in respect of any liability of an EEA Financial Institution.</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Bail-In Legislation</w:t>
      </w:r>
      <w:r>
        <w:rPr>
          <w:rFonts w:ascii="Times New Roman" w:cs="Times New Roman" w:eastAsia="Times New Roman" w:hAnsi="Times New Roman"/>
          <w:sz w:val="21"/>
          <w:szCs w:val="21"/>
          <w:color w:val="auto"/>
        </w:rPr>
        <w:t>” shall mean:</w:t>
      </w:r>
    </w:p>
    <w:p>
      <w:pPr>
        <w:spacing w:after="0" w:line="217" w:lineRule="exact"/>
        <w:rPr>
          <w:rFonts w:ascii="Times New Roman" w:cs="Times New Roman" w:eastAsia="Times New Roman" w:hAnsi="Times New Roman"/>
          <w:sz w:val="21"/>
          <w:szCs w:val="21"/>
          <w:color w:val="auto"/>
        </w:rPr>
      </w:pPr>
    </w:p>
    <w:p>
      <w:pPr>
        <w:jc w:val="both"/>
        <w:ind w:firstLine="632"/>
        <w:spacing w:after="0" w:line="268" w:lineRule="auto"/>
        <w:tabs>
          <w:tab w:leader="none" w:pos="124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w:t>
      </w:r>
    </w:p>
    <w:p>
      <w:pPr>
        <w:spacing w:after="0" w:line="158" w:lineRule="exact"/>
        <w:rPr>
          <w:rFonts w:ascii="Times New Roman" w:cs="Times New Roman" w:eastAsia="Times New Roman" w:hAnsi="Times New Roman"/>
          <w:sz w:val="21"/>
          <w:szCs w:val="21"/>
          <w:color w:val="auto"/>
        </w:rPr>
      </w:pPr>
    </w:p>
    <w:p>
      <w:pPr>
        <w:jc w:val="both"/>
        <w:ind w:firstLine="632"/>
        <w:spacing w:after="0" w:line="256" w:lineRule="auto"/>
        <w:tabs>
          <w:tab w:leader="none" w:pos="124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respective Affiliates (other than through liquidation, administration or other insolvency proceedings).</w:t>
      </w:r>
    </w:p>
    <w:p>
      <w:pPr>
        <w:spacing w:after="0" w:line="170"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Bankers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i w:val="1"/>
          <w:iCs w:val="1"/>
          <w:color w:val="FF0000"/>
          <w:strike w:val="1"/>
        </w:rPr>
        <w:t>Acceptance</w:t>
      </w:r>
      <w:r>
        <w:rPr>
          <w:rFonts w:ascii="Times New Roman" w:cs="Times New Roman" w:eastAsia="Times New Roman" w:hAnsi="Times New Roman"/>
          <w:sz w:val="21"/>
          <w:szCs w:val="21"/>
          <w:color w:val="FF0000"/>
          <w:strike w:val="1"/>
        </w:rPr>
        <w:t>” and “</w:t>
      </w:r>
      <w:r>
        <w:rPr>
          <w:rFonts w:ascii="Times New Roman" w:cs="Times New Roman" w:eastAsia="Times New Roman" w:hAnsi="Times New Roman"/>
          <w:sz w:val="21"/>
          <w:szCs w:val="21"/>
          <w:i w:val="1"/>
          <w:iCs w:val="1"/>
          <w:color w:val="FF0000"/>
          <w:strike w:val="1"/>
        </w:rPr>
        <w:t>B/A</w:t>
      </w:r>
      <w:r>
        <w:rPr>
          <w:rFonts w:ascii="Times New Roman" w:cs="Times New Roman" w:eastAsia="Times New Roman" w:hAnsi="Times New Roman"/>
          <w:sz w:val="21"/>
          <w:szCs w:val="21"/>
          <w:color w:val="FF0000"/>
          <w:strike w:val="1"/>
        </w:rPr>
        <w:t xml:space="preserve">” shall mean a non-interest bearing draft denominated in Canadian dollars, drawn by the Parent Borrower, and accepted by a Canadian Lender in accordance with this Agreement, and may include a depository note within the meaning of the </w:t>
      </w:r>
      <w:r>
        <w:rPr>
          <w:rFonts w:ascii="Times New Roman" w:cs="Times New Roman" w:eastAsia="Times New Roman" w:hAnsi="Times New Roman"/>
          <w:sz w:val="21"/>
          <w:szCs w:val="21"/>
          <w:i w:val="1"/>
          <w:iCs w:val="1"/>
          <w:color w:val="FF0000"/>
          <w:strike w:val="1"/>
        </w:rPr>
        <w:t>Depository Bills and Notes Act</w:t>
      </w:r>
      <w:r>
        <w:rPr>
          <w:rFonts w:ascii="Times New Roman" w:cs="Times New Roman" w:eastAsia="Times New Roman" w:hAnsi="Times New Roman"/>
          <w:sz w:val="21"/>
          <w:szCs w:val="21"/>
          <w:color w:val="FF0000"/>
          <w:strike w:val="1"/>
        </w:rPr>
        <w:t xml:space="preserve"> (Canada) and a bill of exchange within the meaning of the </w:t>
      </w:r>
      <w:r>
        <w:rPr>
          <w:rFonts w:ascii="Times New Roman" w:cs="Times New Roman" w:eastAsia="Times New Roman" w:hAnsi="Times New Roman"/>
          <w:sz w:val="21"/>
          <w:szCs w:val="21"/>
          <w:i w:val="1"/>
          <w:iCs w:val="1"/>
          <w:color w:val="FF0000"/>
          <w:strike w:val="1"/>
        </w:rPr>
        <w:t>Bills of Exchange Act</w:t>
      </w:r>
      <w:r>
        <w:rPr>
          <w:rFonts w:ascii="Times New Roman" w:cs="Times New Roman" w:eastAsia="Times New Roman" w:hAnsi="Times New Roman"/>
          <w:sz w:val="21"/>
          <w:szCs w:val="21"/>
          <w:color w:val="FF0000"/>
          <w:strike w:val="1"/>
        </w:rPr>
        <w:t xml:space="preserve"> (Canada).</w:t>
      </w:r>
    </w:p>
    <w:p>
      <w:pPr>
        <w:spacing w:after="0" w:line="165" w:lineRule="exact"/>
        <w:rPr>
          <w:sz w:val="20"/>
          <w:szCs w:val="20"/>
          <w:color w:val="auto"/>
        </w:rPr>
      </w:pPr>
    </w:p>
    <w:p>
      <w:pPr>
        <w:jc w:val="both"/>
        <w:ind w:firstLine="632"/>
        <w:spacing w:after="0" w:line="261" w:lineRule="auto"/>
        <w:tabs>
          <w:tab w:leader="none" w:pos="124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Banking Services</w:t>
      </w:r>
      <w:r>
        <w:rPr>
          <w:rFonts w:ascii="Times New Roman" w:cs="Times New Roman" w:eastAsia="Times New Roman" w:hAnsi="Times New Roman"/>
          <w:sz w:val="21"/>
          <w:szCs w:val="21"/>
          <w:color w:val="auto"/>
        </w:rPr>
        <w:t>” shall mean each and any of the following bank services provided to the Parent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64" w:lineRule="exact"/>
        <w:rPr>
          <w:rFonts w:ascii="Times New Roman" w:cs="Times New Roman" w:eastAsia="Times New Roman" w:hAnsi="Times New Roman"/>
          <w:sz w:val="21"/>
          <w:szCs w:val="21"/>
          <w:color w:val="auto"/>
        </w:rPr>
      </w:pPr>
    </w:p>
    <w:p>
      <w:pPr>
        <w:jc w:val="both"/>
        <w:ind w:firstLine="632"/>
        <w:spacing w:after="0" w:line="261" w:lineRule="auto"/>
        <w:tabs>
          <w:tab w:leader="none" w:pos="124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Banking Services Obligations</w:t>
      </w:r>
      <w:r>
        <w:rPr>
          <w:rFonts w:ascii="Times New Roman" w:cs="Times New Roman" w:eastAsia="Times New Roman" w:hAnsi="Times New Roman"/>
          <w:sz w:val="21"/>
          <w:szCs w:val="21"/>
          <w:color w:val="auto"/>
        </w:rPr>
        <w:t>” shall mean any and all obligations of the Parent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w:t>
      </w:r>
    </w:p>
    <w:p>
      <w:pPr>
        <w:spacing w:after="0" w:line="164"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BBSY Rate</w:t>
      </w:r>
      <w:r>
        <w:rPr>
          <w:rFonts w:ascii="Times New Roman" w:cs="Times New Roman" w:eastAsia="Times New Roman" w:hAnsi="Times New Roman"/>
          <w:sz w:val="21"/>
          <w:szCs w:val="21"/>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w:t>
      </w:r>
    </w:p>
    <w:p>
      <w:pPr>
        <w:spacing w:after="0" w:line="1" w:lineRule="exact"/>
        <w:rPr>
          <w:rFonts w:ascii="Times New Roman" w:cs="Times New Roman" w:eastAsia="Times New Roman" w:hAnsi="Times New Roman"/>
          <w:sz w:val="21"/>
          <w:szCs w:val="21"/>
          <w:color w:val="auto"/>
        </w:rPr>
      </w:pPr>
    </w:p>
    <w:p>
      <w:pPr>
        <w:ind w:left="280" w:hanging="275"/>
        <w:spacing w:after="0"/>
        <w:tabs>
          <w:tab w:leader="none" w:pos="2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because a rate is not displayed for a term equivalent to that period or if the basis</w:t>
      </w:r>
    </w:p>
    <w:p>
      <w:pPr>
        <w:sectPr>
          <w:pgSz w:w="11900" w:h="16838" w:orient="portrait"/>
          <w:cols w:equalWidth="0" w:num="1">
            <w:col w:w="11240"/>
          </w:cols>
          <w:pgMar w:left="320" w:top="1378"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21"/>
          <w:szCs w:val="21"/>
          <w:color w:val="auto"/>
        </w:rPr>
        <w:t>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169"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w:t>
      </w:r>
      <w:r>
        <w:rPr>
          <w:rFonts w:ascii="Times New Roman" w:cs="Times New Roman" w:eastAsia="Times New Roman" w:hAnsi="Times New Roman"/>
          <w:sz w:val="21"/>
          <w:szCs w:val="21"/>
          <w:color w:val="auto"/>
        </w:rPr>
        <w:t xml:space="preserve">” means, initially, Adjusted Term SOFR;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Adjusted Term SOFR or the then-current Benchmark, then “Benchmark” means the applicable Benchmark Replacement to the extent that such Benchmark Replacement has replaced such prior benchmark rate pursuant to clause (a) of Section 2.26.</w:t>
      </w:r>
    </w:p>
    <w:p>
      <w:pPr>
        <w:spacing w:after="0" w:line="155"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means with respect to any Benchmark Transition Event, for any Available Tenor,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in the United States and (b) the related Benchmark Replacement Adjustment.</w:t>
      </w:r>
    </w:p>
    <w:p>
      <w:pPr>
        <w:spacing w:after="0" w:line="173"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 Adjustment</w:t>
      </w:r>
      <w:r>
        <w:rPr>
          <w:rFonts w:ascii="Times New Roman" w:cs="Times New Roman" w:eastAsia="Times New Roman" w:hAnsi="Times New Roman"/>
          <w:sz w:val="21"/>
          <w:szCs w:val="21"/>
          <w:color w:val="auto"/>
        </w:rPr>
        <w:t>” means,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85"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 Date</w:t>
      </w:r>
      <w:r>
        <w:rPr>
          <w:rFonts w:ascii="Times New Roman" w:cs="Times New Roman" w:eastAsia="Times New Roman" w:hAnsi="Times New Roman"/>
          <w:sz w:val="21"/>
          <w:szCs w:val="21"/>
          <w:color w:val="auto"/>
        </w:rPr>
        <w:t>” means, with respect to any Benchmark, the earliest to occur of the following events with respect to the then-current Benchmark:</w:t>
      </w:r>
    </w:p>
    <w:p>
      <w:pPr>
        <w:spacing w:after="0" w:line="146" w:lineRule="exact"/>
        <w:rPr>
          <w:sz w:val="20"/>
          <w:szCs w:val="20"/>
          <w:color w:val="auto"/>
        </w:rPr>
      </w:pPr>
    </w:p>
    <w:p>
      <w:pPr>
        <w:jc w:val="both"/>
        <w:ind w:firstLine="632"/>
        <w:spacing w:after="0" w:line="261" w:lineRule="auto"/>
        <w:tabs>
          <w:tab w:leader="none" w:pos="108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ectPr>
          <w:pgSz w:w="11900" w:h="16838" w:orient="portrait"/>
          <w:cols w:equalWidth="0" w:num="1">
            <w:col w:w="11240"/>
          </w:cols>
          <w:pgMar w:left="320" w:top="1380" w:right="339" w:bottom="1440" w:gutter="0" w:footer="0" w:header="0"/>
        </w:sectPr>
      </w:pPr>
    </w:p>
    <w:bookmarkStart w:id="58" w:name="page59"/>
    <w:bookmarkEnd w:id="58"/>
    <w:p>
      <w:pPr>
        <w:jc w:val="both"/>
        <w:ind w:firstLine="632"/>
        <w:spacing w:after="0" w:line="257" w:lineRule="auto"/>
        <w:tabs>
          <w:tab w:leader="none" w:pos="106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avoidance of doubt, the “Benchmark Replacement Date” will be deemed to have occurred in the case of clause (1) or</w:t>
      </w:r>
    </w:p>
    <w:p>
      <w:pPr>
        <w:spacing w:after="0" w:line="31" w:lineRule="exact"/>
        <w:rPr>
          <w:sz w:val="20"/>
          <w:szCs w:val="20"/>
          <w:color w:val="auto"/>
        </w:rPr>
      </w:pPr>
    </w:p>
    <w:p>
      <w:pPr>
        <w:ind w:firstLine="5"/>
        <w:spacing w:after="0" w:line="266" w:lineRule="auto"/>
        <w:tabs>
          <w:tab w:leader="none" w:pos="31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57" w:lineRule="exact"/>
        <w:rPr>
          <w:sz w:val="20"/>
          <w:szCs w:val="20"/>
          <w:color w:val="auto"/>
        </w:rPr>
      </w:pPr>
    </w:p>
    <w:p>
      <w:pPr>
        <w:ind w:firstLine="627"/>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146" w:lineRule="exact"/>
        <w:rPr>
          <w:sz w:val="20"/>
          <w:szCs w:val="20"/>
          <w:color w:val="auto"/>
        </w:rPr>
      </w:pPr>
    </w:p>
    <w:p>
      <w:pPr>
        <w:jc w:val="both"/>
        <w:ind w:firstLine="632"/>
        <w:spacing w:after="0" w:line="257" w:lineRule="auto"/>
        <w:tabs>
          <w:tab w:leader="none" w:pos="104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w:t>
      </w:r>
    </w:p>
    <w:p>
      <w:pPr>
        <w:spacing w:after="0" w:line="183" w:lineRule="exact"/>
        <w:rPr>
          <w:rFonts w:ascii="Times New Roman" w:cs="Times New Roman" w:eastAsia="Times New Roman" w:hAnsi="Times New Roman"/>
          <w:sz w:val="19"/>
          <w:szCs w:val="19"/>
          <w:color w:val="auto"/>
        </w:rPr>
      </w:pPr>
    </w:p>
    <w:p>
      <w:pPr>
        <w:jc w:val="both"/>
        <w:ind w:firstLine="632"/>
        <w:spacing w:after="0" w:line="253" w:lineRule="auto"/>
        <w:tabs>
          <w:tab w:leader="none" w:pos="104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178" w:lineRule="exact"/>
        <w:rPr>
          <w:rFonts w:ascii="Times New Roman" w:cs="Times New Roman" w:eastAsia="Times New Roman" w:hAnsi="Times New Roman"/>
          <w:sz w:val="19"/>
          <w:szCs w:val="19"/>
          <w:color w:val="auto"/>
        </w:rPr>
      </w:pPr>
    </w:p>
    <w:p>
      <w:pPr>
        <w:jc w:val="both"/>
        <w:ind w:firstLine="632"/>
        <w:spacing w:after="0" w:line="268" w:lineRule="auto"/>
        <w:tabs>
          <w:tab w:leader="none" w:pos="104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8"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ectPr>
          <w:pgSz w:w="11900" w:h="16838" w:orient="portrait"/>
          <w:cols w:equalWidth="0" w:num="1">
            <w:col w:w="11240"/>
          </w:cols>
          <w:pgMar w:left="320" w:top="1380" w:right="339" w:bottom="1440" w:gutter="0" w:footer="0" w:header="0"/>
        </w:sectPr>
      </w:pPr>
    </w:p>
    <w:bookmarkStart w:id="59" w:name="page60"/>
    <w:bookmarkEnd w:id="59"/>
    <w:p>
      <w:pPr>
        <w:jc w:val="both"/>
        <w:ind w:firstLine="627"/>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Transition Start Date</w:t>
      </w:r>
      <w:r>
        <w:rPr>
          <w:rFonts w:ascii="Times New Roman" w:cs="Times New Roman" w:eastAsia="Times New Roman" w:hAnsi="Times New Roman"/>
          <w:sz w:val="21"/>
          <w:szCs w:val="21"/>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92"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Unavailability Period</w:t>
      </w:r>
      <w:r>
        <w:rPr>
          <w:rFonts w:ascii="Times New Roman" w:cs="Times New Roman" w:eastAsia="Times New Roman" w:hAnsi="Times New Roman"/>
          <w:sz w:val="21"/>
          <w:szCs w:val="21"/>
          <w:color w:val="auto"/>
        </w:rPr>
        <w:t>” means, with respect to any Benchmark, the period (if any) (x) beginning at the time that a Benchmark Replacement Date has occurred if, at such time, no Benchmark Replacement has replaced the then-current Benchmark for all purposes hereunder and under any Loan Document in accordance with Section 2.26 and (y) ending at the time that a Benchmark Replacement has replaced such then-current Benchmark for all purposes hereunder and under any Loan Document in accordance with Section 2.26.</w:t>
      </w:r>
    </w:p>
    <w:p>
      <w:pPr>
        <w:spacing w:after="0" w:line="166" w:lineRule="exact"/>
        <w:rPr>
          <w:sz w:val="20"/>
          <w:szCs w:val="20"/>
          <w:color w:val="auto"/>
        </w:rPr>
      </w:pPr>
    </w:p>
    <w:p>
      <w:pPr>
        <w:jc w:val="both"/>
        <w:ind w:firstLine="632"/>
        <w:spacing w:after="0" w:line="257" w:lineRule="auto"/>
        <w:tabs>
          <w:tab w:leader="none" w:pos="124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Benefit Plan</w:t>
      </w:r>
      <w:r>
        <w:rPr>
          <w:rFonts w:ascii="Times New Roman" w:cs="Times New Roman" w:eastAsia="Times New Roman" w:hAnsi="Times New Roman"/>
          <w:sz w:val="21"/>
          <w:szCs w:val="21"/>
          <w:color w:val="auto"/>
        </w:rPr>
        <w:t>” shall mean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1"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BHC Act Affiliate</w:t>
      </w:r>
      <w:r>
        <w:rPr>
          <w:rFonts w:ascii="Times New Roman" w:cs="Times New Roman" w:eastAsia="Times New Roman" w:hAnsi="Times New Roman"/>
          <w:sz w:val="21"/>
          <w:szCs w:val="21"/>
          <w:color w:val="auto"/>
        </w:rPr>
        <w:t>” of a party shall mean an “affiliate” (as such term is defined under, and interpreted in accordance with, 12 U.S.C. 1841(k)) of such party.</w:t>
      </w:r>
    </w:p>
    <w:p>
      <w:pPr>
        <w:spacing w:after="0" w:line="144" w:lineRule="exact"/>
        <w:rPr>
          <w:rFonts w:ascii="Times New Roman" w:cs="Times New Roman" w:eastAsia="Times New Roman" w:hAnsi="Times New Roman"/>
          <w:sz w:val="21"/>
          <w:szCs w:val="21"/>
          <w:color w:val="auto"/>
        </w:rPr>
      </w:pPr>
    </w:p>
    <w:p>
      <w:pPr>
        <w:jc w:val="both"/>
        <w:ind w:firstLine="632"/>
        <w:spacing w:after="0" w:line="261" w:lineRule="auto"/>
        <w:tabs>
          <w:tab w:leader="none" w:pos="124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Bilateral Agreement</w:t>
      </w:r>
      <w:r>
        <w:rPr>
          <w:rFonts w:ascii="Times New Roman" w:cs="Times New Roman" w:eastAsia="Times New Roman" w:hAnsi="Times New Roman"/>
          <w:sz w:val="21"/>
          <w:szCs w:val="21"/>
          <w:color w:val="auto"/>
        </w:rPr>
        <w:t>” shall mean that AUD$1,000,000 Guarantee Line provided by the Bilateral Lender to the Australian Borrower pursuant to the Facility Letter, dated as of August 20, 2020 (the “</w:t>
      </w:r>
      <w:r>
        <w:rPr>
          <w:rFonts w:ascii="Times New Roman" w:cs="Times New Roman" w:eastAsia="Times New Roman" w:hAnsi="Times New Roman"/>
          <w:sz w:val="21"/>
          <w:szCs w:val="21"/>
          <w:i w:val="1"/>
          <w:iCs w:val="1"/>
          <w:color w:val="auto"/>
        </w:rPr>
        <w:t>Facility Letter</w:t>
      </w:r>
      <w:r>
        <w:rPr>
          <w:rFonts w:ascii="Times New Roman" w:cs="Times New Roman" w:eastAsia="Times New Roman" w:hAnsi="Times New Roman"/>
          <w:sz w:val="21"/>
          <w:szCs w:val="21"/>
          <w:color w:val="auto"/>
        </w:rPr>
        <w:t>”) by and among the Australian Borrower, the Bilateral Lender and The Hongkong and Shanghai Banking Corporation ABN 65 117 925 970, as amended or supplemented from time to time.</w:t>
      </w:r>
    </w:p>
    <w:p>
      <w:pPr>
        <w:spacing w:after="0" w:line="164"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Bilateral Obligations</w:t>
      </w:r>
      <w:r>
        <w:rPr>
          <w:rFonts w:ascii="Times New Roman" w:cs="Times New Roman" w:eastAsia="Times New Roman" w:hAnsi="Times New Roman"/>
          <w:sz w:val="21"/>
          <w:szCs w:val="21"/>
          <w:color w:val="auto"/>
        </w:rPr>
        <w:t>” shall mean all the liabilities of the Australian Borrower to the Bilateral Lender under or by reason of the Bilateral 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Australian Bank Guarantee Obligations under this Agreement or any other Loan Document shall not exceed AUD$1,000,000.</w:t>
      </w:r>
    </w:p>
    <w:p>
      <w:pPr>
        <w:spacing w:after="0" w:line="172"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Bilateral Lender</w:t>
      </w:r>
      <w:r>
        <w:rPr>
          <w:rFonts w:ascii="Times New Roman" w:cs="Times New Roman" w:eastAsia="Times New Roman" w:hAnsi="Times New Roman"/>
          <w:sz w:val="21"/>
          <w:szCs w:val="21"/>
          <w:color w:val="auto"/>
        </w:rPr>
        <w:t>” shall mean HSBC Bank Australia Limited ABN 48 006 434 162 in its capacity as lender under the Bilateral Agreement or any other Lender that succeeds HSBC Bank Australia Limited ABN 48 006 434 162 as a party to the Bilateral Agreement.</w:t>
      </w:r>
    </w:p>
    <w:p>
      <w:pPr>
        <w:spacing w:after="0" w:line="160"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shall mean the Board of Governors of the Federal Reserve System of the United States of America.</w:t>
      </w:r>
    </w:p>
    <w:p>
      <w:pPr>
        <w:sectPr>
          <w:pgSz w:w="11900" w:h="16838" w:orient="portrait"/>
          <w:cols w:equalWidth="0" w:num="1">
            <w:col w:w="11240"/>
          </w:cols>
          <w:pgMar w:left="320" w:top="1378" w:right="339" w:bottom="1440" w:gutter="0" w:footer="0" w:header="0"/>
        </w:sectPr>
      </w:pPr>
    </w:p>
    <w:bookmarkStart w:id="60" w:name="page61"/>
    <w:bookmarkEnd w:id="60"/>
    <w:p>
      <w:pPr>
        <w:ind w:left="1255" w:hanging="628"/>
        <w:spacing w:after="0"/>
        <w:tabs>
          <w:tab w:leader="none" w:pos="125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Borrower Materials</w:t>
      </w:r>
      <w:r>
        <w:rPr>
          <w:rFonts w:ascii="Times New Roman" w:cs="Times New Roman" w:eastAsia="Times New Roman" w:hAnsi="Times New Roman"/>
          <w:sz w:val="21"/>
          <w:szCs w:val="21"/>
          <w:color w:val="auto"/>
        </w:rPr>
        <w:t>” shall have the meaning assigned to such term in Section 5.04.</w:t>
      </w:r>
    </w:p>
    <w:p>
      <w:pPr>
        <w:spacing w:after="0" w:line="215" w:lineRule="exact"/>
        <w:rPr>
          <w:rFonts w:ascii="Times New Roman" w:cs="Times New Roman" w:eastAsia="Times New Roman" w:hAnsi="Times New Roman"/>
          <w:sz w:val="21"/>
          <w:szCs w:val="21"/>
          <w:color w:val="auto"/>
        </w:rPr>
      </w:pPr>
    </w:p>
    <w:p>
      <w:pPr>
        <w:ind w:left="1255" w:hanging="628"/>
        <w:spacing w:after="0"/>
        <w:tabs>
          <w:tab w:leader="none" w:pos="125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Borrowers</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5" w:firstLine="632"/>
        <w:spacing w:after="0" w:line="292" w:lineRule="auto"/>
        <w:tabs>
          <w:tab w:leader="none" w:pos="124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Borrowing</w:t>
      </w:r>
      <w:r>
        <w:rPr>
          <w:rFonts w:ascii="Times New Roman" w:cs="Times New Roman" w:eastAsia="Times New Roman" w:hAnsi="Times New Roman"/>
          <w:sz w:val="21"/>
          <w:szCs w:val="21"/>
          <w:color w:val="auto"/>
        </w:rPr>
        <w:t>” shall mean a Canadian Revolving Borrowing, a Canadian Term Borrowing, an Australian Revolving Borrowing, a U.S. Revolving Borrowing or a Swing Line Borrowing.</w:t>
      </w:r>
    </w:p>
    <w:p>
      <w:pPr>
        <w:spacing w:after="0" w:line="131" w:lineRule="exact"/>
        <w:rPr>
          <w:rFonts w:ascii="Times New Roman" w:cs="Times New Roman" w:eastAsia="Times New Roman" w:hAnsi="Times New Roman"/>
          <w:sz w:val="21"/>
          <w:szCs w:val="21"/>
          <w:color w:val="auto"/>
        </w:rPr>
      </w:pPr>
    </w:p>
    <w:p>
      <w:pPr>
        <w:jc w:val="both"/>
        <w:ind w:left="-5" w:firstLine="632"/>
        <w:spacing w:after="0" w:line="263" w:lineRule="auto"/>
        <w:tabs>
          <w:tab w:leader="none" w:pos="124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Borrowing Request</w:t>
      </w:r>
      <w:r>
        <w:rPr>
          <w:rFonts w:ascii="Times New Roman" w:cs="Times New Roman" w:eastAsia="Times New Roman" w:hAnsi="Times New Roman"/>
          <w:sz w:val="21"/>
          <w:szCs w:val="21"/>
          <w:color w:val="auto"/>
        </w:rPr>
        <w:t>” shall mean a request by a Borrower in accordance with the terms of Section 2.03 and substantially in the form of Exhibit B-1, B-2, B-3 or B-4, as applicable, or such other form as shall be reasonably approved by the Applicable Administrative Agent.</w:t>
      </w:r>
    </w:p>
    <w:p>
      <w:pPr>
        <w:spacing w:after="0" w:line="160" w:lineRule="exact"/>
        <w:rPr>
          <w:rFonts w:ascii="Times New Roman" w:cs="Times New Roman" w:eastAsia="Times New Roman" w:hAnsi="Times New Roman"/>
          <w:sz w:val="21"/>
          <w:szCs w:val="21"/>
          <w:color w:val="auto"/>
        </w:rPr>
      </w:pPr>
    </w:p>
    <w:p>
      <w:pPr>
        <w:ind w:left="1255" w:hanging="628"/>
        <w:spacing w:after="0"/>
        <w:tabs>
          <w:tab w:leader="none" w:pos="125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Breakage Event</w:t>
      </w:r>
      <w:r>
        <w:rPr>
          <w:rFonts w:ascii="Times New Roman" w:cs="Times New Roman" w:eastAsia="Times New Roman" w:hAnsi="Times New Roman"/>
          <w:sz w:val="21"/>
          <w:szCs w:val="21"/>
          <w:color w:val="auto"/>
        </w:rPr>
        <w:t>” shall have the meaning assigned to such term in Section 2.15.</w:t>
      </w:r>
    </w:p>
    <w:p>
      <w:pPr>
        <w:spacing w:after="0" w:line="228" w:lineRule="exact"/>
        <w:rPr>
          <w:rFonts w:ascii="Times New Roman" w:cs="Times New Roman" w:eastAsia="Times New Roman" w:hAnsi="Times New Roman"/>
          <w:sz w:val="21"/>
          <w:szCs w:val="21"/>
          <w:color w:val="auto"/>
        </w:rPr>
      </w:pPr>
    </w:p>
    <w:p>
      <w:pPr>
        <w:jc w:val="both"/>
        <w:ind w:left="-5" w:firstLine="632"/>
        <w:spacing w:after="0" w:line="253" w:lineRule="auto"/>
        <w:tabs>
          <w:tab w:leader="none" w:pos="124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Business Day</w:t>
      </w:r>
      <w:r>
        <w:rPr>
          <w:rFonts w:ascii="Times New Roman" w:cs="Times New Roman" w:eastAsia="Times New Roman" w:hAnsi="Times New Roman"/>
          <w:sz w:val="21"/>
          <w:szCs w:val="21"/>
          <w:color w:val="auto"/>
        </w:rPr>
        <w:t xml:space="preserve">” shall mean (a) when used in connection with a Loan, Letter of Credit or payment denominated in U.S. dollars, any day other than a Saturday or a Sunday or a legal holiday on which commercial banks are authorized or required by law to be closed for business in New York,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when used in connection with a SOFR Loan, or any other calculation or determination involving SOFR, the term “Business Day” means any day that is only a U.S. Government Securities Business Day,</w:t>
      </w:r>
    </w:p>
    <w:p>
      <w:pPr>
        <w:jc w:val="both"/>
        <w:ind w:left="-5" w:firstLine="5"/>
        <w:spacing w:after="0" w:line="249" w:lineRule="auto"/>
        <w:tabs>
          <w:tab w:leader="none" w:pos="31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 used in connection with the Canadian Term Loan, a Canadian Revolving Credit Loan, a Canadian Letter of Credit or a payment under the Canadian Term Loan Facility or the Canadian Revolving Credit Facility, </w:t>
      </w:r>
      <w:r>
        <w:rPr>
          <w:rFonts w:ascii="Times New Roman" w:cs="Times New Roman" w:eastAsia="Times New Roman" w:hAnsi="Times New Roman"/>
          <w:sz w:val="21"/>
          <w:szCs w:val="21"/>
          <w:color w:val="FF0000"/>
          <w:strike w:val="1"/>
        </w:rPr>
        <w:t>any day other than a Saturday, Sunday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any</w:t>
      </w:r>
      <w:r>
        <w:rPr>
          <w:rFonts w:ascii="Times New Roman" w:cs="Times New Roman" w:eastAsia="Times New Roman" w:hAnsi="Times New Roman"/>
          <w:sz w:val="21"/>
          <w:szCs w:val="21"/>
          <w:u w:val="single" w:color="auto"/>
          <w:color w:val="0000FF"/>
          <w:highlight w:val="lightGray"/>
        </w:rPr>
        <w:t>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day on which banks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are open for over-the-counter business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in Toronto, Ontario</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Calgary, Alberta</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Montreal, Quebec are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authorized or required by law to close</w:t>
      </w:r>
      <w:r>
        <w:rPr>
          <w:rFonts w:ascii="Times New Roman" w:cs="Times New Roman" w:eastAsia="Times New Roman" w:hAnsi="Times New Roman"/>
          <w:sz w:val="21"/>
          <w:szCs w:val="21"/>
          <w:u w:val="single" w:color="auto"/>
          <w:color w:val="0000FF"/>
          <w:highlight w:val="lightGray"/>
          <w:strike w:val="1"/>
        </w:rPr>
        <w:t>excludes Saturday, Sunday and any other day which is a statutory holiday in Toronto, Ontario or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highlight w:val="lightGray"/>
          <w:strike w:val="1"/>
        </w:rPr>
        <w:t>Calgary, Alberta, provided that, when used in connection with SOFR Loans or any other calculation or determination involving SOFR, the term “Business Day” means any day that is only a U.S. Government Securities Business Day</w:t>
      </w:r>
      <w:r>
        <w:rPr>
          <w:rFonts w:ascii="Times New Roman" w:cs="Times New Roman" w:eastAsia="Times New Roman" w:hAnsi="Times New Roman"/>
          <w:sz w:val="21"/>
          <w:szCs w:val="21"/>
          <w:color w:val="000000"/>
          <w:strike w:val="1"/>
        </w:rPr>
        <w:t>, (c) when used in connection</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color w:val="000000"/>
          <w:strike w:val="1"/>
        </w:rPr>
        <w:t>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 (d) when used in connection with a Letter of Credit or payment denominated in an Alternative Currency, any day on which banks are open for foreign exchange business in the principal financial center of the country of such Alternative Currency and on which the relevant office of the Applicable Issuing Bank is not authorized or required by law to close.</w:t>
      </w:r>
    </w:p>
    <w:p>
      <w:pPr>
        <w:spacing w:after="0" w:line="195" w:lineRule="exact"/>
        <w:rPr>
          <w:rFonts w:ascii="Times New Roman" w:cs="Times New Roman" w:eastAsia="Times New Roman" w:hAnsi="Times New Roman"/>
          <w:sz w:val="21"/>
          <w:szCs w:val="21"/>
          <w:color w:val="auto"/>
        </w:rPr>
      </w:pPr>
    </w:p>
    <w:p>
      <w:pPr>
        <w:ind w:left="1295" w:hanging="668"/>
        <w:spacing w:after="0"/>
        <w:tabs>
          <w:tab w:leader="none" w:pos="129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Administrative Agent</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5" w:firstLine="632"/>
        <w:spacing w:after="0" w:line="279" w:lineRule="auto"/>
        <w:tabs>
          <w:tab w:leader="none" w:pos="124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Applicable Pro Rata Percentage</w:t>
      </w:r>
      <w:r>
        <w:rPr>
          <w:rFonts w:ascii="Times New Roman" w:cs="Times New Roman" w:eastAsia="Times New Roman" w:hAnsi="Times New Roman"/>
          <w:sz w:val="21"/>
          <w:szCs w:val="21"/>
          <w:color w:val="auto"/>
        </w:rPr>
        <w:t>” shall mean with respect to any Canadian Revolving Lender or Canadian Term Lender, the Canadian Revolving Pro Rata Percentage or the Canadian Term Loan Pro Rata Percentage, respectively.</w:t>
      </w:r>
    </w:p>
    <w:p>
      <w:pPr>
        <w:sectPr>
          <w:pgSz w:w="11900" w:h="16838" w:orient="portrait"/>
          <w:cols w:equalWidth="0" w:num="1">
            <w:col w:w="11235"/>
          </w:cols>
          <w:pgMar w:left="325" w:top="1378" w:right="339" w:bottom="1440" w:gutter="0" w:footer="0" w:header="0"/>
        </w:sectPr>
      </w:pPr>
    </w:p>
    <w:bookmarkStart w:id="61" w:name="page62"/>
    <w:bookmarkEnd w:id="61"/>
    <w:p>
      <w:pPr>
        <w:jc w:val="both"/>
        <w:ind w:left="-632" w:firstLine="632"/>
        <w:spacing w:after="0" w:line="263" w:lineRule="auto"/>
        <w:tabs>
          <w:tab w:leader="none" w:pos="61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Benefit Plans</w:t>
      </w:r>
      <w:r>
        <w:rPr>
          <w:rFonts w:ascii="Times New Roman" w:cs="Times New Roman" w:eastAsia="Times New Roman" w:hAnsi="Times New Roman"/>
          <w:sz w:val="21"/>
          <w:szCs w:val="21"/>
          <w:color w:val="auto"/>
        </w:rPr>
        <w:t>” shall mean all employee benefit plans of any nature or kind whatsoever that are not Canadian Pension Plans or Defined Benefit Plans and are maintained or contributed to by the Parent Borrower or any of the Canadian Subsidiaries, in each case covering employees in Canada.</w:t>
      </w:r>
    </w:p>
    <w:p>
      <w:pPr>
        <w:spacing w:after="0" w:line="173" w:lineRule="exact"/>
        <w:rPr>
          <w:rFonts w:ascii="Times New Roman" w:cs="Times New Roman" w:eastAsia="Times New Roman" w:hAnsi="Times New Roman"/>
          <w:sz w:val="21"/>
          <w:szCs w:val="21"/>
          <w:color w:val="auto"/>
        </w:rPr>
      </w:pPr>
    </w:p>
    <w:p>
      <w:pPr>
        <w:ind w:left="668" w:hanging="668"/>
        <w:spacing w:after="0"/>
        <w:tabs>
          <w:tab w:leader="none" w:pos="66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Collateral</w:t>
      </w:r>
      <w:r>
        <w:rPr>
          <w:rFonts w:ascii="Times New Roman" w:cs="Times New Roman" w:eastAsia="Times New Roman" w:hAnsi="Times New Roman"/>
          <w:sz w:val="21"/>
          <w:szCs w:val="21"/>
          <w:color w:val="auto"/>
        </w:rPr>
        <w:t>” shall mean all “Collateral” as defined in any Canadian Security Document.</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Collateral Agent</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Commitment Fees</w:t>
      </w:r>
      <w:r>
        <w:rPr>
          <w:rFonts w:ascii="Times New Roman" w:cs="Times New Roman" w:eastAsia="Times New Roman" w:hAnsi="Times New Roman"/>
          <w:sz w:val="21"/>
          <w:szCs w:val="21"/>
          <w:color w:val="auto"/>
        </w:rPr>
        <w:t>” shall have the meaning assigned to such term in Section 2.05(a)(ii).</w:t>
      </w:r>
    </w:p>
    <w:p>
      <w:pPr>
        <w:spacing w:after="0" w:line="21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Dollar Equivalent</w:t>
      </w:r>
      <w:r>
        <w:rPr>
          <w:rFonts w:ascii="Times New Roman" w:cs="Times New Roman" w:eastAsia="Times New Roman" w:hAnsi="Times New Roman"/>
          <w:sz w:val="21"/>
          <w:szCs w:val="21"/>
          <w:color w:val="auto"/>
        </w:rPr>
        <w:t>” shall mean, on any date of determination, with respect to any amount in U.S. dollars, the equivalent in Canadian dollars of such amount, determined by the Administrative Agent using the Exchange Rate, then in effect.</w:t>
      </w:r>
    </w:p>
    <w:p>
      <w:pPr>
        <w:spacing w:after="0" w:line="157"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dollars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C$</w:t>
      </w:r>
      <w:r>
        <w:rPr>
          <w:rFonts w:ascii="Times New Roman" w:cs="Times New Roman" w:eastAsia="Times New Roman" w:hAnsi="Times New Roman"/>
          <w:sz w:val="21"/>
          <w:szCs w:val="21"/>
          <w:color w:val="auto"/>
        </w:rPr>
        <w:t>” shall mean lawful currency of Canada.</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Facility</w:t>
      </w:r>
      <w:r>
        <w:rPr>
          <w:rFonts w:ascii="Times New Roman" w:cs="Times New Roman" w:eastAsia="Times New Roman" w:hAnsi="Times New Roman"/>
          <w:sz w:val="21"/>
          <w:szCs w:val="21"/>
          <w:color w:val="auto"/>
        </w:rPr>
        <w:t>” shall mean either the Canadian Term Loan Facility or the Canadian Revolving Credit Facility.</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Guarantee Agreement</w:t>
      </w:r>
      <w:r>
        <w:rPr>
          <w:rFonts w:ascii="Times New Roman" w:cs="Times New Roman" w:eastAsia="Times New Roman" w:hAnsi="Times New Roman"/>
          <w:sz w:val="21"/>
          <w:szCs w:val="21"/>
          <w:color w:val="auto"/>
        </w:rPr>
        <w:t>” shall mean the Canadian Guarantee Agreement, substantially in the form of Exhibit C-2, by the Parent Borrower and the Canadian Subsidiary Guarantors in favor of the Canadian Collateral Agent, for the benefit of the Secured Parties.</w:t>
      </w:r>
    </w:p>
    <w:p>
      <w:pPr>
        <w:spacing w:after="0" w:line="160"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L/C Exposure</w:t>
      </w:r>
      <w:r>
        <w:rPr>
          <w:rFonts w:ascii="Times New Roman" w:cs="Times New Roman" w:eastAsia="Times New Roman" w:hAnsi="Times New Roman"/>
          <w:sz w:val="21"/>
          <w:szCs w:val="21"/>
          <w:color w:val="auto"/>
        </w:rPr>
        <w:t>”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Revolving Lender at any time shall mean its Canadian Revolving Pro Rata Percentage of the aggregate Canadian L/C Exposure at such time.</w:t>
      </w:r>
    </w:p>
    <w:p>
      <w:pPr>
        <w:spacing w:after="0" w:line="16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L/C Participation Fee</w:t>
      </w:r>
      <w:r>
        <w:rPr>
          <w:rFonts w:ascii="Times New Roman" w:cs="Times New Roman" w:eastAsia="Times New Roman" w:hAnsi="Times New Roman"/>
          <w:sz w:val="21"/>
          <w:szCs w:val="21"/>
          <w:color w:val="auto"/>
        </w:rPr>
        <w:t>” shall have the meaning assigned to such term in Section 2.05(c).</w:t>
      </w:r>
    </w:p>
    <w:p>
      <w:pPr>
        <w:spacing w:after="0" w:line="228"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Lenders</w:t>
      </w:r>
      <w:r>
        <w:rPr>
          <w:rFonts w:ascii="Times New Roman" w:cs="Times New Roman" w:eastAsia="Times New Roman" w:hAnsi="Times New Roman"/>
          <w:sz w:val="21"/>
          <w:szCs w:val="21"/>
          <w:color w:val="auto"/>
        </w:rPr>
        <w:t>” shall mean Canadian Revolving Lenders and Canadian Term Lenders, as applicable.</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Loan</w:t>
      </w:r>
      <w:r>
        <w:rPr>
          <w:rFonts w:ascii="Times New Roman" w:cs="Times New Roman" w:eastAsia="Times New Roman" w:hAnsi="Times New Roman"/>
          <w:sz w:val="21"/>
          <w:szCs w:val="21"/>
          <w:color w:val="auto"/>
        </w:rPr>
        <w:t>” shall mean a Canadian Revolving Credit Loan or a Canadian Term Loan.</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Loan Parties</w:t>
      </w:r>
      <w:r>
        <w:rPr>
          <w:rFonts w:ascii="Times New Roman" w:cs="Times New Roman" w:eastAsia="Times New Roman" w:hAnsi="Times New Roman"/>
          <w:sz w:val="21"/>
          <w:szCs w:val="21"/>
          <w:color w:val="auto"/>
        </w:rPr>
        <w:t>” shall mean the Parent Borrower and the Canadian Subsidiary Guarantors.</w:t>
      </w:r>
    </w:p>
    <w:p>
      <w:pPr>
        <w:sectPr>
          <w:pgSz w:w="11900" w:h="16838" w:orient="portrait"/>
          <w:cols w:equalWidth="0" w:num="1">
            <w:col w:w="10608"/>
          </w:cols>
          <w:pgMar w:left="952" w:top="1378" w:right="339" w:bottom="1440" w:gutter="0" w:footer="0" w:header="0"/>
        </w:sectPr>
      </w:pPr>
    </w:p>
    <w:bookmarkStart w:id="62" w:name="page63"/>
    <w:bookmarkEnd w:id="62"/>
    <w:p>
      <w:pPr>
        <w:jc w:val="both"/>
        <w:ind w:left="-5" w:firstLine="632"/>
        <w:spacing w:after="0" w:line="263" w:lineRule="auto"/>
        <w:tabs>
          <w:tab w:leader="none" w:pos="132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Pension Plans</w:t>
      </w:r>
      <w:r>
        <w:rPr>
          <w:rFonts w:ascii="Times New Roman" w:cs="Times New Roman" w:eastAsia="Times New Roman" w:hAnsi="Times New Roman"/>
          <w:sz w:val="21"/>
          <w:szCs w:val="21"/>
          <w:color w:val="auto"/>
        </w:rPr>
        <w:t>” shall mean each plan that is considered to be a pension plan for the purposes of any applicable pension benefits standards statute and/or regulation in Canada established, maintained or contributed to by the Parent Borrower or any of the Canadian Subsidiaries for its employees or former employees, but excluding the Defined Benefit Plans.</w:t>
      </w:r>
    </w:p>
    <w:p>
      <w:pPr>
        <w:spacing w:after="0" w:line="173" w:lineRule="exact"/>
        <w:rPr>
          <w:rFonts w:ascii="Times New Roman" w:cs="Times New Roman" w:eastAsia="Times New Roman" w:hAnsi="Times New Roman"/>
          <w:sz w:val="21"/>
          <w:szCs w:val="21"/>
          <w:color w:val="auto"/>
        </w:rPr>
      </w:pPr>
    </w:p>
    <w:p>
      <w:pPr>
        <w:jc w:val="both"/>
        <w:ind w:left="-5" w:firstLine="632"/>
        <w:spacing w:after="0" w:line="263" w:lineRule="auto"/>
        <w:tabs>
          <w:tab w:leader="none" w:pos="124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Pledge Agreement</w:t>
      </w:r>
      <w:r>
        <w:rPr>
          <w:rFonts w:ascii="Times New Roman" w:cs="Times New Roman" w:eastAsia="Times New Roman" w:hAnsi="Times New Roman"/>
          <w:sz w:val="21"/>
          <w:szCs w:val="21"/>
          <w:color w:val="auto"/>
        </w:rPr>
        <w:t>” shall mean the Canadian Pledge Agreement, substantially in the form of Exhibit D-1, among the Parent Borrower and each Canadian Subsidiary of the Parent Borrower party thereto, as pledgors, and the Canadian Collateral Agent, for the benefit of the Secured Parties.</w:t>
      </w:r>
    </w:p>
    <w:p>
      <w:pPr>
        <w:spacing w:after="0" w:line="160" w:lineRule="exact"/>
        <w:rPr>
          <w:rFonts w:ascii="Times New Roman" w:cs="Times New Roman" w:eastAsia="Times New Roman" w:hAnsi="Times New Roman"/>
          <w:sz w:val="21"/>
          <w:szCs w:val="21"/>
          <w:color w:val="auto"/>
        </w:rPr>
      </w:pPr>
    </w:p>
    <w:p>
      <w:pPr>
        <w:jc w:val="both"/>
        <w:ind w:left="-5" w:firstLine="632"/>
        <w:spacing w:after="0" w:line="252" w:lineRule="auto"/>
        <w:tabs>
          <w:tab w:leader="none" w:pos="124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Prime Rate</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u w:val="single" w:color="auto"/>
          <w:color w:val="0000FF"/>
          <w:highlight w:val="lightGray"/>
        </w:rPr>
        <w:t>with respect to a Canadian Prime Rate Loan,</w:t>
      </w:r>
      <w:r>
        <w:rPr>
          <w:rFonts w:ascii="Times New Roman" w:cs="Times New Roman" w:eastAsia="Times New Roman" w:hAnsi="Times New Roman"/>
          <w:sz w:val="21"/>
          <w:szCs w:val="21"/>
          <w:color w:val="auto"/>
        </w:rPr>
        <w:t xml:space="preserve"> on any day</w:t>
      </w:r>
      <w:r>
        <w:rPr>
          <w:rFonts w:ascii="Times New Roman" w:cs="Times New Roman" w:eastAsia="Times New Roman" w:hAnsi="Times New Roman"/>
          <w:sz w:val="21"/>
          <w:szCs w:val="21"/>
          <w:color w:val="FF0000"/>
          <w:strike w:val="1"/>
        </w:rPr>
        <w:t>, the annual rate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interest equal to</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greater of</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u w:val="single" w:color="auto"/>
          <w:color w:val="0000FF"/>
          <w:highlight w:val="lightGray"/>
        </w:rPr>
        <w:t>i</w:t>
      </w:r>
      <w:r>
        <w:rPr>
          <w:rFonts w:ascii="Times New Roman" w:cs="Times New Roman" w:eastAsia="Times New Roman" w:hAnsi="Times New Roman"/>
          <w:sz w:val="21"/>
          <w:szCs w:val="21"/>
          <w:color w:val="000000"/>
        </w:rPr>
        <w:t>) the annual rate of interest announced from time to time by the Canadian Administrative Agent as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being</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its</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prime</w:t>
      </w:r>
      <w:r>
        <w:rPr>
          <w:rFonts w:ascii="Times New Roman" w:cs="Times New Roman" w:eastAsia="Times New Roman" w:hAnsi="Times New Roman"/>
          <w:sz w:val="21"/>
          <w:szCs w:val="21"/>
          <w:u w:val="single" w:color="auto"/>
          <w:color w:val="0000FF"/>
          <w:highlight w:val="lightGray"/>
        </w:rPr>
        <w:t>reference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rate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u w:val="single" w:color="auto"/>
          <w:color w:val="0000FF"/>
          <w:highlight w:val="lightGray"/>
        </w:rPr>
        <w:t>then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in effect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at its principal office in Toronto, Ontario</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on such day for determining interest rates on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Canadian </w:t>
      </w:r>
      <w:r>
        <w:rPr>
          <w:rFonts w:ascii="Times New Roman" w:cs="Times New Roman" w:eastAsia="Times New Roman" w:hAnsi="Times New Roman"/>
          <w:sz w:val="21"/>
          <w:szCs w:val="21"/>
          <w:u w:val="single" w:color="auto"/>
          <w:color w:val="0000FF"/>
          <w:highlight w:val="lightGray"/>
        </w:rPr>
        <w:t>Dollar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dollar-</w:t>
      </w:r>
      <w:r>
        <w:rPr>
          <w:rFonts w:ascii="Times New Roman" w:cs="Times New Roman" w:eastAsia="Times New Roman" w:hAnsi="Times New Roman"/>
          <w:sz w:val="21"/>
          <w:szCs w:val="21"/>
          <w:color w:val="000000"/>
        </w:rPr>
        <w:t xml:space="preserve">denominated commercial loans made </w:t>
      </w:r>
      <w:r>
        <w:rPr>
          <w:rFonts w:ascii="Times New Roman" w:cs="Times New Roman" w:eastAsia="Times New Roman" w:hAnsi="Times New Roman"/>
          <w:sz w:val="21"/>
          <w:szCs w:val="21"/>
          <w:u w:val="single" w:color="auto"/>
          <w:color w:val="0000FF"/>
          <w:highlight w:val="lightGray"/>
        </w:rPr>
        <w:t>by it</w:t>
      </w:r>
      <w:r>
        <w:rPr>
          <w:rFonts w:ascii="Times New Roman" w:cs="Times New Roman" w:eastAsia="Times New Roman" w:hAnsi="Times New Roman"/>
          <w:sz w:val="21"/>
          <w:szCs w:val="21"/>
          <w:color w:val="000000"/>
        </w:rPr>
        <w:t xml:space="preserve"> in Canada</w:t>
      </w:r>
      <w:r>
        <w:rPr>
          <w:rFonts w:ascii="Times New Roman" w:cs="Times New Roman" w:eastAsia="Times New Roman" w:hAnsi="Times New Roman"/>
          <w:sz w:val="21"/>
          <w:szCs w:val="21"/>
          <w:color w:val="FF0000"/>
          <w:strike w:val="1"/>
        </w:rPr>
        <w:t>; and (b) the annual rate of interest equal to the sum of (i)</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the CDOR Rate in effect on such day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 (ii)</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1%</w:t>
      </w:r>
      <w:r>
        <w:rPr>
          <w:rFonts w:ascii="Times New Roman" w:cs="Times New Roman" w:eastAsia="Times New Roman" w:hAnsi="Times New Roman"/>
          <w:sz w:val="21"/>
          <w:szCs w:val="21"/>
          <w:u w:val="single" w:color="auto"/>
          <w:color w:val="0000FF"/>
          <w:highlight w:val="lightGray"/>
        </w:rPr>
        <w:t>Adjusted Term CORRA for an interest period of one month in effect from time to</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time plus 100 basis points per annum</w:t>
      </w:r>
      <w:r>
        <w:rPr>
          <w:rFonts w:ascii="Times New Roman" w:cs="Times New Roman" w:eastAsia="Times New Roman" w:hAnsi="Times New Roman"/>
          <w:sz w:val="21"/>
          <w:szCs w:val="21"/>
          <w:color w:val="000000"/>
        </w:rPr>
        <w:t>; provided that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if the rate determined above shall ever</w:t>
      </w:r>
      <w:r>
        <w:rPr>
          <w:rFonts w:ascii="Times New Roman" w:cs="Times New Roman" w:eastAsia="Times New Roman" w:hAnsi="Times New Roman"/>
          <w:sz w:val="21"/>
          <w:szCs w:val="21"/>
          <w:u w:val="single" w:color="auto"/>
          <w:color w:val="0000FF"/>
          <w:highlight w:val="lightGray"/>
        </w:rPr>
        <w:t>in no event shall the Canadian Prime Rate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be less than zero</w:t>
      </w:r>
      <w:r>
        <w:rPr>
          <w:rFonts w:ascii="Times New Roman" w:cs="Times New Roman" w:eastAsia="Times New Roman" w:hAnsi="Times New Roman"/>
          <w:sz w:val="21"/>
          <w:szCs w:val="21"/>
          <w:color w:val="FF0000"/>
          <w:strike w:val="1"/>
        </w:rPr>
        <w:t>, such rate shall be deemed to be zero</w:t>
      </w:r>
      <w:r>
        <w:rPr>
          <w:rFonts w:ascii="Times New Roman" w:cs="Times New Roman" w:eastAsia="Times New Roman" w:hAnsi="Times New Roman"/>
          <w:sz w:val="21"/>
          <w:szCs w:val="21"/>
          <w:color w:val="000000"/>
        </w:rPr>
        <w:t xml:space="preserve"> for the purposes of this Agreement. </w:t>
      </w:r>
      <w:r>
        <w:rPr>
          <w:rFonts w:ascii="Times New Roman" w:cs="Times New Roman" w:eastAsia="Times New Roman" w:hAnsi="Times New Roman"/>
          <w:sz w:val="21"/>
          <w:szCs w:val="21"/>
          <w:color w:val="FF0000"/>
          <w:strike w:val="1"/>
        </w:rPr>
        <w:t>When used in reference to any Loan or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Borrowing, “</w:t>
      </w:r>
      <w:r>
        <w:rPr>
          <w:rFonts w:ascii="Times New Roman" w:cs="Times New Roman" w:eastAsia="Times New Roman" w:hAnsi="Times New Roman"/>
          <w:sz w:val="21"/>
          <w:szCs w:val="21"/>
          <w:u w:val="single" w:color="auto"/>
          <w:color w:val="0000FF"/>
          <w:highlight w:val="lightGray"/>
        </w:rPr>
        <w:t>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Canadian Prime Rate</w:t>
      </w:r>
      <w:r>
        <w:rPr>
          <w:rFonts w:ascii="Times New Roman" w:cs="Times New Roman" w:eastAsia="Times New Roman" w:hAnsi="Times New Roman"/>
          <w:sz w:val="21"/>
          <w:szCs w:val="21"/>
          <w:color w:val="FF0000"/>
          <w:strike w:val="1"/>
        </w:rPr>
        <w:t>” refers to whether such Loan, or the Loans comprising such Borrowing, are bearing interest at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 xml:space="preserve">a rate determined by reference to </w:t>
      </w:r>
      <w:r>
        <w:rPr>
          <w:rFonts w:ascii="Times New Roman" w:cs="Times New Roman" w:eastAsia="Times New Roman" w:hAnsi="Times New Roman"/>
          <w:sz w:val="21"/>
          <w:szCs w:val="21"/>
          <w:u w:val="single" w:color="auto"/>
          <w:color w:val="0000FF"/>
          <w:highlight w:val="lightGray"/>
          <w:strike w:val="1"/>
        </w:rPr>
        <w:t>is a reference rate and does not necessarily represent the lowest or best rate actually charged to any</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highlight w:val="lightGray"/>
          <w:strike w:val="1"/>
        </w:rPr>
        <w:t>customer. Any change in</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color w:val="000000"/>
          <w:strike w:val="1"/>
        </w:rPr>
        <w:t>the Canadian Prime Rate</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u w:val="single" w:color="auto"/>
          <w:color w:val="0000FF"/>
          <w:highlight w:val="lightGray"/>
          <w:strike w:val="1"/>
        </w:rPr>
        <w:t>determined by the Canadian Administrative Agent shall be effective on the date</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u w:val="single" w:color="auto"/>
          <w:color w:val="0000FF"/>
          <w:highlight w:val="lightGray"/>
          <w:strike w:val="1"/>
        </w:rPr>
        <w:t>the change becomes effective generally</w:t>
      </w:r>
      <w:r>
        <w:rPr>
          <w:rFonts w:ascii="Times New Roman" w:cs="Times New Roman" w:eastAsia="Times New Roman" w:hAnsi="Times New Roman"/>
          <w:sz w:val="21"/>
          <w:szCs w:val="21"/>
          <w:color w:val="000000"/>
          <w:strike w:val="1"/>
        </w:rPr>
        <w:t>.</w:t>
      </w:r>
    </w:p>
    <w:p>
      <w:pPr>
        <w:spacing w:after="0" w:line="177" w:lineRule="exact"/>
        <w:rPr>
          <w:rFonts w:ascii="Times New Roman" w:cs="Times New Roman" w:eastAsia="Times New Roman" w:hAnsi="Times New Roman"/>
          <w:sz w:val="21"/>
          <w:szCs w:val="21"/>
          <w:color w:val="auto"/>
        </w:rPr>
      </w:pPr>
    </w:p>
    <w:p>
      <w:pPr>
        <w:jc w:val="both"/>
        <w:ind w:left="-5" w:firstLine="632"/>
        <w:spacing w:after="0" w:line="261" w:lineRule="auto"/>
        <w:tabs>
          <w:tab w:leader="none" w:pos="124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Revolving Borrowing</w:t>
      </w:r>
      <w:r>
        <w:rPr>
          <w:rFonts w:ascii="Times New Roman" w:cs="Times New Roman" w:eastAsia="Times New Roman" w:hAnsi="Times New Roman"/>
          <w:sz w:val="21"/>
          <w:szCs w:val="21"/>
          <w:color w:val="auto"/>
        </w:rPr>
        <w:t xml:space="preserve">” shall mean a group of Canadian Revolving Credit Loans of a single Type made, converted or continued by the Canadian Revolving Lenders on a single date and, in the case of a SOFR Borrowing, as to which a single Interest Period is in effect and, in the case of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as to which a single </w:t>
      </w:r>
      <w:r>
        <w:rPr>
          <w:rFonts w:ascii="Times New Roman" w:cs="Times New Roman" w:eastAsia="Times New Roman" w:hAnsi="Times New Roman"/>
          <w:sz w:val="21"/>
          <w:szCs w:val="21"/>
          <w:color w:val="FF0000"/>
          <w:strike w:val="1"/>
        </w:rPr>
        <w:t>Contract</w:t>
      </w:r>
      <w:r>
        <w:rPr>
          <w:rFonts w:ascii="Times New Roman" w:cs="Times New Roman" w:eastAsia="Times New Roman" w:hAnsi="Times New Roman"/>
          <w:sz w:val="21"/>
          <w:szCs w:val="21"/>
          <w:u w:val="single" w:color="auto"/>
          <w:color w:val="0000FF"/>
          <w:highlight w:val="lightGray"/>
        </w:rPr>
        <w:t>Interest</w:t>
      </w:r>
      <w:r>
        <w:rPr>
          <w:rFonts w:ascii="Times New Roman" w:cs="Times New Roman" w:eastAsia="Times New Roman" w:hAnsi="Times New Roman"/>
          <w:sz w:val="21"/>
          <w:szCs w:val="21"/>
          <w:color w:val="auto"/>
        </w:rPr>
        <w:t xml:space="preserve"> Period is in effect.</w:t>
      </w:r>
    </w:p>
    <w:p>
      <w:pPr>
        <w:spacing w:after="0" w:line="164" w:lineRule="exact"/>
        <w:rPr>
          <w:rFonts w:ascii="Times New Roman" w:cs="Times New Roman" w:eastAsia="Times New Roman" w:hAnsi="Times New Roman"/>
          <w:sz w:val="21"/>
          <w:szCs w:val="21"/>
          <w:color w:val="auto"/>
        </w:rPr>
      </w:pPr>
    </w:p>
    <w:p>
      <w:pPr>
        <w:jc w:val="both"/>
        <w:ind w:left="-5" w:firstLine="632"/>
        <w:spacing w:after="0" w:line="253" w:lineRule="auto"/>
        <w:tabs>
          <w:tab w:leader="none" w:pos="129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Revolving Commitment</w:t>
      </w:r>
      <w:r>
        <w:rPr>
          <w:rFonts w:ascii="Times New Roman" w:cs="Times New Roman" w:eastAsia="Times New Roman" w:hAnsi="Times New Roman"/>
          <w:sz w:val="21"/>
          <w:szCs w:val="21"/>
          <w:color w:val="auto"/>
        </w:rPr>
        <w:t>” shall mean, with respect to each Canadian Revolving Lender, the commitment of such Canadian Revolving Lender to (a) make Canadian Revolving Credit Loans hereunder, (b) purchase participations in the Canadian L/C Exposure and (c) purchase participations in Canadian Swing Line Loans, in an aggregate principal amount not to exceed the amount set forth opposite such Lender’s name on Schedule 2.01 under the caption “Canadian Revolving Commitment”, or in the Assignment and Acceptance or Lender Joinder Agreement pursuant to which such Canadian Revolving Lender assumed its Canadian Revolving Commitment, as applicable, as the same may be (i) increased from time to time pursuant to Section 2.25,</w:t>
      </w:r>
    </w:p>
    <w:p>
      <w:pPr>
        <w:spacing w:after="0" w:line="1" w:lineRule="exact"/>
        <w:rPr>
          <w:rFonts w:ascii="Times New Roman" w:cs="Times New Roman" w:eastAsia="Times New Roman" w:hAnsi="Times New Roman"/>
          <w:sz w:val="21"/>
          <w:szCs w:val="21"/>
          <w:color w:val="auto"/>
        </w:rPr>
      </w:pPr>
    </w:p>
    <w:p>
      <w:pPr>
        <w:jc w:val="both"/>
        <w:ind w:left="-5" w:firstLine="5"/>
        <w:spacing w:after="0" w:line="250" w:lineRule="auto"/>
        <w:tabs>
          <w:tab w:leader="none" w:pos="30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reduced from time to time pursuant to Section 2.09 and (iii) reduced or increased from time to time pursuant to assignments by or to such Canadian Revolving Lender pursuant to Section 9.04. The aggregate amount of the Canadian Revolving Commitments as of the Closing Date is U.S.$155,000,000.</w:t>
      </w:r>
    </w:p>
    <w:p>
      <w:pPr>
        <w:sectPr>
          <w:pgSz w:w="11900" w:h="16838" w:orient="portrait"/>
          <w:cols w:equalWidth="0" w:num="1">
            <w:col w:w="11235"/>
          </w:cols>
          <w:pgMar w:left="325" w:top="1378" w:right="339" w:bottom="1440" w:gutter="0" w:footer="0" w:header="0"/>
        </w:sectPr>
      </w:pPr>
    </w:p>
    <w:bookmarkStart w:id="63" w:name="page64"/>
    <w:bookmarkEnd w:id="63"/>
    <w:p>
      <w:pPr>
        <w:jc w:val="both"/>
        <w:ind w:left="-632" w:firstLine="632"/>
        <w:spacing w:after="0" w:line="271" w:lineRule="auto"/>
        <w:tabs>
          <w:tab w:leader="none" w:pos="68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Canadian Revolving Credit Exposure</w:t>
      </w:r>
      <w:r>
        <w:rPr>
          <w:rFonts w:ascii="Times New Roman" w:cs="Times New Roman" w:eastAsia="Times New Roman" w:hAnsi="Times New Roman"/>
          <w:sz w:val="20"/>
          <w:szCs w:val="20"/>
          <w:color w:val="auto"/>
        </w:rPr>
        <w:t xml:space="preserve">” shall mean, with respect to any Canadian Revolving Lender at any time, the aggregate principal amount at such time of all outstanding Canadian Revolving Credit Loans of such Lender denominated in U.S. dollars,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U.S. Dollar Equivalent of the aggregate principal amount at such time of all outstanding Canadian Revolving Credit Loans of such Canadian Revolving Lender denominated in Canadian dollars,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U.S. Dollar Equivalent of the aggregate amount at such time of such Canadian Revolving Lender’s Canadian Revolving Pro Rata Percentage of the Canadian L/C Exposure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such Canadian Revolving Lender’s Canadian Revolving Pro Rata Percentage of the outstanding amount of all Canadian Swing Line Loans.</w:t>
      </w:r>
    </w:p>
    <w:p>
      <w:pPr>
        <w:spacing w:after="0" w:line="153" w:lineRule="exact"/>
        <w:rPr>
          <w:rFonts w:ascii="Times New Roman" w:cs="Times New Roman" w:eastAsia="Times New Roman" w:hAnsi="Times New Roman"/>
          <w:sz w:val="20"/>
          <w:szCs w:val="20"/>
          <w:color w:val="auto"/>
        </w:rPr>
      </w:pPr>
    </w:p>
    <w:p>
      <w:pPr>
        <w:ind w:left="-632" w:firstLine="632"/>
        <w:spacing w:after="0" w:line="279" w:lineRule="auto"/>
        <w:tabs>
          <w:tab w:leader="none" w:pos="61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Revolving Credit Facility</w:t>
      </w:r>
      <w:r>
        <w:rPr>
          <w:rFonts w:ascii="Times New Roman" w:cs="Times New Roman" w:eastAsia="Times New Roman" w:hAnsi="Times New Roman"/>
          <w:sz w:val="21"/>
          <w:szCs w:val="21"/>
          <w:color w:val="auto"/>
        </w:rPr>
        <w:t>” shall mean at any time the aggregate amount of the Canadian Revolving Commitments of the Canadian Revolving Lenders at such time.</w:t>
      </w:r>
    </w:p>
    <w:p>
      <w:pPr>
        <w:spacing w:after="0" w:line="157" w:lineRule="exact"/>
        <w:rPr>
          <w:rFonts w:ascii="Times New Roman" w:cs="Times New Roman" w:eastAsia="Times New Roman" w:hAnsi="Times New Roman"/>
          <w:sz w:val="21"/>
          <w:szCs w:val="21"/>
          <w:color w:val="auto"/>
        </w:rPr>
      </w:pPr>
    </w:p>
    <w:p>
      <w:pPr>
        <w:jc w:val="both"/>
        <w:ind w:left="-632" w:firstLine="632"/>
        <w:spacing w:after="0" w:line="253" w:lineRule="auto"/>
        <w:tabs>
          <w:tab w:leader="none" w:pos="61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Revolving Credit Loans</w:t>
      </w:r>
      <w:r>
        <w:rPr>
          <w:rFonts w:ascii="Times New Roman" w:cs="Times New Roman" w:eastAsia="Times New Roman" w:hAnsi="Times New Roman"/>
          <w:sz w:val="21"/>
          <w:szCs w:val="21"/>
          <w:color w:val="auto"/>
        </w:rPr>
        <w:t xml:space="preserve">” shall mean (a) the Canadian dollar-denominated Revolving Credit Loans </w:t>
      </w:r>
      <w:r>
        <w:rPr>
          <w:rFonts w:ascii="Times New Roman" w:cs="Times New Roman" w:eastAsia="Times New Roman" w:hAnsi="Times New Roman"/>
          <w:sz w:val="21"/>
          <w:szCs w:val="21"/>
          <w:color w:val="FF0000"/>
          <w:strike w:val="1"/>
        </w:rPr>
        <w:t>(including the aggregate face amount of outstanding B/As)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made by the Canadian Revolving Lenders to the Parent Borrower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hereunder and (b) the U.S. dollar-denominated Revolving Credit Loans made by the Canadian Revolving Lenders to the Parent Borrower. Each Canadian Revolving Credit Loan denominated in Canadian dollars shall be a Canadian Prime Rate Loan or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Loan. Each Canadian Revolving Credit Loan denominated in U.S. dollars and made to the Parent Borrower shall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be a SOFR Loan or a U.S. Base Rate Loan.</w:t>
      </w:r>
    </w:p>
    <w:p>
      <w:pPr>
        <w:spacing w:after="0" w:line="184"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Revolving Lenders</w:t>
      </w:r>
      <w:r>
        <w:rPr>
          <w:rFonts w:ascii="Times New Roman" w:cs="Times New Roman" w:eastAsia="Times New Roman" w:hAnsi="Times New Roman"/>
          <w:sz w:val="21"/>
          <w:szCs w:val="21"/>
          <w:color w:val="auto"/>
        </w:rPr>
        <w:t>” shall mean Lenders having Canadian Revolving Commitments, outstanding Canadian Revolving Credit Loans, or participations in Canadian Letters of Credit pursuant to Section 2.21(d) or in Canadian Swing Line Loans pursuant to Section 2.23.</w:t>
      </w:r>
    </w:p>
    <w:p>
      <w:pPr>
        <w:spacing w:after="0" w:line="160"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72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Revolving Pro Rata Percentage</w:t>
      </w:r>
      <w:r>
        <w:rPr>
          <w:rFonts w:ascii="Times New Roman" w:cs="Times New Roman" w:eastAsia="Times New Roman" w:hAnsi="Times New Roman"/>
          <w:sz w:val="21"/>
          <w:szCs w:val="21"/>
          <w:color w:val="auto"/>
        </w:rPr>
        <w:t xml:space="preserve">” of any Canadian Revolving Lender, subject to any adjustment as provided in Section 2.24(c) or 2.25(a), shall mean the percentage of the aggregate Canadian Revolving Commitments represented by such Canadian Revolving Lender’s Canadian Revolving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Canadian Revolving Commitments have terminated, the Canadian Revolving Pro Rata Percentages of the Canadian Revolving Lenders shall be determined based upon the Canadian Revolving Commitments most recently in effect, giving effect to any assignments</w:t>
      </w:r>
    </w:p>
    <w:p>
      <w:pPr>
        <w:spacing w:after="0" w:line="165" w:lineRule="exact"/>
        <w:rPr>
          <w:rFonts w:ascii="Times New Roman" w:cs="Times New Roman" w:eastAsia="Times New Roman" w:hAnsi="Times New Roman"/>
          <w:sz w:val="21"/>
          <w:szCs w:val="21"/>
          <w:color w:val="auto"/>
        </w:rPr>
      </w:pPr>
    </w:p>
    <w:p>
      <w:pPr>
        <w:jc w:val="both"/>
        <w:ind w:left="-632" w:firstLine="632"/>
        <w:spacing w:after="0" w:line="269" w:lineRule="auto"/>
        <w:tabs>
          <w:tab w:leader="none" w:pos="61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Security Agreement</w:t>
      </w:r>
      <w:r>
        <w:rPr>
          <w:rFonts w:ascii="Times New Roman" w:cs="Times New Roman" w:eastAsia="Times New Roman" w:hAnsi="Times New Roman"/>
          <w:sz w:val="21"/>
          <w:szCs w:val="21"/>
          <w:color w:val="auto"/>
        </w:rPr>
        <w:t>” shall mean the Canadian Security Agreement, substantially in the form of Exhibit E-2, among each Canadian Subsidiary of the Parent Borrower party thereto, as grantors, and the Canadian Collateral Agent, for the benefit of the Secured Parties.</w:t>
      </w:r>
    </w:p>
    <w:p>
      <w:pPr>
        <w:spacing w:after="0" w:line="155" w:lineRule="exact"/>
        <w:rPr>
          <w:rFonts w:ascii="Times New Roman" w:cs="Times New Roman" w:eastAsia="Times New Roman" w:hAnsi="Times New Roman"/>
          <w:sz w:val="21"/>
          <w:szCs w:val="21"/>
          <w:color w:val="auto"/>
        </w:rPr>
      </w:pPr>
    </w:p>
    <w:p>
      <w:pPr>
        <w:jc w:val="both"/>
        <w:ind w:left="-632" w:firstLine="632"/>
        <w:spacing w:after="0" w:line="257" w:lineRule="auto"/>
        <w:tabs>
          <w:tab w:leader="none" w:pos="61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Security Documents</w:t>
      </w:r>
      <w:r>
        <w:rPr>
          <w:rFonts w:ascii="Times New Roman" w:cs="Times New Roman" w:eastAsia="Times New Roman" w:hAnsi="Times New Roman"/>
          <w:sz w:val="21"/>
          <w:szCs w:val="21"/>
          <w:color w:val="auto"/>
        </w:rPr>
        <w:t>” shall mean the Canadian Security Agreement, the Canadian Pledge Agreement, and each other Security Document to which the Parent Borrower, any Canadian Subsidiary Guarantor or any other Subsidiary of the Parent Borrower is a party and that purports to grant a Lien in the assets of any such person in favor of the Canadian Collateral Agent for the benefit of the Secured Parties.</w:t>
      </w:r>
    </w:p>
    <w:p>
      <w:pPr>
        <w:sectPr>
          <w:pgSz w:w="11900" w:h="16838" w:orient="portrait"/>
          <w:cols w:equalWidth="0" w:num="1">
            <w:col w:w="10608"/>
          </w:cols>
          <w:pgMar w:left="952" w:top="1378" w:right="339" w:bottom="1440" w:gutter="0" w:footer="0" w:header="0"/>
        </w:sectPr>
      </w:pPr>
    </w:p>
    <w:bookmarkStart w:id="64" w:name="page65"/>
    <w:bookmarkEnd w:id="64"/>
    <w:p>
      <w:pPr>
        <w:ind w:firstLine="632"/>
        <w:spacing w:after="0" w:line="279"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Subsidiaries</w:t>
      </w:r>
      <w:r>
        <w:rPr>
          <w:rFonts w:ascii="Times New Roman" w:cs="Times New Roman" w:eastAsia="Times New Roman" w:hAnsi="Times New Roman"/>
          <w:sz w:val="21"/>
          <w:szCs w:val="21"/>
          <w:color w:val="auto"/>
        </w:rPr>
        <w:t>” shall mean the Subsidiaries organized under the laws of Canada or any province, territory or other political subdivision thereof, other than any U.S. Owned Subsidiary.</w:t>
      </w:r>
    </w:p>
    <w:p>
      <w:pPr>
        <w:spacing w:after="0" w:line="144" w:lineRule="exact"/>
        <w:rPr>
          <w:rFonts w:ascii="Times New Roman" w:cs="Times New Roman" w:eastAsia="Times New Roman" w:hAnsi="Times New Roman"/>
          <w:sz w:val="21"/>
          <w:szCs w:val="21"/>
          <w:color w:val="auto"/>
        </w:rPr>
      </w:pPr>
    </w:p>
    <w:p>
      <w:pPr>
        <w:ind w:firstLine="632"/>
        <w:spacing w:after="0" w:line="292"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Subsidiary Guarantor</w:t>
      </w:r>
      <w:r>
        <w:rPr>
          <w:rFonts w:ascii="Times New Roman" w:cs="Times New Roman" w:eastAsia="Times New Roman" w:hAnsi="Times New Roman"/>
          <w:sz w:val="21"/>
          <w:szCs w:val="21"/>
          <w:color w:val="auto"/>
        </w:rPr>
        <w:t>” shall mean each Canadian Subsidiary listed on Schedule 1.01(c), and each other Canadian Subsidiary that is or becomes a party to the Canadian Guarantee Agreement.</w:t>
      </w:r>
    </w:p>
    <w:p>
      <w:pPr>
        <w:spacing w:after="0" w:line="131"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Swing Line Borrowing</w:t>
      </w:r>
      <w:r>
        <w:rPr>
          <w:rFonts w:ascii="Times New Roman" w:cs="Times New Roman" w:eastAsia="Times New Roman" w:hAnsi="Times New Roman"/>
          <w:sz w:val="21"/>
          <w:szCs w:val="21"/>
          <w:color w:val="auto"/>
        </w:rPr>
        <w:t>” shall mean a borrowing of a Canadian Swing Line Loan pursuant to Section 2.23(a)(ii) or, if an AutoBorrow Agreement is in effect, any transfer of funds pursuant to such AutoBorrow Agreement.</w:t>
      </w:r>
    </w:p>
    <w:p>
      <w:pPr>
        <w:spacing w:after="0" w:line="14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Swing Line Lender</w:t>
      </w:r>
      <w:r>
        <w:rPr>
          <w:rFonts w:ascii="Times New Roman" w:cs="Times New Roman" w:eastAsia="Times New Roman" w:hAnsi="Times New Roman"/>
          <w:sz w:val="21"/>
          <w:szCs w:val="21"/>
          <w:color w:val="auto"/>
        </w:rPr>
        <w:t>” shall mean RBC in its capacity as provider of Canadian Swing Line Loans, or any successor swing line lender hereunder.</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Swing Line Loan</w:t>
      </w:r>
      <w:r>
        <w:rPr>
          <w:rFonts w:ascii="Times New Roman" w:cs="Times New Roman" w:eastAsia="Times New Roman" w:hAnsi="Times New Roman"/>
          <w:sz w:val="21"/>
          <w:szCs w:val="21"/>
          <w:color w:val="auto"/>
        </w:rPr>
        <w:t>” shall have the meaning assigned to such term in Section 2.23(a)(ii).</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Swing Line Sublimit</w:t>
      </w:r>
      <w:r>
        <w:rPr>
          <w:rFonts w:ascii="Times New Roman" w:cs="Times New Roman" w:eastAsia="Times New Roman" w:hAnsi="Times New Roman"/>
          <w:sz w:val="21"/>
          <w:szCs w:val="21"/>
          <w:color w:val="auto"/>
        </w:rPr>
        <w:t>” shall mean U.S.$25,000,000. The Canadian Swing Line Sublimit is part of, and not in addition to, the Canadian Revolving Commitments.</w:t>
      </w:r>
    </w:p>
    <w:p>
      <w:pPr>
        <w:spacing w:after="0" w:line="144"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Term Borrowing</w:t>
      </w:r>
      <w:r>
        <w:rPr>
          <w:rFonts w:ascii="Times New Roman" w:cs="Times New Roman" w:eastAsia="Times New Roman" w:hAnsi="Times New Roman"/>
          <w:sz w:val="21"/>
          <w:szCs w:val="21"/>
          <w:color w:val="auto"/>
        </w:rPr>
        <w:t xml:space="preserve">” shall mean a group of Canadian Term Loans of a single Type made, converted or continued by the Canadian Term Lenders on a single date and, in the case of a </w:t>
      </w:r>
      <w:r>
        <w:rPr>
          <w:rFonts w:ascii="Times New Roman" w:cs="Times New Roman" w:eastAsia="Times New Roman" w:hAnsi="Times New Roman"/>
          <w:sz w:val="21"/>
          <w:szCs w:val="21"/>
          <w:color w:val="FF0000"/>
          <w:strike w:val="1"/>
        </w:rPr>
        <w:t>B/A Loan</w:t>
      </w:r>
      <w:r>
        <w:rPr>
          <w:rFonts w:ascii="Times New Roman" w:cs="Times New Roman" w:eastAsia="Times New Roman" w:hAnsi="Times New Roman"/>
          <w:sz w:val="21"/>
          <w:szCs w:val="21"/>
          <w:u w:val="single" w:color="auto"/>
          <w:color w:val="0000FF"/>
          <w:highlight w:val="lightGray"/>
        </w:rPr>
        <w:t>Term CORRA Borrowing</w:t>
      </w:r>
      <w:r>
        <w:rPr>
          <w:rFonts w:ascii="Times New Roman" w:cs="Times New Roman" w:eastAsia="Times New Roman" w:hAnsi="Times New Roman"/>
          <w:sz w:val="21"/>
          <w:szCs w:val="21"/>
          <w:color w:val="auto"/>
        </w:rPr>
        <w:t xml:space="preserve">, as to which a single </w:t>
      </w:r>
      <w:r>
        <w:rPr>
          <w:rFonts w:ascii="Times New Roman" w:cs="Times New Roman" w:eastAsia="Times New Roman" w:hAnsi="Times New Roman"/>
          <w:sz w:val="21"/>
          <w:szCs w:val="21"/>
          <w:color w:val="FF0000"/>
          <w:strike w:val="1"/>
        </w:rPr>
        <w:t>Contract</w:t>
      </w:r>
      <w:r>
        <w:rPr>
          <w:rFonts w:ascii="Times New Roman" w:cs="Times New Roman" w:eastAsia="Times New Roman" w:hAnsi="Times New Roman"/>
          <w:sz w:val="21"/>
          <w:szCs w:val="21"/>
          <w:u w:val="single" w:color="auto"/>
          <w:color w:val="0000FF"/>
          <w:highlight w:val="lightGray"/>
        </w:rPr>
        <w:t>Interest</w:t>
      </w:r>
      <w:r>
        <w:rPr>
          <w:rFonts w:ascii="Times New Roman" w:cs="Times New Roman" w:eastAsia="Times New Roman" w:hAnsi="Times New Roman"/>
          <w:sz w:val="21"/>
          <w:szCs w:val="21"/>
          <w:color w:val="auto"/>
        </w:rPr>
        <w:t xml:space="preserve"> Period is in effect.</w:t>
      </w:r>
    </w:p>
    <w:p>
      <w:pPr>
        <w:spacing w:after="0" w:line="173" w:lineRule="exact"/>
        <w:rPr>
          <w:rFonts w:ascii="Times New Roman" w:cs="Times New Roman" w:eastAsia="Times New Roman" w:hAnsi="Times New Roman"/>
          <w:sz w:val="21"/>
          <w:szCs w:val="21"/>
          <w:color w:val="auto"/>
        </w:rPr>
      </w:pPr>
    </w:p>
    <w:p>
      <w:pPr>
        <w:jc w:val="both"/>
        <w:ind w:firstLine="632"/>
        <w:spacing w:after="0" w:line="257"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Term Commitment</w:t>
      </w:r>
      <w:r>
        <w:rPr>
          <w:rFonts w:ascii="Times New Roman" w:cs="Times New Roman" w:eastAsia="Times New Roman" w:hAnsi="Times New Roman"/>
          <w:sz w:val="21"/>
          <w:szCs w:val="21"/>
          <w:color w:val="auto"/>
        </w:rPr>
        <w:t>” shall mean, with respect to each Canadian Term Lender, the commitment of such Canadian Term Lender to make a single Canadian Term Loan to the Parent Borrower on the Closing Date in an aggregate principal amount not to exceed the Canadian dollar amount set forth opposite such Lender’s name on Schedule 2.01. The aggregate amount of the Canadian Term Commitments as of the Closing Date is C$100,000,000.</w:t>
      </w:r>
    </w:p>
    <w:p>
      <w:pPr>
        <w:spacing w:after="0" w:line="16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Term Lender</w:t>
      </w:r>
      <w:r>
        <w:rPr>
          <w:rFonts w:ascii="Times New Roman" w:cs="Times New Roman" w:eastAsia="Times New Roman" w:hAnsi="Times New Roman"/>
          <w:sz w:val="21"/>
          <w:szCs w:val="21"/>
          <w:color w:val="auto"/>
        </w:rPr>
        <w:t>” shall mean any Lender that has a Canadian Term Commitment or holds a Canadian Term</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w:t>
      </w:r>
    </w:p>
    <w:p>
      <w:pPr>
        <w:spacing w:after="0" w:line="202"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Term Loan</w:t>
      </w:r>
      <w:r>
        <w:rPr>
          <w:rFonts w:ascii="Times New Roman" w:cs="Times New Roman" w:eastAsia="Times New Roman" w:hAnsi="Times New Roman"/>
          <w:sz w:val="21"/>
          <w:szCs w:val="21"/>
          <w:color w:val="auto"/>
        </w:rPr>
        <w:t>” shall mean the Canadian dollar-denominated term loans made by the Canadian Term Lenders to the Parent Borrower.</w:t>
      </w:r>
    </w:p>
    <w:p>
      <w:pPr>
        <w:spacing w:after="0" w:line="14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Term Loan Facility</w:t>
      </w:r>
      <w:r>
        <w:rPr>
          <w:rFonts w:ascii="Times New Roman" w:cs="Times New Roman" w:eastAsia="Times New Roman" w:hAnsi="Times New Roman"/>
          <w:sz w:val="21"/>
          <w:szCs w:val="21"/>
          <w:color w:val="auto"/>
        </w:rPr>
        <w:t>” shall mean the aggregate principal amount of the Canadian Term Loans of all Canadian Term Lenders outstanding at such time.</w:t>
      </w:r>
    </w:p>
    <w:p>
      <w:pPr>
        <w:spacing w:after="0" w:line="157"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Term Loan Pro Rata Percentage</w:t>
      </w:r>
      <w:r>
        <w:rPr>
          <w:rFonts w:ascii="Times New Roman" w:cs="Times New Roman" w:eastAsia="Times New Roman" w:hAnsi="Times New Roman"/>
          <w:sz w:val="21"/>
          <w:szCs w:val="21"/>
          <w:color w:val="auto"/>
        </w:rPr>
        <w:t>” with respect to any Canadian Term Lender, the percentage of the aggregate principal amount of the Canadian Term Loans represented by such Canadian Term Lender’s Canadian Term Loans at such time.</w:t>
      </w:r>
    </w:p>
    <w:p>
      <w:pPr>
        <w:spacing w:after="0" w:line="160"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Lease Obligations</w:t>
      </w:r>
      <w:r>
        <w:rPr>
          <w:rFonts w:ascii="Times New Roman" w:cs="Times New Roman" w:eastAsia="Times New Roman" w:hAnsi="Times New Roman"/>
          <w:sz w:val="21"/>
          <w:szCs w:val="21"/>
          <w:color w:val="auto"/>
        </w:rPr>
        <w:t>” of any person shall mean the obligations of such person to pay rent or other amounts under any lease of (or other arrangement conveying the right</w:t>
      </w:r>
    </w:p>
    <w:p>
      <w:pPr>
        <w:sectPr>
          <w:pgSz w:w="11900" w:h="16838" w:orient="portrait"/>
          <w:cols w:equalWidth="0" w:num="1">
            <w:col w:w="11240"/>
          </w:cols>
          <w:pgMar w:left="320" w:top="1378" w:right="339" w:bottom="1440" w:gutter="0" w:footer="0" w:header="0"/>
        </w:sectPr>
      </w:pPr>
    </w:p>
    <w:bookmarkStart w:id="65" w:name="page66"/>
    <w:bookmarkEnd w:id="65"/>
    <w:p>
      <w:pPr>
        <w:jc w:val="both"/>
        <w:spacing w:after="0" w:line="262" w:lineRule="auto"/>
        <w:rPr>
          <w:sz w:val="20"/>
          <w:szCs w:val="20"/>
          <w:color w:val="auto"/>
        </w:rPr>
      </w:pPr>
      <w:r>
        <w:rPr>
          <w:rFonts w:ascii="Times New Roman" w:cs="Times New Roman" w:eastAsia="Times New Roman" w:hAnsi="Times New Roman"/>
          <w:sz w:val="21"/>
          <w:szCs w:val="21"/>
          <w:color w:val="auto"/>
        </w:rPr>
        <w:t>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4" w:lineRule="exact"/>
        <w:rPr>
          <w:sz w:val="20"/>
          <w:szCs w:val="20"/>
          <w:color w:val="auto"/>
        </w:rPr>
      </w:pPr>
    </w:p>
    <w:p>
      <w:pPr>
        <w:jc w:val="both"/>
        <w:ind w:firstLine="632"/>
        <w:spacing w:after="0" w:line="254" w:lineRule="auto"/>
        <w:tabs>
          <w:tab w:leader="none" w:pos="124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Cash Collateralize</w:t>
      </w:r>
      <w:r>
        <w:rPr>
          <w:rFonts w:ascii="Times New Roman" w:cs="Times New Roman" w:eastAsia="Times New Roman" w:hAnsi="Times New Roman"/>
          <w:sz w:val="21"/>
          <w:szCs w:val="21"/>
          <w:color w:val="auto"/>
        </w:rPr>
        <w:t>” shall mean to pledge and deposit with or deliver to the Applicable Collateral Agent, for the benefit of the Secured Parties,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86"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CDOR Rate</w:t>
      </w:r>
      <w:r>
        <w:rPr>
          <w:rFonts w:ascii="Times New Roman" w:cs="Times New Roman" w:eastAsia="Times New Roman" w:hAnsi="Times New Roman"/>
          <w:sz w:val="21"/>
          <w:szCs w:val="21"/>
          <w:color w:val="FF0000"/>
          <w:strike w:val="1"/>
        </w:rPr>
        <w:t>”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“Refinitiv Screen Canadian Dollar Offered Rate (CDOR) Page” (or any display substituted therefor) of Reuters Monitor Money Rates Services (or any successor thereto or Affiliate thereof) at approximately 10:00 a.m. (Standard Time), on such date, or if such date is not a Business Day, on the immediately preceding Business Day; provided that, if the rate determined above shall ever be less than zero, such rate shall be deemed to be zero for the purposes of this Agreement.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CDS</w:t>
      </w:r>
      <w:r>
        <w:rPr>
          <w:rFonts w:ascii="Times New Roman" w:cs="Times New Roman" w:eastAsia="Times New Roman" w:hAnsi="Times New Roman"/>
          <w:sz w:val="21"/>
          <w:szCs w:val="21"/>
          <w:color w:val="FF0000"/>
          <w:strike w:val="1"/>
        </w:rPr>
        <w:t>” shall have the meaning assigned to such term in Section 2.22(c).</w:t>
      </w:r>
    </w:p>
    <w:p>
      <w:pPr>
        <w:spacing w:after="0" w:line="216" w:lineRule="exact"/>
        <w:rPr>
          <w:sz w:val="20"/>
          <w:szCs w:val="20"/>
          <w:color w:val="auto"/>
        </w:rPr>
      </w:pPr>
    </w:p>
    <w:p>
      <w:pPr>
        <w:jc w:val="both"/>
        <w:ind w:firstLine="632"/>
        <w:spacing w:after="0" w:line="271" w:lineRule="auto"/>
        <w:tabs>
          <w:tab w:leader="none" w:pos="124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shall mean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Parent Borrower; (b) the failure by the Parent Borrower to own, directly or indirectly, beneficially and of record, 100% of the issued and outstanding Equity Interests of the U.S. Borrower; or (c) the failure by the Parent Borrower to own, directly or indirectly, beneficially and of record, 100% of the issued and outstanding Equity Interests of the Australian Borrower.</w:t>
      </w:r>
    </w:p>
    <w:p>
      <w:pPr>
        <w:spacing w:after="0" w:line="153" w:lineRule="exact"/>
        <w:rPr>
          <w:rFonts w:ascii="Times New Roman" w:cs="Times New Roman" w:eastAsia="Times New Roman" w:hAnsi="Times New Roman"/>
          <w:sz w:val="20"/>
          <w:szCs w:val="20"/>
          <w:color w:val="auto"/>
        </w:rPr>
      </w:pPr>
    </w:p>
    <w:p>
      <w:pPr>
        <w:jc w:val="both"/>
        <w:ind w:firstLine="632"/>
        <w:spacing w:after="0" w:line="267" w:lineRule="auto"/>
        <w:tabs>
          <w:tab w:leader="none" w:pos="124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in Law</w:t>
      </w:r>
      <w:r>
        <w:rPr>
          <w:rFonts w:ascii="Times New Roman" w:cs="Times New Roman" w:eastAsia="Times New Roman" w:hAnsi="Times New Roman"/>
          <w:sz w:val="20"/>
          <w:szCs w:val="20"/>
          <w:color w:val="auto"/>
        </w:rPr>
        <w:t xml:space="preserve">” shall mean (a) the adoption of any law, rule, regulation or treaty after the Closing Date, (b) any change in any law, rule or regulation or in the administration, interpretation, implementation or application thereof by any Governmental Authority after the Closing Date or (c) 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for purposes of this Agreement and notwithstanding anything to the contrary, (i) the Dodd-Frank Wall Street Reform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Consumer Protection Act and all requests, rules, guidelines or directives thereunder or issued in connection therewith and (ii) all requests, rules, guidelines or directives promulgated by the Bank for International Settlements, the Basel Committee on Banking</w:t>
      </w:r>
    </w:p>
    <w:p>
      <w:pPr>
        <w:sectPr>
          <w:pgSz w:w="11900" w:h="16838" w:orient="portrait"/>
          <w:cols w:equalWidth="0" w:num="1">
            <w:col w:w="11240"/>
          </w:cols>
          <w:pgMar w:left="320" w:top="1380" w:right="339" w:bottom="1440" w:gutter="0" w:footer="0" w:header="0"/>
        </w:sectPr>
      </w:pPr>
    </w:p>
    <w:bookmarkStart w:id="66" w:name="page67"/>
    <w:bookmarkEnd w:id="66"/>
    <w:p>
      <w:pPr>
        <w:spacing w:after="0" w:line="277" w:lineRule="auto"/>
        <w:rPr>
          <w:sz w:val="20"/>
          <w:szCs w:val="20"/>
          <w:color w:val="auto"/>
        </w:rPr>
      </w:pPr>
      <w:r>
        <w:rPr>
          <w:rFonts w:ascii="Times New Roman" w:cs="Times New Roman" w:eastAsia="Times New Roman" w:hAnsi="Times New Roman"/>
          <w:sz w:val="21"/>
          <w:szCs w:val="21"/>
          <w:color w:val="auto"/>
        </w:rPr>
        <w:t>Supervision (or any successor or similar authority) or the United States or foreign regulatory authorities, in each case pursuant to Basel III, shall in each case be deemed to be a “Change in Law”, regardless of the date enacted, adopted or issued.</w:t>
      </w:r>
    </w:p>
    <w:p>
      <w:pPr>
        <w:spacing w:after="0" w:line="146" w:lineRule="exact"/>
        <w:rPr>
          <w:sz w:val="20"/>
          <w:szCs w:val="20"/>
          <w:color w:val="auto"/>
        </w:rPr>
      </w:pPr>
    </w:p>
    <w:p>
      <w:pPr>
        <w:jc w:val="both"/>
        <w:ind w:firstLine="632"/>
        <w:spacing w:after="0" w:line="261" w:lineRule="auto"/>
        <w:tabs>
          <w:tab w:leader="none" w:pos="130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Class</w:t>
      </w:r>
      <w:r>
        <w:rPr>
          <w:rFonts w:ascii="Times New Roman" w:cs="Times New Roman" w:eastAsia="Times New Roman" w:hAnsi="Times New Roman"/>
          <w:sz w:val="21"/>
          <w:szCs w:val="21"/>
          <w:color w:val="auto"/>
        </w:rPr>
        <w:t>”, when used in reference to (a) any Loan or Borrowing, refers to whether such Loan, or the Loans comprising such Borrowing, are Canadian Revolving Credit Loans, Canadian Term Loans, Australian Revolving Credit Loans or U.S. Revolving Credit Loans, and (b) any Commitment, refers to whether such Commitment is a Canadian Revolving Commitment, Canadian Term Commitment, Australian Revolving Commitment or a U.S. Revolving Commitment.</w:t>
      </w:r>
    </w:p>
    <w:p>
      <w:pPr>
        <w:spacing w:after="0" w:line="16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Closing Date</w:t>
      </w:r>
      <w:r>
        <w:rPr>
          <w:rFonts w:ascii="Times New Roman" w:cs="Times New Roman" w:eastAsia="Times New Roman" w:hAnsi="Times New Roman"/>
          <w:sz w:val="21"/>
          <w:szCs w:val="21"/>
          <w:color w:val="auto"/>
        </w:rPr>
        <w:t>” shall mean the date upon which all of the conditions set forth in Sections 4.01 and 4.02 are satisfied or waived in accordance with Section 9.08(b).</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Code</w:t>
      </w:r>
      <w:r>
        <w:rPr>
          <w:rFonts w:ascii="Times New Roman" w:cs="Times New Roman" w:eastAsia="Times New Roman" w:hAnsi="Times New Roman"/>
          <w:sz w:val="21"/>
          <w:szCs w:val="21"/>
          <w:color w:val="auto"/>
        </w:rPr>
        <w:t>” shall mean the Internal Revenue Code of 1986, as amended from time to time.</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Collateral</w:t>
      </w:r>
      <w:r>
        <w:rPr>
          <w:rFonts w:ascii="Times New Roman" w:cs="Times New Roman" w:eastAsia="Times New Roman" w:hAnsi="Times New Roman"/>
          <w:sz w:val="21"/>
          <w:szCs w:val="21"/>
          <w:color w:val="auto"/>
        </w:rPr>
        <w:t>” shall mean, collectively, all of the U.S. Collateral, the Canadian Collateral and the Australian Collateral.</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Collateral Agents</w:t>
      </w:r>
      <w:r>
        <w:rPr>
          <w:rFonts w:ascii="Times New Roman" w:cs="Times New Roman" w:eastAsia="Times New Roman" w:hAnsi="Times New Roman"/>
          <w:sz w:val="21"/>
          <w:szCs w:val="21"/>
          <w:color w:val="auto"/>
        </w:rPr>
        <w:t>” shall mean, collectively, the U.S. Collateral Agent, the Canadian Collateral Agent and the Australian Collateral Agent.</w:t>
      </w:r>
    </w:p>
    <w:p>
      <w:pPr>
        <w:spacing w:after="0" w:line="144" w:lineRule="exact"/>
        <w:rPr>
          <w:rFonts w:ascii="Times New Roman" w:cs="Times New Roman" w:eastAsia="Times New Roman" w:hAnsi="Times New Roman"/>
          <w:sz w:val="21"/>
          <w:szCs w:val="21"/>
          <w:color w:val="auto"/>
        </w:rPr>
      </w:pPr>
    </w:p>
    <w:p>
      <w:pPr>
        <w:jc w:val="both"/>
        <w:ind w:firstLine="632"/>
        <w:spacing w:after="0" w:line="261" w:lineRule="auto"/>
        <w:tabs>
          <w:tab w:leader="none" w:pos="124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Commitment</w:t>
      </w:r>
      <w:r>
        <w:rPr>
          <w:rFonts w:ascii="Times New Roman" w:cs="Times New Roman" w:eastAsia="Times New Roman" w:hAnsi="Times New Roman"/>
          <w:sz w:val="21"/>
          <w:szCs w:val="21"/>
          <w:color w:val="auto"/>
        </w:rPr>
        <w:t>” shall mean, with respect to any Lender, such Lender’s U.S. Revolving Commitment, Canadian Revolving Commitment, Canadian Term Commitment, Australian Revolving Commitment or any Incremental Revolving Commitment, and “</w:t>
      </w:r>
      <w:r>
        <w:rPr>
          <w:rFonts w:ascii="Times New Roman" w:cs="Times New Roman" w:eastAsia="Times New Roman" w:hAnsi="Times New Roman"/>
          <w:sz w:val="21"/>
          <w:szCs w:val="21"/>
          <w:i w:val="1"/>
          <w:iCs w:val="1"/>
          <w:color w:val="auto"/>
        </w:rPr>
        <w:t>Commitments</w:t>
      </w:r>
      <w:r>
        <w:rPr>
          <w:rFonts w:ascii="Times New Roman" w:cs="Times New Roman" w:eastAsia="Times New Roman" w:hAnsi="Times New Roman"/>
          <w:sz w:val="21"/>
          <w:szCs w:val="21"/>
          <w:color w:val="auto"/>
        </w:rPr>
        <w:t>” shall mean the U.S. Revolving Commitments, the Canadian Revolving Commitments, the Canadian Term Commitments, the Australian Revolving Commitments and any Incremental Revolving Commitments.</w:t>
      </w:r>
    </w:p>
    <w:p>
      <w:pPr>
        <w:spacing w:after="0" w:line="16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Commitment Fees</w:t>
      </w:r>
      <w:r>
        <w:rPr>
          <w:rFonts w:ascii="Times New Roman" w:cs="Times New Roman" w:eastAsia="Times New Roman" w:hAnsi="Times New Roman"/>
          <w:sz w:val="21"/>
          <w:szCs w:val="21"/>
          <w:color w:val="auto"/>
        </w:rPr>
        <w:t>” shall have the meaning assigned to such term in Section 2.05(a)(iii).</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Commodity Exchange Act</w:t>
      </w:r>
      <w:r>
        <w:rPr>
          <w:rFonts w:ascii="Times New Roman" w:cs="Times New Roman" w:eastAsia="Times New Roman" w:hAnsi="Times New Roman"/>
          <w:sz w:val="21"/>
          <w:szCs w:val="21"/>
          <w:color w:val="auto"/>
        </w:rPr>
        <w:t>” shall mean the Commodity Exchange Act (7 U.S.C. Section 1 et seq.), as amended from time to time, and any successor statute.</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 shall have the meaning assigned to such term in Section 5.04(c).</w:t>
      </w:r>
    </w:p>
    <w:p>
      <w:pPr>
        <w:spacing w:after="0" w:line="215" w:lineRule="exact"/>
        <w:rPr>
          <w:rFonts w:ascii="Times New Roman" w:cs="Times New Roman" w:eastAsia="Times New Roman" w:hAnsi="Times New Roman"/>
          <w:sz w:val="21"/>
          <w:szCs w:val="21"/>
          <w:color w:val="auto"/>
        </w:rPr>
      </w:pPr>
    </w:p>
    <w:p>
      <w:pPr>
        <w:jc w:val="both"/>
        <w:ind w:firstLine="632"/>
        <w:spacing w:after="0" w:line="274" w:lineRule="auto"/>
        <w:tabs>
          <w:tab w:leader="none" w:pos="124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Conforming Changes</w:t>
      </w:r>
      <w:r>
        <w:rPr>
          <w:rFonts w:ascii="Times New Roman" w:cs="Times New Roman" w:eastAsia="Times New Roman" w:hAnsi="Times New Roman"/>
          <w:sz w:val="20"/>
          <w:szCs w:val="20"/>
          <w:color w:val="auto"/>
        </w:rPr>
        <w:t>” shall mean, with respect to either the use or administration of Term SOFR or the use, administration, adoption or implementation of any Benchmark Replacement, any technical, administrative or operational changes (including changes to the definition of “Alternate Base Rate,” the definition of “U.S.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w:t>
      </w:r>
    </w:p>
    <w:p>
      <w:pPr>
        <w:sectPr>
          <w:pgSz w:w="11900" w:h="16838" w:orient="portrait"/>
          <w:cols w:equalWidth="0" w:num="1">
            <w:col w:w="11240"/>
          </w:cols>
          <w:pgMar w:left="320" w:top="1380"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21"/>
          <w:szCs w:val="21"/>
          <w:color w:val="auto"/>
        </w:rPr>
        <w:t>timing of borrowing requests or prepayment, conversion or continuation notices, the applicability and length of lookback periods, the applicability of Section 2.26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necessary in connection with the administration of this Agreement and the other Loan Documents).</w:t>
      </w:r>
    </w:p>
    <w:p>
      <w:pPr>
        <w:spacing w:after="0" w:line="169" w:lineRule="exact"/>
        <w:rPr>
          <w:sz w:val="20"/>
          <w:szCs w:val="20"/>
          <w:color w:val="auto"/>
        </w:rPr>
      </w:pPr>
    </w:p>
    <w:p>
      <w:pPr>
        <w:ind w:firstLine="632"/>
        <w:spacing w:after="0" w:line="292" w:lineRule="auto"/>
        <w:tabs>
          <w:tab w:leader="none" w:pos="124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Connection Income Taxes</w:t>
      </w:r>
      <w:r>
        <w:rPr>
          <w:rFonts w:ascii="Times New Roman" w:cs="Times New Roman" w:eastAsia="Times New Roman" w:hAnsi="Times New Roman"/>
          <w:sz w:val="21"/>
          <w:szCs w:val="21"/>
          <w:color w:val="auto"/>
        </w:rPr>
        <w:t>” shall mean Other Connection Taxes that are imposed on or measured by net income (however denominated) or that are franchise Taxes or branch profits Taxes.</w:t>
      </w:r>
    </w:p>
    <w:p>
      <w:pPr>
        <w:spacing w:after="0" w:line="131"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EBITDA</w:t>
      </w:r>
      <w:r>
        <w:rPr>
          <w:rFonts w:ascii="Times New Roman" w:cs="Times New Roman" w:eastAsia="Times New Roman" w:hAnsi="Times New Roman"/>
          <w:sz w:val="21"/>
          <w:szCs w:val="21"/>
          <w:color w:val="auto"/>
        </w:rPr>
        <w:t>” shall mean, for any period, EBITDA of the Parent Borrower and the Subsidiaries for such period, all determined on a consolidated basis.</w:t>
      </w:r>
    </w:p>
    <w:p>
      <w:pPr>
        <w:spacing w:after="0" w:line="144" w:lineRule="exact"/>
        <w:rPr>
          <w:rFonts w:ascii="Times New Roman" w:cs="Times New Roman" w:eastAsia="Times New Roman" w:hAnsi="Times New Roman"/>
          <w:sz w:val="21"/>
          <w:szCs w:val="21"/>
          <w:color w:val="auto"/>
        </w:rPr>
      </w:pPr>
    </w:p>
    <w:p>
      <w:pPr>
        <w:jc w:val="both"/>
        <w:ind w:firstLine="632"/>
        <w:spacing w:after="0" w:line="271" w:lineRule="auto"/>
        <w:tabs>
          <w:tab w:leader="none" w:pos="124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Interest Expense</w:t>
      </w:r>
      <w:r>
        <w:rPr>
          <w:rFonts w:ascii="Times New Roman" w:cs="Times New Roman" w:eastAsia="Times New Roman" w:hAnsi="Times New Roman"/>
          <w:sz w:val="20"/>
          <w:szCs w:val="20"/>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53" w:lineRule="exact"/>
        <w:rPr>
          <w:rFonts w:ascii="Times New Roman" w:cs="Times New Roman" w:eastAsia="Times New Roman" w:hAnsi="Times New Roman"/>
          <w:sz w:val="20"/>
          <w:szCs w:val="20"/>
          <w:color w:val="auto"/>
        </w:rPr>
      </w:pPr>
    </w:p>
    <w:p>
      <w:pPr>
        <w:jc w:val="both"/>
        <w:ind w:firstLine="632"/>
        <w:spacing w:after="0" w:line="252" w:lineRule="auto"/>
        <w:tabs>
          <w:tab w:leader="none" w:pos="124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Net Income</w:t>
      </w:r>
      <w:r>
        <w:rPr>
          <w:rFonts w:ascii="Times New Roman" w:cs="Times New Roman" w:eastAsia="Times New Roman" w:hAnsi="Times New Roman"/>
          <w:sz w:val="21"/>
          <w:szCs w:val="21"/>
          <w:color w:val="auto"/>
        </w:rPr>
        <w:t xml:space="preserve">” shall mean, for any person for any period, the net income or loss of such person for such period determined on a consolidated basis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there shall be excluded (a) the income of any subsidiary of such person to the extent that the declaration or payment of dividends or similar distributions by such subsidiary of that 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 For the avoidance of doubt, Consolidated Net Income shall include all amounts recognized as income during such period from the Canada Emergency Wage Subsidy program (but shall deduct, if applicable, any such amounts that were required to be repaid during such period as a result of program non-compliance).</w:t>
      </w:r>
    </w:p>
    <w:p>
      <w:pPr>
        <w:sectPr>
          <w:pgSz w:w="11900" w:h="16838" w:orient="portrait"/>
          <w:cols w:equalWidth="0" w:num="1">
            <w:col w:w="11240"/>
          </w:cols>
          <w:pgMar w:left="320" w:top="1380" w:right="339" w:bottom="1440" w:gutter="0" w:footer="0" w:header="0"/>
        </w:sectPr>
      </w:pPr>
    </w:p>
    <w:bookmarkStart w:id="68" w:name="page69"/>
    <w:bookmarkEnd w:id="68"/>
    <w:p>
      <w:pPr>
        <w:ind w:firstLine="632"/>
        <w:spacing w:after="0" w:line="279" w:lineRule="auto"/>
        <w:tabs>
          <w:tab w:leader="none" w:pos="124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Net Worth</w:t>
      </w:r>
      <w:r>
        <w:rPr>
          <w:rFonts w:ascii="Times New Roman" w:cs="Times New Roman" w:eastAsia="Times New Roman" w:hAnsi="Times New Roman"/>
          <w:sz w:val="21"/>
          <w:szCs w:val="21"/>
          <w:color w:val="auto"/>
        </w:rPr>
        <w:t>” shall mean, at any time, the net worth or total shareholders’ equity of the Parent Borrower and its subsidiaries on a consolidated basis determined in accordance with GAAP.</w:t>
      </w:r>
    </w:p>
    <w:p>
      <w:pPr>
        <w:spacing w:after="0" w:line="144"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Contract Period</w:t>
      </w:r>
      <w:r>
        <w:rPr>
          <w:rFonts w:ascii="Times New Roman" w:cs="Times New Roman" w:eastAsia="Times New Roman" w:hAnsi="Times New Roman"/>
          <w:sz w:val="21"/>
          <w:szCs w:val="21"/>
          <w:color w:val="FF0000"/>
          <w:strike w:val="1"/>
        </w:rPr>
        <w:t>” shall mean the term of a B/A Loan selected by the Parent Borrower in accordance with Section 2.22, commencing on the date of such B/A Loan and expiring on a Business Day which shall be either 1, 2 or 3 months thereafter, subject to market availability (or, subject to the agreement of the Applicable Lenders, a longer or shorter period), provided that (a) subject to clause (b) below, each such period shall be subject to such extensions or reductions as may be agreed by the Applicable Lenders to ensure that each Contract Period shall expire on a Business Day, and (b) no Contract Period shall extend beyond the Maturity Date.</w:t>
      </w:r>
    </w:p>
    <w:p>
      <w:pPr>
        <w:spacing w:after="0" w:line="166" w:lineRule="exact"/>
        <w:rPr>
          <w:sz w:val="20"/>
          <w:szCs w:val="20"/>
          <w:color w:val="auto"/>
        </w:rPr>
      </w:pPr>
    </w:p>
    <w:p>
      <w:pPr>
        <w:jc w:val="both"/>
        <w:ind w:firstLine="632"/>
        <w:spacing w:after="0" w:line="269" w:lineRule="auto"/>
        <w:tabs>
          <w:tab w:leader="none" w:pos="124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Control</w:t>
      </w:r>
      <w:r>
        <w:rPr>
          <w:rFonts w:ascii="Times New Roman" w:cs="Times New Roman" w:eastAsia="Times New Roman" w:hAnsi="Times New Roman"/>
          <w:sz w:val="21"/>
          <w:szCs w:val="21"/>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Times New Roman" w:cs="Times New Roman" w:eastAsia="Times New Roman" w:hAnsi="Times New Roman"/>
          <w:sz w:val="21"/>
          <w:szCs w:val="21"/>
          <w:i w:val="1"/>
          <w:iCs w:val="1"/>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Controlled</w:t>
      </w:r>
      <w:r>
        <w:rPr>
          <w:rFonts w:ascii="Times New Roman" w:cs="Times New Roman" w:eastAsia="Times New Roman" w:hAnsi="Times New Roman"/>
          <w:sz w:val="21"/>
          <w:szCs w:val="21"/>
          <w:color w:val="auto"/>
        </w:rPr>
        <w:t>” shall have meanings correlative thereto.</w:t>
      </w:r>
    </w:p>
    <w:p>
      <w:pPr>
        <w:spacing w:after="0" w:line="155" w:lineRule="exact"/>
        <w:rPr>
          <w:sz w:val="20"/>
          <w:szCs w:val="20"/>
          <w:color w:val="auto"/>
        </w:rPr>
      </w:pPr>
    </w:p>
    <w:p>
      <w:pPr>
        <w:ind w:firstLine="627"/>
        <w:spacing w:after="0" w:line="279" w:lineRule="auto"/>
        <w:rPr>
          <w:sz w:val="20"/>
          <w:szCs w:val="20"/>
          <w:color w:val="auto"/>
        </w:rPr>
      </w:pPr>
      <w:r>
        <w:rPr>
          <w:rFonts w:ascii="Times New Roman" w:cs="Times New Roman" w:eastAsia="Times New Roman" w:hAnsi="Times New Roman"/>
          <w:sz w:val="21"/>
          <w:szCs w:val="21"/>
          <w:i w:val="1"/>
          <w:iCs w:val="1"/>
          <w:color w:val="FF0000"/>
          <w:strike w:val="1"/>
        </w:rPr>
        <w:t xml:space="preserve">“Corresponding Tenor” </w:t>
      </w:r>
      <w:r>
        <w:rPr>
          <w:rFonts w:ascii="Times New Roman" w:cs="Times New Roman" w:eastAsia="Times New Roman" w:hAnsi="Times New Roman"/>
          <w:sz w:val="21"/>
          <w:szCs w:val="21"/>
          <w:color w:val="FF0000"/>
          <w:strike w:val="1"/>
        </w:rPr>
        <w:t>with respect to any Available Tenor means, as applicable, either a tenor (including overnight) or an</w:t>
      </w:r>
      <w:r>
        <w:rPr>
          <w:rFonts w:ascii="Times New Roman" w:cs="Times New Roman" w:eastAsia="Times New Roman" w:hAnsi="Times New Roman"/>
          <w:sz w:val="21"/>
          <w:szCs w:val="21"/>
          <w:i w:val="1"/>
          <w:iCs w:val="1"/>
          <w:color w:val="FF0000"/>
          <w:strike w:val="1"/>
        </w:rPr>
        <w:t xml:space="preserve"> </w:t>
      </w:r>
      <w:r>
        <w:rPr>
          <w:rFonts w:ascii="Times New Roman" w:cs="Times New Roman" w:eastAsia="Times New Roman" w:hAnsi="Times New Roman"/>
          <w:sz w:val="21"/>
          <w:szCs w:val="21"/>
          <w:color w:val="FF0000"/>
          <w:strike w:val="1"/>
        </w:rPr>
        <w:t>interest payment period having approximately the same length (disregarding business day adjustment) as such Available Tenor.</w:t>
      </w:r>
    </w:p>
    <w:p>
      <w:pPr>
        <w:spacing w:after="0" w:line="144" w:lineRule="exact"/>
        <w:rPr>
          <w:sz w:val="20"/>
          <w:szCs w:val="20"/>
          <w:color w:val="auto"/>
        </w:rPr>
      </w:pPr>
    </w:p>
    <w:p>
      <w:pPr>
        <w:ind w:firstLine="632"/>
        <w:spacing w:after="0" w:line="279" w:lineRule="auto"/>
        <w:tabs>
          <w:tab w:leader="none" w:pos="124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CORRA</w:t>
      </w:r>
      <w:r>
        <w:rPr>
          <w:rFonts w:ascii="Times New Roman" w:cs="Times New Roman" w:eastAsia="Times New Roman" w:hAnsi="Times New Roman"/>
          <w:sz w:val="21"/>
          <w:szCs w:val="21"/>
          <w:u w:val="single" w:color="auto"/>
          <w:color w:val="0000FF"/>
          <w:highlight w:val="lightGray"/>
        </w:rPr>
        <w:t>” means the Canadian Overnight Repo Rate Average administered and published by the Bank of Canada (or</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u w:val="single" w:color="auto"/>
          <w:color w:val="0000FF"/>
          <w:highlight w:val="lightGray"/>
        </w:rPr>
        <w:t>any successor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-337185</wp:posOffset>
            </wp:positionV>
            <wp:extent cx="829945" cy="140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29945" cy="140970"/>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Covered Entity</w:t>
      </w:r>
      <w:r>
        <w:rPr>
          <w:rFonts w:ascii="Times New Roman" w:cs="Times New Roman" w:eastAsia="Times New Roman" w:hAnsi="Times New Roman"/>
          <w:sz w:val="21"/>
          <w:szCs w:val="21"/>
          <w:color w:val="auto"/>
        </w:rPr>
        <w:t>” shall mean any of the following:</w:t>
      </w:r>
    </w:p>
    <w:p>
      <w:pPr>
        <w:spacing w:after="0" w:line="218" w:lineRule="exact"/>
        <w:rPr>
          <w:sz w:val="20"/>
          <w:szCs w:val="20"/>
          <w:color w:val="auto"/>
        </w:rPr>
      </w:pPr>
    </w:p>
    <w:p>
      <w:pPr>
        <w:ind w:left="1080" w:hanging="448"/>
        <w:spacing w:after="0"/>
        <w:tabs>
          <w:tab w:leader="none" w:pos="108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1"/>
          <w:szCs w:val="21"/>
          <w:color w:val="auto"/>
        </w:rPr>
      </w:pPr>
    </w:p>
    <w:p>
      <w:pPr>
        <w:ind w:left="1080" w:hanging="448"/>
        <w:spacing w:after="0"/>
        <w:tabs>
          <w:tab w:leader="none" w:pos="108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1"/>
          <w:szCs w:val="21"/>
          <w:color w:val="auto"/>
        </w:rPr>
      </w:pPr>
    </w:p>
    <w:p>
      <w:pPr>
        <w:ind w:left="1080" w:hanging="448"/>
        <w:spacing w:after="0"/>
        <w:tabs>
          <w:tab w:leader="none" w:pos="108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Covered Party</w:t>
      </w:r>
      <w:r>
        <w:rPr>
          <w:rFonts w:ascii="Times New Roman" w:cs="Times New Roman" w:eastAsia="Times New Roman" w:hAnsi="Times New Roman"/>
          <w:sz w:val="21"/>
          <w:szCs w:val="21"/>
          <w:color w:val="auto"/>
        </w:rPr>
        <w:t>” shall have the meaning provided in Section 9.25.</w:t>
      </w:r>
    </w:p>
    <w:p>
      <w:pPr>
        <w:spacing w:after="0" w:line="255" w:lineRule="exact"/>
        <w:rPr>
          <w:sz w:val="20"/>
          <w:szCs w:val="20"/>
          <w:color w:val="auto"/>
        </w:rPr>
      </w:pPr>
    </w:p>
    <w:p>
      <w:pPr>
        <w:ind w:left="1260" w:hanging="628"/>
        <w:spacing w:after="0"/>
        <w:tabs>
          <w:tab w:leader="none" w:pos="12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Credit Event</w:t>
      </w:r>
      <w:r>
        <w:rPr>
          <w:rFonts w:ascii="Times New Roman" w:cs="Times New Roman" w:eastAsia="Times New Roman" w:hAnsi="Times New Roman"/>
          <w:sz w:val="21"/>
          <w:szCs w:val="21"/>
          <w:color w:val="auto"/>
        </w:rPr>
        <w:t>” shall have the meaning assigned to such term in Section 4.01.</w:t>
      </w:r>
    </w:p>
    <w:p>
      <w:pPr>
        <w:spacing w:after="0" w:line="215"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Customary Junior Lien Intercreditor Agreement</w:t>
      </w:r>
      <w:r>
        <w:rPr>
          <w:rFonts w:ascii="Times New Roman" w:cs="Times New Roman" w:eastAsia="Times New Roman" w:hAnsi="Times New Roman"/>
          <w:sz w:val="21"/>
          <w:szCs w:val="21"/>
          <w:color w:val="auto"/>
        </w:rPr>
        <w:t>” shall mean an intercreditor agreement, reasonably acceptable to the Loan Party incurring Indebtedness under the indenture or agreement pursuant to which a Qualified Offering is issued, incurred or otherwise obtained, the Agents and the Required Lenders, to be entered into by and among such Loan Party, the other Loan Parties party thereto, the Agents and the trustee, administrative agent, collateral agent, security agent or similar agent and under such indenture or agreement pursuant to which such</w:t>
      </w:r>
    </w:p>
    <w:p>
      <w:pPr>
        <w:sectPr>
          <w:pgSz w:w="11900" w:h="16838" w:orient="portrait"/>
          <w:cols w:equalWidth="0" w:num="1">
            <w:col w:w="11240"/>
          </w:cols>
          <w:pgMar w:left="320" w:top="137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color w:val="auto"/>
        </w:rPr>
        <w:t>Qualified Offering is issued, incurred or otherwise obtained, as the case may be, and each of their successors in such capacities.</w:t>
      </w:r>
    </w:p>
    <w:p>
      <w:pPr>
        <w:spacing w:after="0" w:line="214" w:lineRule="exact"/>
        <w:rPr>
          <w:sz w:val="20"/>
          <w:szCs w:val="20"/>
          <w:color w:val="auto"/>
        </w:rPr>
      </w:pPr>
    </w:p>
    <w:p>
      <w:pPr>
        <w:ind w:left="1260" w:hanging="628"/>
        <w:spacing w:after="0"/>
        <w:tabs>
          <w:tab w:leader="none" w:pos="12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Decision Period</w:t>
      </w:r>
      <w:r>
        <w:rPr>
          <w:rFonts w:ascii="Times New Roman" w:cs="Times New Roman" w:eastAsia="Times New Roman" w:hAnsi="Times New Roman"/>
          <w:sz w:val="21"/>
          <w:szCs w:val="21"/>
          <w:color w:val="auto"/>
        </w:rPr>
        <w:t>” shall have the meaning assigned to such term in Section 2.17(d).</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w:t>
      </w:r>
      <w:r>
        <w:rPr>
          <w:rFonts w:ascii="Times New Roman" w:cs="Times New Roman" w:eastAsia="Times New Roman" w:hAnsi="Times New Roman"/>
          <w:sz w:val="21"/>
          <w:szCs w:val="21"/>
          <w:color w:val="auto"/>
        </w:rPr>
        <w:t>” shall mean any event or condition which upon notice, lapse of time or both would constitute an Event of</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w:t>
      </w:r>
    </w:p>
    <w:p>
      <w:pPr>
        <w:spacing w:after="0" w:line="202"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Defaulting Lender</w:t>
      </w:r>
      <w:r>
        <w:rPr>
          <w:rFonts w:ascii="Times New Roman" w:cs="Times New Roman" w:eastAsia="Times New Roman" w:hAnsi="Times New Roman"/>
          <w:sz w:val="21"/>
          <w:szCs w:val="21"/>
          <w:color w:val="auto"/>
        </w:rPr>
        <w:t>” shall mean, subject to Section 2.24(d), any Lender that:</w:t>
      </w:r>
    </w:p>
    <w:p>
      <w:pPr>
        <w:spacing w:after="0" w:line="217" w:lineRule="exact"/>
        <w:rPr>
          <w:rFonts w:ascii="Times New Roman" w:cs="Times New Roman" w:eastAsia="Times New Roman" w:hAnsi="Times New Roman"/>
          <w:sz w:val="21"/>
          <w:szCs w:val="21"/>
          <w:color w:val="auto"/>
        </w:rPr>
      </w:pPr>
    </w:p>
    <w:p>
      <w:pPr>
        <w:jc w:val="both"/>
        <w:ind w:firstLine="1259"/>
        <w:spacing w:after="0" w:line="254" w:lineRule="auto"/>
        <w:tabs>
          <w:tab w:leader="none" w:pos="175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failed to (i) fund all or any portion of its Loans within two (2) Business Days of the date such Loans were required to be funded hereunder unless such Lender notifies an Administrative Agent and the Parent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 (including in respect of its participation in Letters of Credit or Swing Line Loans) within two (2) Business Days of the date when due;</w:t>
      </w:r>
    </w:p>
    <w:p>
      <w:pPr>
        <w:spacing w:after="0" w:line="171"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3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70" w:lineRule="exact"/>
        <w:rPr>
          <w:rFonts w:ascii="Times New Roman" w:cs="Times New Roman" w:eastAsia="Times New Roman" w:hAnsi="Times New Roman"/>
          <w:sz w:val="21"/>
          <w:szCs w:val="21"/>
          <w:color w:val="auto"/>
        </w:rPr>
      </w:pPr>
    </w:p>
    <w:p>
      <w:pPr>
        <w:jc w:val="both"/>
        <w:ind w:firstLine="1259"/>
        <w:spacing w:after="0" w:line="261" w:lineRule="auto"/>
        <w:tabs>
          <w:tab w:leader="none" w:pos="172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failed, within three (3) Business Days after request by an Administrative Agent or any Borrower, to confirm in writing to such Administrative Agent and such Borrower that it will comply with its funding obligations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receipt of such written confirmation by such Administrative Agent and such Borrower); or</w:t>
      </w:r>
    </w:p>
    <w:p>
      <w:pPr>
        <w:spacing w:after="0" w:line="164" w:lineRule="exact"/>
        <w:rPr>
          <w:rFonts w:ascii="Times New Roman" w:cs="Times New Roman" w:eastAsia="Times New Roman" w:hAnsi="Times New Roman"/>
          <w:sz w:val="21"/>
          <w:szCs w:val="21"/>
          <w:color w:val="auto"/>
        </w:rPr>
      </w:pPr>
    </w:p>
    <w:p>
      <w:pPr>
        <w:jc w:val="both"/>
        <w:ind w:firstLine="1259"/>
        <w:spacing w:after="0" w:line="261" w:lineRule="auto"/>
        <w:tabs>
          <w:tab w:leader="none" w:pos="183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or has a direct or indirect parent company that has, (i) become the subject of a proceeding under any Insolvency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p>
    <w:p>
      <w:pPr>
        <w:spacing w:after="0" w:line="16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Lender shall not be a Defaulting Lender solely by virtue of the ownership or acquisition of any equity interest in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 or any direct or indirect parent company thereof by a Governmental Authority so long as such ownership interest does not result in or provide such Lender with immunity from the jurisdiction of courts within the United States or from the</w:t>
      </w:r>
    </w:p>
    <w:p>
      <w:pPr>
        <w:sectPr>
          <w:pgSz w:w="11900" w:h="16838" w:orient="portrait"/>
          <w:cols w:equalWidth="0" w:num="1">
            <w:col w:w="11240"/>
          </w:cols>
          <w:pgMar w:left="320" w:top="1380" w:right="339" w:bottom="1440" w:gutter="0" w:footer="0" w:header="0"/>
        </w:sectPr>
      </w:pPr>
    </w:p>
    <w:bookmarkStart w:id="70" w:name="page71"/>
    <w:bookmarkEnd w:id="70"/>
    <w:p>
      <w:pPr>
        <w:spacing w:after="0" w:line="257" w:lineRule="auto"/>
        <w:rPr>
          <w:sz w:val="20"/>
          <w:szCs w:val="20"/>
          <w:color w:val="auto"/>
        </w:rPr>
      </w:pPr>
      <w:r>
        <w:rPr>
          <w:rFonts w:ascii="Times New Roman" w:cs="Times New Roman" w:eastAsia="Times New Roman" w:hAnsi="Times New Roman"/>
          <w:sz w:val="21"/>
          <w:szCs w:val="21"/>
          <w:color w:val="auto"/>
        </w:rPr>
        <w:t>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Defined Benefit Plan</w:t>
      </w:r>
      <w:r>
        <w:rPr>
          <w:rFonts w:ascii="Times New Roman" w:cs="Times New Roman" w:eastAsia="Times New Roman" w:hAnsi="Times New Roman"/>
          <w:sz w:val="21"/>
          <w:szCs w:val="21"/>
          <w:color w:val="auto"/>
        </w:rPr>
        <w:t>” shall mean each of the pension plans identified as such in Schedule 3.16(b).</w:t>
      </w:r>
    </w:p>
    <w:p>
      <w:pPr>
        <w:spacing w:after="0" w:line="216" w:lineRule="exact"/>
        <w:rPr>
          <w:sz w:val="20"/>
          <w:szCs w:val="20"/>
          <w:color w:val="auto"/>
        </w:rPr>
      </w:pPr>
    </w:p>
    <w:p>
      <w:pPr>
        <w:jc w:val="both"/>
        <w:ind w:firstLine="632"/>
        <w:spacing w:after="0" w:line="254" w:lineRule="auto"/>
        <w:tabs>
          <w:tab w:leader="none" w:pos="124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Person</w:t>
      </w:r>
      <w:r>
        <w:rPr>
          <w:rFonts w:ascii="Times New Roman" w:cs="Times New Roman" w:eastAsia="Times New Roman" w:hAnsi="Times New Roman"/>
          <w:sz w:val="21"/>
          <w:szCs w:val="21"/>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Times New Roman" w:cs="Times New Roman" w:eastAsia="Times New Roman" w:hAnsi="Times New Roman"/>
          <w:sz w:val="21"/>
          <w:szCs w:val="21"/>
          <w:i w:val="1"/>
          <w:iCs w:val="1"/>
          <w:color w:val="auto"/>
        </w:rPr>
        <w:t>SDN</w:t>
      </w:r>
      <w:r>
        <w:rPr>
          <w:rFonts w:ascii="Times New Roman" w:cs="Times New Roman" w:eastAsia="Times New Roman" w:hAnsi="Times New Roman"/>
          <w:sz w:val="21"/>
          <w:szCs w:val="21"/>
          <w:color w:val="auto"/>
        </w:rPr>
        <w:t>”) on the most current list published by OFAC at its official website or any replacement website or other replacement official publication of such list (“</w:t>
      </w:r>
      <w:r>
        <w:rPr>
          <w:rFonts w:ascii="Times New Roman" w:cs="Times New Roman" w:eastAsia="Times New Roman" w:hAnsi="Times New Roman"/>
          <w:sz w:val="21"/>
          <w:szCs w:val="21"/>
          <w:i w:val="1"/>
          <w:iCs w:val="1"/>
          <w:color w:val="auto"/>
        </w:rPr>
        <w:t>SDN List</w:t>
      </w:r>
      <w:r>
        <w:rPr>
          <w:rFonts w:ascii="Times New Roman" w:cs="Times New Roman" w:eastAsia="Times New Roman" w:hAnsi="Times New Roman"/>
          <w:sz w:val="21"/>
          <w:szCs w:val="21"/>
          <w:color w:val="auto"/>
        </w:rPr>
        <w:t>”); (c) in which an entity on the SDN List has, to the knowledge of Parent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Discount Note</w:t>
      </w:r>
      <w:r>
        <w:rPr>
          <w:rFonts w:ascii="Times New Roman" w:cs="Times New Roman" w:eastAsia="Times New Roman" w:hAnsi="Times New Roman"/>
          <w:sz w:val="21"/>
          <w:szCs w:val="21"/>
          <w:color w:val="FF0000"/>
          <w:strike w:val="1"/>
        </w:rPr>
        <w:t>” shall have the meaning assigned to such term in Section 2.22(h).</w:t>
      </w:r>
    </w:p>
    <w:p>
      <w:pPr>
        <w:spacing w:after="0" w:line="229" w:lineRule="exact"/>
        <w:rPr>
          <w:sz w:val="20"/>
          <w:szCs w:val="20"/>
          <w:color w:val="auto"/>
        </w:rPr>
      </w:pPr>
    </w:p>
    <w:p>
      <w:pPr>
        <w:jc w:val="both"/>
        <w:ind w:firstLine="627"/>
        <w:spacing w:after="0" w:line="257"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Discount Proceeds</w:t>
      </w:r>
      <w:r>
        <w:rPr>
          <w:rFonts w:ascii="Times New Roman" w:cs="Times New Roman" w:eastAsia="Times New Roman" w:hAnsi="Times New Roman"/>
          <w:sz w:val="21"/>
          <w:szCs w:val="21"/>
          <w:color w:val="FF0000"/>
          <w:strike w:val="1"/>
        </w:rPr>
        <w:t>” shall mean, in respect of any Bankers’ Acceptance required to be purchased by a Lender hereunder, an amount (rounded to the nearest whole cent with one-half of one cent being rounded up) determined as of the applicable date of Borrowing that is equal to the Face Amount multiplied by the Price, where “</w:t>
      </w:r>
      <w:r>
        <w:rPr>
          <w:rFonts w:ascii="Times New Roman" w:cs="Times New Roman" w:eastAsia="Times New Roman" w:hAnsi="Times New Roman"/>
          <w:sz w:val="21"/>
          <w:szCs w:val="21"/>
          <w:i w:val="1"/>
          <w:iCs w:val="1"/>
          <w:color w:val="FF0000"/>
          <w:strike w:val="1"/>
        </w:rPr>
        <w:t>Face Amount</w:t>
      </w:r>
      <w:r>
        <w:rPr>
          <w:rFonts w:ascii="Times New Roman" w:cs="Times New Roman" w:eastAsia="Times New Roman" w:hAnsi="Times New Roman"/>
          <w:sz w:val="21"/>
          <w:szCs w:val="21"/>
          <w:color w:val="FF0000"/>
          <w:strike w:val="1"/>
        </w:rPr>
        <w:t>” is the face amount of such Bankers’ Acceptance and “Price” is equal to:</w:t>
      </w:r>
    </w:p>
    <w:p>
      <w:pPr>
        <w:spacing w:after="0" w:line="1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u w:val="single" w:color="auto"/>
          <w:color w:val="FF0000"/>
          <w:strike w:val="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-10795</wp:posOffset>
            </wp:positionV>
            <wp:extent cx="5975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97535" cy="8255"/>
                    </a:xfrm>
                    <a:prstGeom prst="rect">
                      <a:avLst/>
                    </a:prstGeom>
                    <a:noFill/>
                  </pic:spPr>
                </pic:pic>
              </a:graphicData>
            </a:graphic>
          </wp:anchor>
        </w:drawing>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FF0000"/>
          <w:strike w:val="1"/>
        </w:rPr>
        <w:t>(1 + (Rate x Term)) x 365</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FF0000"/>
          <w:strike w:val="1"/>
        </w:rPr>
        <w:t>where the “</w:t>
      </w:r>
      <w:r>
        <w:rPr>
          <w:rFonts w:ascii="Times New Roman" w:cs="Times New Roman" w:eastAsia="Times New Roman" w:hAnsi="Times New Roman"/>
          <w:sz w:val="21"/>
          <w:szCs w:val="21"/>
          <w:i w:val="1"/>
          <w:iCs w:val="1"/>
          <w:color w:val="FF0000"/>
          <w:strike w:val="1"/>
        </w:rPr>
        <w:t>Rate</w:t>
      </w:r>
      <w:r>
        <w:rPr>
          <w:rFonts w:ascii="Times New Roman" w:cs="Times New Roman" w:eastAsia="Times New Roman" w:hAnsi="Times New Roman"/>
          <w:sz w:val="21"/>
          <w:szCs w:val="21"/>
          <w:color w:val="FF0000"/>
          <w:strike w:val="1"/>
        </w:rPr>
        <w:t>” is the applicable Discount Rate expressed as a decimal on the day of purchase; the “</w:t>
      </w:r>
      <w:r>
        <w:rPr>
          <w:rFonts w:ascii="Times New Roman" w:cs="Times New Roman" w:eastAsia="Times New Roman" w:hAnsi="Times New Roman"/>
          <w:sz w:val="21"/>
          <w:szCs w:val="21"/>
          <w:i w:val="1"/>
          <w:iCs w:val="1"/>
          <w:color w:val="FF0000"/>
          <w:strike w:val="1"/>
        </w:rPr>
        <w:t>Term</w:t>
      </w:r>
      <w:r>
        <w:rPr>
          <w:rFonts w:ascii="Times New Roman" w:cs="Times New Roman" w:eastAsia="Times New Roman" w:hAnsi="Times New Roman"/>
          <w:sz w:val="21"/>
          <w:szCs w:val="21"/>
          <w:color w:val="FF0000"/>
          <w:strike w:val="1"/>
        </w:rPr>
        <w:t>” is the term of such Bankers' Acceptance expressed as a number of days; and the Price as so determined is rounded up or down to the fifth decimal place with .000005 being rounded up.</w:t>
      </w:r>
    </w:p>
    <w:p>
      <w:pPr>
        <w:spacing w:after="0" w:line="160"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Discount Rate</w:t>
      </w:r>
      <w:r>
        <w:rPr>
          <w:rFonts w:ascii="Times New Roman" w:cs="Times New Roman" w:eastAsia="Times New Roman" w:hAnsi="Times New Roman"/>
          <w:sz w:val="21"/>
          <w:szCs w:val="21"/>
          <w:color w:val="FF0000"/>
          <w:strike w:val="1"/>
        </w:rPr>
        <w:t>” shall mean, with respect to the issuance of a Bankers’ Acceptance, the rate of interest per annum, calculated on the basis of a year of 365 days, (rounded upwards, if necessary, to the nearest whole multiple of 1/100th of one percent) which is equal to the discount exacted by a purchaser taking initial delivery of such Bankers’ Acceptance, calculated as a rate per annum and as if the issuer thereof received the discount proceeds in respect of such Bankers’ Acceptance on its date of issuance and had repaid the respective face amount of such Bankers’ Acceptance on the maturity date thereof.</w:t>
      </w:r>
    </w:p>
    <w:p>
      <w:pPr>
        <w:sectPr>
          <w:pgSz w:w="11900" w:h="16838" w:orient="portrait"/>
          <w:cols w:equalWidth="0" w:num="1">
            <w:col w:w="11240"/>
          </w:cols>
          <w:pgMar w:left="320" w:top="1380" w:right="339" w:bottom="1440" w:gutter="0" w:footer="0" w:header="0"/>
        </w:sectPr>
      </w:pPr>
    </w:p>
    <w:bookmarkStart w:id="71" w:name="page72"/>
    <w:bookmarkEnd w:id="71"/>
    <w:p>
      <w:pPr>
        <w:ind w:left="628" w:hanging="628"/>
        <w:spacing w:after="0"/>
        <w:tabs>
          <w:tab w:leader="none" w:pos="62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Documents</w:t>
      </w:r>
      <w:r>
        <w:rPr>
          <w:rFonts w:ascii="Times New Roman" w:cs="Times New Roman" w:eastAsia="Times New Roman" w:hAnsi="Times New Roman"/>
          <w:sz w:val="21"/>
          <w:szCs w:val="21"/>
          <w:color w:val="auto"/>
        </w:rPr>
        <w:t>” shall have the meaning assigned to such term in Section 1.03(b).</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dollars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U.S. dollars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U.S.$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shall mean lawful money of the United States of America.</w:t>
      </w:r>
    </w:p>
    <w:p>
      <w:pPr>
        <w:spacing w:after="0" w:line="215" w:lineRule="exact"/>
        <w:rPr>
          <w:rFonts w:ascii="Times New Roman" w:cs="Times New Roman" w:eastAsia="Times New Roman" w:hAnsi="Times New Roman"/>
          <w:sz w:val="21"/>
          <w:szCs w:val="21"/>
          <w:color w:val="auto"/>
        </w:rPr>
      </w:pPr>
    </w:p>
    <w:p>
      <w:pPr>
        <w:ind w:left="-632" w:firstLine="632"/>
        <w:spacing w:after="0" w:line="292" w:lineRule="auto"/>
        <w:tabs>
          <w:tab w:leader="none" w:pos="61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Domestic Subsidiaries</w:t>
      </w:r>
      <w:r>
        <w:rPr>
          <w:rFonts w:ascii="Times New Roman" w:cs="Times New Roman" w:eastAsia="Times New Roman" w:hAnsi="Times New Roman"/>
          <w:sz w:val="21"/>
          <w:szCs w:val="21"/>
          <w:color w:val="auto"/>
        </w:rPr>
        <w:t>” shall mean all Subsidiaries (other than the U.S. Borrower) incorporated or organized under the laws of the United States of America, any State thereof or the District of Columbia.</w:t>
      </w:r>
    </w:p>
    <w:p>
      <w:pPr>
        <w:spacing w:after="0" w:line="131" w:lineRule="exact"/>
        <w:rPr>
          <w:rFonts w:ascii="Times New Roman" w:cs="Times New Roman" w:eastAsia="Times New Roman" w:hAnsi="Times New Roman"/>
          <w:sz w:val="21"/>
          <w:szCs w:val="21"/>
          <w:color w:val="auto"/>
        </w:rPr>
      </w:pPr>
    </w:p>
    <w:p>
      <w:pPr>
        <w:jc w:val="both"/>
        <w:ind w:left="-632" w:firstLine="632"/>
        <w:spacing w:after="0" w:line="250" w:lineRule="auto"/>
        <w:tabs>
          <w:tab w:leader="none" w:pos="61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EBITDA</w:t>
      </w:r>
      <w:r>
        <w:rPr>
          <w:rFonts w:ascii="Times New Roman" w:cs="Times New Roman" w:eastAsia="Times New Roman" w:hAnsi="Times New Roman"/>
          <w:sz w:val="21"/>
          <w:szCs w:val="21"/>
          <w:color w:val="auto"/>
        </w:rPr>
        <w:t>”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(v) [reserved], (vi) transaction costs associated with any Permitted Acquisitions in an aggregate amount not to exceed U.S.$10,000,000 during the term of this Agreement and (vii) the amount of cost savings, operating expense reductions and synergies directly attributable and of continuing effect and projected by the Parent Borrower in good faith to be realized within 12 months after consummation of a Permitted Acquisition (calculated on a pro forma basis as though such cost savings, operating expense reductions and synergies had been realized on the first day of such period for which EBITDA is being determined and as if such cost savings, operating expense reductions and synergies were realized during the entirety of such period), net of the amount of actual benefits realized during such period from such actions; provided that (A) such cost savings, operating expense reductions and synergies (1) are reasonably identifiable and factually supportable and (2) have been approved by the Administrative Agent in its reasonable discretion and (B) the aggregate amount of such cost savings, operating expense reductions and synergies included pursuant to this clause (a)(vii), shall not exceed 10% of EBITDA (after giving effect to this clause (a)(vii)),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 For the avoidance of doubt, without duplication of any amounts included in Consolidated Net Income, EBITDA shall include all amounts recognized as income during such period from the Canada Wage Subsidy program (but shall deduct, if applicable, any such amounts that were required to be repaid during such period as a result of program non-compliance).</w:t>
      </w:r>
    </w:p>
    <w:p>
      <w:pPr>
        <w:spacing w:after="0" w:line="196" w:lineRule="exact"/>
        <w:rPr>
          <w:rFonts w:ascii="Times New Roman" w:cs="Times New Roman" w:eastAsia="Times New Roman" w:hAnsi="Times New Roman"/>
          <w:sz w:val="21"/>
          <w:szCs w:val="21"/>
          <w:color w:val="auto"/>
        </w:rPr>
      </w:pPr>
    </w:p>
    <w:p>
      <w:pPr>
        <w:jc w:val="both"/>
        <w:ind w:left="-632" w:firstLine="632"/>
        <w:spacing w:after="0" w:line="254" w:lineRule="auto"/>
        <w:tabs>
          <w:tab w:leader="none" w:pos="61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Financial Institution</w:t>
      </w:r>
      <w:r>
        <w:rPr>
          <w:rFonts w:ascii="Times New Roman" w:cs="Times New Roman" w:eastAsia="Times New Roman" w:hAnsi="Times New Roman"/>
          <w:sz w:val="21"/>
          <w:szCs w:val="21"/>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ectPr>
          <w:pgSz w:w="11900" w:h="16838" w:orient="portrait"/>
          <w:cols w:equalWidth="0" w:num="1">
            <w:col w:w="10608"/>
          </w:cols>
          <w:pgMar w:left="952" w:top="1378" w:right="339" w:bottom="1440" w:gutter="0" w:footer="0" w:header="0"/>
        </w:sectPr>
      </w:pPr>
    </w:p>
    <w:bookmarkStart w:id="72" w:name="page73"/>
    <w:bookmarkEnd w:id="72"/>
    <w:p>
      <w:pPr>
        <w:ind w:left="1260" w:hanging="628"/>
        <w:spacing w:after="0"/>
        <w:tabs>
          <w:tab w:leader="none" w:pos="126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Member Country</w:t>
      </w:r>
      <w:r>
        <w:rPr>
          <w:rFonts w:ascii="Times New Roman" w:cs="Times New Roman" w:eastAsia="Times New Roman" w:hAnsi="Times New Roman"/>
          <w:sz w:val="21"/>
          <w:szCs w:val="21"/>
          <w:color w:val="auto"/>
        </w:rPr>
        <w:t>” shall mean any of the member states of the European Union, Iceland, Liechtenstein, and</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Norway.</w:t>
      </w:r>
    </w:p>
    <w:p>
      <w:pPr>
        <w:spacing w:after="0" w:line="189"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Resolution Authority</w:t>
      </w:r>
      <w:r>
        <w:rPr>
          <w:rFonts w:ascii="Times New Roman" w:cs="Times New Roman" w:eastAsia="Times New Roman" w:hAnsi="Times New Roman"/>
          <w:sz w:val="21"/>
          <w:szCs w:val="21"/>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Eligible Assignee</w:t>
      </w:r>
      <w:r>
        <w:rPr>
          <w:rFonts w:ascii="Times New Roman" w:cs="Times New Roman" w:eastAsia="Times New Roman" w:hAnsi="Times New Roman"/>
          <w:sz w:val="21"/>
          <w:szCs w:val="21"/>
          <w:color w:val="auto"/>
        </w:rPr>
        <w:t>” shall mean (a) a Lender, (b) an Affiliate of a Lender, (c) an Approved Fund, and (d) any other person (other than a natural person).</w:t>
      </w:r>
    </w:p>
    <w:p>
      <w:pPr>
        <w:spacing w:after="0" w:line="144"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Environmental Laws</w:t>
      </w:r>
      <w:r>
        <w:rPr>
          <w:rFonts w:ascii="Times New Roman" w:cs="Times New Roman" w:eastAsia="Times New Roman" w:hAnsi="Times New Roman"/>
          <w:sz w:val="21"/>
          <w:szCs w:val="21"/>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65" w:lineRule="exact"/>
        <w:rPr>
          <w:rFonts w:ascii="Times New Roman" w:cs="Times New Roman" w:eastAsia="Times New Roman" w:hAnsi="Times New Roman"/>
          <w:sz w:val="21"/>
          <w:szCs w:val="21"/>
          <w:color w:val="auto"/>
        </w:rPr>
      </w:pPr>
    </w:p>
    <w:p>
      <w:pPr>
        <w:jc w:val="both"/>
        <w:ind w:firstLine="632"/>
        <w:spacing w:after="0" w:line="259" w:lineRule="auto"/>
        <w:tabs>
          <w:tab w:leader="none" w:pos="124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Environmental Liability</w:t>
      </w:r>
      <w:r>
        <w:rPr>
          <w:rFonts w:ascii="Times New Roman" w:cs="Times New Roman" w:eastAsia="Times New Roman" w:hAnsi="Times New Roman"/>
          <w:sz w:val="21"/>
          <w:szCs w:val="21"/>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w:t>
      </w:r>
    </w:p>
    <w:p>
      <w:pPr>
        <w:spacing w:after="0" w:line="2" w:lineRule="exact"/>
        <w:rPr>
          <w:rFonts w:ascii="Times New Roman" w:cs="Times New Roman" w:eastAsia="Times New Roman" w:hAnsi="Times New Roman"/>
          <w:sz w:val="21"/>
          <w:szCs w:val="21"/>
          <w:color w:val="auto"/>
        </w:rPr>
      </w:pPr>
    </w:p>
    <w:p>
      <w:pPr>
        <w:jc w:val="both"/>
        <w:ind w:firstLine="5"/>
        <w:spacing w:after="0" w:line="250" w:lineRule="auto"/>
        <w:tabs>
          <w:tab w:leader="none" w:pos="33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3"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Equity Interests</w:t>
      </w:r>
      <w:r>
        <w:rPr>
          <w:rFonts w:ascii="Times New Roman" w:cs="Times New Roman" w:eastAsia="Times New Roman" w:hAnsi="Times New Roman"/>
          <w:sz w:val="21"/>
          <w:szCs w:val="21"/>
          <w:color w:val="auto"/>
        </w:rPr>
        <w:t>”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w:t>
      </w:r>
    </w:p>
    <w:p>
      <w:pPr>
        <w:spacing w:after="0" w:line="15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ERISA</w:t>
      </w:r>
      <w:r>
        <w:rPr>
          <w:rFonts w:ascii="Times New Roman" w:cs="Times New Roman" w:eastAsia="Times New Roman" w:hAnsi="Times New Roman"/>
          <w:sz w:val="21"/>
          <w:szCs w:val="21"/>
          <w:color w:val="auto"/>
        </w:rPr>
        <w:t>” shall mean the Employee Retirement Income Security Act of 1974, as the same may be amended from time</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time.</w:t>
      </w:r>
    </w:p>
    <w:p>
      <w:pPr>
        <w:spacing w:after="0" w:line="189"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ERISA Affiliate</w:t>
      </w:r>
      <w:r>
        <w:rPr>
          <w:rFonts w:ascii="Times New Roman" w:cs="Times New Roman" w:eastAsia="Times New Roman" w:hAnsi="Times New Roman"/>
          <w:sz w:val="21"/>
          <w:szCs w:val="21"/>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55" w:lineRule="exact"/>
        <w:rPr>
          <w:rFonts w:ascii="Times New Roman" w:cs="Times New Roman" w:eastAsia="Times New Roman" w:hAnsi="Times New Roman"/>
          <w:sz w:val="21"/>
          <w:szCs w:val="21"/>
          <w:color w:val="auto"/>
        </w:rPr>
      </w:pPr>
    </w:p>
    <w:p>
      <w:pPr>
        <w:jc w:val="both"/>
        <w:ind w:firstLine="632"/>
        <w:spacing w:after="0" w:line="257" w:lineRule="auto"/>
        <w:tabs>
          <w:tab w:leader="none" w:pos="124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ERISA Event</w:t>
      </w:r>
      <w:r>
        <w:rPr>
          <w:rFonts w:ascii="Times New Roman" w:cs="Times New Roman" w:eastAsia="Times New Roman" w:hAnsi="Times New Roman"/>
          <w:sz w:val="21"/>
          <w:szCs w:val="21"/>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 (d) the</w:t>
      </w:r>
    </w:p>
    <w:p>
      <w:pPr>
        <w:sectPr>
          <w:pgSz w:w="11900" w:h="16838" w:orient="portrait"/>
          <w:cols w:equalWidth="0" w:num="1">
            <w:col w:w="11240"/>
          </w:cols>
          <w:pgMar w:left="320" w:top="1378"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21"/>
          <w:szCs w:val="21"/>
          <w:color w:val="auto"/>
        </w:rPr>
        <w:t>incurrence by a Borrower or any of its ERISA Affiliates of any liability under Title IV of ERISA with respect to the termination of any Plan or the withdrawal or partial withdrawal of a Borrower or any of its ERISA Affiliates from any Plan or Multiemployer Plan;</w:t>
      </w:r>
    </w:p>
    <w:p>
      <w:pPr>
        <w:spacing w:after="0" w:line="1" w:lineRule="exact"/>
        <w:rPr>
          <w:sz w:val="20"/>
          <w:szCs w:val="20"/>
          <w:color w:val="auto"/>
        </w:rPr>
      </w:pPr>
    </w:p>
    <w:p>
      <w:pPr>
        <w:jc w:val="both"/>
        <w:ind w:firstLine="5"/>
        <w:spacing w:after="0" w:line="252" w:lineRule="auto"/>
        <w:tabs>
          <w:tab w:leader="none" w:pos="30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by a Borrower or any of its ERISA Affiliates from the PBGC or a plan administrator of any notice relating to the intention to terminate any Plan or Plans or to appoint a trustee to administer any 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within the meaning of Title IV of ERISA; or (g) the occurrence of a “prohibited transaction” with respect to which a Borrower or any of the Subsidiaries is a “disqualified person” (within the meaning of Section 4975 of the Code) or with respect to which a Borrower or any such Subsidiary could otherwise be liable.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Erroneous Payment</w:t>
      </w:r>
      <w:r>
        <w:rPr>
          <w:rFonts w:ascii="Times New Roman" w:cs="Times New Roman" w:eastAsia="Times New Roman" w:hAnsi="Times New Roman"/>
          <w:sz w:val="21"/>
          <w:szCs w:val="21"/>
          <w:color w:val="auto"/>
        </w:rPr>
        <w:t>” has the meaning assigned to it in Section 8.13(a).</w:t>
      </w:r>
    </w:p>
    <w:p>
      <w:pPr>
        <w:spacing w:after="0" w:line="203" w:lineRule="exact"/>
        <w:rPr>
          <w:sz w:val="20"/>
          <w:szCs w:val="20"/>
          <w:color w:val="auto"/>
        </w:rPr>
      </w:pPr>
    </w:p>
    <w:p>
      <w:pPr>
        <w:ind w:left="1260" w:hanging="628"/>
        <w:spacing w:after="0"/>
        <w:tabs>
          <w:tab w:leader="none" w:pos="126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Erroneous Payment Return Deficiency</w:t>
      </w:r>
      <w:r>
        <w:rPr>
          <w:rFonts w:ascii="Times New Roman" w:cs="Times New Roman" w:eastAsia="Times New Roman" w:hAnsi="Times New Roman"/>
          <w:sz w:val="21"/>
          <w:szCs w:val="21"/>
          <w:color w:val="auto"/>
        </w:rPr>
        <w:t>” has the meaning assigned to it in Section 8.13(d).</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EU Bail-In Legislation Schedule</w:t>
      </w:r>
      <w:r>
        <w:rPr>
          <w:rFonts w:ascii="Times New Roman" w:cs="Times New Roman" w:eastAsia="Times New Roman" w:hAnsi="Times New Roman"/>
          <w:sz w:val="21"/>
          <w:szCs w:val="21"/>
          <w:color w:val="auto"/>
        </w:rPr>
        <w:t>” shall mean the EU Bail-In Legislation Schedule published by the Loan Market Association (or any successor person), as in effect from time to time.</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Event of Default</w:t>
      </w:r>
      <w:r>
        <w:rPr>
          <w:rFonts w:ascii="Times New Roman" w:cs="Times New Roman" w:eastAsia="Times New Roman" w:hAnsi="Times New Roman"/>
          <w:sz w:val="21"/>
          <w:szCs w:val="21"/>
          <w:color w:val="auto"/>
        </w:rPr>
        <w:t>” shall have the meaning assigned to such term in Article VII.</w:t>
      </w:r>
    </w:p>
    <w:p>
      <w:pPr>
        <w:spacing w:after="0" w:line="215" w:lineRule="exact"/>
        <w:rPr>
          <w:rFonts w:ascii="Times New Roman" w:cs="Times New Roman" w:eastAsia="Times New Roman" w:hAnsi="Times New Roman"/>
          <w:sz w:val="21"/>
          <w:szCs w:val="21"/>
          <w:color w:val="auto"/>
        </w:rPr>
      </w:pPr>
    </w:p>
    <w:p>
      <w:pPr>
        <w:jc w:val="both"/>
        <w:ind w:firstLine="632"/>
        <w:spacing w:after="0" w:line="253" w:lineRule="auto"/>
        <w:tabs>
          <w:tab w:leader="none" w:pos="124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Excess Cash</w:t>
      </w:r>
      <w:r>
        <w:rPr>
          <w:rFonts w:ascii="Times New Roman" w:cs="Times New Roman" w:eastAsia="Times New Roman" w:hAnsi="Times New Roman"/>
          <w:sz w:val="21"/>
          <w:szCs w:val="21"/>
          <w:color w:val="auto"/>
        </w:rPr>
        <w:t>” shall mean, as of any date of determination, the aggregate amount of Unrestricted Cash on hand at the Parent Borrower and its Subsidiaries other than (a) any cash allocated for, reserved or otherwise set aside to pay vendor payments, payroll, payroll taxes, other taxes, and employee wage and benefit payment obligations of the Parent Borrower or any of its Subsidiaries then due and owing and for which the Parent Borrower or such Subsidiary has issued checks or has initiated wires or ACH transfers or will issue checks or initiate wires or ACH transfers within five Business Days in order to make such payments, (b) to the extent the payment of such amounts are not prohibited by this Agreement, other amounts in respect of which the Parent Borrower or any of its Subsidiaries has issued checks or has initiated wires or ACH transfers to Persons that are not Affiliates of a Credit Party but that have not yet been subtracted from the balance in the relevant account of the Parent Borrower or any Subsidiary,</w:t>
      </w:r>
    </w:p>
    <w:p>
      <w:pPr>
        <w:spacing w:after="0" w:line="2" w:lineRule="exact"/>
        <w:rPr>
          <w:rFonts w:ascii="Times New Roman" w:cs="Times New Roman" w:eastAsia="Times New Roman" w:hAnsi="Times New Roman"/>
          <w:sz w:val="21"/>
          <w:szCs w:val="21"/>
          <w:color w:val="auto"/>
        </w:rPr>
      </w:pPr>
    </w:p>
    <w:p>
      <w:pPr>
        <w:jc w:val="both"/>
        <w:ind w:firstLine="5"/>
        <w:spacing w:after="0" w:line="250" w:lineRule="auto"/>
        <w:tabs>
          <w:tab w:leader="none" w:pos="30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cash of the Parent Borrower and its Subsidiaries constituting pledges and/or deposits securing any binding and enforceable purchase and sale agreement with any Persons who are not Affiliates of the Parent Borrower and its Subsidiaries, in each case to the extent permitted by this Agreement and (d) cash of a Borrower or any Subsidiary to be used by a Borrower or any Subsidiary within five Business Days to pay the purchase price for any acquisition of any assets or property by such Loan Party pursuant to an executed and binding agreement between such Loan Party and a third-party seller that is not an Affiliate of such Borrower or Subsidiary, in each case to the extent permitted by this Agreement.</w:t>
      </w:r>
    </w:p>
    <w:p>
      <w:pPr>
        <w:spacing w:after="0" w:line="176"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Rate</w:t>
      </w:r>
      <w:r>
        <w:rPr>
          <w:rFonts w:ascii="Times New Roman" w:cs="Times New Roman" w:eastAsia="Times New Roman" w:hAnsi="Times New Roman"/>
          <w:sz w:val="21"/>
          <w:szCs w:val="21"/>
          <w:color w:val="auto"/>
        </w:rPr>
        <w:t>” shall mean, on any day, (a) with respect to the Canadian Revolving Credit Facilities only, for purposes of determining the U.S. Dollar Equivalent of</w:t>
      </w:r>
    </w:p>
    <w:p>
      <w:pPr>
        <w:sectPr>
          <w:pgSz w:w="11900" w:h="16838" w:orient="portrait"/>
          <w:cols w:equalWidth="0" w:num="1">
            <w:col w:w="11240"/>
          </w:cols>
          <w:pgMar w:left="320" w:top="1380" w:right="339" w:bottom="1440" w:gutter="0" w:footer="0" w:header="0"/>
        </w:sectPr>
      </w:pPr>
    </w:p>
    <w:bookmarkStart w:id="74" w:name="page75"/>
    <w:bookmarkEnd w:id="74"/>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Canadian dollars and the Canadian Dollar Equivalent, the rate of exchange for Canadian interbank transactions at which Canadian dollars may be exchanged into U.S. dollars or at which U.S. dollars may be exchanged into Canadian dollars, respectively, established by the Bank of Canada and quoted at approximately the end of business (Standard Time) for the day in question or, if such determination is required to made prior to such time, as quoted at approximately the end of business (Standard Time) on the Business Day immediately preceding the date of determination, (b) 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dollars may be exchanged into Australian dollars, respectively, as at 12:00 p.m. (London time) on such day, and (c) (i) for purposes of determining the U.S. Dollar 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Parent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w:t>
      </w:r>
    </w:p>
    <w:p>
      <w:pPr>
        <w:spacing w:after="0" w:line="188" w:lineRule="exact"/>
        <w:rPr>
          <w:sz w:val="20"/>
          <w:szCs w:val="20"/>
          <w:color w:val="auto"/>
        </w:rPr>
      </w:pPr>
    </w:p>
    <w:p>
      <w:pPr>
        <w:jc w:val="both"/>
        <w:ind w:firstLine="632"/>
        <w:spacing w:after="0" w:line="259" w:lineRule="auto"/>
        <w:tabs>
          <w:tab w:leader="none" w:pos="124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Collateral</w:t>
      </w:r>
      <w:r>
        <w:rPr>
          <w:rFonts w:ascii="Times New Roman" w:cs="Times New Roman" w:eastAsia="Times New Roman" w:hAnsi="Times New Roman"/>
          <w:sz w:val="21"/>
          <w:szCs w:val="21"/>
          <w:color w:val="auto"/>
        </w:rPr>
        <w:t>” shall mean (a) any lease, license, contract, property rights or agreement to which any Guarantor is a party or any of its rights or interests thereunder if and for so long as the grant of such security interest shall constitute or result in</w:t>
      </w:r>
    </w:p>
    <w:p>
      <w:pPr>
        <w:spacing w:after="0" w:line="1" w:lineRule="exact"/>
        <w:rPr>
          <w:rFonts w:ascii="Times New Roman" w:cs="Times New Roman" w:eastAsia="Times New Roman" w:hAnsi="Times New Roman"/>
          <w:sz w:val="21"/>
          <w:szCs w:val="21"/>
          <w:color w:val="auto"/>
        </w:rPr>
      </w:pPr>
    </w:p>
    <w:p>
      <w:pPr>
        <w:jc w:val="both"/>
        <w:ind w:firstLine="5"/>
        <w:spacing w:after="0" w:line="251" w:lineRule="auto"/>
        <w:tabs>
          <w:tab w:leader="none" w:pos="29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abandonment, invalidation or unenforceability of any right, title or interest of any Guarantor therein or (ii) a breach or termination pursuant to the terms of, or a default under, any such lease, license, contract property rights or agreement (other than to the extent that any such term would be rendered ineffective pursuant to Sections 9-406, 9-407, 9-408 or 9-409 of the UCC (or any successor provision or provisions) of any relevant jurisdiction or any other applicable law (including any Insolvency Law) or principles of equity),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Collateral shall include and such security interest shall attach immediately at such time as the condition causing such abandonment, invalidation or unenforceability shall be remedied and to the extent severable, shall attach immediately to any portion of such lease, license, contract, property rights or agreement that does not result in any of the consequences specified in (i) or (ii) above; (b)</w:t>
      </w:r>
    </w:p>
    <w:p>
      <w:pPr>
        <w:sectPr>
          <w:pgSz w:w="11900" w:h="16838" w:orient="portrait"/>
          <w:cols w:equalWidth="0" w:num="1">
            <w:col w:w="11240"/>
          </w:cols>
          <w:pgMar w:left="320" w:top="138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those assets of a Guarantor with respect to which, in the sole discretion of (i) the U.S. Collateral Agent with respect to U.S. Collateral,</w:t>
      </w:r>
    </w:p>
    <w:p>
      <w:pPr>
        <w:spacing w:after="0" w:line="42" w:lineRule="exact"/>
        <w:rPr>
          <w:sz w:val="20"/>
          <w:szCs w:val="20"/>
          <w:color w:val="auto"/>
        </w:rPr>
      </w:pPr>
    </w:p>
    <w:p>
      <w:pPr>
        <w:jc w:val="both"/>
        <w:ind w:firstLine="5"/>
        <w:spacing w:after="0" w:line="249" w:lineRule="auto"/>
        <w:tabs>
          <w:tab w:leader="none" w:pos="35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Canadian Collateral Agent with respect to Canadian Collateral or (iii) the Australian Collateral Agent with respect to Australian Collateral, the burdens, costs or consequences of obtaining a Lien on such assets are excessive in view of the benefits to be obtained by the Secured Parties (including, for the avoidance of doubt, adverse tax consequences to the Parent Borrower and its Subsidiaries); (c) with respect to any U.S. Collateral, any “intent to use” Trademark (as defined in the U.S. Security Agreement) applications prior to the filing and acceptance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(d) any Equipment that is covered by a certificate of title under a statute of any jurisdiction under the law of which an indication of a security interest on such certificate is required as a condition of perfection of a security interest in such Equipment, (e) “consumer goods” as that term is defined in the PPSA (Alberta) (f) any real property (including all buildings, fixtures or other improvements located thereon) now, hereafter or heretofore owned, leased, operated or used by a Borrower of any of the Subsidiaries or (g) any asset over which the granting of a security interest in such asset would be prohibited by contract (including Permitted Liens, leases and licenses), applicable law or regulation (in each case, except to the extent such prohibition is unenforceable after giving effect to applicable provisions of the UCC, other than proceeds thereof, the assignment of which is expressly deemed effective under the UCC notwithstanding such prohibitions) or to the extent that such security interest would require obtaining the consent of any governmental or regulatory authority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the Collateral shall include and such security interest shall attach immediately at such time as such prohibition no longer exists or such consent is no longer required;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however, the foregoing clauses (a) - (g) shall not exclude from the Collateral or the security interest granted under the Security Documents any right to receive Proceeds from a disposition, conveyance, transfer, exchange, lease or similar transaction in respect of the foregoing or any other Proceeds, products, accessions, substitutions or replacements of the foregoing unless they independently are covered by such </w:t>
      </w:r>
      <w:r>
        <w:rPr>
          <w:rFonts w:ascii="Times New Roman" w:cs="Times New Roman" w:eastAsia="Times New Roman" w:hAnsi="Times New Roman"/>
          <w:sz w:val="21"/>
          <w:szCs w:val="21"/>
          <w:u w:val="single" w:color="auto"/>
          <w:color w:val="auto"/>
        </w:rPr>
        <w:t>clauses (a) - (g)</w:t>
      </w:r>
      <w:r>
        <w:rPr>
          <w:rFonts w:ascii="Times New Roman" w:cs="Times New Roman" w:eastAsia="Times New Roman" w:hAnsi="Times New Roman"/>
          <w:sz w:val="21"/>
          <w:szCs w:val="21"/>
          <w:color w:val="auto"/>
        </w:rPr>
        <w:t>. Capitalized terms used but not defined in this paragraph shall have the meanings assigned to such terms in the UCC.</w:t>
      </w:r>
    </w:p>
    <w:p>
      <w:pPr>
        <w:spacing w:after="0" w:line="188"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Subsidiary</w:t>
      </w:r>
      <w:r>
        <w:rPr>
          <w:rFonts w:ascii="Times New Roman" w:cs="Times New Roman" w:eastAsia="Times New Roman" w:hAnsi="Times New Roman"/>
          <w:sz w:val="21"/>
          <w:szCs w:val="21"/>
          <w:color w:val="auto"/>
        </w:rPr>
        <w:t>” shall mean each of (i) Ft. McMurray Lodge Services GP Ltd. and (ii) any Subsidiary having no material assets other than Equity Interests of a Special Purpose Business Entity.</w:t>
      </w:r>
    </w:p>
    <w:p>
      <w:pPr>
        <w:spacing w:after="0" w:line="157" w:lineRule="exact"/>
        <w:rPr>
          <w:rFonts w:ascii="Times New Roman" w:cs="Times New Roman" w:eastAsia="Times New Roman" w:hAnsi="Times New Roman"/>
          <w:sz w:val="21"/>
          <w:szCs w:val="21"/>
          <w:color w:val="auto"/>
        </w:rPr>
      </w:pPr>
    </w:p>
    <w:p>
      <w:pPr>
        <w:jc w:val="both"/>
        <w:ind w:firstLine="632"/>
        <w:spacing w:after="0" w:line="254" w:lineRule="auto"/>
        <w:tabs>
          <w:tab w:leader="none" w:pos="1249"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Swap Obligation</w:t>
      </w:r>
      <w:r>
        <w:rPr>
          <w:rFonts w:ascii="Times New Roman" w:cs="Times New Roman" w:eastAsia="Times New Roman" w:hAnsi="Times New Roman"/>
          <w:sz w:val="21"/>
          <w:szCs w:val="21"/>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w:t>
      </w:r>
    </w:p>
    <w:p>
      <w:pPr>
        <w:sectPr>
          <w:pgSz w:w="11900" w:h="16838" w:orient="portrait"/>
          <w:cols w:equalWidth="0" w:num="1">
            <w:col w:w="11240"/>
          </w:cols>
          <w:pgMar w:left="320" w:top="1380" w:right="339" w:bottom="1440" w:gutter="0" w:footer="0" w:header="0"/>
        </w:sectPr>
      </w:pPr>
    </w:p>
    <w:bookmarkStart w:id="76" w:name="page77"/>
    <w:bookmarkEnd w:id="76"/>
    <w:p>
      <w:pPr>
        <w:spacing w:after="0" w:line="277" w:lineRule="auto"/>
        <w:rPr>
          <w:sz w:val="20"/>
          <w:szCs w:val="20"/>
          <w:color w:val="auto"/>
        </w:rPr>
      </w:pPr>
      <w:r>
        <w:rPr>
          <w:rFonts w:ascii="Times New Roman" w:cs="Times New Roman" w:eastAsia="Times New Roman" w:hAnsi="Times New Roman"/>
          <w:sz w:val="21"/>
          <w:szCs w:val="21"/>
          <w:color w:val="auto"/>
        </w:rPr>
        <w:t>master agreement governing more than one swap, such exclusion shall apply only to the portion of such Swap Obligation that is attributable to swaps for which such Guarantee or security interest is or becomes illegal.</w:t>
      </w:r>
    </w:p>
    <w:p>
      <w:pPr>
        <w:spacing w:after="0" w:line="146" w:lineRule="exact"/>
        <w:rPr>
          <w:sz w:val="20"/>
          <w:szCs w:val="20"/>
          <w:color w:val="auto"/>
        </w:rPr>
      </w:pPr>
    </w:p>
    <w:p>
      <w:pPr>
        <w:jc w:val="both"/>
        <w:ind w:firstLine="632"/>
        <w:spacing w:after="0" w:line="251" w:lineRule="auto"/>
        <w:tabs>
          <w:tab w:leader="none" w:pos="124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Taxes</w:t>
      </w:r>
      <w:r>
        <w:rPr>
          <w:rFonts w:ascii="Times New Roman" w:cs="Times New Roman" w:eastAsia="Times New Roman" w:hAnsi="Times New Roman"/>
          <w:sz w:val="21"/>
          <w:szCs w:val="21"/>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 to a Lender that is an Offshore Associate of the Australian Borrower, or as a result of there being less than two Lenders under this Agreement, (g) in respect of any Australian Revolving Borrowing, Taxes which arise from the failure of (1) 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172"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Facility</w:t>
      </w:r>
      <w:r>
        <w:rPr>
          <w:rFonts w:ascii="Times New Roman" w:cs="Times New Roman" w:eastAsia="Times New Roman" w:hAnsi="Times New Roman"/>
          <w:sz w:val="21"/>
          <w:szCs w:val="21"/>
          <w:color w:val="auto"/>
        </w:rPr>
        <w:t>” shall mean the U.S. Revolving Credit Facility, the Canadian Term Loan Facility, the Canadian Revolving Credit Facility or the Australian Revolving Credit Facility, in each case as the context may require.</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Facility Letter</w:t>
      </w:r>
      <w:r>
        <w:rPr>
          <w:rFonts w:ascii="Times New Roman" w:cs="Times New Roman" w:eastAsia="Times New Roman" w:hAnsi="Times New Roman"/>
          <w:sz w:val="21"/>
          <w:szCs w:val="21"/>
          <w:color w:val="auto"/>
        </w:rPr>
        <w:t>” shall have the meaning assigned to such term in the definition of Bilateral Agreement.</w:t>
      </w:r>
    </w:p>
    <w:p>
      <w:pPr>
        <w:sectPr>
          <w:pgSz w:w="11900" w:h="16838" w:orient="portrait"/>
          <w:cols w:equalWidth="0" w:num="1">
            <w:col w:w="11240"/>
          </w:cols>
          <w:pgMar w:left="320" w:top="1380" w:right="339" w:bottom="1440" w:gutter="0" w:footer="0" w:header="0"/>
        </w:sectPr>
      </w:pPr>
    </w:p>
    <w:bookmarkStart w:id="77" w:name="page78"/>
    <w:bookmarkEnd w:id="77"/>
    <w:p>
      <w:pPr>
        <w:jc w:val="both"/>
        <w:ind w:left="-632" w:firstLine="632"/>
        <w:spacing w:after="0" w:line="261" w:lineRule="auto"/>
        <w:tabs>
          <w:tab w:leader="none" w:pos="61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FATCA</w:t>
      </w:r>
      <w:r>
        <w:rPr>
          <w:rFonts w:ascii="Times New Roman" w:cs="Times New Roman" w:eastAsia="Times New Roman" w:hAnsi="Times New Roman"/>
          <w:sz w:val="21"/>
          <w:szCs w:val="21"/>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6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FCPA</w:t>
      </w:r>
      <w:r>
        <w:rPr>
          <w:rFonts w:ascii="Times New Roman" w:cs="Times New Roman" w:eastAsia="Times New Roman" w:hAnsi="Times New Roman"/>
          <w:sz w:val="21"/>
          <w:szCs w:val="21"/>
          <w:color w:val="auto"/>
        </w:rPr>
        <w:t>” shall mean the United States Foreign Corrupt Practices Act of 1977.</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Federal Funds Effective Rate</w:t>
      </w:r>
      <w:r>
        <w:rPr>
          <w:rFonts w:ascii="Times New Roman" w:cs="Times New Roman" w:eastAsia="Times New Roman" w:hAnsi="Times New Roman"/>
          <w:sz w:val="21"/>
          <w:szCs w:val="21"/>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rate (rounded upwards, if necessary, to the next 1/100 of 1%) for such transactions as determined by the Administrative Agent.</w:t>
      </w:r>
    </w:p>
    <w:p>
      <w:pPr>
        <w:spacing w:after="0" w:line="16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Fee Letter</w:t>
      </w:r>
      <w:r>
        <w:rPr>
          <w:rFonts w:ascii="Times New Roman" w:cs="Times New Roman" w:eastAsia="Times New Roman" w:hAnsi="Times New Roman"/>
          <w:sz w:val="21"/>
          <w:szCs w:val="21"/>
          <w:color w:val="auto"/>
        </w:rPr>
        <w:t>” shall mean the letter agreement dated as of the Closing Date between the Parent Borrower and RBC.</w:t>
      </w:r>
    </w:p>
    <w:p>
      <w:pPr>
        <w:spacing w:after="0" w:line="21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 shall mean, collectively, the Commitment Fees, the L/C Participation Fees, the Issuing Bank Fees and all fees set forth in the Fee Letter.</w:t>
      </w:r>
    </w:p>
    <w:p>
      <w:pPr>
        <w:spacing w:after="0" w:line="14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Financial Covenants</w:t>
      </w:r>
      <w:r>
        <w:rPr>
          <w:rFonts w:ascii="Times New Roman" w:cs="Times New Roman" w:eastAsia="Times New Roman" w:hAnsi="Times New Roman"/>
          <w:sz w:val="21"/>
          <w:szCs w:val="21"/>
          <w:color w:val="auto"/>
        </w:rPr>
        <w:t>” shall mean the financial covenants set forth in Sections 6.10 and 6.11.</w:t>
      </w:r>
    </w:p>
    <w:p>
      <w:pPr>
        <w:spacing w:after="0" w:line="228"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Financial Officer</w:t>
      </w:r>
      <w:r>
        <w:rPr>
          <w:rFonts w:ascii="Times New Roman" w:cs="Times New Roman" w:eastAsia="Times New Roman" w:hAnsi="Times New Roman"/>
          <w:sz w:val="21"/>
          <w:szCs w:val="21"/>
          <w:color w:val="auto"/>
        </w:rPr>
        <w:t>” of any person shall mean the chief financial officer, principal accounting officer, treasurer or controller of such person.</w:t>
      </w:r>
    </w:p>
    <w:p>
      <w:pPr>
        <w:spacing w:after="0" w:line="14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“Floor” </w:t>
      </w:r>
      <w:r>
        <w:rPr>
          <w:rFonts w:ascii="Times New Roman" w:cs="Times New Roman" w:eastAsia="Times New Roman" w:hAnsi="Times New Roman"/>
          <w:sz w:val="21"/>
          <w:szCs w:val="21"/>
          <w:color w:val="auto"/>
        </w:rPr>
        <w:t>means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0000FF"/>
          <w:highlight w:val="lightGray"/>
        </w:rPr>
        <w:t>a rate of interest equal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0.00%.</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Foreign Government Scheme or Arrangement</w:t>
      </w:r>
      <w:r>
        <w:rPr>
          <w:rFonts w:ascii="Times New Roman" w:cs="Times New Roman" w:eastAsia="Times New Roman" w:hAnsi="Times New Roman"/>
          <w:sz w:val="21"/>
          <w:szCs w:val="21"/>
          <w:color w:val="auto"/>
        </w:rPr>
        <w:t>” shall have the meaning assigned to such term in Section 3.16(c).</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Foreign Lender</w:t>
      </w:r>
      <w:r>
        <w:rPr>
          <w:rFonts w:ascii="Times New Roman" w:cs="Times New Roman" w:eastAsia="Times New Roman" w:hAnsi="Times New Roman"/>
          <w:sz w:val="21"/>
          <w:szCs w:val="21"/>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w:t>
      </w:r>
    </w:p>
    <w:p>
      <w:pPr>
        <w:spacing w:after="0" w:line="16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“Foreign Plan</w:t>
      </w:r>
      <w:r>
        <w:rPr>
          <w:rFonts w:ascii="Times New Roman" w:cs="Times New Roman" w:eastAsia="Times New Roman" w:hAnsi="Times New Roman"/>
          <w:sz w:val="21"/>
          <w:szCs w:val="21"/>
          <w:color w:val="auto"/>
        </w:rPr>
        <w:t>” shall have the meaning assigned to such term in Section 3.16(c).</w:t>
      </w:r>
    </w:p>
    <w:p>
      <w:pPr>
        <w:spacing w:after="0" w:line="228"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Foreign Subsidiary</w:t>
      </w:r>
      <w:r>
        <w:rPr>
          <w:rFonts w:ascii="Times New Roman" w:cs="Times New Roman" w:eastAsia="Times New Roman" w:hAnsi="Times New Roman"/>
          <w:sz w:val="21"/>
          <w:szCs w:val="21"/>
          <w:color w:val="auto"/>
        </w:rPr>
        <w:t>” shall mean any Subsidiary that is not (a) a Domestic Subsidiary or (b) a U.S. Borrower.</w:t>
      </w:r>
    </w:p>
    <w:p>
      <w:pPr>
        <w:sectPr>
          <w:pgSz w:w="11900" w:h="16838" w:orient="portrait"/>
          <w:cols w:equalWidth="0" w:num="1">
            <w:col w:w="10608"/>
          </w:cols>
          <w:pgMar w:left="952" w:top="1378" w:right="339" w:bottom="1440" w:gutter="0" w:footer="0" w:header="0"/>
        </w:sectPr>
      </w:pPr>
    </w:p>
    <w:bookmarkStart w:id="78" w:name="page79"/>
    <w:bookmarkEnd w:id="78"/>
    <w:p>
      <w:pPr>
        <w:jc w:val="both"/>
        <w:ind w:left="-632" w:firstLine="632"/>
        <w:spacing w:after="0" w:line="255" w:lineRule="auto"/>
        <w:tabs>
          <w:tab w:leader="none" w:pos="68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Fronting Exposure</w:t>
      </w:r>
      <w:r>
        <w:rPr>
          <w:rFonts w:ascii="Times New Roman" w:cs="Times New Roman" w:eastAsia="Times New Roman" w:hAnsi="Times New Roman"/>
          <w:sz w:val="21"/>
          <w:szCs w:val="21"/>
          <w:color w:val="auto"/>
        </w:rPr>
        <w:t>” shall mean, at any time there is a Defaulting Lender, with respect to an Issuing Bank, (a) such Defaulting Lender’s U.S. Revolving Pro Rata Percentage, Canadian Revolving Pro Rata Percentage or Australian Revolving Pro Rata Percentage, as applicable (determined, for the avoidance of doubt, without giving effect to any adjustment provided for in Section 2.24(c) or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w:t>
      </w:r>
    </w:p>
    <w:p>
      <w:pPr>
        <w:spacing w:after="0" w:line="172" w:lineRule="exact"/>
        <w:rPr>
          <w:rFonts w:ascii="Times New Roman" w:cs="Times New Roman" w:eastAsia="Times New Roman" w:hAnsi="Times New Roman"/>
          <w:sz w:val="21"/>
          <w:szCs w:val="21"/>
          <w:color w:val="auto"/>
        </w:rPr>
      </w:pPr>
    </w:p>
    <w:p>
      <w:pPr>
        <w:jc w:val="both"/>
        <w:ind w:left="-632" w:firstLine="632"/>
        <w:spacing w:after="0" w:line="269" w:lineRule="auto"/>
        <w:tabs>
          <w:tab w:leader="none" w:pos="61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FSHCO</w:t>
      </w:r>
      <w:r>
        <w:rPr>
          <w:rFonts w:ascii="Times New Roman" w:cs="Times New Roman" w:eastAsia="Times New Roman" w:hAnsi="Times New Roman"/>
          <w:sz w:val="21"/>
          <w:szCs w:val="21"/>
          <w:color w:val="auto"/>
        </w:rPr>
        <w:t>” shall mean any Domestic Subsidiary that is a disregarded entity for U.S. federal income tax purposes substantially all of the assets of which consist of, directly or indirectly, Equity Interests in or Indebtedness of Foreign Subsidiaries that are U.S. Owned Subsidiaries.</w:t>
      </w:r>
    </w:p>
    <w:p>
      <w:pPr>
        <w:spacing w:after="0" w:line="15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Fund</w:t>
      </w:r>
      <w:r>
        <w:rPr>
          <w:rFonts w:ascii="Times New Roman" w:cs="Times New Roman" w:eastAsia="Times New Roman" w:hAnsi="Times New Roman"/>
          <w:sz w:val="21"/>
          <w:szCs w:val="21"/>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44" w:lineRule="exact"/>
        <w:rPr>
          <w:rFonts w:ascii="Times New Roman" w:cs="Times New Roman" w:eastAsia="Times New Roman" w:hAnsi="Times New Roman"/>
          <w:sz w:val="21"/>
          <w:szCs w:val="21"/>
          <w:color w:val="auto"/>
        </w:rPr>
      </w:pPr>
    </w:p>
    <w:p>
      <w:pPr>
        <w:ind w:left="668" w:hanging="668"/>
        <w:spacing w:after="0"/>
        <w:tabs>
          <w:tab w:leader="none" w:pos="66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GAAP</w:t>
      </w:r>
      <w:r>
        <w:rPr>
          <w:rFonts w:ascii="Times New Roman" w:cs="Times New Roman" w:eastAsia="Times New Roman" w:hAnsi="Times New Roman"/>
          <w:sz w:val="21"/>
          <w:szCs w:val="21"/>
          <w:color w:val="auto"/>
        </w:rPr>
        <w:t>” shall mean United States generally accepted accounting principles applied on a consistent basis.</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61" w:lineRule="auto"/>
        <w:tabs>
          <w:tab w:leader="none" w:pos="61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Governmental Authority</w:t>
      </w:r>
      <w:r>
        <w:rPr>
          <w:rFonts w:ascii="Times New Roman" w:cs="Times New Roman" w:eastAsia="Times New Roman" w:hAnsi="Times New Roman"/>
          <w:sz w:val="21"/>
          <w:szCs w:val="21"/>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Granting Lender</w:t>
      </w:r>
      <w:r>
        <w:rPr>
          <w:rFonts w:ascii="Times New Roman" w:cs="Times New Roman" w:eastAsia="Times New Roman" w:hAnsi="Times New Roman"/>
          <w:sz w:val="21"/>
          <w:szCs w:val="21"/>
          <w:color w:val="auto"/>
        </w:rPr>
        <w:t>” shall have the meaning assigned to such term in Section 9.04(g).</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GST Act</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i w:val="1"/>
          <w:iCs w:val="1"/>
          <w:color w:val="auto"/>
        </w:rPr>
        <w:t>A New Tax System (Goods and Services Tax) Act 1999 (Cth)</w:t>
      </w:r>
      <w:r>
        <w:rPr>
          <w:rFonts w:ascii="Times New Roman" w:cs="Times New Roman" w:eastAsia="Times New Roman" w:hAnsi="Times New Roman"/>
          <w:sz w:val="21"/>
          <w:szCs w:val="21"/>
          <w:color w:val="auto"/>
        </w:rPr>
        <w:t>.</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GST Law</w:t>
      </w:r>
      <w:r>
        <w:rPr>
          <w:rFonts w:ascii="Times New Roman" w:cs="Times New Roman" w:eastAsia="Times New Roman" w:hAnsi="Times New Roman"/>
          <w:sz w:val="21"/>
          <w:szCs w:val="21"/>
          <w:color w:val="auto"/>
        </w:rPr>
        <w:t>” shall have the meaning it has in the GST Act.</w:t>
      </w:r>
    </w:p>
    <w:p>
      <w:pPr>
        <w:spacing w:after="0" w:line="228" w:lineRule="exact"/>
        <w:rPr>
          <w:rFonts w:ascii="Times New Roman" w:cs="Times New Roman" w:eastAsia="Times New Roman" w:hAnsi="Times New Roman"/>
          <w:sz w:val="21"/>
          <w:szCs w:val="21"/>
          <w:color w:val="auto"/>
        </w:rPr>
      </w:pPr>
    </w:p>
    <w:p>
      <w:pPr>
        <w:jc w:val="both"/>
        <w:ind w:left="-632" w:firstLine="632"/>
        <w:spacing w:after="0" w:line="254" w:lineRule="auto"/>
        <w:tabs>
          <w:tab w:leader="none" w:pos="61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Guarantee</w:t>
      </w:r>
      <w:r>
        <w:rPr>
          <w:rFonts w:ascii="Times New Roman" w:cs="Times New Roman" w:eastAsia="Times New Roman" w:hAnsi="Times New Roman"/>
          <w:sz w:val="21"/>
          <w:szCs w:val="21"/>
          <w:color w:val="auto"/>
        </w:rPr>
        <w:t>” of or by any person shall mean (a) any obligation, contingent or otherwise, of such person guaranteeing or having the economic effect of guaranteeing any Indebtedness of any other person (the “</w:t>
      </w:r>
      <w:r>
        <w:rPr>
          <w:rFonts w:ascii="Times New Roman" w:cs="Times New Roman" w:eastAsia="Times New Roman" w:hAnsi="Times New Roman"/>
          <w:sz w:val="21"/>
          <w:szCs w:val="21"/>
          <w:i w:val="1"/>
          <w:iCs w:val="1"/>
          <w:color w:val="auto"/>
        </w:rPr>
        <w:t>primary obligor</w:t>
      </w:r>
      <w:r>
        <w:rPr>
          <w:rFonts w:ascii="Times New Roman" w:cs="Times New Roman" w:eastAsia="Times New Roman" w:hAnsi="Times New Roman"/>
          <w:sz w:val="21"/>
          <w:szCs w:val="21"/>
          <w:color w:val="auto"/>
        </w:rPr>
        <w:t>”)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w:t>
      </w:r>
    </w:p>
    <w:p>
      <w:pPr>
        <w:sectPr>
          <w:pgSz w:w="11900" w:h="16838" w:orient="portrait"/>
          <w:cols w:equalWidth="0" w:num="1">
            <w:col w:w="10608"/>
          </w:cols>
          <w:pgMar w:left="952" w:top="1378" w:right="33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term “Guarantee” shall not include endorsements for collection or deposit in the ordinary course of business.</w:t>
      </w:r>
    </w:p>
    <w:p>
      <w:pPr>
        <w:spacing w:after="0" w:line="171" w:lineRule="exact"/>
        <w:rPr>
          <w:sz w:val="20"/>
          <w:szCs w:val="20"/>
          <w:color w:val="auto"/>
        </w:rPr>
      </w:pPr>
    </w:p>
    <w:p>
      <w:pPr>
        <w:ind w:firstLine="632"/>
        <w:spacing w:after="0" w:line="279" w:lineRule="auto"/>
        <w:tabs>
          <w:tab w:leader="none" w:pos="124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Guarantee Agreements</w:t>
      </w:r>
      <w:r>
        <w:rPr>
          <w:rFonts w:ascii="Times New Roman" w:cs="Times New Roman" w:eastAsia="Times New Roman" w:hAnsi="Times New Roman"/>
          <w:sz w:val="21"/>
          <w:szCs w:val="21"/>
          <w:color w:val="auto"/>
        </w:rPr>
        <w:t>” shall mean, collectively, the U.S. Guarantee Agreement, the Australian Guarantee Agreement and the Canadian Guarantee Agreement.</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Guarantors</w:t>
      </w:r>
      <w:r>
        <w:rPr>
          <w:rFonts w:ascii="Times New Roman" w:cs="Times New Roman" w:eastAsia="Times New Roman" w:hAnsi="Times New Roman"/>
          <w:sz w:val="21"/>
          <w:szCs w:val="21"/>
          <w:color w:val="auto"/>
        </w:rPr>
        <w:t>” shall mean, collectively, the Borrowers and the Subsidiary Guarantors.</w:t>
      </w:r>
    </w:p>
    <w:p>
      <w:pPr>
        <w:spacing w:after="0" w:line="215" w:lineRule="exact"/>
        <w:rPr>
          <w:rFonts w:ascii="Times New Roman" w:cs="Times New Roman" w:eastAsia="Times New Roman" w:hAnsi="Times New Roman"/>
          <w:sz w:val="21"/>
          <w:szCs w:val="21"/>
          <w:color w:val="auto"/>
        </w:rPr>
      </w:pPr>
    </w:p>
    <w:p>
      <w:pPr>
        <w:jc w:val="both"/>
        <w:ind w:firstLine="632"/>
        <w:spacing w:after="0" w:line="257" w:lineRule="auto"/>
        <w:tabs>
          <w:tab w:leader="none" w:pos="124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Hazardous Materials</w:t>
      </w:r>
      <w:r>
        <w:rPr>
          <w:rFonts w:ascii="Times New Roman" w:cs="Times New Roman" w:eastAsia="Times New Roman" w:hAnsi="Times New Roman"/>
          <w:sz w:val="21"/>
          <w:szCs w:val="21"/>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67" w:lineRule="exact"/>
        <w:rPr>
          <w:rFonts w:ascii="Times New Roman" w:cs="Times New Roman" w:eastAsia="Times New Roman" w:hAnsi="Times New Roman"/>
          <w:sz w:val="21"/>
          <w:szCs w:val="21"/>
          <w:color w:val="auto"/>
        </w:rPr>
      </w:pPr>
    </w:p>
    <w:p>
      <w:pPr>
        <w:ind w:firstLine="632"/>
        <w:spacing w:after="0" w:line="292" w:lineRule="auto"/>
        <w:tabs>
          <w:tab w:leader="none" w:pos="124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Hedging Agreement</w:t>
      </w:r>
      <w:r>
        <w:rPr>
          <w:rFonts w:ascii="Times New Roman" w:cs="Times New Roman" w:eastAsia="Times New Roman" w:hAnsi="Times New Roman"/>
          <w:sz w:val="21"/>
          <w:szCs w:val="21"/>
          <w:color w:val="auto"/>
        </w:rPr>
        <w:t>” shall mean any interest rate protection agreement, foreign currency exchange agreement, commodity price protection agreement or other interest or currency exchange rate or commodity price hedging arrangement.</w:t>
      </w:r>
    </w:p>
    <w:p>
      <w:pPr>
        <w:spacing w:after="0" w:line="131"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Illegality Notice</w:t>
      </w:r>
      <w:r>
        <w:rPr>
          <w:rFonts w:ascii="Times New Roman" w:cs="Times New Roman" w:eastAsia="Times New Roman" w:hAnsi="Times New Roman"/>
          <w:sz w:val="21"/>
          <w:szCs w:val="21"/>
          <w:color w:val="auto"/>
        </w:rPr>
        <w:t>” shall have the meaning set forth in Section 2.14.</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Increased Amount Date</w:t>
      </w:r>
      <w:r>
        <w:rPr>
          <w:rFonts w:ascii="Times New Roman" w:cs="Times New Roman" w:eastAsia="Times New Roman" w:hAnsi="Times New Roman"/>
          <w:sz w:val="21"/>
          <w:szCs w:val="21"/>
          <w:color w:val="auto"/>
        </w:rPr>
        <w:t>” shall have the meaning assigned to such term in Section 2.25.</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Incremental Lender</w:t>
      </w:r>
      <w:r>
        <w:rPr>
          <w:rFonts w:ascii="Times New Roman" w:cs="Times New Roman" w:eastAsia="Times New Roman" w:hAnsi="Times New Roman"/>
          <w:sz w:val="21"/>
          <w:szCs w:val="21"/>
          <w:color w:val="auto"/>
        </w:rPr>
        <w:t>” shall have the meaning assigned to such term in Section 2.25.</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Incremental Revolving Commitment</w:t>
      </w:r>
      <w:r>
        <w:rPr>
          <w:rFonts w:ascii="Times New Roman" w:cs="Times New Roman" w:eastAsia="Times New Roman" w:hAnsi="Times New Roman"/>
          <w:sz w:val="21"/>
          <w:szCs w:val="21"/>
          <w:color w:val="auto"/>
        </w:rPr>
        <w:t>” shall have the meaning assigned to such term in Section 2.25.</w:t>
      </w:r>
    </w:p>
    <w:p>
      <w:pPr>
        <w:spacing w:after="0" w:line="228"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Incremental Revolving Credit Increase</w:t>
      </w:r>
      <w:r>
        <w:rPr>
          <w:rFonts w:ascii="Times New Roman" w:cs="Times New Roman" w:eastAsia="Times New Roman" w:hAnsi="Times New Roman"/>
          <w:sz w:val="21"/>
          <w:szCs w:val="21"/>
          <w:color w:val="auto"/>
        </w:rPr>
        <w:t>” shall have the meaning assigned to such term in Section 2.25.</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of any person shall mean, without duplication, (a) all obligations of such person for borrowed money,</w:t>
      </w:r>
    </w:p>
    <w:p>
      <w:pPr>
        <w:spacing w:after="0" w:line="32" w:lineRule="exact"/>
        <w:rPr>
          <w:rFonts w:ascii="Times New Roman" w:cs="Times New Roman" w:eastAsia="Times New Roman" w:hAnsi="Times New Roman"/>
          <w:sz w:val="21"/>
          <w:szCs w:val="21"/>
          <w:color w:val="auto"/>
        </w:rPr>
      </w:pPr>
    </w:p>
    <w:p>
      <w:pPr>
        <w:jc w:val="both"/>
        <w:ind w:firstLine="5"/>
        <w:spacing w:after="0" w:line="253" w:lineRule="auto"/>
        <w:tabs>
          <w:tab w:leader="none" w:pos="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w:t>
      </w:r>
    </w:p>
    <w:p>
      <w:pPr>
        <w:sectPr>
          <w:pgSz w:w="11900" w:h="16838" w:orient="portrait"/>
          <w:cols w:equalWidth="0" w:num="1">
            <w:col w:w="11240"/>
          </w:cols>
          <w:pgMar w:left="320" w:top="1380" w:right="33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21"/>
          <w:szCs w:val="21"/>
          <w:color w:val="auto"/>
        </w:rPr>
        <w:t>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w:t>
      </w:r>
    </w:p>
    <w:p>
      <w:pPr>
        <w:spacing w:after="0" w:line="183" w:lineRule="exact"/>
        <w:rPr>
          <w:sz w:val="20"/>
          <w:szCs w:val="20"/>
          <w:color w:val="auto"/>
        </w:rPr>
      </w:pPr>
    </w:p>
    <w:p>
      <w:pPr>
        <w:ind w:left="1260" w:hanging="628"/>
        <w:spacing w:after="0"/>
        <w:tabs>
          <w:tab w:leader="none" w:pos="126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Indemnified Liabilities</w:t>
      </w:r>
      <w:r>
        <w:rPr>
          <w:rFonts w:ascii="Times New Roman" w:cs="Times New Roman" w:eastAsia="Times New Roman" w:hAnsi="Times New Roman"/>
          <w:sz w:val="21"/>
          <w:szCs w:val="21"/>
          <w:color w:val="auto"/>
        </w:rPr>
        <w:t>” shall have the meaning assigned to such term in Section 9.05(b).</w:t>
      </w:r>
    </w:p>
    <w:p>
      <w:pPr>
        <w:spacing w:after="0" w:line="215"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Indemnified Taxes</w:t>
      </w:r>
      <w:r>
        <w:rPr>
          <w:rFonts w:ascii="Times New Roman" w:cs="Times New Roman" w:eastAsia="Times New Roman" w:hAnsi="Times New Roman"/>
          <w:sz w:val="21"/>
          <w:szCs w:val="21"/>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60"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shall have the meaning assigned to such term in Section 9.05(b).</w:t>
      </w:r>
    </w:p>
    <w:p>
      <w:pPr>
        <w:spacing w:after="0" w:line="215" w:lineRule="exact"/>
        <w:rPr>
          <w:rFonts w:ascii="Times New Roman" w:cs="Times New Roman" w:eastAsia="Times New Roman" w:hAnsi="Times New Roman"/>
          <w:sz w:val="21"/>
          <w:szCs w:val="21"/>
          <w:color w:val="auto"/>
        </w:rPr>
      </w:pPr>
    </w:p>
    <w:p>
      <w:pPr>
        <w:jc w:val="both"/>
        <w:ind w:firstLine="632"/>
        <w:spacing w:after="0" w:line="266" w:lineRule="auto"/>
        <w:tabs>
          <w:tab w:leader="none" w:pos="124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Insolvency Law</w:t>
      </w:r>
      <w:r>
        <w:rPr>
          <w:rFonts w:ascii="Times New Roman" w:cs="Times New Roman" w:eastAsia="Times New Roman" w:hAnsi="Times New Roman"/>
          <w:sz w:val="21"/>
          <w:szCs w:val="21"/>
          <w:color w:val="auto"/>
        </w:rPr>
        <w:t xml:space="preserve">” shall mean, to the extent applicable, (a) Title 11 of the United States Code, (b) the </w:t>
      </w:r>
      <w:r>
        <w:rPr>
          <w:rFonts w:ascii="Times New Roman" w:cs="Times New Roman" w:eastAsia="Times New Roman" w:hAnsi="Times New Roman"/>
          <w:sz w:val="21"/>
          <w:szCs w:val="21"/>
          <w:i w:val="1"/>
          <w:iCs w:val="1"/>
          <w:color w:val="auto"/>
        </w:rPr>
        <w:t>Bankruptcy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Insolvency Act </w:t>
      </w:r>
      <w:r>
        <w:rPr>
          <w:rFonts w:ascii="Times New Roman" w:cs="Times New Roman" w:eastAsia="Times New Roman" w:hAnsi="Times New Roman"/>
          <w:sz w:val="21"/>
          <w:szCs w:val="21"/>
          <w:color w:val="auto"/>
        </w:rPr>
        <w:t>(Canada), (c) the</w:t>
      </w:r>
      <w:r>
        <w:rPr>
          <w:rFonts w:ascii="Times New Roman" w:cs="Times New Roman" w:eastAsia="Times New Roman" w:hAnsi="Times New Roman"/>
          <w:sz w:val="21"/>
          <w:szCs w:val="21"/>
          <w:i w:val="1"/>
          <w:iCs w:val="1"/>
          <w:color w:val="auto"/>
        </w:rPr>
        <w:t xml:space="preserve"> Companies’ Creditors Arrangement Act </w:t>
      </w:r>
      <w:r>
        <w:rPr>
          <w:rFonts w:ascii="Times New Roman" w:cs="Times New Roman" w:eastAsia="Times New Roman" w:hAnsi="Times New Roman"/>
          <w:sz w:val="21"/>
          <w:szCs w:val="21"/>
          <w:color w:val="auto"/>
        </w:rPr>
        <w:t>(Canada), (d) Chapter 5 of the Australian Corporations Act;</w:t>
      </w:r>
    </w:p>
    <w:p>
      <w:pPr>
        <w:jc w:val="both"/>
        <w:ind w:firstLine="5"/>
        <w:spacing w:after="0" w:line="249" w:lineRule="auto"/>
        <w:tabs>
          <w:tab w:leader="none" w:pos="28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similar federal, provincial, state, local or foreign bankruptcy or insolvency law applicable to the Parent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187" w:lineRule="exact"/>
        <w:rPr>
          <w:rFonts w:ascii="Times New Roman" w:cs="Times New Roman" w:eastAsia="Times New Roman" w:hAnsi="Times New Roman"/>
          <w:sz w:val="21"/>
          <w:szCs w:val="21"/>
          <w:color w:val="auto"/>
        </w:rPr>
      </w:pPr>
    </w:p>
    <w:p>
      <w:pPr>
        <w:jc w:val="both"/>
        <w:ind w:firstLine="632"/>
        <w:spacing w:after="0" w:line="254" w:lineRule="auto"/>
        <w:tabs>
          <w:tab w:leader="none" w:pos="124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Coverage Ratio</w:t>
      </w:r>
      <w:r>
        <w:rPr>
          <w:rFonts w:ascii="Times New Roman" w:cs="Times New Roman" w:eastAsia="Times New Roman" w:hAnsi="Times New Roman"/>
          <w:sz w:val="21"/>
          <w:szCs w:val="21"/>
          <w:color w:val="auto"/>
        </w:rPr>
        <w:t xml:space="preserve">” for any period shall mean the ratio of (a) Consolidated EBITDA for such period to (b) Consolidated Interest Expense for the Parent Borrower and the Subsidiaries for such period. Solely for purposes of this definition, if, at any time the Interest Coverage Ratio is being determined, the Parent Borrower or any Subsidiary shall have completed a Permitted Acquisition or Asset Sale the consideration of which is greater than $25,000,000 since the beginning of the relevant four fiscal quarter period, the Interest Coverage Ratio shall be determined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71" w:lineRule="exact"/>
        <w:rPr>
          <w:rFonts w:ascii="Times New Roman" w:cs="Times New Roman" w:eastAsia="Times New Roman" w:hAnsi="Times New Roman"/>
          <w:sz w:val="21"/>
          <w:szCs w:val="21"/>
          <w:color w:val="auto"/>
        </w:rPr>
      </w:pPr>
    </w:p>
    <w:p>
      <w:pPr>
        <w:jc w:val="both"/>
        <w:ind w:firstLine="632"/>
        <w:spacing w:after="0" w:line="257" w:lineRule="auto"/>
        <w:tabs>
          <w:tab w:leader="none" w:pos="124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Payment Date</w:t>
      </w:r>
      <w:r>
        <w:rPr>
          <w:rFonts w:ascii="Times New Roman" w:cs="Times New Roman" w:eastAsia="Times New Roman" w:hAnsi="Times New Roman"/>
          <w:sz w:val="21"/>
          <w:szCs w:val="21"/>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SOFR Loan</w:t>
      </w:r>
      <w:r>
        <w:rPr>
          <w:rFonts w:ascii="Times New Roman" w:cs="Times New Roman" w:eastAsia="Times New Roman" w:hAnsi="Times New Roman"/>
          <w:sz w:val="21"/>
          <w:szCs w:val="21"/>
          <w:u w:val="single" w:color="auto"/>
          <w:color w:val="0000FF"/>
          <w:highlight w:val="lightGray"/>
        </w:rPr>
        <w:t>, Term CORRA Loan</w:t>
      </w:r>
      <w:r>
        <w:rPr>
          <w:rFonts w:ascii="Times New Roman" w:cs="Times New Roman" w:eastAsia="Times New Roman" w:hAnsi="Times New Roman"/>
          <w:sz w:val="21"/>
          <w:szCs w:val="21"/>
          <w:color w:val="auto"/>
        </w:rPr>
        <w:t xml:space="preserve"> or BBSY Rate Loan, the last day of the Interest</w:t>
      </w:r>
    </w:p>
    <w:p>
      <w:pPr>
        <w:sectPr>
          <w:pgSz w:w="11900" w:h="16838" w:orient="portrait"/>
          <w:cols w:equalWidth="0" w:num="1">
            <w:col w:w="11240"/>
          </w:cols>
          <w:pgMar w:left="320" w:top="1380"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21"/>
          <w:szCs w:val="21"/>
          <w:color w:val="auto"/>
        </w:rPr>
        <w:t>Period applicable to the Borrowing of which such Loan is a part and the earlier of the Maturity Date and the date on which the applicable Commitment shall expire or be terminated as provided herein, and in the case of a SOFR Borrowing</w:t>
      </w:r>
      <w:r>
        <w:rPr>
          <w:rFonts w:ascii="Times New Roman" w:cs="Times New Roman" w:eastAsia="Times New Roman" w:hAnsi="Times New Roman"/>
          <w:sz w:val="21"/>
          <w:szCs w:val="21"/>
          <w:u w:val="single" w:color="auto"/>
          <w:color w:val="0000FF"/>
          <w:highlight w:val="lightGray"/>
        </w:rPr>
        <w:t>, Term CORRA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Borrowing</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or BBSY Rate Borrowing with an Interest Period of more than three months’ duration, each day that would have been an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Interest Payment Date had successive Interest Periods of three months’ duration been applicable to such Borrowing.</w:t>
      </w:r>
    </w:p>
    <w:p>
      <w:pPr>
        <w:spacing w:after="0" w:line="163" w:lineRule="exact"/>
        <w:rPr>
          <w:sz w:val="20"/>
          <w:szCs w:val="20"/>
          <w:color w:val="auto"/>
        </w:rPr>
      </w:pPr>
    </w:p>
    <w:p>
      <w:pPr>
        <w:jc w:val="both"/>
        <w:ind w:firstLine="632"/>
        <w:spacing w:after="0" w:line="250" w:lineRule="auto"/>
        <w:tabs>
          <w:tab w:leader="none" w:pos="124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Period</w:t>
      </w:r>
      <w:r>
        <w:rPr>
          <w:rFonts w:ascii="Times New Roman" w:cs="Times New Roman" w:eastAsia="Times New Roman" w:hAnsi="Times New Roman"/>
          <w:sz w:val="21"/>
          <w:szCs w:val="21"/>
          <w:color w:val="auto"/>
        </w:rPr>
        <w:t xml:space="preserve">” shall mean, </w:t>
      </w:r>
      <w:r>
        <w:rPr>
          <w:rFonts w:ascii="Times New Roman" w:cs="Times New Roman" w:eastAsia="Times New Roman" w:hAnsi="Times New Roman"/>
          <w:sz w:val="21"/>
          <w:szCs w:val="21"/>
          <w:u w:val="single" w:color="auto"/>
          <w:color w:val="0000FF"/>
          <w:highlight w:val="lightGray"/>
        </w:rPr>
        <w:t>(i)</w:t>
      </w:r>
      <w:r>
        <w:rPr>
          <w:rFonts w:ascii="Times New Roman" w:cs="Times New Roman" w:eastAsia="Times New Roman" w:hAnsi="Times New Roman"/>
          <w:sz w:val="21"/>
          <w:szCs w:val="21"/>
          <w:color w:val="auto"/>
        </w:rPr>
        <w:t xml:space="preserve"> with respect to any SOFR Loan or BBSY Rate Borrowing, the period commencing on the date of such Borrowing and ending on the numerically corresponding day (or, if there is no numerically corresponding day, on the last day) in the calendar month that is 1, 3 or 6 months thereafter (or a shorter period, in each case if requested by the Applicable Borrower and consented to by all Applicable Lenders (including consent by verbal or electronic communication (e-mail)),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Lender that has not responded to such request within three Business Days shall be deemed to have consented), as a Borrower may elect </w:t>
      </w:r>
      <w:r>
        <w:rPr>
          <w:rFonts w:ascii="Times New Roman" w:cs="Times New Roman" w:eastAsia="Times New Roman" w:hAnsi="Times New Roman"/>
          <w:sz w:val="21"/>
          <w:szCs w:val="21"/>
          <w:color w:val="0000FF"/>
        </w:rPr>
        <w:t>and (ii) with respect to each Term CORRA Loan, the initial period (subject to availability) of one (1) month, three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months or such other period as the Canadian Administrative Agent and the Canadian Lenders permit commencing on and including the date specified in the Borrowing Request or Conversion/Continuation Notice is made, as the case may be, applicable to such Term CORRA Loan and ending on the last day of such initial period, and thereafter, each successive period (subject to availability) of approximately one (1) month or three (3) months or such other permitted period as selected by the Applicable Borrower and notified to the Canadian Administrative Agent in writing commencing on and including the last day of the prior Interest Period</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i w:val="1"/>
          <w:iCs w:val="1"/>
          <w:color w:val="000000"/>
        </w:rPr>
        <w:t>however</w:t>
      </w:r>
      <w:r>
        <w:rPr>
          <w:rFonts w:ascii="Times New Roman" w:cs="Times New Roman" w:eastAsia="Times New Roman" w:hAnsi="Times New Roman"/>
          <w:sz w:val="21"/>
          <w:szCs w:val="21"/>
          <w:color w:val="000000"/>
        </w:rPr>
        <w:t>, that if any Interest Period would end on a day other than a Business Day, such Interest Period shall be extended to the next</w:t>
      </w:r>
      <w:r>
        <w:rPr>
          <w:rFonts w:ascii="Times New Roman" w:cs="Times New Roman" w:eastAsia="Times New Roman" w:hAnsi="Times New Roman"/>
          <w:sz w:val="21"/>
          <w:szCs w:val="21"/>
          <w:i w:val="1"/>
          <w:iCs w:val="1"/>
          <w:color w:val="000000"/>
        </w:rPr>
        <w:t xml:space="preserve"> </w:t>
      </w:r>
      <w:r>
        <w:rPr>
          <w:rFonts w:ascii="Times New Roman" w:cs="Times New Roman" w:eastAsia="Times New Roman" w:hAnsi="Times New Roman"/>
          <w:sz w:val="21"/>
          <w:szCs w:val="21"/>
          <w:color w:val="000000"/>
        </w:rPr>
        <w:t>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and no tenor that has been removed from this definition pursuant to Section 2.26 shall be available for specification in a Borrowing Request or interest election.</w:t>
      </w:r>
    </w:p>
    <w:p>
      <w:pPr>
        <w:spacing w:after="0" w:line="189"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Interpolated Term SOFR</w:t>
      </w:r>
      <w:r>
        <w:rPr>
          <w:rFonts w:ascii="Times New Roman" w:cs="Times New Roman" w:eastAsia="Times New Roman" w:hAnsi="Times New Roman"/>
          <w:sz w:val="21"/>
          <w:szCs w:val="21"/>
          <w:color w:val="auto"/>
        </w:rPr>
        <w:t>” means, for purposes of any calculation of Term SOFR for a SOFR Loan, the rate which results from interpolating on a linear basis between:</w:t>
      </w:r>
    </w:p>
    <w:p>
      <w:pPr>
        <w:spacing w:after="0" w:line="159" w:lineRule="exact"/>
        <w:rPr>
          <w:rFonts w:ascii="Times New Roman" w:cs="Times New Roman" w:eastAsia="Times New Roman" w:hAnsi="Times New Roman"/>
          <w:sz w:val="21"/>
          <w:szCs w:val="21"/>
          <w:color w:val="auto"/>
        </w:rPr>
      </w:pPr>
    </w:p>
    <w:p>
      <w:pPr>
        <w:jc w:val="both"/>
        <w:ind w:firstLine="632"/>
        <w:spacing w:after="0" w:line="256" w:lineRule="auto"/>
        <w:tabs>
          <w:tab w:leader="none" w:pos="124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 for any Interest Period for a duration longer than one-month (other than three-months, sixth-months or twelve-months), the most recent applicable Term SOFR (determined pursuant to clause (a) of the definition thereof) for the longest period (for which Term SOFR is available) which is less than the Interest Period of that Loan and (ii) for any Interest Period of for a duration of less than one-month, SOFR as of such date of determination;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-3291840</wp:posOffset>
            </wp:positionV>
            <wp:extent cx="6609080" cy="140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609080" cy="14097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82" w:name="page83"/>
    <w:bookmarkEnd w:id="82"/>
    <w:p>
      <w:pPr>
        <w:ind w:firstLine="632"/>
        <w:spacing w:after="0" w:line="277" w:lineRule="auto"/>
        <w:tabs>
          <w:tab w:leader="none" w:pos="124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the most recent applicable Term SOFR (determined pursuant to clause (a) of the definition thereof) for the shortest period (for which Term SOFR is available) which is greater than the Interest Period of that Loan.</w:t>
      </w:r>
    </w:p>
    <w:p>
      <w:pPr>
        <w:spacing w:after="0" w:line="146"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Investment</w:t>
      </w:r>
      <w:r>
        <w:rPr>
          <w:rFonts w:ascii="Times New Roman" w:cs="Times New Roman" w:eastAsia="Times New Roman" w:hAnsi="Times New Roman"/>
          <w:sz w:val="21"/>
          <w:szCs w:val="21"/>
          <w:color w:val="auto"/>
        </w:rPr>
        <w:t>” shall have the meaning assigned to such term in Section 6.04.</w:t>
      </w:r>
    </w:p>
    <w:p>
      <w:pPr>
        <w:spacing w:after="0" w:line="228"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IRS</w:t>
      </w:r>
      <w:r>
        <w:rPr>
          <w:rFonts w:ascii="Times New Roman" w:cs="Times New Roman" w:eastAsia="Times New Roman" w:hAnsi="Times New Roman"/>
          <w:sz w:val="21"/>
          <w:szCs w:val="21"/>
          <w:color w:val="auto"/>
        </w:rPr>
        <w:t>” shall mean the United States Internal Revenue Service.</w:t>
      </w:r>
    </w:p>
    <w:p>
      <w:pPr>
        <w:spacing w:after="0" w:line="215" w:lineRule="exact"/>
        <w:rPr>
          <w:rFonts w:ascii="Times New Roman" w:cs="Times New Roman" w:eastAsia="Times New Roman" w:hAnsi="Times New Roman"/>
          <w:sz w:val="21"/>
          <w:szCs w:val="21"/>
          <w:color w:val="auto"/>
        </w:rPr>
      </w:pPr>
    </w:p>
    <w:p>
      <w:pPr>
        <w:jc w:val="both"/>
        <w:ind w:firstLine="632"/>
        <w:spacing w:after="0" w:line="259" w:lineRule="auto"/>
        <w:tabs>
          <w:tab w:leader="none" w:pos="124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Issuing Bank</w:t>
      </w:r>
      <w:r>
        <w:rPr>
          <w:rFonts w:ascii="Times New Roman" w:cs="Times New Roman" w:eastAsia="Times New Roman" w:hAnsi="Times New Roman"/>
          <w:sz w:val="21"/>
          <w:szCs w:val="21"/>
          <w:color w:val="auto"/>
        </w:rPr>
        <w:t>” shall mean, as the context may require, (a) RBC, with respect to Letters of Credit issued by it, (b) RBC Europe, with respect to Letters of Credit issued by it, (c) The Toronto Dominion Bank, with respect to Letters of Credit issued by it,</w:t>
      </w:r>
    </w:p>
    <w:p>
      <w:pPr>
        <w:spacing w:after="0" w:line="1" w:lineRule="exact"/>
        <w:rPr>
          <w:rFonts w:ascii="Times New Roman" w:cs="Times New Roman" w:eastAsia="Times New Roman" w:hAnsi="Times New Roman"/>
          <w:sz w:val="21"/>
          <w:szCs w:val="21"/>
          <w:color w:val="auto"/>
        </w:rPr>
      </w:pPr>
    </w:p>
    <w:p>
      <w:pPr>
        <w:jc w:val="both"/>
        <w:ind w:firstLine="5"/>
        <w:spacing w:after="0" w:line="251" w:lineRule="auto"/>
        <w:tabs>
          <w:tab w:leader="none" w:pos="29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Rolled Letter of Credit, the Lender that issued such Rolled Letter of Credit and (e) any other Lender that may become an Issuing Bank pursuant to Section 2.21(j) or (l) with respect to Letters of Credit issued by such Lender, or (f) collectively, all the foregoing.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Issuing Bank Fees</w:t>
      </w:r>
      <w:r>
        <w:rPr>
          <w:rFonts w:ascii="Times New Roman" w:cs="Times New Roman" w:eastAsia="Times New Roman" w:hAnsi="Times New Roman"/>
          <w:sz w:val="21"/>
          <w:szCs w:val="21"/>
          <w:color w:val="auto"/>
        </w:rPr>
        <w:t>” shall have the meaning assigned to such term in Section 2.05(c).</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ITA</w:t>
      </w:r>
      <w:r>
        <w:rPr>
          <w:rFonts w:ascii="Times New Roman" w:cs="Times New Roman" w:eastAsia="Times New Roman" w:hAnsi="Times New Roman"/>
          <w:sz w:val="21"/>
          <w:szCs w:val="21"/>
          <w:color w:val="auto"/>
        </w:rPr>
        <w:t xml:space="preserve">” shall mean the </w:t>
      </w:r>
      <w:r>
        <w:rPr>
          <w:rFonts w:ascii="Times New Roman" w:cs="Times New Roman" w:eastAsia="Times New Roman" w:hAnsi="Times New Roman"/>
          <w:sz w:val="21"/>
          <w:szCs w:val="21"/>
          <w:i w:val="1"/>
          <w:iCs w:val="1"/>
          <w:color w:val="auto"/>
        </w:rPr>
        <w:t>Income Tax Act</w:t>
      </w:r>
      <w:r>
        <w:rPr>
          <w:rFonts w:ascii="Times New Roman" w:cs="Times New Roman" w:eastAsia="Times New Roman" w:hAnsi="Times New Roman"/>
          <w:sz w:val="21"/>
          <w:szCs w:val="21"/>
          <w:color w:val="auto"/>
        </w:rPr>
        <w:t xml:space="preserve"> (Canada), as amended, and any successor thereto, and any regulations promulgated thereunder.</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Judgment Currency</w:t>
      </w:r>
      <w:r>
        <w:rPr>
          <w:rFonts w:ascii="Times New Roman" w:cs="Times New Roman" w:eastAsia="Times New Roman" w:hAnsi="Times New Roman"/>
          <w:sz w:val="21"/>
          <w:szCs w:val="21"/>
          <w:color w:val="auto"/>
        </w:rPr>
        <w:t>” shall have the meaning assigned to such term in Section 9.17.</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Judgment Currency Conversion Date</w:t>
      </w:r>
      <w:r>
        <w:rPr>
          <w:rFonts w:ascii="Times New Roman" w:cs="Times New Roman" w:eastAsia="Times New Roman" w:hAnsi="Times New Roman"/>
          <w:sz w:val="21"/>
          <w:szCs w:val="21"/>
          <w:color w:val="auto"/>
        </w:rPr>
        <w:t>” shall have the meaning assigned to such term in Section 9.17.</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Cash Collateral Account</w:t>
      </w:r>
      <w:r>
        <w:rPr>
          <w:rFonts w:ascii="Times New Roman" w:cs="Times New Roman" w:eastAsia="Times New Roman" w:hAnsi="Times New Roman"/>
          <w:sz w:val="21"/>
          <w:szCs w:val="21"/>
          <w:color w:val="auto"/>
        </w:rPr>
        <w:t>” shall have the meaning assigned to such term in Section 2.21(k).</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Commitment</w:t>
      </w:r>
      <w:r>
        <w:rPr>
          <w:rFonts w:ascii="Times New Roman" w:cs="Times New Roman" w:eastAsia="Times New Roman" w:hAnsi="Times New Roman"/>
          <w:sz w:val="21"/>
          <w:szCs w:val="21"/>
          <w:color w:val="auto"/>
        </w:rPr>
        <w:t>” shall mean the commitment of each Issuing Bank to issue Letters of Credit pursuant to</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2.21.</w:t>
      </w:r>
    </w:p>
    <w:p>
      <w:pPr>
        <w:spacing w:after="0" w:line="202"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Disbursement</w:t>
      </w:r>
      <w:r>
        <w:rPr>
          <w:rFonts w:ascii="Times New Roman" w:cs="Times New Roman" w:eastAsia="Times New Roman" w:hAnsi="Times New Roman"/>
          <w:sz w:val="21"/>
          <w:szCs w:val="21"/>
          <w:color w:val="auto"/>
        </w:rPr>
        <w:t>” shall mean a payment or disbursement made by an Issuing Bank pursuant to a Letter of Credit.</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Exposure</w:t>
      </w:r>
      <w:r>
        <w:rPr>
          <w:rFonts w:ascii="Times New Roman" w:cs="Times New Roman" w:eastAsia="Times New Roman" w:hAnsi="Times New Roman"/>
          <w:sz w:val="21"/>
          <w:szCs w:val="21"/>
          <w:color w:val="auto"/>
        </w:rPr>
        <w:t>” shall mean Australian L/C Exposure, Canadian L/C Exposure or U.S. L/C Exposure, as applicable.</w:t>
      </w:r>
    </w:p>
    <w:p>
      <w:pPr>
        <w:spacing w:after="0" w:line="215"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Issuance Limit</w:t>
      </w:r>
      <w:r>
        <w:rPr>
          <w:rFonts w:ascii="Times New Roman" w:cs="Times New Roman" w:eastAsia="Times New Roman" w:hAnsi="Times New Roman"/>
          <w:sz w:val="21"/>
          <w:szCs w:val="21"/>
          <w:color w:val="auto"/>
        </w:rPr>
        <w:t>” shall mean, with respect to each Applicable Issuing Bank, the amount set forth on Schedule 2.21 opposite such Applicable Issuing Bank’s name, or in the case of any Lender that becomes an Applicable Issuing Bank after the Closing Date the amount set forth in the agreement executed by such Lender as contemplated by Section 2.21(l).</w:t>
      </w:r>
    </w:p>
    <w:p>
      <w:pPr>
        <w:sectPr>
          <w:pgSz w:w="11900" w:h="16838" w:orient="portrait"/>
          <w:cols w:equalWidth="0" w:num="1">
            <w:col w:w="11240"/>
          </w:cols>
          <w:pgMar w:left="320" w:top="1380" w:right="339" w:bottom="1440" w:gutter="0" w:footer="0" w:header="0"/>
        </w:sectPr>
      </w:pPr>
    </w:p>
    <w:bookmarkStart w:id="83" w:name="page84"/>
    <w:bookmarkEnd w:id="83"/>
    <w:p>
      <w:pPr>
        <w:ind w:left="628" w:hanging="628"/>
        <w:spacing w:after="0"/>
        <w:tabs>
          <w:tab w:leader="none" w:pos="62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Participation Fee</w:t>
      </w:r>
      <w:r>
        <w:rPr>
          <w:rFonts w:ascii="Times New Roman" w:cs="Times New Roman" w:eastAsia="Times New Roman" w:hAnsi="Times New Roman"/>
          <w:sz w:val="21"/>
          <w:szCs w:val="21"/>
          <w:color w:val="auto"/>
        </w:rPr>
        <w:t>” shall have the meaning assigned to such term in Section 2.05(c).</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Lead Arranger</w:t>
      </w:r>
      <w:r>
        <w:rPr>
          <w:rFonts w:ascii="Times New Roman" w:cs="Times New Roman" w:eastAsia="Times New Roman" w:hAnsi="Times New Roman"/>
          <w:sz w:val="21"/>
          <w:szCs w:val="21"/>
          <w:color w:val="auto"/>
        </w:rPr>
        <w:t>” shall, collectively, mean RBC Capital Markets, HSBC Bank Canada and Bank of Montreal.</w:t>
      </w:r>
    </w:p>
    <w:p>
      <w:pPr>
        <w:spacing w:after="0" w:line="215" w:lineRule="exact"/>
        <w:rPr>
          <w:rFonts w:ascii="Times New Roman" w:cs="Times New Roman" w:eastAsia="Times New Roman" w:hAnsi="Times New Roman"/>
          <w:sz w:val="21"/>
          <w:szCs w:val="21"/>
          <w:color w:val="auto"/>
        </w:rPr>
      </w:pPr>
    </w:p>
    <w:p>
      <w:pPr>
        <w:ind w:left="-632" w:firstLine="632"/>
        <w:spacing w:after="0" w:line="292"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Lender Joinder Agreement</w:t>
      </w:r>
      <w:r>
        <w:rPr>
          <w:rFonts w:ascii="Times New Roman" w:cs="Times New Roman" w:eastAsia="Times New Roman" w:hAnsi="Times New Roman"/>
          <w:sz w:val="21"/>
          <w:szCs w:val="21"/>
          <w:color w:val="auto"/>
        </w:rPr>
        <w:t>” shall mean a joinder agreement in form and substance reasonably satisfactory to the Applicable Administrative Agent delivered in connection with Section 2.25.</w:t>
      </w:r>
    </w:p>
    <w:p>
      <w:pPr>
        <w:spacing w:after="0" w:line="131"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shall mean (a) the persons listed on Schedule 2.01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60"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 of Credit</w:t>
      </w:r>
      <w:r>
        <w:rPr>
          <w:rFonts w:ascii="Times New Roman" w:cs="Times New Roman" w:eastAsia="Times New Roman" w:hAnsi="Times New Roman"/>
          <w:sz w:val="21"/>
          <w:szCs w:val="21"/>
          <w:color w:val="auto"/>
        </w:rPr>
        <w:t>” shall mean any standby or commercial letter of credit issued (or, in the case of a Rolled Letter of Credit, deemed issued) pursuant to Section 2.21. A Letter of Credit shall be a “U.S. Letter of Credit” if issued under the U.S. Revolving Credit Facility, a “Canadian Letter of Credit” if issued under the Canadian Revolving Credit Facility and an “Australian Letter of Credit” issued under the Australian Revolving Credit Facility; provided that no commercial letter of credit shall be issued under the Australian Revolving Credit Facility.</w:t>
      </w:r>
    </w:p>
    <w:p>
      <w:pPr>
        <w:spacing w:after="0" w:line="16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 of Credit Application</w:t>
      </w:r>
      <w:r>
        <w:rPr>
          <w:rFonts w:ascii="Times New Roman" w:cs="Times New Roman" w:eastAsia="Times New Roman" w:hAnsi="Times New Roman"/>
          <w:sz w:val="21"/>
          <w:szCs w:val="21"/>
          <w:color w:val="auto"/>
        </w:rPr>
        <w:t>” shall mean an application and agreement for the issuance, amendment or extension of a Letter of Credit in the form from time to time in use by an Issuing Bank.</w:t>
      </w:r>
    </w:p>
    <w:p>
      <w:pPr>
        <w:spacing w:after="0" w:line="157"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 of Credit Documents</w:t>
      </w:r>
      <w:r>
        <w:rPr>
          <w:rFonts w:ascii="Times New Roman" w:cs="Times New Roman" w:eastAsia="Times New Roman" w:hAnsi="Times New Roman"/>
          <w:sz w:val="21"/>
          <w:szCs w:val="21"/>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160" w:lineRule="exact"/>
        <w:rPr>
          <w:rFonts w:ascii="Times New Roman" w:cs="Times New Roman" w:eastAsia="Times New Roman" w:hAnsi="Times New Roman"/>
          <w:sz w:val="21"/>
          <w:szCs w:val="21"/>
          <w:color w:val="auto"/>
        </w:rPr>
      </w:pPr>
    </w:p>
    <w:p>
      <w:pPr>
        <w:jc w:val="both"/>
        <w:ind w:left="-632" w:firstLine="632"/>
        <w:spacing w:after="0" w:line="254"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Lien</w:t>
      </w:r>
      <w:r>
        <w:rPr>
          <w:rFonts w:ascii="Times New Roman" w:cs="Times New Roman" w:eastAsia="Times New Roman" w:hAnsi="Times New Roman"/>
          <w:sz w:val="21"/>
          <w:szCs w:val="21"/>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184" w:lineRule="exact"/>
        <w:rPr>
          <w:rFonts w:ascii="Times New Roman" w:cs="Times New Roman" w:eastAsia="Times New Roman" w:hAnsi="Times New Roman"/>
          <w:sz w:val="21"/>
          <w:szCs w:val="21"/>
          <w:color w:val="auto"/>
        </w:rPr>
      </w:pPr>
    </w:p>
    <w:p>
      <w:pPr>
        <w:jc w:val="both"/>
        <w:ind w:left="-632" w:firstLine="632"/>
        <w:spacing w:after="0" w:line="254" w:lineRule="auto"/>
        <w:tabs>
          <w:tab w:leader="none" w:pos="6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Loan Documents</w:t>
      </w:r>
      <w:r>
        <w:rPr>
          <w:rFonts w:ascii="Times New Roman" w:cs="Times New Roman" w:eastAsia="Times New Roman" w:hAnsi="Times New Roman"/>
          <w:sz w:val="21"/>
          <w:szCs w:val="21"/>
          <w:color w:val="auto"/>
        </w:rPr>
        <w:t>” shall mean, collectively, this Agreement, any Notes, if any, issued pursuant to Section 2.04</w:t>
      </w:r>
      <w:r>
        <w:rPr>
          <w:rFonts w:ascii="Times New Roman" w:cs="Times New Roman" w:eastAsia="Times New Roman" w:hAnsi="Times New Roman"/>
          <w:sz w:val="21"/>
          <w:szCs w:val="21"/>
          <w:color w:val="FF0000"/>
          <w:strike w:val="1"/>
        </w:rPr>
        <w:t>(h),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Discount Notes, if any, issued pursuant to Section 2.22</w:t>
      </w:r>
      <w:r>
        <w:rPr>
          <w:rFonts w:ascii="Times New Roman" w:cs="Times New Roman" w:eastAsia="Times New Roman" w:hAnsi="Times New Roman"/>
          <w:sz w:val="21"/>
          <w:szCs w:val="21"/>
          <w:color w:val="000000"/>
        </w:rPr>
        <w:t>(h), the Guarantee Agreements, the Security Documents, the Letter of Credit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Documents, the Fee Letter, a Customary Junior Lien Intercreditor Agreement, if any, and each other certificate, agreement, instrument or other document executed and delivered, in each case, by or on behalf of any Loan Party pursuant to the foregoing;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000000"/>
        </w:rPr>
        <w:t>however</w:t>
      </w:r>
      <w:r>
        <w:rPr>
          <w:rFonts w:ascii="Times New Roman" w:cs="Times New Roman" w:eastAsia="Times New Roman" w:hAnsi="Times New Roman"/>
          <w:sz w:val="21"/>
          <w:szCs w:val="21"/>
          <w:color w:val="000000"/>
        </w:rPr>
        <w:t>, that for purposes of Section 9.08,</w:t>
      </w:r>
    </w:p>
    <w:p>
      <w:pPr>
        <w:sectPr>
          <w:pgSz w:w="11900" w:h="16838" w:orient="portrait"/>
          <w:cols w:equalWidth="0" w:num="1">
            <w:col w:w="10608"/>
          </w:cols>
          <w:pgMar w:left="952" w:top="1378" w:right="339" w:bottom="1440" w:gutter="0" w:footer="0" w:header="0"/>
        </w:sectPr>
      </w:pPr>
    </w:p>
    <w:bookmarkStart w:id="84" w:name="page85"/>
    <w:bookmarkEnd w:id="84"/>
    <w:p>
      <w:pPr>
        <w:spacing w:after="0" w:line="277" w:lineRule="auto"/>
        <w:rPr>
          <w:sz w:val="20"/>
          <w:szCs w:val="20"/>
          <w:color w:val="auto"/>
        </w:rPr>
      </w:pPr>
      <w:r>
        <w:rPr>
          <w:rFonts w:ascii="Times New Roman" w:cs="Times New Roman" w:eastAsia="Times New Roman" w:hAnsi="Times New Roman"/>
          <w:sz w:val="21"/>
          <w:szCs w:val="21"/>
          <w:color w:val="auto"/>
        </w:rPr>
        <w:t>“Loan Documents” shall mean this Agreement, the Guarantee Agreements, the Security Documents and a Customary Junior Lien Intercreditor Agreement, if any.</w:t>
      </w:r>
    </w:p>
    <w:p>
      <w:pPr>
        <w:spacing w:after="0" w:line="146" w:lineRule="exact"/>
        <w:rPr>
          <w:sz w:val="20"/>
          <w:szCs w:val="20"/>
          <w:color w:val="auto"/>
        </w:rPr>
      </w:pPr>
    </w:p>
    <w:p>
      <w:pPr>
        <w:ind w:left="1260" w:hanging="628"/>
        <w:spacing w:after="0"/>
        <w:tabs>
          <w:tab w:leader="none" w:pos="126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Loan Parties</w:t>
      </w:r>
      <w:r>
        <w:rPr>
          <w:rFonts w:ascii="Times New Roman" w:cs="Times New Roman" w:eastAsia="Times New Roman" w:hAnsi="Times New Roman"/>
          <w:sz w:val="21"/>
          <w:szCs w:val="21"/>
          <w:color w:val="auto"/>
        </w:rPr>
        <w:t>” shall mean the Borrowers and the Guarantors.</w:t>
      </w:r>
    </w:p>
    <w:p>
      <w:pPr>
        <w:spacing w:after="0" w:line="228"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Loans</w:t>
      </w:r>
      <w:r>
        <w:rPr>
          <w:rFonts w:ascii="Times New Roman" w:cs="Times New Roman" w:eastAsia="Times New Roman" w:hAnsi="Times New Roman"/>
          <w:sz w:val="21"/>
          <w:szCs w:val="21"/>
          <w:color w:val="auto"/>
        </w:rPr>
        <w:t>” shall mean, collectively, the U.S. Loans, the Canadian Revolving Credit Loans, the Canadian Term Loans, the Australian Revolving Credit Loans and the Swing Line Loans.</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Margin Stock</w:t>
      </w:r>
      <w:r>
        <w:rPr>
          <w:rFonts w:ascii="Times New Roman" w:cs="Times New Roman" w:eastAsia="Times New Roman" w:hAnsi="Times New Roman"/>
          <w:sz w:val="21"/>
          <w:szCs w:val="21"/>
          <w:color w:val="auto"/>
        </w:rPr>
        <w:t>” shall have the meaning assigned to such term in Regulation U.</w:t>
      </w:r>
    </w:p>
    <w:p>
      <w:pPr>
        <w:spacing w:after="0" w:line="215" w:lineRule="exact"/>
        <w:rPr>
          <w:rFonts w:ascii="Times New Roman" w:cs="Times New Roman" w:eastAsia="Times New Roman" w:hAnsi="Times New Roman"/>
          <w:sz w:val="21"/>
          <w:szCs w:val="21"/>
          <w:color w:val="auto"/>
        </w:rPr>
      </w:pPr>
    </w:p>
    <w:p>
      <w:pPr>
        <w:jc w:val="both"/>
        <w:ind w:firstLine="632"/>
        <w:spacing w:after="0" w:line="259" w:lineRule="auto"/>
        <w:tabs>
          <w:tab w:leader="none" w:pos="1249"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Adverse Effect</w:t>
      </w:r>
      <w:r>
        <w:rPr>
          <w:rFonts w:ascii="Times New Roman" w:cs="Times New Roman" w:eastAsia="Times New Roman" w:hAnsi="Times New Roman"/>
          <w:sz w:val="21"/>
          <w:szCs w:val="21"/>
          <w:color w:val="auto"/>
        </w:rPr>
        <w:t>” shall mean (a) a materially adverse effect on the business, assets, operations or condition (financial or otherwise) of the Parent Borrower and its subsidiaries, taken as a whole, (b) material impairment of the ability of any Borrower or any other Loan Party to perform any of its obligations under any Loan Document to which it is or will be a party or</w:t>
      </w:r>
    </w:p>
    <w:p>
      <w:pPr>
        <w:spacing w:after="0" w:line="2" w:lineRule="exact"/>
        <w:rPr>
          <w:rFonts w:ascii="Times New Roman" w:cs="Times New Roman" w:eastAsia="Times New Roman" w:hAnsi="Times New Roman"/>
          <w:sz w:val="21"/>
          <w:szCs w:val="21"/>
          <w:color w:val="auto"/>
        </w:rPr>
      </w:pPr>
    </w:p>
    <w:p>
      <w:pPr>
        <w:ind w:left="280" w:hanging="275"/>
        <w:spacing w:after="0"/>
        <w:tabs>
          <w:tab w:leader="none" w:pos="2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impairment of the rights of or benefits available to the Lenders and the Agents under any Loan Document.</w:t>
      </w:r>
    </w:p>
    <w:p>
      <w:pPr>
        <w:spacing w:after="0" w:line="189"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Indebtedness</w:t>
      </w:r>
      <w:r>
        <w:rPr>
          <w:rFonts w:ascii="Times New Roman" w:cs="Times New Roman" w:eastAsia="Times New Roman" w:hAnsi="Times New Roman"/>
          <w:sz w:val="21"/>
          <w:szCs w:val="21"/>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72" w:lineRule="exact"/>
        <w:rPr>
          <w:rFonts w:ascii="Times New Roman" w:cs="Times New Roman" w:eastAsia="Times New Roman" w:hAnsi="Times New Roman"/>
          <w:sz w:val="21"/>
          <w:szCs w:val="21"/>
          <w:color w:val="auto"/>
        </w:rPr>
      </w:pPr>
    </w:p>
    <w:p>
      <w:pPr>
        <w:jc w:val="both"/>
        <w:ind w:firstLine="632"/>
        <w:spacing w:after="0" w:line="252" w:lineRule="auto"/>
        <w:tabs>
          <w:tab w:leader="none" w:pos="1249"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Subsidiary</w:t>
      </w:r>
      <w:r>
        <w:rPr>
          <w:rFonts w:ascii="Times New Roman" w:cs="Times New Roman" w:eastAsia="Times New Roman" w:hAnsi="Times New Roman"/>
          <w:sz w:val="21"/>
          <w:szCs w:val="21"/>
          <w:color w:val="auto"/>
        </w:rPr>
        <w:t xml:space="preserve">” shall mean any Subsidiary (other than an Excluded Subsidiary) of the Parent Borrower that, as of the most recent date for which financial statements required to be delivered pursuant to Sections 5.04(a) or (b) are available, has either (a) net tangible assets (excluding assets that are eliminated in the calculation of consolidated net tangible assets of the Parent Borrower and its subsidiaries) that constitute more than 5% of the consolidated net tangible assets of the Parent Borrower and its subsidiaries or (b) EBITDA greater than 5% of the total EBITDA of the Parent Borrower and its subsidiaries on consolidated basis;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(i) the combined net tangible assets of the Subsidiaries that are not considered to be Material Subsidiaries (referred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herein as the “</w:t>
      </w:r>
      <w:r>
        <w:rPr>
          <w:rFonts w:ascii="Times New Roman" w:cs="Times New Roman" w:eastAsia="Times New Roman" w:hAnsi="Times New Roman"/>
          <w:sz w:val="21"/>
          <w:szCs w:val="21"/>
          <w:i w:val="1"/>
          <w:iCs w:val="1"/>
          <w:color w:val="auto"/>
        </w:rPr>
        <w:t>Immaterial Subsidiaries</w:t>
      </w:r>
      <w:r>
        <w:rPr>
          <w:rFonts w:ascii="Times New Roman" w:cs="Times New Roman" w:eastAsia="Times New Roman" w:hAnsi="Times New Roman"/>
          <w:sz w:val="21"/>
          <w:szCs w:val="21"/>
          <w:color w:val="auto"/>
        </w:rPr>
        <w:t>”) exceeds 15% of consolidated net tangible assets of the Parent Borrower and its subsidiaries, or (ii) the combined EBITDA of the Immaterial Subsidiaries exceeds 15% of the total EBITDA of the Parent Borrower and its subsidiaries on consolidated basis, then one or more of such Immaterial Subsidiaries shall be deemed to be Material Subsidiaries in descending order based on the respective percentage of consolidated net tangible assets or percentage of the total EBITDA of the Parent Borrower and its subsidiaries on consolidated basis until such excess shall have been eliminated. Each Material Subsidiary listed on Schedules 1.01(b), 1.01(c) and 1.01(d) is a Guarantor as of the Closing Date.</w:t>
      </w:r>
    </w:p>
    <w:p>
      <w:pPr>
        <w:spacing w:after="0" w:line="172"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Maturity Date</w:t>
      </w:r>
      <w:r>
        <w:rPr>
          <w:rFonts w:ascii="Times New Roman" w:cs="Times New Roman" w:eastAsia="Times New Roman" w:hAnsi="Times New Roman"/>
          <w:sz w:val="21"/>
          <w:szCs w:val="21"/>
          <w:color w:val="auto"/>
        </w:rPr>
        <w:t>” shall mean September 8, 2025.</w:t>
      </w:r>
    </w:p>
    <w:p>
      <w:pPr>
        <w:sectPr>
          <w:pgSz w:w="11900" w:h="16838" w:orient="portrait"/>
          <w:cols w:equalWidth="0" w:num="1">
            <w:col w:w="11240"/>
          </w:cols>
          <w:pgMar w:left="320" w:top="1380" w:right="339" w:bottom="1440" w:gutter="0" w:footer="0" w:header="0"/>
        </w:sectPr>
      </w:pPr>
    </w:p>
    <w:bookmarkStart w:id="85" w:name="page86"/>
    <w:bookmarkEnd w:id="85"/>
    <w:p>
      <w:pPr>
        <w:ind w:left="628" w:hanging="628"/>
        <w:spacing w:after="0"/>
        <w:tabs>
          <w:tab w:leader="none" w:pos="6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Maximum Rate</w:t>
      </w:r>
      <w:r>
        <w:rPr>
          <w:rFonts w:ascii="Times New Roman" w:cs="Times New Roman" w:eastAsia="Times New Roman" w:hAnsi="Times New Roman"/>
          <w:sz w:val="21"/>
          <w:szCs w:val="21"/>
          <w:color w:val="auto"/>
        </w:rPr>
        <w:t>” shall have the meaning assigned to such term in Section 9.09.</w:t>
      </w:r>
    </w:p>
    <w:p>
      <w:pPr>
        <w:spacing w:after="0" w:line="21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Moody’s</w:t>
      </w:r>
      <w:r>
        <w:rPr>
          <w:rFonts w:ascii="Times New Roman" w:cs="Times New Roman" w:eastAsia="Times New Roman" w:hAnsi="Times New Roman"/>
          <w:sz w:val="21"/>
          <w:szCs w:val="21"/>
          <w:color w:val="auto"/>
        </w:rPr>
        <w:t>” shall mean Moody’s Investors Service, Inc. and any successor thereto which is a nationally recognized statistical rating organization.</w:t>
      </w:r>
    </w:p>
    <w:p>
      <w:pPr>
        <w:spacing w:after="0" w:line="157"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Multiemployer Plan</w:t>
      </w:r>
      <w:r>
        <w:rPr>
          <w:rFonts w:ascii="Times New Roman" w:cs="Times New Roman" w:eastAsia="Times New Roman" w:hAnsi="Times New Roman"/>
          <w:sz w:val="21"/>
          <w:szCs w:val="21"/>
          <w:color w:val="auto"/>
        </w:rPr>
        <w:t>” shall mean a multiemployer plan as defined in Section 4001(a)(3) of ERISA.</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51" w:lineRule="auto"/>
        <w:tabs>
          <w:tab w:leader="none" w:pos="67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Net Cash Proceeds</w:t>
      </w:r>
      <w:r>
        <w:rPr>
          <w:rFonts w:ascii="Times New Roman" w:cs="Times New Roman" w:eastAsia="Times New Roman" w:hAnsi="Times New Roman"/>
          <w:sz w:val="21"/>
          <w:szCs w:val="21"/>
          <w:color w:val="auto"/>
        </w:rPr>
        <w:t xml:space="preserve">” shall mean, as applicable, (a) with respect to any Asset Sale, the cash (which term, for purposes of this definition, shall include any Permitted Investments, deferred payment pursuant to, or by monetization of, a note receivable or otherwise, but only as and when received) proceeds received by the Parent Borrower or any of its Subsidiaries therefrom, less the sum of (i) all income taxes and other taxes payable (or reasonably estimated to be payable) to a Governmental Authority as a result of such transaction, (ii) all reasonable and customary out-of-pocket fees (including, without limitation, legal, accounting and advisory fees, and sales commissions) and expenses incurred in connection with such transaction or event, (iii) the principal amount of, premium or penalty, if any, and interest on any Indebtedness secured by a Lien on the asset (or a portion thereof) disposed of, which Indebtedness is required to be repaid in connection with such transaction or event (other than pursuant to Section 2.12), (iv) any amounts paid in respect of Hedging Agreement terminated as a result of the payment of Indebtedness under clause (iii), (v) all distributions and other payments required to be made to minority interest holders in Subsidiaries or joint ventures or to holders of royalty or similar interests as a result of such Asset Sale and (vi) the amount of any reserves established by the Parent Borrower or any of its subsidiaries in accordance with GAAP or other applicable accounting principles, to fund purchase price adjustments,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a Financial Officer);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such Net Cash Proceeds received by any Foreign Subsidiary may not be distributed as a cash dividend or a similar cash distribution to a Loan Party without the Parent Borrower and its Subsidiaries incurring adverse tax consequences, as reasonably determined by the Parent Borrower, such proceeds shall, so long as no Event of Default shall have occurred and be continuing at the time of the receipt thereof, not constitute “Net Cash Proceeds” and (b) with respect to any issuance or incurrence of Indebtedness, the cash proceeds thereof, net of all customary fees, commissions, costs and other expenses incurred in connection therewith and, in respect of any Indebtedness that is incurred to refinance or replace any existing Indebtedness, the amount thereof that is used to effect such refinancing or replacement.</w:t>
      </w:r>
    </w:p>
    <w:p>
      <w:pPr>
        <w:spacing w:after="0" w:line="172" w:lineRule="exact"/>
        <w:rPr>
          <w:rFonts w:ascii="Times New Roman" w:cs="Times New Roman" w:eastAsia="Times New Roman" w:hAnsi="Times New Roman"/>
          <w:sz w:val="21"/>
          <w:szCs w:val="21"/>
          <w:color w:val="auto"/>
        </w:rPr>
      </w:pPr>
    </w:p>
    <w:p>
      <w:pPr>
        <w:jc w:val="both"/>
        <w:ind w:left="-632" w:firstLine="632"/>
        <w:spacing w:after="0" w:line="257" w:lineRule="auto"/>
        <w:tabs>
          <w:tab w:leader="none" w:pos="61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Non-Consenting Lender</w:t>
      </w:r>
      <w:r>
        <w:rPr>
          <w:rFonts w:ascii="Times New Roman" w:cs="Times New Roman" w:eastAsia="Times New Roman" w:hAnsi="Times New Roman"/>
          <w:sz w:val="21"/>
          <w:szCs w:val="21"/>
          <w:color w:val="auto"/>
        </w:rPr>
        <w:t>”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w:t>
      </w:r>
    </w:p>
    <w:p>
      <w:pPr>
        <w:spacing w:after="0" w:line="167"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Non-Defaulting Lender</w:t>
      </w:r>
      <w:r>
        <w:rPr>
          <w:rFonts w:ascii="Times New Roman" w:cs="Times New Roman" w:eastAsia="Times New Roman" w:hAnsi="Times New Roman"/>
          <w:sz w:val="21"/>
          <w:szCs w:val="21"/>
          <w:color w:val="auto"/>
        </w:rPr>
        <w:t>” shall mean, at any time, each Lender that is not a Defaulting Lender at such time.</w:t>
      </w:r>
    </w:p>
    <w:p>
      <w:pPr>
        <w:sectPr>
          <w:pgSz w:w="11900" w:h="16838" w:orient="portrait"/>
          <w:cols w:equalWidth="0" w:num="1">
            <w:col w:w="10608"/>
          </w:cols>
          <w:pgMar w:left="952" w:top="1378" w:right="339" w:bottom="1440" w:gutter="0" w:footer="0" w:header="0"/>
        </w:sectPr>
      </w:pPr>
    </w:p>
    <w:bookmarkStart w:id="86" w:name="page87"/>
    <w:bookmarkEnd w:id="86"/>
    <w:p>
      <w:pPr>
        <w:ind w:left="1300" w:hanging="668"/>
        <w:spacing w:after="0"/>
        <w:tabs>
          <w:tab w:leader="none" w:pos="13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Note</w:t>
      </w:r>
      <w:r>
        <w:rPr>
          <w:rFonts w:ascii="Times New Roman" w:cs="Times New Roman" w:eastAsia="Times New Roman" w:hAnsi="Times New Roman"/>
          <w:sz w:val="21"/>
          <w:szCs w:val="21"/>
          <w:color w:val="auto"/>
        </w:rPr>
        <w:t>” shall have the meaning assigned to such term in Section 2.04(h).</w:t>
      </w:r>
    </w:p>
    <w:p>
      <w:pPr>
        <w:spacing w:after="0" w:line="215" w:lineRule="exact"/>
        <w:rPr>
          <w:rFonts w:ascii="Times New Roman" w:cs="Times New Roman" w:eastAsia="Times New Roman" w:hAnsi="Times New Roman"/>
          <w:sz w:val="21"/>
          <w:szCs w:val="21"/>
          <w:color w:val="auto"/>
        </w:rPr>
      </w:pPr>
    </w:p>
    <w:p>
      <w:pPr>
        <w:jc w:val="both"/>
        <w:ind w:firstLine="632"/>
        <w:spacing w:after="0" w:line="251" w:lineRule="auto"/>
        <w:tabs>
          <w:tab w:leader="none" w:pos="124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Obligations</w:t>
      </w:r>
      <w:r>
        <w:rPr>
          <w:rFonts w:ascii="Times New Roman" w:cs="Times New Roman" w:eastAsia="Times New Roman" w:hAnsi="Times New Roman"/>
          <w:sz w:val="21"/>
          <w:szCs w:val="21"/>
          <w:color w:val="auto"/>
        </w:rPr>
        <w:t>” shall mean (a) the due and punctual payment by each of the Loan Parties of (i)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Loan Parties under this Agreement or any other Loan Document in respect of any Letter of Credit, when and as due, including payments in respect of reimbursement of disbursements, interest thereon and obligations to provide cash collateral and (iii)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Secured Parties under this Agreement and the other Loan Documents, (b) the due and punctual performance of all covenants, agreements, obligations and liabilities of the Loan Parties under or pursuant to this Agreement and the other Loan Documents, (c) the due and punctual payment and performance of all obligations of the Loan Parties, monetary or otherwise, under each Hedging Agreement entered into with a counterparty that was a Lender (or an affiliate of a Lender) at the time such Hedging Agreement was entered into, (d) the due and punctual performance of all Banking Services Obligations provided to the Borrowers or any Subsidiary by any Lender or any Affiliate of a Lender and (e) the due and punctual payment and performance of all Bilateral Obligations. Notwithstanding anything to the contrary contained herein, “Obligations” shall not include the Excluded Swap Obligations.</w:t>
      </w:r>
    </w:p>
    <w:p>
      <w:pPr>
        <w:spacing w:after="0" w:line="180"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OFAC</w:t>
      </w:r>
      <w:r>
        <w:rPr>
          <w:rFonts w:ascii="Times New Roman" w:cs="Times New Roman" w:eastAsia="Times New Roman" w:hAnsi="Times New Roman"/>
          <w:sz w:val="21"/>
          <w:szCs w:val="21"/>
          <w:color w:val="auto"/>
        </w:rPr>
        <w:t>” shall mean the Office of Foreign Assets Control of the U.S. Department of the Treasury.</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Offshore Associate</w:t>
      </w:r>
      <w:r>
        <w:rPr>
          <w:rFonts w:ascii="Times New Roman" w:cs="Times New Roman" w:eastAsia="Times New Roman" w:hAnsi="Times New Roman"/>
          <w:sz w:val="21"/>
          <w:szCs w:val="21"/>
          <w:color w:val="auto"/>
        </w:rPr>
        <w:t>” shall mean an Associate:</w:t>
      </w:r>
    </w:p>
    <w:p>
      <w:pPr>
        <w:spacing w:after="0" w:line="230" w:lineRule="exact"/>
        <w:rPr>
          <w:rFonts w:ascii="Times New Roman" w:cs="Times New Roman" w:eastAsia="Times New Roman" w:hAnsi="Times New Roman"/>
          <w:sz w:val="21"/>
          <w:szCs w:val="21"/>
          <w:color w:val="auto"/>
        </w:rPr>
      </w:pPr>
    </w:p>
    <w:p>
      <w:pPr>
        <w:ind w:firstLine="1259"/>
        <w:spacing w:after="0" w:line="277" w:lineRule="auto"/>
        <w:tabs>
          <w:tab w:leader="none" w:pos="169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is a non-resident of Australia and does not become a Lender or receive a payment in carrying on a business in Australia at or through a permanent establishment of the Associate in Australia; or</w:t>
      </w:r>
    </w:p>
    <w:p>
      <w:pPr>
        <w:spacing w:after="0" w:line="148" w:lineRule="exact"/>
        <w:rPr>
          <w:rFonts w:ascii="Times New Roman" w:cs="Times New Roman" w:eastAsia="Times New Roman" w:hAnsi="Times New Roman"/>
          <w:sz w:val="21"/>
          <w:szCs w:val="21"/>
          <w:color w:val="auto"/>
        </w:rPr>
      </w:pPr>
    </w:p>
    <w:p>
      <w:pPr>
        <w:ind w:firstLine="1259"/>
        <w:spacing w:after="0" w:line="277" w:lineRule="auto"/>
        <w:tabs>
          <w:tab w:leader="none" w:pos="171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is a resident of Australia and which becomes a Lender or receives a payment in carrying on a business in a country outside Australia at or through a permanent establishment of the Associate in that country,</w:t>
      </w:r>
    </w:p>
    <w:p>
      <w:pPr>
        <w:spacing w:after="0" w:line="148" w:lineRule="exact"/>
        <w:rPr>
          <w:sz w:val="20"/>
          <w:szCs w:val="20"/>
          <w:color w:val="auto"/>
        </w:rPr>
      </w:pPr>
    </w:p>
    <w:p>
      <w:pPr>
        <w:jc w:val="both"/>
        <w:ind w:right="60" w:firstLine="627"/>
        <w:spacing w:after="0" w:line="268" w:lineRule="auto"/>
        <w:rPr>
          <w:sz w:val="20"/>
          <w:szCs w:val="20"/>
          <w:color w:val="auto"/>
        </w:rPr>
      </w:pPr>
      <w:r>
        <w:rPr>
          <w:rFonts w:ascii="Times New Roman" w:cs="Times New Roman" w:eastAsia="Times New Roman" w:hAnsi="Times New Roman"/>
          <w:sz w:val="21"/>
          <w:szCs w:val="21"/>
          <w:color w:val="auto"/>
        </w:rPr>
        <w:t>and, in either case, which does not become a Lender and receive payment in the capacity of a clearing house, custodian, funds manager or responsible entity of a registered scheme (with each such term having the meaning given for the purposes of section 128F of the Australian Tax Act).</w:t>
      </w:r>
    </w:p>
    <w:p>
      <w:pPr>
        <w:spacing w:after="0" w:line="156" w:lineRule="exact"/>
        <w:rPr>
          <w:sz w:val="20"/>
          <w:szCs w:val="20"/>
          <w:color w:val="auto"/>
        </w:rPr>
      </w:pPr>
    </w:p>
    <w:p>
      <w:pPr>
        <w:ind w:left="1260" w:hanging="628"/>
        <w:spacing w:after="0"/>
        <w:tabs>
          <w:tab w:leader="none" w:pos="12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Original Indebtedness</w:t>
      </w:r>
      <w:r>
        <w:rPr>
          <w:rFonts w:ascii="Times New Roman" w:cs="Times New Roman" w:eastAsia="Times New Roman" w:hAnsi="Times New Roman"/>
          <w:sz w:val="21"/>
          <w:szCs w:val="21"/>
          <w:color w:val="auto"/>
        </w:rPr>
        <w:t>” shall have the meaning set forth in the definition of Permitted Refinancing Indebtedness.</w:t>
      </w:r>
    </w:p>
    <w:p>
      <w:pPr>
        <w:sectPr>
          <w:pgSz w:w="11900" w:h="16838" w:orient="portrait"/>
          <w:cols w:equalWidth="0" w:num="1">
            <w:col w:w="11240"/>
          </w:cols>
          <w:pgMar w:left="320" w:top="1378" w:right="339" w:bottom="1440" w:gutter="0" w:footer="0" w:header="0"/>
        </w:sectPr>
      </w:pPr>
    </w:p>
    <w:bookmarkStart w:id="87" w:name="page88"/>
    <w:bookmarkEnd w:id="87"/>
    <w:p>
      <w:pPr>
        <w:jc w:val="both"/>
        <w:ind w:firstLine="632"/>
        <w:spacing w:after="0" w:line="258" w:lineRule="auto"/>
        <w:tabs>
          <w:tab w:leader="none" w:pos="1249"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Other Connection Taxes</w:t>
      </w:r>
      <w:r>
        <w:rPr>
          <w:rFonts w:ascii="Times New Roman" w:cs="Times New Roman" w:eastAsia="Times New Roman" w:hAnsi="Times New Roman"/>
          <w:sz w:val="21"/>
          <w:szCs w:val="21"/>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5"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Other Taxes</w:t>
      </w:r>
      <w:r>
        <w:rPr>
          <w:rFonts w:ascii="Times New Roman" w:cs="Times New Roman" w:eastAsia="Times New Roman" w:hAnsi="Times New Roman"/>
          <w:sz w:val="21"/>
          <w:szCs w:val="21"/>
          <w:color w:val="auto"/>
        </w:rPr>
        <w:t>”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Outstanding BAs Collateral</w:t>
      </w:r>
      <w:r>
        <w:rPr>
          <w:rFonts w:ascii="Times New Roman" w:cs="Times New Roman" w:eastAsia="Times New Roman" w:hAnsi="Times New Roman"/>
          <w:sz w:val="21"/>
          <w:szCs w:val="21"/>
          <w:color w:val="FF0000"/>
          <w:strike w:val="1"/>
        </w:rPr>
        <w:t>” shall have the meaning assigned to such term in Section 2.22(k).</w:t>
      </w:r>
    </w:p>
    <w:p>
      <w:pPr>
        <w:spacing w:after="0" w:line="216" w:lineRule="exact"/>
        <w:rPr>
          <w:sz w:val="20"/>
          <w:szCs w:val="20"/>
          <w:color w:val="auto"/>
        </w:rPr>
      </w:pPr>
    </w:p>
    <w:p>
      <w:pPr>
        <w:ind w:left="1260" w:hanging="628"/>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Parent Borrower</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1300" w:hanging="668"/>
        <w:spacing w:after="0"/>
        <w:tabs>
          <w:tab w:leader="none" w:pos="13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 shall have the meaning assigned to such term in Section 9.04(d).</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shall have the meaning assigned to such term in Section 9.04(d).</w:t>
      </w:r>
    </w:p>
    <w:p>
      <w:pPr>
        <w:spacing w:after="0" w:line="228"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shall have the meaning assigned to such term in Section 9.21.</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Payment Notice</w:t>
      </w:r>
      <w:r>
        <w:rPr>
          <w:rFonts w:ascii="Times New Roman" w:cs="Times New Roman" w:eastAsia="Times New Roman" w:hAnsi="Times New Roman"/>
          <w:sz w:val="21"/>
          <w:szCs w:val="21"/>
          <w:color w:val="auto"/>
        </w:rPr>
        <w:t>” has the meaning assigned to it in Section 8.13(a).</w:t>
      </w:r>
    </w:p>
    <w:p>
      <w:pPr>
        <w:spacing w:after="0" w:line="203" w:lineRule="exact"/>
        <w:rPr>
          <w:sz w:val="20"/>
          <w:szCs w:val="20"/>
          <w:color w:val="auto"/>
        </w:rPr>
      </w:pPr>
    </w:p>
    <w:p>
      <w:pPr>
        <w:ind w:left="1260" w:hanging="628"/>
        <w:spacing w:after="0"/>
        <w:tabs>
          <w:tab w:leader="none" w:pos="12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Payment Recipient</w:t>
      </w:r>
      <w:r>
        <w:rPr>
          <w:rFonts w:ascii="Times New Roman" w:cs="Times New Roman" w:eastAsia="Times New Roman" w:hAnsi="Times New Roman"/>
          <w:sz w:val="21"/>
          <w:szCs w:val="21"/>
          <w:color w:val="auto"/>
        </w:rPr>
        <w:t>” has the meaning assigned to it in Section 8.13(a).</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PBGC</w:t>
      </w:r>
      <w:r>
        <w:rPr>
          <w:rFonts w:ascii="Times New Roman" w:cs="Times New Roman" w:eastAsia="Times New Roman" w:hAnsi="Times New Roman"/>
          <w:sz w:val="21"/>
          <w:szCs w:val="21"/>
          <w:color w:val="auto"/>
        </w:rPr>
        <w:t>” shall mean the Pension Benefit Guaranty Corporation referred to and defined in ERISA.</w:t>
      </w:r>
    </w:p>
    <w:p>
      <w:pPr>
        <w:spacing w:after="0" w:line="215" w:lineRule="exact"/>
        <w:rPr>
          <w:rFonts w:ascii="Times New Roman" w:cs="Times New Roman" w:eastAsia="Times New Roman" w:hAnsi="Times New Roman"/>
          <w:sz w:val="21"/>
          <w:szCs w:val="21"/>
          <w:color w:val="auto"/>
        </w:rPr>
      </w:pPr>
    </w:p>
    <w:p>
      <w:pPr>
        <w:jc w:val="both"/>
        <w:ind w:firstLine="632"/>
        <w:spacing w:after="0" w:line="263" w:lineRule="auto"/>
        <w:tabs>
          <w:tab w:leader="none" w:pos="132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Pension Funding Rules</w:t>
      </w:r>
      <w:r>
        <w:rPr>
          <w:rFonts w:ascii="Times New Roman" w:cs="Times New Roman" w:eastAsia="Times New Roman" w:hAnsi="Times New Roman"/>
          <w:sz w:val="21"/>
          <w:szCs w:val="21"/>
          <w:color w:val="auto"/>
        </w:rPr>
        <w:t>” shall mean the rules of the Code and ERISA regarding minimum required contributions (including any installment payment thereof) to Plans and set forth in Section 412, 430, 431, 432 and 436 of the Code and Sections 302, 303, 304 and 305 of ERISA.</w:t>
      </w:r>
    </w:p>
    <w:p>
      <w:pPr>
        <w:spacing w:after="0" w:line="173"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“Periodic Term CORRA Determination Day” shall have the meaning assigned to it under the definition of “</w:t>
      </w:r>
      <w:r>
        <w:rPr>
          <w:rFonts w:ascii="Times New Roman" w:cs="Times New Roman" w:eastAsia="Times New Roman" w:hAnsi="Times New Roman"/>
          <w:sz w:val="21"/>
          <w:szCs w:val="21"/>
          <w:i w:val="1"/>
          <w:iCs w:val="1"/>
          <w:u w:val="single" w:color="auto"/>
          <w:color w:val="0000FF"/>
          <w:highlight w:val="lightGray"/>
        </w:rPr>
        <w:t>Term</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0000FF"/>
          <w:highlight w:val="lightGray"/>
        </w:rPr>
        <w:t>CORRA</w:t>
      </w:r>
      <w:r>
        <w:rPr>
          <w:rFonts w:ascii="Times New Roman" w:cs="Times New Roman" w:eastAsia="Times New Roman" w:hAnsi="Times New Roman"/>
          <w:sz w:val="21"/>
          <w:szCs w:val="21"/>
          <w:u w:val="single" w:color="auto"/>
          <w:color w:val="0000FF"/>
          <w:highlight w:val="lightGray"/>
        </w:rPr>
        <w:t>”.</w:t>
      </w:r>
    </w:p>
    <w:p>
      <w:pPr>
        <w:spacing w:after="0" w:line="189"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Acquisition</w:t>
      </w:r>
      <w:r>
        <w:rPr>
          <w:rFonts w:ascii="Times New Roman" w:cs="Times New Roman" w:eastAsia="Times New Roman" w:hAnsi="Times New Roman"/>
          <w:sz w:val="20"/>
          <w:szCs w:val="20"/>
          <w:color w:val="auto"/>
        </w:rPr>
        <w:t>” shall mean any acquisition meeting all the criteria of either Section 6.04(i) or Section 6.04(m).</w:t>
      </w:r>
    </w:p>
    <w:p>
      <w:pPr>
        <w:spacing w:after="0" w:line="227" w:lineRule="exact"/>
        <w:rPr>
          <w:rFonts w:ascii="Times New Roman" w:cs="Times New Roman" w:eastAsia="Times New Roman" w:hAnsi="Times New Roman"/>
          <w:sz w:val="20"/>
          <w:szCs w:val="20"/>
          <w:color w:val="auto"/>
        </w:rPr>
      </w:pPr>
    </w:p>
    <w:p>
      <w:pPr>
        <w:ind w:left="1260" w:hanging="628"/>
        <w:spacing w:after="0"/>
        <w:tabs>
          <w:tab w:leader="none" w:pos="12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Investments</w:t>
      </w:r>
      <w:r>
        <w:rPr>
          <w:rFonts w:ascii="Times New Roman" w:cs="Times New Roman" w:eastAsia="Times New Roman" w:hAnsi="Times New Roman"/>
          <w:sz w:val="21"/>
          <w:szCs w:val="21"/>
          <w:color w:val="auto"/>
        </w:rPr>
        <w: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-872490</wp:posOffset>
            </wp:positionV>
            <wp:extent cx="6414770" cy="140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414770" cy="14097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8" w:name="page89"/>
    <w:bookmarkEnd w:id="88"/>
    <w:p>
      <w:pPr>
        <w:jc w:val="both"/>
        <w:ind w:left="-632" w:firstLine="1259"/>
        <w:spacing w:after="0" w:line="257" w:lineRule="auto"/>
        <w:tabs>
          <w:tab w:leader="none" w:pos="1163"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obligations of, or obligations the principal of and interest on which are unconditionally 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170" w:lineRule="exact"/>
        <w:rPr>
          <w:rFonts w:ascii="Times New Roman" w:cs="Times New Roman" w:eastAsia="Times New Roman" w:hAnsi="Times New Roman"/>
          <w:sz w:val="21"/>
          <w:szCs w:val="21"/>
          <w:color w:val="auto"/>
        </w:rPr>
      </w:pPr>
    </w:p>
    <w:p>
      <w:pPr>
        <w:jc w:val="both"/>
        <w:ind w:left="-632" w:firstLine="1259"/>
        <w:spacing w:after="0" w:line="262" w:lineRule="auto"/>
        <w:tabs>
          <w:tab w:leader="none" w:pos="1141"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176" w:lineRule="exact"/>
        <w:rPr>
          <w:rFonts w:ascii="Times New Roman" w:cs="Times New Roman" w:eastAsia="Times New Roman" w:hAnsi="Times New Roman"/>
          <w:sz w:val="21"/>
          <w:szCs w:val="21"/>
          <w:color w:val="auto"/>
        </w:rPr>
      </w:pPr>
    </w:p>
    <w:p>
      <w:pPr>
        <w:jc w:val="both"/>
        <w:ind w:left="-632" w:firstLine="1259"/>
        <w:spacing w:after="0" w:line="254" w:lineRule="auto"/>
        <w:tabs>
          <w:tab w:leader="none" w:pos="1097"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72" w:lineRule="exact"/>
        <w:rPr>
          <w:rFonts w:ascii="Times New Roman" w:cs="Times New Roman" w:eastAsia="Times New Roman" w:hAnsi="Times New Roman"/>
          <w:sz w:val="21"/>
          <w:szCs w:val="21"/>
          <w:color w:val="auto"/>
        </w:rPr>
      </w:pPr>
    </w:p>
    <w:p>
      <w:pPr>
        <w:ind w:left="-632" w:firstLine="1259"/>
        <w:spacing w:after="0" w:line="290" w:lineRule="auto"/>
        <w:tabs>
          <w:tab w:leader="none" w:pos="1204"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fully collateralized repurchase agreements with a term of not more than 30 days for securities described in clause (a) above and entered into with a financial institution satisfying the criteria of clause (c) above; and</w:t>
      </w:r>
    </w:p>
    <w:p>
      <w:pPr>
        <w:spacing w:after="0" w:line="135" w:lineRule="exact"/>
        <w:rPr>
          <w:rFonts w:ascii="Times New Roman" w:cs="Times New Roman" w:eastAsia="Times New Roman" w:hAnsi="Times New Roman"/>
          <w:sz w:val="21"/>
          <w:szCs w:val="21"/>
          <w:color w:val="auto"/>
        </w:rPr>
      </w:pPr>
    </w:p>
    <w:p>
      <w:pPr>
        <w:ind w:left="-632" w:firstLine="1259"/>
        <w:spacing w:after="0" w:line="277" w:lineRule="auto"/>
        <w:tabs>
          <w:tab w:leader="none" w:pos="1082"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short-term investments utilized by Foreign Subsidiaries in accordance with normal investment practices for cash management in investments of a type analogous to the foregoing.</w:t>
      </w:r>
    </w:p>
    <w:p>
      <w:pPr>
        <w:spacing w:after="0" w:line="146"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Liens</w:t>
      </w:r>
      <w:r>
        <w:rPr>
          <w:rFonts w:ascii="Times New Roman" w:cs="Times New Roman" w:eastAsia="Times New Roman" w:hAnsi="Times New Roman"/>
          <w:sz w:val="21"/>
          <w:szCs w:val="21"/>
          <w:color w:val="auto"/>
        </w:rPr>
        <w:t>” shall mean Liens permitted by Section 6.02.</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52" w:lineRule="auto"/>
        <w:tabs>
          <w:tab w:leader="none" w:pos="61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Refinancing Indebtedness</w:t>
      </w:r>
      <w:r>
        <w:rPr>
          <w:rFonts w:ascii="Times New Roman" w:cs="Times New Roman" w:eastAsia="Times New Roman" w:hAnsi="Times New Roman"/>
          <w:sz w:val="21"/>
          <w:szCs w:val="21"/>
          <w:color w:val="auto"/>
        </w:rPr>
        <w:t>” shall mean with respect to any Indebtedness of any Person (the “</w:t>
      </w:r>
      <w:r>
        <w:rPr>
          <w:rFonts w:ascii="Times New Roman" w:cs="Times New Roman" w:eastAsia="Times New Roman" w:hAnsi="Times New Roman"/>
          <w:sz w:val="21"/>
          <w:szCs w:val="21"/>
          <w:i w:val="1"/>
          <w:iCs w:val="1"/>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any modification, refinancing, refunding, replacement, renewal or extension of such Original Indebtedness, in whole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 in part;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no Person that is not an obligor or guarantor with respect to the Original Indebtedness shall be an obligor or guarantor with respect to such Permitted Refinancing Indebtedness, (ii) the final maturity and Weighted Average Life to Maturity of such Permitted Refinancing Indebtedness shall be no shorter than the Original Indebtedness as a result of such modification, refinancing, refunding, replacement, renewal or extension, (iii) the mandatory prepayment and redemption terms, covenants and events of default of such Permitted Refinancing Indebtedness are either (x) not materially more favorable (taken as a whole, as conclusively determined by the Borrower in good faith) to the lenders providing such Permitted Refinancing Indebtedness than those terms (taken as a whole) applicable to the Original Indebtedness (except to the extent such terms apply solely to any period after the Maturity Date or applied for the benefit of the Loans then outstanding) or (y) reflect market terms and conditions at the time of incurrence or issuance, as conclusively determined by the Borrower in good faith, (iv) (x) in the case of any Original Indebtedness consisting of a revolving credit</w:t>
      </w:r>
    </w:p>
    <w:p>
      <w:pPr>
        <w:sectPr>
          <w:pgSz w:w="11900" w:h="16838" w:orient="portrait"/>
          <w:cols w:equalWidth="0" w:num="1">
            <w:col w:w="10608"/>
          </w:cols>
          <w:pgMar w:left="952" w:top="1380" w:right="339" w:bottom="1440" w:gutter="0" w:footer="0" w:header="0"/>
        </w:sectPr>
      </w:pPr>
    </w:p>
    <w:bookmarkStart w:id="89" w:name="page90"/>
    <w:bookmarkEnd w:id="89"/>
    <w:p>
      <w:pPr>
        <w:jc w:val="both"/>
        <w:spacing w:after="0" w:line="263" w:lineRule="auto"/>
        <w:rPr>
          <w:sz w:val="20"/>
          <w:szCs w:val="20"/>
          <w:color w:val="auto"/>
        </w:rPr>
      </w:pPr>
      <w:r>
        <w:rPr>
          <w:rFonts w:ascii="Times New Roman" w:cs="Times New Roman" w:eastAsia="Times New Roman" w:hAnsi="Times New Roman"/>
          <w:sz w:val="20"/>
          <w:szCs w:val="20"/>
          <w:color w:val="auto"/>
        </w:rPr>
        <w:t>facility, the principal amount does not exceed the committed amount in respect of the Original Indebtedness or (y) in each other case, the principal amount (or accreted value, if applicable) thereof does not exceed the principal amount (or accreted value, if applicable) of the Original Indebtedness, except in each case by an amount (such amount, the “</w:t>
      </w:r>
      <w:r>
        <w:rPr>
          <w:rFonts w:ascii="Times New Roman" w:cs="Times New Roman" w:eastAsia="Times New Roman" w:hAnsi="Times New Roman"/>
          <w:sz w:val="20"/>
          <w:szCs w:val="20"/>
          <w:i w:val="1"/>
          <w:iCs w:val="1"/>
          <w:color w:val="auto"/>
        </w:rPr>
        <w:t>Additional Permitted Amount</w:t>
      </w:r>
      <w:r>
        <w:rPr>
          <w:rFonts w:ascii="Times New Roman" w:cs="Times New Roman" w:eastAsia="Times New Roman" w:hAnsi="Times New Roman"/>
          <w:sz w:val="20"/>
          <w:szCs w:val="20"/>
          <w:color w:val="auto"/>
        </w:rPr>
        <w:t xml:space="preserve">”) equal to unpaid accrued interest, fees, and premium (including make-whole premiums, prepayment premiums and amounts required to be paid in connection with defeasance and satisfaction and discharge) thereon at such time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reasonable fees and expenses incurred in connection with such modification, refinancing, refunding, replacement, renewal or extension (including upfront fees and original issue discount), (v) for the avoidance of doubt, the Original Indebtedness is paid down (or, with respect to revolving credit facilities, commitments in respect thereof are reduced (together with, if applicable, payments of principal)) on a dollar-for-dollar basis by such Permitted Refinancing Indebtedness (other than by the Additional Permitted Amount), (vi) if the Original Indebtedness shall have been subordinated to the Obligations, such Permitted Refinancing Indebtedness shall also be subordinated to the Obligations on terms not less favorable in any material respect (taken as a whole) to the Lenders, (vii) such Permitted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(viii) at the time thereof, no Default or Event of Default shall have occurred and be continuing and (ix) if the Original Indebtedness is subject to a Customary Junior Lien Intercreditor Agreement, the trustee, administrative agent, collateral agent, security agent or similar agent under the indenture or agreement pursuant to which such Permitted Refinancing Indebtedness is issued, incurred or otherwise obtained, as the case may be, and each of their successors in such capacities, shall become a party to such Customary Junior Lien Intercreditor Agreement or other Customary Junior Lien Intercreditor Agreement.</w:t>
      </w:r>
    </w:p>
    <w:p>
      <w:pPr>
        <w:spacing w:after="0" w:line="189" w:lineRule="exact"/>
        <w:rPr>
          <w:sz w:val="20"/>
          <w:szCs w:val="20"/>
          <w:color w:val="auto"/>
        </w:rPr>
      </w:pPr>
    </w:p>
    <w:p>
      <w:pPr>
        <w:ind w:firstLine="632"/>
        <w:spacing w:after="0" w:line="279" w:lineRule="auto"/>
        <w:tabs>
          <w:tab w:leader="none" w:pos="124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w:t>
      </w:r>
      <w:r>
        <w:rPr>
          <w:rFonts w:ascii="Times New Roman" w:cs="Times New Roman" w:eastAsia="Times New Roman" w:hAnsi="Times New Roman"/>
          <w:sz w:val="21"/>
          <w:szCs w:val="21"/>
          <w:color w:val="auto"/>
        </w:rPr>
        <w:t>” shall mean any natural person, corporation, business trust, joint venture, association, company, limited liability company, partnership, Governmental Authority or other entity.</w:t>
      </w:r>
    </w:p>
    <w:p>
      <w:pPr>
        <w:spacing w:after="0" w:line="144"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pension benefit plan (other than a Multiemployer Plan) subject to the provisions of Title IV of ERISA or Section 412 of the Code, and in respect of which a U.S. Borrower or any ERISA Affiliate is (or, if such plan were terminated, would under Section 4069 of ERISA be deemed to be) an “employer” as defined in Section 3(5) of ERISA.</w:t>
      </w:r>
    </w:p>
    <w:p>
      <w:pPr>
        <w:spacing w:after="0" w:line="173"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 Asset Regulations</w:t>
      </w:r>
      <w:r>
        <w:rPr>
          <w:rFonts w:ascii="Times New Roman" w:cs="Times New Roman" w:eastAsia="Times New Roman" w:hAnsi="Times New Roman"/>
          <w:sz w:val="21"/>
          <w:szCs w:val="21"/>
          <w:color w:val="auto"/>
        </w:rPr>
        <w:t xml:space="preserve">” shall mean 29 CFR § 2510.3-101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modified by Section 3(42) of ERISA, as amended from time to time.</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Platform</w:t>
      </w:r>
      <w:r>
        <w:rPr>
          <w:rFonts w:ascii="Times New Roman" w:cs="Times New Roman" w:eastAsia="Times New Roman" w:hAnsi="Times New Roman"/>
          <w:sz w:val="21"/>
          <w:szCs w:val="21"/>
          <w:color w:val="auto"/>
        </w:rPr>
        <w:t>” shall have the meaning assigned to such term in Section 5.04.</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Pledge Agreements</w:t>
      </w:r>
      <w:r>
        <w:rPr>
          <w:rFonts w:ascii="Times New Roman" w:cs="Times New Roman" w:eastAsia="Times New Roman" w:hAnsi="Times New Roman"/>
          <w:sz w:val="21"/>
          <w:szCs w:val="21"/>
          <w:color w:val="auto"/>
        </w:rPr>
        <w:t>” shall mean, collectively, the U.S. Pledge Agreement and the Canadian Pledge Agreement.</w:t>
      </w:r>
    </w:p>
    <w:p>
      <w:pPr>
        <w:sectPr>
          <w:pgSz w:w="11900" w:h="16838" w:orient="portrait"/>
          <w:cols w:equalWidth="0" w:num="1">
            <w:col w:w="11240"/>
          </w:cols>
          <w:pgMar w:left="320" w:top="1380" w:right="339" w:bottom="1440" w:gutter="0" w:footer="0" w:header="0"/>
        </w:sectPr>
      </w:pPr>
    </w:p>
    <w:bookmarkStart w:id="90" w:name="page91"/>
    <w:bookmarkEnd w:id="90"/>
    <w:p>
      <w:pPr>
        <w:jc w:val="both"/>
        <w:ind w:left="-632" w:firstLine="632"/>
        <w:spacing w:after="0" w:line="263" w:lineRule="auto"/>
        <w:tabs>
          <w:tab w:leader="none" w:pos="61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Potential Defaulting Lender</w:t>
      </w:r>
      <w:r>
        <w:rPr>
          <w:rFonts w:ascii="Times New Roman" w:cs="Times New Roman" w:eastAsia="Times New Roman" w:hAnsi="Times New Roman"/>
          <w:sz w:val="21"/>
          <w:szCs w:val="21"/>
          <w:color w:val="auto"/>
        </w:rPr>
        <w:t>”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w:t>
      </w:r>
    </w:p>
    <w:p>
      <w:pPr>
        <w:spacing w:after="0" w:line="173"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PPS Law</w:t>
      </w:r>
      <w:r>
        <w:rPr>
          <w:rFonts w:ascii="Times New Roman" w:cs="Times New Roman" w:eastAsia="Times New Roman" w:hAnsi="Times New Roman"/>
          <w:sz w:val="21"/>
          <w:szCs w:val="21"/>
          <w:color w:val="auto"/>
        </w:rPr>
        <w:t>”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w:t>
      </w:r>
    </w:p>
    <w:p>
      <w:pPr>
        <w:spacing w:after="0" w:line="160"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PPS Register</w:t>
      </w:r>
      <w:r>
        <w:rPr>
          <w:rFonts w:ascii="Times New Roman" w:cs="Times New Roman" w:eastAsia="Times New Roman" w:hAnsi="Times New Roman"/>
          <w:sz w:val="21"/>
          <w:szCs w:val="21"/>
          <w:color w:val="auto"/>
        </w:rPr>
        <w:t>” shall mean the Personal Property Securities Register established pursuant to the PPSA (Australia).</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PPS Regulations</w:t>
      </w:r>
      <w:r>
        <w:rPr>
          <w:rFonts w:ascii="Times New Roman" w:cs="Times New Roman" w:eastAsia="Times New Roman" w:hAnsi="Times New Roman"/>
          <w:sz w:val="21"/>
          <w:szCs w:val="21"/>
          <w:color w:val="auto"/>
        </w:rPr>
        <w:t xml:space="preserve">” shall mean the </w:t>
      </w:r>
      <w:r>
        <w:rPr>
          <w:rFonts w:ascii="Times New Roman" w:cs="Times New Roman" w:eastAsia="Times New Roman" w:hAnsi="Times New Roman"/>
          <w:sz w:val="21"/>
          <w:szCs w:val="21"/>
          <w:i w:val="1"/>
          <w:iCs w:val="1"/>
          <w:color w:val="auto"/>
        </w:rPr>
        <w:t>Personal Property Securities Regulations 2010</w:t>
      </w:r>
      <w:r>
        <w:rPr>
          <w:rFonts w:ascii="Times New Roman" w:cs="Times New Roman" w:eastAsia="Times New Roman" w:hAnsi="Times New Roman"/>
          <w:sz w:val="21"/>
          <w:szCs w:val="21"/>
          <w:color w:val="auto"/>
        </w:rPr>
        <w:t xml:space="preserve"> (Cth).</w:t>
      </w:r>
    </w:p>
    <w:p>
      <w:pPr>
        <w:spacing w:after="0" w:line="228"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PPSA (Alberta)</w:t>
      </w:r>
      <w:r>
        <w:rPr>
          <w:rFonts w:ascii="Times New Roman" w:cs="Times New Roman" w:eastAsia="Times New Roman" w:hAnsi="Times New Roman"/>
          <w:sz w:val="21"/>
          <w:szCs w:val="21"/>
          <w:color w:val="auto"/>
        </w:rPr>
        <w:t>” shall mean the Personal Property Security Act, RSA 2000, c. P-7 (Alberta).</w:t>
      </w:r>
    </w:p>
    <w:p>
      <w:pPr>
        <w:spacing w:after="0" w:line="21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PPSA (Australia)</w:t>
      </w:r>
      <w:r>
        <w:rPr>
          <w:rFonts w:ascii="Times New Roman" w:cs="Times New Roman" w:eastAsia="Times New Roman" w:hAnsi="Times New Roman"/>
          <w:sz w:val="21"/>
          <w:szCs w:val="21"/>
          <w:color w:val="auto"/>
        </w:rPr>
        <w:t xml:space="preserve">” shall mean the Australian </w:t>
      </w:r>
      <w:r>
        <w:rPr>
          <w:rFonts w:ascii="Times New Roman" w:cs="Times New Roman" w:eastAsia="Times New Roman" w:hAnsi="Times New Roman"/>
          <w:sz w:val="21"/>
          <w:szCs w:val="21"/>
          <w:i w:val="1"/>
          <w:iCs w:val="1"/>
          <w:color w:val="auto"/>
        </w:rPr>
        <w:t>Personal Property Securities Act 2009</w:t>
      </w:r>
      <w:r>
        <w:rPr>
          <w:rFonts w:ascii="Times New Roman" w:cs="Times New Roman" w:eastAsia="Times New Roman" w:hAnsi="Times New Roman"/>
          <w:sz w:val="21"/>
          <w:szCs w:val="21"/>
          <w:color w:val="auto"/>
        </w:rPr>
        <w:t xml:space="preserve"> (Cth).</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Prime Rate</w:t>
      </w:r>
      <w:r>
        <w:rPr>
          <w:rFonts w:ascii="Times New Roman" w:cs="Times New Roman" w:eastAsia="Times New Roman" w:hAnsi="Times New Roman"/>
          <w:sz w:val="21"/>
          <w:szCs w:val="21"/>
          <w:color w:val="auto"/>
        </w:rPr>
        <w:t>” shall mean, at any time, the rate of interest per annum publicly announced from time to time by the Person acting as the Administrative Agent as its prime rate in effect at its principal office. The Prime Rate is a reference rate and does not necessarily represent the lowest or best rate actually charged to any customer. The Administrative Agent or any Issuing Bank or Lender may make commercial loans or other loans at rates of interest at, above or below the Prime Rate. Any change in the Prime Rate shall take effect at the opening of business on the day specified in the public announcement of such change.</w:t>
      </w:r>
    </w:p>
    <w:p>
      <w:pPr>
        <w:spacing w:after="0" w:line="16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Proceeding</w:t>
      </w:r>
      <w:r>
        <w:rPr>
          <w:rFonts w:ascii="Times New Roman" w:cs="Times New Roman" w:eastAsia="Times New Roman" w:hAnsi="Times New Roman"/>
          <w:sz w:val="21"/>
          <w:szCs w:val="21"/>
          <w:color w:val="auto"/>
        </w:rPr>
        <w:t>” shall have the meaning assigned to such term in Section 9.05(b).</w:t>
      </w:r>
    </w:p>
    <w:p>
      <w:pPr>
        <w:spacing w:after="0" w:line="21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PTE</w:t>
      </w:r>
      <w:r>
        <w:rPr>
          <w:rFonts w:ascii="Times New Roman" w:cs="Times New Roman" w:eastAsia="Times New Roman" w:hAnsi="Times New Roman"/>
          <w:sz w:val="21"/>
          <w:szCs w:val="21"/>
          <w:color w:val="auto"/>
        </w:rPr>
        <w:t>” shall mean a prohibited transaction class exemption issued by the U.S. Department of Labor, as any such exemption may be amended from time to time.</w:t>
      </w:r>
    </w:p>
    <w:p>
      <w:pPr>
        <w:spacing w:after="0" w:line="14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Public Lender</w:t>
      </w:r>
      <w:r>
        <w:rPr>
          <w:rFonts w:ascii="Times New Roman" w:cs="Times New Roman" w:eastAsia="Times New Roman" w:hAnsi="Times New Roman"/>
          <w:sz w:val="21"/>
          <w:szCs w:val="21"/>
          <w:color w:val="auto"/>
        </w:rPr>
        <w:t>” shall have the meaning assigned to such term in Section 5.04.</w:t>
      </w:r>
    </w:p>
    <w:p>
      <w:pPr>
        <w:spacing w:after="0" w:line="228"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QFC</w:t>
      </w:r>
      <w:r>
        <w:rPr>
          <w:rFonts w:ascii="Times New Roman" w:cs="Times New Roman" w:eastAsia="Times New Roman" w:hAnsi="Times New Roman"/>
          <w:sz w:val="21"/>
          <w:szCs w:val="21"/>
          <w:color w:val="auto"/>
        </w:rPr>
        <w:t>” shall have the meaning assigned to the term “qualified financial contract” in, and shall be interpreted in accordance with, 12 U.S.C. 5390(c)(8)(D).</w:t>
      </w:r>
    </w:p>
    <w:p>
      <w:pPr>
        <w:spacing w:after="0" w:line="14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QFC Credit Support</w:t>
      </w:r>
      <w:r>
        <w:rPr>
          <w:rFonts w:ascii="Times New Roman" w:cs="Times New Roman" w:eastAsia="Times New Roman" w:hAnsi="Times New Roman"/>
          <w:sz w:val="21"/>
          <w:szCs w:val="21"/>
          <w:color w:val="auto"/>
        </w:rPr>
        <w:t>” shall have the meaning provided in Section 9.25.</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61" w:lineRule="auto"/>
        <w:tabs>
          <w:tab w:leader="none" w:pos="61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Qualified ECP Guarantor</w:t>
      </w:r>
      <w:r>
        <w:rPr>
          <w:rFonts w:ascii="Times New Roman" w:cs="Times New Roman" w:eastAsia="Times New Roman" w:hAnsi="Times New Roman"/>
          <w:sz w:val="21"/>
          <w:szCs w:val="21"/>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w:t>
      </w:r>
    </w:p>
    <w:p>
      <w:pPr>
        <w:sectPr>
          <w:pgSz w:w="11900" w:h="16838" w:orient="portrait"/>
          <w:cols w:equalWidth="0" w:num="1">
            <w:col w:w="10608"/>
          </w:cols>
          <w:pgMar w:left="952" w:top="1378" w:right="339" w:bottom="1440" w:gutter="0" w:footer="0" w:header="0"/>
        </w:sectPr>
      </w:pPr>
    </w:p>
    <w:bookmarkStart w:id="91" w:name="page92"/>
    <w:bookmarkEnd w:id="91"/>
    <w:p>
      <w:pPr>
        <w:spacing w:after="0" w:line="277" w:lineRule="auto"/>
        <w:rPr>
          <w:sz w:val="20"/>
          <w:szCs w:val="20"/>
          <w:color w:val="auto"/>
        </w:rPr>
      </w:pPr>
      <w:r>
        <w:rPr>
          <w:rFonts w:ascii="Times New Roman" w:cs="Times New Roman" w:eastAsia="Times New Roman" w:hAnsi="Times New Roman"/>
          <w:sz w:val="21"/>
          <w:szCs w:val="21"/>
          <w:color w:val="auto"/>
        </w:rPr>
        <w:t>as an “eligible contract participant” at such time by entering into a keepwell under Section 1a(18)(A)(v)(II) of the Commodity Exchange Act.</w:t>
      </w:r>
    </w:p>
    <w:p>
      <w:pPr>
        <w:spacing w:after="0" w:line="146" w:lineRule="exact"/>
        <w:rPr>
          <w:sz w:val="20"/>
          <w:szCs w:val="20"/>
          <w:color w:val="auto"/>
        </w:rPr>
      </w:pPr>
    </w:p>
    <w:p>
      <w:pPr>
        <w:jc w:val="both"/>
        <w:ind w:firstLine="632"/>
        <w:spacing w:after="0" w:line="251" w:lineRule="auto"/>
        <w:tabs>
          <w:tab w:leader="none" w:pos="124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Qualified Offering</w:t>
      </w:r>
      <w:r>
        <w:rPr>
          <w:rFonts w:ascii="Times New Roman" w:cs="Times New Roman" w:eastAsia="Times New Roman" w:hAnsi="Times New Roman"/>
          <w:sz w:val="21"/>
          <w:szCs w:val="21"/>
          <w:color w:val="auto"/>
        </w:rPr>
        <w:t xml:space="preserve">” shall mean Indebtedness issued by the Parent Borrower and guarantees thereof by any other Loan Party;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as of the date of issuance, (i) such Indebtedness (a) is unsecured or (b) is secured by a Lien on the Collateral that is junior in priority to the Lien securing the Obligations hereunder and is subject to a Customary Junior Lien Intercreditor Agreement and is not secured by any property or assets other than the Collateral, (ii) the Parent Borrower would be in compliance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(using the criteria therefor described in Section 6.04(i)) to any incurrence or contemporaneous discharge of Indebtedness and all related transactions, as if such incurrence, discharge or other transaction had occurred as of the first day of such period, (iii) such Indebtedness matures no earlier than 180 days after the Maturity Date at the time such Indebtedness is incurred, (iv) such Indebtedness does not require any scheduled amortization, mandatory prepayments, redemptions, sinking fund payments or purchase offers prior to the final maturity date thereof (other than pursuant to customary asset sale and change of control offers)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 long as (A) no Canadian Term Loans are outstanding and (B) after giving effect to the incurrence of such Indebtedness (and any Borrowings on the date such Indebtedness is incurred), there must be at least U.S.$40,000,000 of the Revolving Commitments unused and available, of which at least U.S.$30,000,000 must be comprised of Canadian Revolving Commitments and U.S. Revolving Commitments unused and available, in the aggregate, such Qualified Offering may require (1) scheduled amortization not to exceed 1% of the principal amount of such Indebtedness annually and (2) excess cash flow mandatory prepayments, (v) such Indebtedness is not guaranteed by any person other than the Guarantors, (vi) the terms and conditions (other than pricing, rate floors, discounts, fees, premiums and optional prepayment or redemption provisions) of such Indebtedness are in the good faith determination of the Parent Borrower, not materially less favorable (when taken as a whole) to the Parent Borrower than the terms and conditions of the Loan Documents (when taken as a whole), and (vii) no Default or Event of Default shall have occurred and be continuing at the time of incurrence or would result therefrom.</w:t>
      </w:r>
    </w:p>
    <w:p>
      <w:pPr>
        <w:spacing w:after="0" w:line="172"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RBC</w:t>
      </w:r>
      <w:r>
        <w:rPr>
          <w:rFonts w:ascii="Times New Roman" w:cs="Times New Roman" w:eastAsia="Times New Roman" w:hAnsi="Times New Roman"/>
          <w:sz w:val="21"/>
          <w:szCs w:val="21"/>
          <w:color w:val="auto"/>
        </w:rPr>
        <w:t>” shall have the meaning assigned to such term in the preamble hereto.</w:t>
      </w:r>
    </w:p>
    <w:p>
      <w:pPr>
        <w:spacing w:after="0" w:line="228"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RBC Europe</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Recipient</w:t>
      </w:r>
      <w:r>
        <w:rPr>
          <w:rFonts w:ascii="Times New Roman" w:cs="Times New Roman" w:eastAsia="Times New Roman" w:hAnsi="Times New Roman"/>
          <w:sz w:val="21"/>
          <w:szCs w:val="21"/>
          <w:color w:val="auto"/>
        </w:rPr>
        <w:t>” shall mean (a) any Agent, (b) any Lender (c) any Issuing Bank, and (d) any Swing Line Lender, as</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applicable.</w:t>
      </w:r>
    </w:p>
    <w:p>
      <w:pPr>
        <w:spacing w:after="0" w:line="189"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Recipient Party</w:t>
      </w:r>
      <w:r>
        <w:rPr>
          <w:rFonts w:ascii="Times New Roman" w:cs="Times New Roman" w:eastAsia="Times New Roman" w:hAnsi="Times New Roman"/>
          <w:sz w:val="21"/>
          <w:szCs w:val="21"/>
          <w:color w:val="auto"/>
        </w:rPr>
        <w:t>” shall have the meaning assigned to such term in Section 2.19(j).</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Reference Banks</w:t>
      </w:r>
      <w:r>
        <w:rPr>
          <w:rFonts w:ascii="Times New Roman" w:cs="Times New Roman" w:eastAsia="Times New Roman" w:hAnsi="Times New Roman"/>
          <w:sz w:val="21"/>
          <w:szCs w:val="21"/>
          <w:color w:val="auto"/>
        </w:rPr>
        <w:t>” shall mean Australia and New Zealand Banking Group Limited (ACN 005 357 522), Commonwealth Bank of Australia (ACN 123 123 124), Westpac</w:t>
      </w:r>
    </w:p>
    <w:p>
      <w:pPr>
        <w:sectPr>
          <w:pgSz w:w="11900" w:h="16838" w:orient="portrait"/>
          <w:cols w:equalWidth="0" w:num="1">
            <w:col w:w="11240"/>
          </w:cols>
          <w:pgMar w:left="320" w:top="1380" w:right="339" w:bottom="1440" w:gutter="0" w:footer="0" w:header="0"/>
        </w:sectPr>
      </w:pPr>
    </w:p>
    <w:bookmarkStart w:id="92" w:name="page93"/>
    <w:bookmarkEnd w:id="92"/>
    <w:p>
      <w:pPr>
        <w:spacing w:after="0" w:line="277" w:lineRule="auto"/>
        <w:rPr>
          <w:sz w:val="20"/>
          <w:szCs w:val="20"/>
          <w:color w:val="auto"/>
        </w:rPr>
      </w:pPr>
      <w:r>
        <w:rPr>
          <w:rFonts w:ascii="Times New Roman" w:cs="Times New Roman" w:eastAsia="Times New Roman" w:hAnsi="Times New Roman"/>
          <w:sz w:val="21"/>
          <w:szCs w:val="21"/>
          <w:color w:val="auto"/>
        </w:rPr>
        <w:t>Banking Corporation (ACN 007 457 141) and National Australia Bank Limited (ACN 004 044 937), or such other banks as may be selected by the Australian Administrative Agent in consultation with the Australian Borrower.</w:t>
      </w:r>
    </w:p>
    <w:p>
      <w:pPr>
        <w:spacing w:after="0" w:line="146" w:lineRule="exact"/>
        <w:rPr>
          <w:sz w:val="20"/>
          <w:szCs w:val="20"/>
          <w:color w:val="auto"/>
        </w:rPr>
      </w:pPr>
    </w:p>
    <w:p>
      <w:pPr>
        <w:jc w:val="both"/>
        <w:ind w:firstLine="632"/>
        <w:spacing w:after="0" w:line="269"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“Relevant Governmental Body” </w:t>
      </w:r>
      <w:r>
        <w:rPr>
          <w:rFonts w:ascii="Times New Roman" w:cs="Times New Roman" w:eastAsia="Times New Roman" w:hAnsi="Times New Roman"/>
          <w:sz w:val="21"/>
          <w:szCs w:val="21"/>
          <w:color w:val="auto"/>
        </w:rPr>
        <w:t>means the Board of Governors of the Federal Reserve System or the Federal Reserve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Bank of New York, or a committee officially endorsed or convened by the Board of Governors of the Federal Reserve System or the Federal Reserve Bank of New York, or any successor thereto.</w:t>
      </w:r>
    </w:p>
    <w:p>
      <w:pPr>
        <w:spacing w:after="0" w:line="15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shall have the meaning assigned to such term in Section 9.04(c).</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T</w:t>
      </w:r>
      <w:r>
        <w:rPr>
          <w:rFonts w:ascii="Times New Roman" w:cs="Times New Roman" w:eastAsia="Times New Roman" w:hAnsi="Times New Roman"/>
          <w:sz w:val="21"/>
          <w:szCs w:val="21"/>
          <w:color w:val="auto"/>
        </w:rPr>
        <w:t>” shall mean Regulation T of the Board as from time to time in effect and all official rulings and interpretations thereunder or thereof.</w:t>
      </w:r>
    </w:p>
    <w:p>
      <w:pPr>
        <w:spacing w:after="0" w:line="157"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U</w:t>
      </w:r>
      <w:r>
        <w:rPr>
          <w:rFonts w:ascii="Times New Roman" w:cs="Times New Roman" w:eastAsia="Times New Roman" w:hAnsi="Times New Roman"/>
          <w:sz w:val="21"/>
          <w:szCs w:val="21"/>
          <w:color w:val="auto"/>
        </w:rPr>
        <w:t>” shall mean Regulation U of the Board as from time to time in effect and all official rulings and interpretations thereunder or thereof.</w:t>
      </w:r>
    </w:p>
    <w:p>
      <w:pPr>
        <w:spacing w:after="0" w:line="14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X</w:t>
      </w:r>
      <w:r>
        <w:rPr>
          <w:rFonts w:ascii="Times New Roman" w:cs="Times New Roman" w:eastAsia="Times New Roman" w:hAnsi="Times New Roman"/>
          <w:sz w:val="21"/>
          <w:szCs w:val="21"/>
          <w:color w:val="auto"/>
        </w:rPr>
        <w:t>” shall mean Regulation X of the Board as from time to time in effect and all official rulings and interpretations thereunder or thereof.</w:t>
      </w:r>
    </w:p>
    <w:p>
      <w:pPr>
        <w:spacing w:after="0" w:line="14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Related Parties</w:t>
      </w:r>
      <w:r>
        <w:rPr>
          <w:rFonts w:ascii="Times New Roman" w:cs="Times New Roman" w:eastAsia="Times New Roman" w:hAnsi="Times New Roman"/>
          <w:sz w:val="21"/>
          <w:szCs w:val="21"/>
          <w:color w:val="auto"/>
        </w:rPr>
        <w:t>” shall mean, with respect to any specified person, such person’s Affiliates and the respective partners, directors, officers, employees, agents and advisors of such person and such person’s Affiliates.</w:t>
      </w:r>
    </w:p>
    <w:p>
      <w:pPr>
        <w:spacing w:after="0" w:line="157"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Release</w:t>
      </w:r>
      <w:r>
        <w:rPr>
          <w:rFonts w:ascii="Times New Roman" w:cs="Times New Roman" w:eastAsia="Times New Roman" w:hAnsi="Times New Roman"/>
          <w:sz w:val="21"/>
          <w:szCs w:val="21"/>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44" w:lineRule="exact"/>
        <w:rPr>
          <w:rFonts w:ascii="Times New Roman" w:cs="Times New Roman" w:eastAsia="Times New Roman" w:hAnsi="Times New Roman"/>
          <w:sz w:val="21"/>
          <w:szCs w:val="21"/>
          <w:color w:val="auto"/>
        </w:rPr>
      </w:pPr>
    </w:p>
    <w:p>
      <w:pPr>
        <w:jc w:val="both"/>
        <w:ind w:firstLine="632"/>
        <w:spacing w:after="0" w:line="253"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Australian Lenders</w:t>
      </w:r>
      <w:r>
        <w:rPr>
          <w:rFonts w:ascii="Times New Roman" w:cs="Times New Roman" w:eastAsia="Times New Roman" w:hAnsi="Times New Roman"/>
          <w:sz w:val="21"/>
          <w:szCs w:val="21"/>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185" w:lineRule="exact"/>
        <w:rPr>
          <w:rFonts w:ascii="Times New Roman" w:cs="Times New Roman" w:eastAsia="Times New Roman" w:hAnsi="Times New Roman"/>
          <w:sz w:val="21"/>
          <w:szCs w:val="21"/>
          <w:color w:val="auto"/>
        </w:rPr>
      </w:pPr>
    </w:p>
    <w:p>
      <w:pPr>
        <w:jc w:val="both"/>
        <w:ind w:firstLine="632"/>
        <w:spacing w:after="0" w:line="257" w:lineRule="auto"/>
        <w:tabs>
          <w:tab w:leader="none" w:pos="124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Canadian Lenders</w:t>
      </w:r>
      <w:r>
        <w:rPr>
          <w:rFonts w:ascii="Times New Roman" w:cs="Times New Roman" w:eastAsia="Times New Roman" w:hAnsi="Times New Roman"/>
          <w:sz w:val="21"/>
          <w:szCs w:val="21"/>
          <w:color w:val="auto"/>
        </w:rPr>
        <w:t>” shall mean, at any time, Canadian Lenders having Canadian Loans, a share of the Canadian L/C Exposure and unused Canadian Revolving Commitments representing at least a majority of the sum of all Canadian Loans outstanding, the Canadian L/C Exposure and unused Canadian Revolving Commitments at such time; provided that the Canadian Loans outstanding, the share of Canadian L/C Exposure and unused Canadian</w:t>
      </w:r>
    </w:p>
    <w:p>
      <w:pPr>
        <w:sectPr>
          <w:pgSz w:w="11900" w:h="16838" w:orient="portrait"/>
          <w:cols w:equalWidth="0" w:num="1">
            <w:col w:w="11240"/>
          </w:cols>
          <w:pgMar w:left="320" w:top="138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1"/>
          <w:szCs w:val="21"/>
          <w:color w:val="auto"/>
        </w:rPr>
        <w:t>Revolving Commitments of any Defaulting Lender shall be disregarded in determining Required Canadian Lenders at any time.</w:t>
      </w:r>
    </w:p>
    <w:p>
      <w:pPr>
        <w:spacing w:after="0" w:line="214" w:lineRule="exact"/>
        <w:rPr>
          <w:sz w:val="20"/>
          <w:szCs w:val="20"/>
          <w:color w:val="auto"/>
        </w:rPr>
      </w:pPr>
    </w:p>
    <w:p>
      <w:pPr>
        <w:jc w:val="both"/>
        <w:ind w:firstLine="632"/>
        <w:spacing w:after="0" w:line="269" w:lineRule="auto"/>
        <w:tabs>
          <w:tab w:leader="none" w:pos="124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Canadian Term Lenders</w:t>
      </w:r>
      <w:r>
        <w:rPr>
          <w:rFonts w:ascii="Times New Roman" w:cs="Times New Roman" w:eastAsia="Times New Roman" w:hAnsi="Times New Roman"/>
          <w:sz w:val="21"/>
          <w:szCs w:val="21"/>
          <w:color w:val="auto"/>
        </w:rPr>
        <w:t xml:space="preserve">” shall mean, at any time, Canadian Term Lenders having Canadian Term Loans representing at least a majority of the sum of all Canadian Term Loans outstanding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Canadian Term Loans outstanding of any Defaulting Lender shall be disregarded in determining Required Canadian Term Lenders at any time.</w:t>
      </w:r>
    </w:p>
    <w:p>
      <w:pPr>
        <w:spacing w:after="0" w:line="155" w:lineRule="exact"/>
        <w:rPr>
          <w:rFonts w:ascii="Times New Roman" w:cs="Times New Roman" w:eastAsia="Times New Roman" w:hAnsi="Times New Roman"/>
          <w:sz w:val="21"/>
          <w:szCs w:val="21"/>
          <w:color w:val="auto"/>
        </w:rPr>
      </w:pPr>
    </w:p>
    <w:p>
      <w:pPr>
        <w:jc w:val="both"/>
        <w:ind w:firstLine="632"/>
        <w:spacing w:after="0" w:line="253" w:lineRule="auto"/>
        <w:tabs>
          <w:tab w:leader="none" w:pos="124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Canadian Revolving Lenders</w:t>
      </w:r>
      <w:r>
        <w:rPr>
          <w:rFonts w:ascii="Times New Roman" w:cs="Times New Roman" w:eastAsia="Times New Roman" w:hAnsi="Times New Roman"/>
          <w:sz w:val="21"/>
          <w:szCs w:val="21"/>
          <w:color w:val="auto"/>
        </w:rPr>
        <w:t>” shall mean, at any time, Canadian Revolving Lenders having Canadian Revolving Credit Loans, a share of the Canadian L/C Exposure and unused Canadian Revolving Commitments representing at least a majority of the sum of all Canadian Revolving Credit Loans outstanding, the Canadian L/C Exposure and unused Canadian Revolving Commitments at such time; provided that the Canadian Revolving Credit Loans outstanding, share of Canadian L/C Exposure and unused Canadian Revolving Commitments of any Defaulting Lender shall be disregarded in determining Required Canadian Revolving Lenders at any time. For purposes of determining the Required Canadian Revolving Lenders at any time, the amount of any Canadian Revolving Credit Loans denominated in Canadian dollars and the Canadian L/C Exposure shall be the U.S. Dollar Equivalent thereof at such time, as determined by the Administrative Agent using the then-applicable Exchange Rate.</w:t>
      </w:r>
    </w:p>
    <w:p>
      <w:pPr>
        <w:spacing w:after="0" w:line="172" w:lineRule="exact"/>
        <w:rPr>
          <w:rFonts w:ascii="Times New Roman" w:cs="Times New Roman" w:eastAsia="Times New Roman" w:hAnsi="Times New Roman"/>
          <w:sz w:val="21"/>
          <w:szCs w:val="21"/>
          <w:color w:val="auto"/>
        </w:rPr>
      </w:pPr>
    </w:p>
    <w:p>
      <w:pPr>
        <w:jc w:val="both"/>
        <w:ind w:firstLine="632"/>
        <w:spacing w:after="0" w:line="254" w:lineRule="auto"/>
        <w:tabs>
          <w:tab w:leader="none" w:pos="132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Lenders</w:t>
      </w:r>
      <w:r>
        <w:rPr>
          <w:rFonts w:ascii="Times New Roman" w:cs="Times New Roman" w:eastAsia="Times New Roman" w:hAnsi="Times New Roman"/>
          <w:sz w:val="21"/>
          <w:szCs w:val="21"/>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Loans outstanding, share of Aggregate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69"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“Required Revolving Lenders</w:t>
      </w:r>
      <w:r>
        <w:rPr>
          <w:rFonts w:ascii="Times New Roman" w:cs="Times New Roman" w:eastAsia="Times New Roman" w:hAnsi="Times New Roman"/>
          <w:sz w:val="21"/>
          <w:szCs w:val="21"/>
          <w:color w:val="auto"/>
        </w:rPr>
        <w:t>” shall mean the Required Australian Lenders, the Required Canadian Revolving Lenders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the Required U.S. Lenders, as applicable.</w:t>
      </w:r>
    </w:p>
    <w:p>
      <w:pPr>
        <w:spacing w:after="0" w:line="144" w:lineRule="exact"/>
        <w:rPr>
          <w:rFonts w:ascii="Times New Roman" w:cs="Times New Roman" w:eastAsia="Times New Roman" w:hAnsi="Times New Roman"/>
          <w:sz w:val="21"/>
          <w:szCs w:val="21"/>
          <w:color w:val="auto"/>
        </w:rPr>
      </w:pPr>
    </w:p>
    <w:p>
      <w:pPr>
        <w:jc w:val="both"/>
        <w:ind w:firstLine="632"/>
        <w:spacing w:after="0" w:line="258" w:lineRule="auto"/>
        <w:tabs>
          <w:tab w:leader="none" w:pos="131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U.S. Lenders</w:t>
      </w:r>
      <w:r>
        <w:rPr>
          <w:rFonts w:ascii="Times New Roman" w:cs="Times New Roman" w:eastAsia="Times New Roman" w:hAnsi="Times New Roman"/>
          <w:sz w:val="21"/>
          <w:szCs w:val="21"/>
          <w:color w:val="auto"/>
        </w:rPr>
        <w:t xml:space="preserve">”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U.S. Revolving Credit Loans outstanding, share of U.S. L/C Exposure and unused U.S. Revolving Commitments of any Defaulting Lender shall be disregarded in determining Required U.S. Lenders at any time.</w:t>
      </w:r>
    </w:p>
    <w:p>
      <w:pPr>
        <w:sectPr>
          <w:pgSz w:w="11900" w:h="16838" w:orient="portrait"/>
          <w:cols w:equalWidth="0" w:num="1">
            <w:col w:w="11240"/>
          </w:cols>
          <w:pgMar w:left="320" w:top="1380" w:right="339" w:bottom="1440" w:gutter="0" w:footer="0" w:header="0"/>
        </w:sectPr>
      </w:pPr>
    </w:p>
    <w:bookmarkStart w:id="94" w:name="page95"/>
    <w:bookmarkEnd w:id="94"/>
    <w:p>
      <w:pPr>
        <w:ind w:left="-632" w:firstLine="632"/>
        <w:spacing w:after="0" w:line="279"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Resolution Authority</w:t>
      </w:r>
      <w:r>
        <w:rPr>
          <w:rFonts w:ascii="Times New Roman" w:cs="Times New Roman" w:eastAsia="Times New Roman" w:hAnsi="Times New Roman"/>
          <w:sz w:val="21"/>
          <w:szCs w:val="21"/>
          <w:color w:val="auto"/>
        </w:rPr>
        <w:t>” shall mean, with respect to an EEA Financial Institution, an EEA Resolution Authority or, with respect to any UK Financial Institution, a UK Resolution Authority.</w:t>
      </w:r>
    </w:p>
    <w:p>
      <w:pPr>
        <w:spacing w:after="0" w:line="144" w:lineRule="exact"/>
        <w:rPr>
          <w:rFonts w:ascii="Times New Roman" w:cs="Times New Roman" w:eastAsia="Times New Roman" w:hAnsi="Times New Roman"/>
          <w:sz w:val="21"/>
          <w:szCs w:val="21"/>
          <w:color w:val="auto"/>
        </w:rPr>
      </w:pPr>
    </w:p>
    <w:p>
      <w:pPr>
        <w:jc w:val="both"/>
        <w:ind w:left="-632" w:firstLine="632"/>
        <w:spacing w:after="0" w:line="269"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Responsible Officer</w:t>
      </w:r>
      <w:r>
        <w:rPr>
          <w:rFonts w:ascii="Times New Roman" w:cs="Times New Roman" w:eastAsia="Times New Roman" w:hAnsi="Times New Roman"/>
          <w:sz w:val="21"/>
          <w:szCs w:val="21"/>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5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Restricted Indebtedness</w:t>
      </w:r>
      <w:r>
        <w:rPr>
          <w:rFonts w:ascii="Times New Roman" w:cs="Times New Roman" w:eastAsia="Times New Roman" w:hAnsi="Times New Roman"/>
          <w:sz w:val="21"/>
          <w:szCs w:val="21"/>
          <w:color w:val="auto"/>
        </w:rPr>
        <w:t>” shall mean Subordinated Indebtedness of the Parent Borrower or any Subsidiary, the payment, prepayment, repurchase or defeasance of which is restricted under Section 6.09(b).</w:t>
      </w:r>
    </w:p>
    <w:p>
      <w:pPr>
        <w:spacing w:after="0" w:line="144"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Restricted Payment</w:t>
      </w:r>
      <w:r>
        <w:rPr>
          <w:rFonts w:ascii="Times New Roman" w:cs="Times New Roman" w:eastAsia="Times New Roman" w:hAnsi="Times New Roman"/>
          <w:sz w:val="21"/>
          <w:szCs w:val="21"/>
          <w:color w:val="auto"/>
        </w:rPr>
        <w:t>” shall mean any dividend or other distribution (whether in cash, securities or other property) with respect to any Equity Interests in the Parent Borrower or any Subsidiary, or any payment (whether in cash, securities or other property), including any sinking fund or similar deposit, on account of the purchase, redemption, retirement, acquisition, cancellation or termination of any Equity Interests in the Parent Borrower or any Subsidiary or any option, warrant or other right to acquire any such Equity Interests in the Parent Borrower or any Subsidiary.</w:t>
      </w:r>
    </w:p>
    <w:p>
      <w:pPr>
        <w:spacing w:after="0" w:line="16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Commitments</w:t>
      </w:r>
      <w:r>
        <w:rPr>
          <w:rFonts w:ascii="Times New Roman" w:cs="Times New Roman" w:eastAsia="Times New Roman" w:hAnsi="Times New Roman"/>
          <w:sz w:val="21"/>
          <w:szCs w:val="21"/>
          <w:color w:val="auto"/>
        </w:rPr>
        <w:t>” shall mean the Canadian Revolving Commitments, the U.S. Revolving Commitments and the Australian Revolving Commitments.</w:t>
      </w:r>
    </w:p>
    <w:p>
      <w:pPr>
        <w:spacing w:after="0" w:line="157"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Credit Loans</w:t>
      </w:r>
      <w:r>
        <w:rPr>
          <w:rFonts w:ascii="Times New Roman" w:cs="Times New Roman" w:eastAsia="Times New Roman" w:hAnsi="Times New Roman"/>
          <w:sz w:val="21"/>
          <w:szCs w:val="21"/>
          <w:color w:val="auto"/>
        </w:rPr>
        <w:t>” shall mean U.S. Revolving Credit Loans, Canadian Revolving Credit Loans or Australian Revolving Credit Loans, as the context may require.</w:t>
      </w:r>
    </w:p>
    <w:p>
      <w:pPr>
        <w:spacing w:after="0" w:line="144"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Lenders</w:t>
      </w:r>
      <w:r>
        <w:rPr>
          <w:rFonts w:ascii="Times New Roman" w:cs="Times New Roman" w:eastAsia="Times New Roman" w:hAnsi="Times New Roman"/>
          <w:sz w:val="21"/>
          <w:szCs w:val="21"/>
          <w:color w:val="auto"/>
        </w:rPr>
        <w:t>” shall mean U.S. Revolving Lenders, Canadian Revolving Lenders or Australian Lenders, as the context may require.</w:t>
      </w:r>
    </w:p>
    <w:p>
      <w:pPr>
        <w:spacing w:after="0" w:line="144" w:lineRule="exact"/>
        <w:rPr>
          <w:rFonts w:ascii="Times New Roman" w:cs="Times New Roman" w:eastAsia="Times New Roman" w:hAnsi="Times New Roman"/>
          <w:sz w:val="21"/>
          <w:szCs w:val="21"/>
          <w:color w:val="auto"/>
        </w:rPr>
      </w:pPr>
    </w:p>
    <w:p>
      <w:pPr>
        <w:ind w:left="-632" w:firstLine="632"/>
        <w:spacing w:after="0" w:line="292"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Rolled Letter of Credit</w:t>
      </w:r>
      <w:r>
        <w:rPr>
          <w:rFonts w:ascii="Times New Roman" w:cs="Times New Roman" w:eastAsia="Times New Roman" w:hAnsi="Times New Roman"/>
          <w:sz w:val="21"/>
          <w:szCs w:val="21"/>
          <w:color w:val="auto"/>
        </w:rPr>
        <w:t>” shall mean each Letter of Credit previously issued for the account of a Borrower that (a) is outstanding on the Closing Date and (b) is listed on Schedule 1.01(a).</w:t>
      </w:r>
    </w:p>
    <w:p>
      <w:pPr>
        <w:spacing w:after="0" w:line="131" w:lineRule="exact"/>
        <w:rPr>
          <w:rFonts w:ascii="Times New Roman" w:cs="Times New Roman" w:eastAsia="Times New Roman" w:hAnsi="Times New Roman"/>
          <w:sz w:val="21"/>
          <w:szCs w:val="21"/>
          <w:color w:val="auto"/>
        </w:rPr>
      </w:pPr>
    </w:p>
    <w:p>
      <w:pPr>
        <w:jc w:val="both"/>
        <w:ind w:left="-632" w:firstLine="632"/>
        <w:spacing w:after="0" w:line="258"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Sanctions Laws and Regulations</w:t>
      </w:r>
      <w:r>
        <w:rPr>
          <w:rFonts w:ascii="Times New Roman" w:cs="Times New Roman" w:eastAsia="Times New Roman" w:hAnsi="Times New Roman"/>
          <w:sz w:val="21"/>
          <w:szCs w:val="21"/>
          <w:color w:val="auto"/>
        </w:rPr>
        <w:t>” shall mean (a) any economic, trade or financial sanctions, prohibitions or requirements imposed, administered or enforced by any executive order of the President of the United States (an “</w:t>
      </w:r>
      <w:r>
        <w:rPr>
          <w:rFonts w:ascii="Times New Roman" w:cs="Times New Roman" w:eastAsia="Times New Roman" w:hAnsi="Times New Roman"/>
          <w:sz w:val="21"/>
          <w:szCs w:val="21"/>
          <w:i w:val="1"/>
          <w:iCs w:val="1"/>
          <w:color w:val="auto"/>
        </w:rPr>
        <w:t>Executive Order</w:t>
      </w:r>
      <w:r>
        <w:rPr>
          <w:rFonts w:ascii="Times New Roman" w:cs="Times New Roman" w:eastAsia="Times New Roman" w:hAnsi="Times New Roman"/>
          <w:sz w:val="21"/>
          <w:szCs w:val="21"/>
          <w:color w:val="auto"/>
        </w:rPr>
        <w:t>”) or by any economic sanctions program administered by OFAC or the U.S. Department of State; and (b) any sanctions measures or programs administered, enforced or imposed by the United Nations Security Council, European Union, the United Kingdom, Canada, Singapore or Australia.</w:t>
      </w:r>
    </w:p>
    <w:p>
      <w:pPr>
        <w:spacing w:after="0" w:line="165"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w:t>
      </w:r>
      <w:r>
        <w:rPr>
          <w:rFonts w:ascii="Times New Roman" w:cs="Times New Roman" w:eastAsia="Times New Roman" w:hAnsi="Times New Roman"/>
          <w:sz w:val="21"/>
          <w:szCs w:val="21"/>
          <w:color w:val="auto"/>
        </w:rPr>
        <w:t>” shall mean the Securities and Exchange Commission, and any successor entity.</w:t>
      </w:r>
    </w:p>
    <w:p>
      <w:pPr>
        <w:spacing w:after="0" w:line="215"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Secured Parties</w:t>
      </w:r>
      <w:r>
        <w:rPr>
          <w:rFonts w:ascii="Times New Roman" w:cs="Times New Roman" w:eastAsia="Times New Roman" w:hAnsi="Times New Roman"/>
          <w:sz w:val="21"/>
          <w:szCs w:val="21"/>
          <w:color w:val="auto"/>
        </w:rPr>
        <w:t>” shall mean (a) the Lenders, (b) the Administrative Agents, (c) the Collateral Agents, (d) the Issuing Banks, (e) each counterparty to a Hedging Agreement</w:t>
      </w:r>
    </w:p>
    <w:p>
      <w:pPr>
        <w:sectPr>
          <w:pgSz w:w="11900" w:h="16838" w:orient="portrait"/>
          <w:cols w:equalWidth="0" w:num="1">
            <w:col w:w="10608"/>
          </w:cols>
          <w:pgMar w:left="952" w:top="1378" w:right="33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21"/>
          <w:szCs w:val="21"/>
          <w:color w:val="auto"/>
        </w:rPr>
        <w:t>entered into with a Loan Party if such counterparty was a Lender (or an Affiliate of a Lender) at the time the Hedging Agreement was entered into, (f) any Lender (or any Affiliate of a Lender) providing Banking Services to any Loan Party, (g) the Bilateral Lender, (h) the beneficiaries of each indemnification obligation undertaken by any Grantor under any Loan Document and (i) the successors and assigns of each of the foregoing.</w:t>
      </w:r>
    </w:p>
    <w:p>
      <w:pPr>
        <w:spacing w:after="0" w:line="163" w:lineRule="exact"/>
        <w:rPr>
          <w:sz w:val="20"/>
          <w:szCs w:val="20"/>
          <w:color w:val="auto"/>
        </w:rPr>
      </w:pPr>
    </w:p>
    <w:p>
      <w:pPr>
        <w:ind w:firstLine="632"/>
        <w:spacing w:after="0" w:line="279" w:lineRule="auto"/>
        <w:tabs>
          <w:tab w:leader="none" w:pos="124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Security Agreements</w:t>
      </w:r>
      <w:r>
        <w:rPr>
          <w:rFonts w:ascii="Times New Roman" w:cs="Times New Roman" w:eastAsia="Times New Roman" w:hAnsi="Times New Roman"/>
          <w:sz w:val="21"/>
          <w:szCs w:val="21"/>
          <w:color w:val="auto"/>
        </w:rPr>
        <w:t>” shall mean, collectively, the U.S. Security Agreement, the Canadian Security Agreement and the Australian Security Deed.</w:t>
      </w:r>
    </w:p>
    <w:p>
      <w:pPr>
        <w:spacing w:after="0" w:line="144"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Security Documents</w:t>
      </w:r>
      <w:r>
        <w:rPr>
          <w:rFonts w:ascii="Times New Roman" w:cs="Times New Roman" w:eastAsia="Times New Roman" w:hAnsi="Times New Roman"/>
          <w:sz w:val="21"/>
          <w:szCs w:val="21"/>
          <w:color w:val="auto"/>
        </w:rPr>
        <w:t>” shall mean the Security Agreements, the Pledge Agreements, and each of the security agreements, and other instruments and documents executed and delivered pursuant to any of the foregoing or pursuant to Section 5.09.</w:t>
      </w:r>
    </w:p>
    <w:p>
      <w:pPr>
        <w:spacing w:after="0" w:line="155"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Senior Secured Net Debt</w:t>
      </w:r>
      <w:r>
        <w:rPr>
          <w:rFonts w:ascii="Times New Roman" w:cs="Times New Roman" w:eastAsia="Times New Roman" w:hAnsi="Times New Roman"/>
          <w:sz w:val="21"/>
          <w:szCs w:val="21"/>
          <w:color w:val="auto"/>
        </w:rPr>
        <w:t xml:space="preserve">” at any time shall mean (a) the Indebtedness of the Parent Borrower and its Subsidiaries (excluding Indebtedness of the type described in clause (i) of the definition of such term, except to the extent of any unreimbursed drawings thereunder) that is secured by a first priority Lien on any property or assets of the Parent Borrower or any Subsidiary, </w:t>
      </w:r>
      <w:r>
        <w:rPr>
          <w:rFonts w:ascii="Times New Roman" w:cs="Times New Roman" w:eastAsia="Times New Roman" w:hAnsi="Times New Roman"/>
          <w:sz w:val="21"/>
          <w:szCs w:val="21"/>
          <w:i w:val="1"/>
          <w:iCs w:val="1"/>
          <w:color w:val="auto"/>
        </w:rPr>
        <w:t>minus</w:t>
      </w:r>
    </w:p>
    <w:p>
      <w:pPr>
        <w:spacing w:after="0" w:line="1" w:lineRule="exact"/>
        <w:rPr>
          <w:rFonts w:ascii="Times New Roman" w:cs="Times New Roman" w:eastAsia="Times New Roman" w:hAnsi="Times New Roman"/>
          <w:sz w:val="21"/>
          <w:szCs w:val="21"/>
          <w:color w:val="auto"/>
        </w:rPr>
      </w:pPr>
    </w:p>
    <w:p>
      <w:pPr>
        <w:jc w:val="both"/>
        <w:ind w:firstLine="5"/>
        <w:spacing w:after="0" w:line="253" w:lineRule="auto"/>
        <w:tabs>
          <w:tab w:leader="none" w:pos="301"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Unrestricted Cash of the Parent Borrower and its Subsidiaries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there are (1) any Loans then outstanding or (2) any drawn and unreimbursed Letters of Credit with a face amount of not less than U.S.$1,000,000 individually, and U.S.$3,000,000 in the aggregate for all such Letters of Credit, that have not been reimbursed in accordance with Section 2.21(e), the amount of this clause (b) shall not exceed $30,000,000.</w:t>
      </w:r>
    </w:p>
    <w:p>
      <w:pPr>
        <w:spacing w:after="0" w:line="171" w:lineRule="exact"/>
        <w:rPr>
          <w:rFonts w:ascii="Times New Roman" w:cs="Times New Roman" w:eastAsia="Times New Roman" w:hAnsi="Times New Roman"/>
          <w:sz w:val="21"/>
          <w:szCs w:val="21"/>
          <w:color w:val="auto"/>
        </w:rPr>
      </w:pPr>
    </w:p>
    <w:p>
      <w:pPr>
        <w:jc w:val="both"/>
        <w:ind w:firstLine="632"/>
        <w:spacing w:after="0" w:line="253" w:lineRule="auto"/>
        <w:tabs>
          <w:tab w:leader="none" w:pos="124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Senior Secured Net Leverage Ratio</w:t>
      </w:r>
      <w:r>
        <w:rPr>
          <w:rFonts w:ascii="Times New Roman" w:cs="Times New Roman" w:eastAsia="Times New Roman" w:hAnsi="Times New Roman"/>
          <w:sz w:val="21"/>
          <w:szCs w:val="21"/>
          <w:color w:val="auto"/>
        </w:rPr>
        <w:t xml:space="preserve">” shall mean, on any date, the ratio of Senior Secured Net Debt on such date to Consolidated EBITDA for the period of four consecutive fiscal quarters most recently ended on or prior to such date for which financial statements have been delivered pursuant to Section 5.04(a) or (b) or for which comparable financial statements have been filed with the SEC. Solely for purposes of this definition, if, at any time the Senior Secured Net Leverage Ratio is being determined, the Parent Borrower or any Subsidiary shall have completed a Permitted Acquisition or Asset Sale the consideration of which is greater than U.S.$25,000,000 since the beginning of the relevant four fiscal quarter period, the Senior Secured Net Leverage Ratio shall be determined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8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“SOFR” </w:t>
      </w:r>
      <w:r>
        <w:rPr>
          <w:rFonts w:ascii="Times New Roman" w:cs="Times New Roman" w:eastAsia="Times New Roman" w:hAnsi="Times New Roman"/>
          <w:sz w:val="21"/>
          <w:szCs w:val="21"/>
          <w:color w:val="auto"/>
        </w:rPr>
        <w:t>means a rate per annum equal to the secured overnight financing rate as administered by the SOFR</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Administrator.</w:t>
      </w:r>
    </w:p>
    <w:p>
      <w:pPr>
        <w:spacing w:after="0" w:line="189"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“SOFR Administrator” </w:t>
      </w:r>
      <w:r>
        <w:rPr>
          <w:rFonts w:ascii="Times New Roman" w:cs="Times New Roman" w:eastAsia="Times New Roman" w:hAnsi="Times New Roman"/>
          <w:sz w:val="21"/>
          <w:szCs w:val="21"/>
          <w:color w:val="auto"/>
        </w:rPr>
        <w:t>means the Federal Reserve Bank of New York (or a successor administrator of the secured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overnight financing rate).</w:t>
      </w:r>
    </w:p>
    <w:p>
      <w:pPr>
        <w:spacing w:after="0" w:line="146" w:lineRule="exact"/>
        <w:rPr>
          <w:rFonts w:ascii="Times New Roman" w:cs="Times New Roman" w:eastAsia="Times New Roman" w:hAnsi="Times New Roman"/>
          <w:sz w:val="21"/>
          <w:szCs w:val="21"/>
          <w:color w:val="auto"/>
        </w:rPr>
      </w:pPr>
    </w:p>
    <w:p>
      <w:pPr>
        <w:ind w:firstLine="632"/>
        <w:spacing w:after="0" w:line="277" w:lineRule="auto"/>
        <w:tabs>
          <w:tab w:leader="none" w:pos="124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“SOFR Loan” means a Loan that bears interest at a rate based on Adjusted Term SOFR, other than pursuant to (a) clause (iii) of the definition of “Alternate Base Rate” or (b) clause (iii) of the definition of “U.S. Base Rate”.</w:t>
      </w:r>
    </w:p>
    <w:p>
      <w:pPr>
        <w:sectPr>
          <w:pgSz w:w="11900" w:h="16838" w:orient="portrait"/>
          <w:cols w:equalWidth="0" w:num="1">
            <w:col w:w="11240"/>
          </w:cols>
          <w:pgMar w:left="320" w:top="1380" w:right="339" w:bottom="1440" w:gutter="0" w:footer="0" w:header="0"/>
        </w:sectPr>
      </w:pPr>
    </w:p>
    <w:bookmarkStart w:id="96" w:name="page97"/>
    <w:bookmarkEnd w:id="96"/>
    <w:p>
      <w:pPr>
        <w:jc w:val="both"/>
        <w:ind w:left="-632" w:firstLine="632"/>
        <w:spacing w:after="0" w:line="254" w:lineRule="auto"/>
        <w:tabs>
          <w:tab w:leader="none" w:pos="61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Solvent</w:t>
      </w:r>
      <w:r>
        <w:rPr>
          <w:rFonts w:ascii="Times New Roman" w:cs="Times New Roman" w:eastAsia="Times New Roman" w:hAnsi="Times New Roman"/>
          <w:sz w:val="21"/>
          <w:szCs w:val="21"/>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 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Closing Date.</w:t>
      </w:r>
    </w:p>
    <w:p>
      <w:pPr>
        <w:spacing w:after="0" w:line="171" w:lineRule="exact"/>
        <w:rPr>
          <w:rFonts w:ascii="Times New Roman" w:cs="Times New Roman" w:eastAsia="Times New Roman" w:hAnsi="Times New Roman"/>
          <w:sz w:val="21"/>
          <w:szCs w:val="21"/>
          <w:color w:val="auto"/>
        </w:rPr>
      </w:pPr>
    </w:p>
    <w:p>
      <w:pPr>
        <w:ind w:left="-632" w:firstLine="632"/>
        <w:spacing w:after="0" w:line="292" w:lineRule="auto"/>
        <w:tabs>
          <w:tab w:leader="none" w:pos="61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S&amp;P</w:t>
      </w:r>
      <w:r>
        <w:rPr>
          <w:rFonts w:ascii="Times New Roman" w:cs="Times New Roman" w:eastAsia="Times New Roman" w:hAnsi="Times New Roman"/>
          <w:sz w:val="21"/>
          <w:szCs w:val="21"/>
          <w:color w:val="auto"/>
        </w:rPr>
        <w:t>” shall mean Standard &amp; Poor’s Ratings Service, a division of The McGraw-Hill Companies, Inc., or any successor thereof which is a nationally recognized statistical rating organization.</w:t>
      </w:r>
    </w:p>
    <w:p>
      <w:pPr>
        <w:spacing w:after="0" w:line="131"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SPC</w:t>
      </w:r>
      <w:r>
        <w:rPr>
          <w:rFonts w:ascii="Times New Roman" w:cs="Times New Roman" w:eastAsia="Times New Roman" w:hAnsi="Times New Roman"/>
          <w:sz w:val="21"/>
          <w:szCs w:val="21"/>
          <w:color w:val="auto"/>
        </w:rPr>
        <w:t>” shall have the meaning assigned to such term in Section 9.04(g).</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54" w:lineRule="auto"/>
        <w:tabs>
          <w:tab w:leader="none" w:pos="61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Special Purpose Business Entity</w:t>
      </w:r>
      <w:r>
        <w:rPr>
          <w:rFonts w:ascii="Times New Roman" w:cs="Times New Roman" w:eastAsia="Times New Roman" w:hAnsi="Times New Roman"/>
          <w:sz w:val="21"/>
          <w:szCs w:val="21"/>
          <w:color w:val="auto"/>
        </w:rPr>
        <w:t>” shall mean each entity listed on Schedule 3.08 as being a Special Purpose Business Entity and any other entity formed by the Parent Borrower or any of its Subsidiaries, or in which the Parent Borrower or any of its Subsidiaries acquires an Equity Interest, in each case so long as (i) such entity is, or proposes to engage in, a joint venture with persons that are, or are owned or controlled by, aboriginal peoples in Alaska, Australia or Canada, (ii) any loans or advances to, or investments in such Special Purpose Business Entity is permitted by Section 6.04, and (iii) the Parent Borrower delivers a certificate of a Responsible Officer to the Administrative Agents designating such Special Purpose Business Entity as such and certifying compliance with the foregoing requirements of this definition.</w:t>
      </w:r>
    </w:p>
    <w:p>
      <w:pPr>
        <w:spacing w:after="0" w:line="171" w:lineRule="exact"/>
        <w:rPr>
          <w:rFonts w:ascii="Times New Roman" w:cs="Times New Roman" w:eastAsia="Times New Roman" w:hAnsi="Times New Roman"/>
          <w:sz w:val="21"/>
          <w:szCs w:val="21"/>
          <w:color w:val="auto"/>
        </w:rPr>
      </w:pPr>
    </w:p>
    <w:p>
      <w:pPr>
        <w:ind w:left="-632" w:firstLine="632"/>
        <w:spacing w:after="0" w:line="279" w:lineRule="auto"/>
        <w:tabs>
          <w:tab w:leader="none" w:pos="61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Specified Dispositions</w:t>
      </w:r>
      <w:r>
        <w:rPr>
          <w:rFonts w:ascii="Times New Roman" w:cs="Times New Roman" w:eastAsia="Times New Roman" w:hAnsi="Times New Roman"/>
          <w:sz w:val="21"/>
          <w:szCs w:val="21"/>
          <w:color w:val="auto"/>
        </w:rPr>
        <w:t>” shall mean those sales or other dispositions identified in writing to the Administrative Agent by the Parent Borrower on or prior to the Closing Date.</w:t>
      </w:r>
    </w:p>
    <w:p>
      <w:pPr>
        <w:spacing w:after="0" w:line="157"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Standard Time</w:t>
      </w:r>
      <w:r>
        <w:rPr>
          <w:rFonts w:ascii="Times New Roman" w:cs="Times New Roman" w:eastAsia="Times New Roman" w:hAnsi="Times New Roman"/>
          <w:sz w:val="21"/>
          <w:szCs w:val="21"/>
          <w:color w:val="auto"/>
        </w:rPr>
        <w:t>” shall mean eastern standard time or eastern daylight savings time, as applicable on the relevant date.</w:t>
      </w:r>
    </w:p>
    <w:p>
      <w:pPr>
        <w:spacing w:after="0" w:line="215" w:lineRule="exact"/>
        <w:rPr>
          <w:rFonts w:ascii="Times New Roman" w:cs="Times New Roman" w:eastAsia="Times New Roman" w:hAnsi="Times New Roman"/>
          <w:sz w:val="21"/>
          <w:szCs w:val="21"/>
          <w:color w:val="auto"/>
        </w:rPr>
      </w:pPr>
    </w:p>
    <w:p>
      <w:pPr>
        <w:jc w:val="both"/>
        <w:ind w:left="-632" w:firstLine="632"/>
        <w:spacing w:after="0" w:line="263" w:lineRule="auto"/>
        <w:tabs>
          <w:tab w:leader="none" w:pos="61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Subordinated Indebtedness</w:t>
      </w:r>
      <w:r>
        <w:rPr>
          <w:rFonts w:ascii="Times New Roman" w:cs="Times New Roman" w:eastAsia="Times New Roman" w:hAnsi="Times New Roman"/>
          <w:sz w:val="21"/>
          <w:szCs w:val="21"/>
          <w:color w:val="auto"/>
        </w:rPr>
        <w:t>” shall mean (a) Indebtedness incurred under Section 6.01(e) and any Permitted Refinancing Indebtedness in respect thereof and (b) Indebtedness of a Loan Party that is subordinated to the prior payment in full of the Obligations on terms reasonably satisfactory to the Administrative Agent.</w:t>
      </w:r>
    </w:p>
    <w:p>
      <w:pPr>
        <w:spacing w:after="0" w:line="160" w:lineRule="exact"/>
        <w:rPr>
          <w:rFonts w:ascii="Times New Roman" w:cs="Times New Roman" w:eastAsia="Times New Roman" w:hAnsi="Times New Roman"/>
          <w:sz w:val="21"/>
          <w:szCs w:val="21"/>
          <w:color w:val="auto"/>
        </w:rPr>
      </w:pPr>
    </w:p>
    <w:p>
      <w:pPr>
        <w:jc w:val="both"/>
        <w:ind w:left="-632" w:firstLine="632"/>
        <w:spacing w:after="0" w:line="261" w:lineRule="auto"/>
        <w:tabs>
          <w:tab w:leader="none" w:pos="61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shall mean, with respect to any person (herein referred to as the “</w:t>
      </w:r>
      <w:r>
        <w:rPr>
          <w:rFonts w:ascii="Times New Roman" w:cs="Times New Roman" w:eastAsia="Times New Roman" w:hAnsi="Times New Roman"/>
          <w:sz w:val="21"/>
          <w:szCs w:val="21"/>
          <w:i w:val="1"/>
          <w:iCs w:val="1"/>
          <w:color w:val="auto"/>
        </w:rPr>
        <w:t>parent</w:t>
      </w:r>
      <w:r>
        <w:rPr>
          <w:rFonts w:ascii="Times New Roman" w:cs="Times New Roman" w:eastAsia="Times New Roman" w:hAnsi="Times New Roman"/>
          <w:sz w:val="21"/>
          <w:szCs w:val="21"/>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64" w:lineRule="exact"/>
        <w:rPr>
          <w:rFonts w:ascii="Times New Roman" w:cs="Times New Roman" w:eastAsia="Times New Roman" w:hAnsi="Times New Roman"/>
          <w:sz w:val="21"/>
          <w:szCs w:val="21"/>
          <w:color w:val="auto"/>
        </w:rPr>
      </w:pPr>
    </w:p>
    <w:p>
      <w:pPr>
        <w:ind w:left="628" w:hanging="628"/>
        <w:spacing w:after="0"/>
        <w:tabs>
          <w:tab w:leader="none" w:pos="62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shall mean any subsidiary of a Borrower, other than a Special Purpose Business Entity.</w:t>
      </w:r>
    </w:p>
    <w:p>
      <w:pPr>
        <w:sectPr>
          <w:pgSz w:w="11900" w:h="16838" w:orient="portrait"/>
          <w:cols w:equalWidth="0" w:num="1">
            <w:col w:w="10608"/>
          </w:cols>
          <w:pgMar w:left="952" w:top="1378" w:right="339" w:bottom="1440" w:gutter="0" w:footer="0" w:header="0"/>
        </w:sectPr>
      </w:pPr>
    </w:p>
    <w:bookmarkStart w:id="97" w:name="page98"/>
    <w:bookmarkEnd w:id="97"/>
    <w:p>
      <w:pPr>
        <w:ind w:firstLine="632"/>
        <w:spacing w:after="0" w:line="279" w:lineRule="auto"/>
        <w:tabs>
          <w:tab w:leader="none" w:pos="124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 Guarantors</w:t>
      </w:r>
      <w:r>
        <w:rPr>
          <w:rFonts w:ascii="Times New Roman" w:cs="Times New Roman" w:eastAsia="Times New Roman" w:hAnsi="Times New Roman"/>
          <w:sz w:val="21"/>
          <w:szCs w:val="21"/>
          <w:color w:val="auto"/>
        </w:rPr>
        <w:t>” shall mean, collectively, the U.S. Subsidiary Guarantors, the Canadian Subsidiary Guarantors, and the Australian Subsidiary Guarantors.</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Supplier</w:t>
      </w:r>
      <w:r>
        <w:rPr>
          <w:rFonts w:ascii="Times New Roman" w:cs="Times New Roman" w:eastAsia="Times New Roman" w:hAnsi="Times New Roman"/>
          <w:sz w:val="21"/>
          <w:szCs w:val="21"/>
          <w:color w:val="auto"/>
        </w:rPr>
        <w:t>” shall have the meaning assigned to such term in Section 2.19(j).</w:t>
      </w:r>
    </w:p>
    <w:p>
      <w:pPr>
        <w:spacing w:after="0" w:line="228"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Supported QFC</w:t>
      </w:r>
      <w:r>
        <w:rPr>
          <w:rFonts w:ascii="Times New Roman" w:cs="Times New Roman" w:eastAsia="Times New Roman" w:hAnsi="Times New Roman"/>
          <w:sz w:val="21"/>
          <w:szCs w:val="21"/>
          <w:color w:val="auto"/>
        </w:rPr>
        <w:t>” shall have the meaning provided in Section 9.25.</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Swap Obligation</w:t>
      </w:r>
      <w:r>
        <w:rPr>
          <w:rFonts w:ascii="Times New Roman" w:cs="Times New Roman" w:eastAsia="Times New Roman" w:hAnsi="Times New Roman"/>
          <w:sz w:val="21"/>
          <w:szCs w:val="21"/>
          <w:color w:val="auto"/>
        </w:rPr>
        <w:t>” shall mean, with respect to any Loan Party, any obligation to pay or perform under any agreement, contract or transaction that constitutes a “swap” within the meaning of Section 1a(47) of the Commodity Exchange Act.</w:t>
      </w:r>
    </w:p>
    <w:p>
      <w:pPr>
        <w:spacing w:after="0" w:line="14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 Line Borrowing</w:t>
      </w:r>
      <w:r>
        <w:rPr>
          <w:rFonts w:ascii="Times New Roman" w:cs="Times New Roman" w:eastAsia="Times New Roman" w:hAnsi="Times New Roman"/>
          <w:sz w:val="21"/>
          <w:szCs w:val="21"/>
          <w:color w:val="auto"/>
        </w:rPr>
        <w:t>” shall mean a U.S. Swing Line Borrowing or a Canadian Swing Line Borrowing, as the context may require.</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 Line Lender</w:t>
      </w:r>
      <w:r>
        <w:rPr>
          <w:rFonts w:ascii="Times New Roman" w:cs="Times New Roman" w:eastAsia="Times New Roman" w:hAnsi="Times New Roman"/>
          <w:sz w:val="21"/>
          <w:szCs w:val="21"/>
          <w:color w:val="auto"/>
        </w:rPr>
        <w:t>” shall mean the U.S. Swing Line Lender or the Canadian Swing Line Lender, as the context may</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w:t>
      </w:r>
    </w:p>
    <w:p>
      <w:pPr>
        <w:spacing w:after="0" w:line="189"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 Line Loan</w:t>
      </w:r>
      <w:r>
        <w:rPr>
          <w:rFonts w:ascii="Times New Roman" w:cs="Times New Roman" w:eastAsia="Times New Roman" w:hAnsi="Times New Roman"/>
          <w:sz w:val="21"/>
          <w:szCs w:val="21"/>
          <w:color w:val="auto"/>
        </w:rPr>
        <w:t>” shall mean a U.S. Swing Line Loan or a Canadian Swing Line Loan, as the context may require.</w:t>
      </w:r>
    </w:p>
    <w:p>
      <w:pPr>
        <w:spacing w:after="0" w:line="215" w:lineRule="exact"/>
        <w:rPr>
          <w:rFonts w:ascii="Times New Roman" w:cs="Times New Roman" w:eastAsia="Times New Roman" w:hAnsi="Times New Roman"/>
          <w:sz w:val="21"/>
          <w:szCs w:val="21"/>
          <w:color w:val="auto"/>
        </w:rPr>
      </w:pPr>
    </w:p>
    <w:p>
      <w:pPr>
        <w:jc w:val="both"/>
        <w:ind w:firstLine="632"/>
        <w:spacing w:after="0" w:line="272" w:lineRule="auto"/>
        <w:tabs>
          <w:tab w:leader="none" w:pos="1249"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Swing Line Payment Date</w:t>
      </w:r>
      <w:r>
        <w:rPr>
          <w:rFonts w:ascii="Times New Roman" w:cs="Times New Roman" w:eastAsia="Times New Roman" w:hAnsi="Times New Roman"/>
          <w:sz w:val="20"/>
          <w:szCs w:val="20"/>
          <w:color w:val="auto"/>
        </w:rPr>
        <w:t>” shall mean (a) if an AutoBorrow Agreement is in effect, the earliest to occur of (i) the date required by such AutoBorrow Agreement, (ii) demand is made by the Applicable Swing Line Lender and (iii) the Maturity Date, or</w:t>
      </w:r>
    </w:p>
    <w:p>
      <w:pPr>
        <w:spacing w:after="0" w:line="1" w:lineRule="exact"/>
        <w:rPr>
          <w:rFonts w:ascii="Times New Roman" w:cs="Times New Roman" w:eastAsia="Times New Roman" w:hAnsi="Times New Roman"/>
          <w:sz w:val="20"/>
          <w:szCs w:val="20"/>
          <w:color w:val="auto"/>
        </w:rPr>
      </w:pPr>
    </w:p>
    <w:p>
      <w:pPr>
        <w:jc w:val="both"/>
        <w:ind w:firstLine="5"/>
        <w:spacing w:after="0" w:line="256" w:lineRule="auto"/>
        <w:tabs>
          <w:tab w:leader="none" w:pos="31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AutoBorrow Agreement is not in effect, the earlier to occur of (i) five (5) Business Days after the date of the applicable Swing Line Borrowing if no Default or Event of Default exists, and otherwise upon demand by the Applicable Swing Line Lender and (ii) the Maturity Date.</w:t>
      </w:r>
    </w:p>
    <w:p>
      <w:pPr>
        <w:spacing w:after="0" w:line="168"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 Line Sublimit</w:t>
      </w:r>
      <w:r>
        <w:rPr>
          <w:rFonts w:ascii="Times New Roman" w:cs="Times New Roman" w:eastAsia="Times New Roman" w:hAnsi="Times New Roman"/>
          <w:sz w:val="21"/>
          <w:szCs w:val="21"/>
          <w:color w:val="auto"/>
        </w:rPr>
        <w:t>” shall mean the U.S. Swing Line Sublimit or the Canadian Swing Line Sublimit, as the context</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require.</w:t>
      </w:r>
    </w:p>
    <w:p>
      <w:pPr>
        <w:spacing w:after="0" w:line="189"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Synthetic Purchase Agreement</w:t>
      </w:r>
      <w:r>
        <w:rPr>
          <w:rFonts w:ascii="Times New Roman" w:cs="Times New Roman" w:eastAsia="Times New Roman" w:hAnsi="Times New Roman"/>
          <w:sz w:val="21"/>
          <w:szCs w:val="21"/>
          <w:color w:val="auto"/>
        </w:rPr>
        <w:t xml:space="preserve">” shall mean any swap, derivative or other agreement or combination of agreements pursuant to which the Parent Borrower or any Subsidiary is or may become obligated to make (a) any payment in connection with a purchase by any third party from a person other than the Parent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phantom stock or similar plan providing for payments only to current or former directors, officers or employees of the Parent Borrower or the Subsidiaries (or to their heirs or estates) shall be deemed to be a Synthetic Purchase Agreement.</w:t>
      </w:r>
    </w:p>
    <w:p>
      <w:pPr>
        <w:spacing w:after="0" w:line="169"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60" w:lineRule="exact"/>
        <w:rPr>
          <w:rFonts w:ascii="Times New Roman" w:cs="Times New Roman" w:eastAsia="Times New Roman" w:hAnsi="Times New Roman"/>
          <w:sz w:val="21"/>
          <w:szCs w:val="21"/>
          <w:color w:val="auto"/>
        </w:rPr>
      </w:pPr>
    </w:p>
    <w:p>
      <w:pPr>
        <w:ind w:firstLine="632"/>
        <w:spacing w:after="0" w:line="292" w:lineRule="auto"/>
        <w:tabs>
          <w:tab w:leader="none" w:pos="124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Term CORRA</w:t>
      </w:r>
      <w:r>
        <w:rPr>
          <w:rFonts w:ascii="Times New Roman" w:cs="Times New Roman" w:eastAsia="Times New Roman" w:hAnsi="Times New Roman"/>
          <w:sz w:val="21"/>
          <w:szCs w:val="21"/>
          <w:u w:val="single" w:color="auto"/>
          <w:color w:val="0000FF"/>
        </w:rPr>
        <w:t xml:space="preserve">” means, for any calculation with respect to a Term CORRA Loan, the Term CORRA Reference Rate </w:t>
      </w:r>
      <w:r>
        <w:rPr>
          <w:rFonts w:ascii="Times New Roman" w:cs="Times New Roman" w:eastAsia="Times New Roman" w:hAnsi="Times New Roman"/>
          <w:sz w:val="21"/>
          <w:szCs w:val="21"/>
          <w:u w:val="single" w:color="auto"/>
          <w:color w:val="0000FF"/>
          <w:highlight w:val="lightGray"/>
        </w:rPr>
        <w:t>for a tenor comparable to the applicable Interest Period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-353695</wp:posOffset>
            </wp:positionV>
            <wp:extent cx="6688455" cy="140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688455" cy="14097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21"/>
          <w:szCs w:val="21"/>
          <w:u w:val="single" w:color="auto"/>
          <w:color w:val="0000FF"/>
          <w:highlight w:val="lightGray"/>
        </w:rPr>
        <w:t>day (such day, the “</w:t>
      </w:r>
      <w:r>
        <w:rPr>
          <w:rFonts w:ascii="Times New Roman" w:cs="Times New Roman" w:eastAsia="Times New Roman" w:hAnsi="Times New Roman"/>
          <w:sz w:val="21"/>
          <w:szCs w:val="21"/>
          <w:i w:val="1"/>
          <w:iCs w:val="1"/>
          <w:u w:val="single" w:color="auto"/>
          <w:color w:val="0000FF"/>
          <w:highlight w:val="lightGray"/>
        </w:rPr>
        <w:t>Periodic Term CORRA Determination Day</w:t>
      </w:r>
      <w:r>
        <w:rPr>
          <w:rFonts w:ascii="Times New Roman" w:cs="Times New Roman" w:eastAsia="Times New Roman" w:hAnsi="Times New Roman"/>
          <w:sz w:val="21"/>
          <w:szCs w:val="21"/>
          <w:u w:val="single" w:color="auto"/>
          <w:color w:val="0000FF"/>
          <w:highlight w:val="lightGray"/>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Canadian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provided, however, if the Term CORRA Reference Rate for such tenor was published by the Term CORRA Administrator more than three (3) Business Days prior to such Periodic Term CORRA Determination Day, then Term CORRA will be the interest rate (expressed as a rate per annum on the basis of a year of 365 days) for a comparable tenor quoted by the Canadian Administrative Agent as of such Periodic Term CORRA Determination Day.</w:t>
      </w:r>
    </w:p>
    <w:p>
      <w:pPr>
        <w:spacing w:after="0" w:line="177" w:lineRule="exact"/>
        <w:rPr>
          <w:sz w:val="20"/>
          <w:szCs w:val="20"/>
          <w:color w:val="auto"/>
        </w:rPr>
      </w:pPr>
    </w:p>
    <w:p>
      <w:pPr>
        <w:jc w:val="both"/>
        <w:ind w:firstLine="632"/>
        <w:spacing w:after="0" w:line="263" w:lineRule="auto"/>
        <w:tabs>
          <w:tab w:leader="none" w:pos="124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Term CORRA Adjustment</w:t>
      </w:r>
      <w:r>
        <w:rPr>
          <w:rFonts w:ascii="Times New Roman" w:cs="Times New Roman" w:eastAsia="Times New Roman" w:hAnsi="Times New Roman"/>
          <w:sz w:val="21"/>
          <w:szCs w:val="21"/>
          <w:u w:val="single" w:color="auto"/>
          <w:color w:val="0000FF"/>
          <w:highlight w:val="lightGray"/>
        </w:rPr>
        <w:t>” means, with respect to Term CORRA, for an Interest Period of a duration of (a) one-month, a percentage equal to 0.29547% per annum (29.547 basis points), and (b) three-months, a percentage equal to 0.32138% per annum (32.138 basis points).</w:t>
      </w:r>
    </w:p>
    <w:p>
      <w:pPr>
        <w:spacing w:after="0" w:line="173"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Term CORRA Administrator</w:t>
      </w:r>
      <w:r>
        <w:rPr>
          <w:rFonts w:ascii="Times New Roman" w:cs="Times New Roman" w:eastAsia="Times New Roman" w:hAnsi="Times New Roman"/>
          <w:sz w:val="21"/>
          <w:szCs w:val="21"/>
          <w:u w:val="single" w:color="auto"/>
          <w:color w:val="0000FF"/>
          <w:highlight w:val="lightGray"/>
        </w:rPr>
        <w:t>” means CanDeal Benchmark Administration Services Inc., TSX Inc., or any successor</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highlight w:val="lightGray"/>
        </w:rPr>
        <w:t>administrator.</w:t>
      </w:r>
    </w:p>
    <w:p>
      <w:pPr>
        <w:spacing w:after="0" w:line="189"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Term CORRA Borrowing</w:t>
      </w:r>
      <w:r>
        <w:rPr>
          <w:rFonts w:ascii="Times New Roman" w:cs="Times New Roman" w:eastAsia="Times New Roman" w:hAnsi="Times New Roman"/>
          <w:sz w:val="21"/>
          <w:szCs w:val="21"/>
          <w:u w:val="single" w:color="auto"/>
          <w:color w:val="0000FF"/>
          <w:highlight w:val="lightGray"/>
        </w:rPr>
        <w:t>” means a Borrowing comprised of Term CORRA Loans.</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Term CORRA Loan</w:t>
      </w:r>
      <w:r>
        <w:rPr>
          <w:rFonts w:ascii="Times New Roman" w:cs="Times New Roman" w:eastAsia="Times New Roman" w:hAnsi="Times New Roman"/>
          <w:sz w:val="21"/>
          <w:szCs w:val="21"/>
          <w:u w:val="single" w:color="auto"/>
          <w:color w:val="0000FF"/>
          <w:highlight w:val="lightGray"/>
        </w:rPr>
        <w:t>” means a Loan that bears interest at a rate based on Adjusted Term CORRA other than pursuant</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u w:val="single" w:color="auto"/>
          <w:color w:val="0000FF"/>
          <w:highlight w:val="lightGray"/>
        </w:rPr>
        <w:t>to clause (ii) of the definition of “Canadian Prime Rate”.</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Term CORRA Reference Rate</w:t>
      </w:r>
      <w:r>
        <w:rPr>
          <w:rFonts w:ascii="Times New Roman" w:cs="Times New Roman" w:eastAsia="Times New Roman" w:hAnsi="Times New Roman"/>
          <w:sz w:val="21"/>
          <w:szCs w:val="21"/>
          <w:u w:val="single" w:color="auto"/>
          <w:color w:val="0000FF"/>
          <w:highlight w:val="lightGray"/>
        </w:rPr>
        <w:t>” means the forward-looking term rate based on CORRA.</w:t>
      </w:r>
    </w:p>
    <w:p>
      <w:pPr>
        <w:spacing w:after="0" w:line="215" w:lineRule="exact"/>
        <w:rPr>
          <w:rFonts w:ascii="Times New Roman" w:cs="Times New Roman" w:eastAsia="Times New Roman" w:hAnsi="Times New Roman"/>
          <w:sz w:val="21"/>
          <w:szCs w:val="21"/>
          <w:color w:val="auto"/>
        </w:rPr>
      </w:pPr>
    </w:p>
    <w:p>
      <w:pPr>
        <w:jc w:val="both"/>
        <w:ind w:firstLine="632"/>
        <w:spacing w:after="0" w:line="251" w:lineRule="auto"/>
        <w:tabs>
          <w:tab w:leader="none" w:pos="124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w:t>
      </w:r>
      <w:r>
        <w:rPr>
          <w:rFonts w:ascii="Times New Roman" w:cs="Times New Roman" w:eastAsia="Times New Roman" w:hAnsi="Times New Roman"/>
          <w:sz w:val="21"/>
          <w:szCs w:val="21"/>
          <w:color w:val="auto"/>
        </w:rPr>
        <w:t>” means (a) for any Interest Period for a duration of one-month, three-months, or six-months (in each case, subject to the availability thereof) for a SOFR Loan, the greater of (i) the Term SOFR Reference Rate for a tenor comparable to the applicable Interest Period on the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xml:space="preserve">”) that is two (2) U.S. Government Securities Business Days prior to the first day of such Interest Period, as such rate is published by the Term SOFR Administrator and (ii) the Floor;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two (2) U.S. Government Securities Business Days prior to such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-3683635</wp:posOffset>
            </wp:positionV>
            <wp:extent cx="1800860" cy="140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800860" cy="14097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-3069590</wp:posOffset>
            </wp:positionV>
            <wp:extent cx="1925320" cy="140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925320" cy="14097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-2621915</wp:posOffset>
            </wp:positionV>
            <wp:extent cx="1734185" cy="140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734185" cy="14097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-2331085</wp:posOffset>
            </wp:positionV>
            <wp:extent cx="1443990" cy="140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43990" cy="14097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-1875155</wp:posOffset>
            </wp:positionV>
            <wp:extent cx="1966595" cy="140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966595" cy="14097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99" w:name="page100"/>
    <w:bookmarkEnd w:id="99"/>
    <w:p>
      <w:pPr>
        <w:spacing w:after="0" w:line="277" w:lineRule="auto"/>
        <w:rPr>
          <w:sz w:val="20"/>
          <w:szCs w:val="20"/>
          <w:color w:val="auto"/>
        </w:rPr>
      </w:pPr>
      <w:r>
        <w:rPr>
          <w:rFonts w:ascii="Times New Roman" w:cs="Times New Roman" w:eastAsia="Times New Roman" w:hAnsi="Times New Roman"/>
          <w:sz w:val="21"/>
          <w:szCs w:val="21"/>
          <w:color w:val="auto"/>
        </w:rPr>
        <w:t>Determination Day; or (b) for an Interest Period of any duration other than those specified in clause (a) of this definition of “Term SOFR”, for a SOFR Loan, Interpolated Term SOFR.</w:t>
      </w:r>
    </w:p>
    <w:p>
      <w:pPr>
        <w:spacing w:after="0" w:line="146" w:lineRule="exact"/>
        <w:rPr>
          <w:sz w:val="20"/>
          <w:szCs w:val="20"/>
          <w:color w:val="auto"/>
        </w:rPr>
      </w:pPr>
    </w:p>
    <w:p>
      <w:pPr>
        <w:ind w:left="1260" w:hanging="628"/>
        <w:spacing w:after="0"/>
        <w:tabs>
          <w:tab w:leader="none" w:pos="12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 Adjustment</w:t>
      </w:r>
      <w:r>
        <w:rPr>
          <w:rFonts w:ascii="Times New Roman" w:cs="Times New Roman" w:eastAsia="Times New Roman" w:hAnsi="Times New Roman"/>
          <w:sz w:val="21"/>
          <w:szCs w:val="21"/>
          <w:color w:val="auto"/>
        </w:rPr>
        <w:t>” means, with respect to Term SOFR, 0.10% (10 basis points).</w:t>
      </w:r>
    </w:p>
    <w:p>
      <w:pPr>
        <w:spacing w:after="0" w:line="228"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 Administrator</w:t>
      </w:r>
      <w:r>
        <w:rPr>
          <w:rFonts w:ascii="Times New Roman" w:cs="Times New Roman" w:eastAsia="Times New Roman" w:hAnsi="Times New Roman"/>
          <w:sz w:val="21"/>
          <w:szCs w:val="21"/>
          <w:color w:val="auto"/>
        </w:rPr>
        <w:t>” means CME Group Benchmark Administration Limited (CBA) (or a successor administrator of the Term SOFR Reference Rate selected by the Agent in its reasonable discretion).</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 Determination Day</w:t>
      </w:r>
      <w:r>
        <w:rPr>
          <w:rFonts w:ascii="Times New Roman" w:cs="Times New Roman" w:eastAsia="Times New Roman" w:hAnsi="Times New Roman"/>
          <w:sz w:val="21"/>
          <w:szCs w:val="21"/>
          <w:color w:val="auto"/>
        </w:rPr>
        <w:t>” has the meaning assigned to it under the definition of Term SOFR.</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 Reference Rate</w:t>
      </w:r>
      <w:r>
        <w:rPr>
          <w:rFonts w:ascii="Times New Roman" w:cs="Times New Roman" w:eastAsia="Times New Roman" w:hAnsi="Times New Roman"/>
          <w:sz w:val="21"/>
          <w:szCs w:val="21"/>
          <w:color w:val="auto"/>
        </w:rPr>
        <w:t>” means the forward-looking term rate based on SOFR.</w:t>
      </w:r>
    </w:p>
    <w:p>
      <w:pPr>
        <w:spacing w:after="0" w:line="215"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 SOFR Transition Event” </w:t>
      </w:r>
      <w:r>
        <w:rPr>
          <w:rFonts w:ascii="Times New Roman" w:cs="Times New Roman" w:eastAsia="Times New Roman" w:hAnsi="Times New Roman"/>
          <w:sz w:val="21"/>
          <w:szCs w:val="21"/>
          <w:color w:val="auto"/>
        </w:rPr>
        <w:t>means the determination by the Administrative Agent that (a) Term SOFR has been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recommended for use by the Relevant Governmental Body, and is determinable for each Available Tenor and (b) the administration of Term SOFR is administratively feasible for the Administrative Agent.</w:t>
      </w:r>
    </w:p>
    <w:p>
      <w:pPr>
        <w:spacing w:after="0" w:line="15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Australian Revolving Commitment</w:t>
      </w:r>
      <w:r>
        <w:rPr>
          <w:rFonts w:ascii="Times New Roman" w:cs="Times New Roman" w:eastAsia="Times New Roman" w:hAnsi="Times New Roman"/>
          <w:sz w:val="21"/>
          <w:szCs w:val="21"/>
          <w:color w:val="auto"/>
        </w:rPr>
        <w:t>” shall mean, at any time, the aggregate amount of the Australian Revolving Commitments, as in effect at such time.</w:t>
      </w:r>
    </w:p>
    <w:p>
      <w:pPr>
        <w:spacing w:after="0" w:line="14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Canadian Revolving Commitment</w:t>
      </w:r>
      <w:r>
        <w:rPr>
          <w:rFonts w:ascii="Times New Roman" w:cs="Times New Roman" w:eastAsia="Times New Roman" w:hAnsi="Times New Roman"/>
          <w:sz w:val="21"/>
          <w:szCs w:val="21"/>
          <w:color w:val="auto"/>
        </w:rPr>
        <w:t>” shall mean, at any time, the aggregate amount of the Canadian Revolving Commitments, as in effect at such time.</w:t>
      </w:r>
    </w:p>
    <w:p>
      <w:pPr>
        <w:spacing w:after="0" w:line="157"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Net Debt</w:t>
      </w:r>
      <w:r>
        <w:rPr>
          <w:rFonts w:ascii="Times New Roman" w:cs="Times New Roman" w:eastAsia="Times New Roman" w:hAnsi="Times New Roman"/>
          <w:sz w:val="21"/>
          <w:szCs w:val="21"/>
          <w:color w:val="auto"/>
        </w:rPr>
        <w:t xml:space="preserve">” at any time shall mean (a) the Indebtedness of the Parent Borrower and its Subsidiaries at such time (excluding Indebtedness of the type described in clause (i) of the definition of such term, except to the extent of any unreimbursed drawings thereunder),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aggregate amount of Unrestricted Cash of the Parent Borrower and its Subsidiaries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there are (1) any Loans then outstanding or (2) any drawn and unreimbursed Letters of Credit with a face amount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 less than U.S.$1,000,000 individually, and U.S.$3,000,000 in the aggregate for all such Letters of Credit, that have not been reimbursed in accordance with Section 2.21(e), the amount of this clause (b) shall not exceed $30,000,000.</w:t>
      </w:r>
    </w:p>
    <w:p>
      <w:pPr>
        <w:spacing w:after="0" w:line="172" w:lineRule="exact"/>
        <w:rPr>
          <w:rFonts w:ascii="Times New Roman" w:cs="Times New Roman" w:eastAsia="Times New Roman" w:hAnsi="Times New Roman"/>
          <w:sz w:val="21"/>
          <w:szCs w:val="21"/>
          <w:color w:val="auto"/>
        </w:rPr>
      </w:pPr>
    </w:p>
    <w:p>
      <w:pPr>
        <w:jc w:val="both"/>
        <w:ind w:firstLine="632"/>
        <w:spacing w:after="0" w:line="254" w:lineRule="auto"/>
        <w:tabs>
          <w:tab w:leader="none" w:pos="124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Net Leverage Ratio</w:t>
      </w:r>
      <w:r>
        <w:rPr>
          <w:rFonts w:ascii="Times New Roman" w:cs="Times New Roman" w:eastAsia="Times New Roman" w:hAnsi="Times New Roman"/>
          <w:sz w:val="21"/>
          <w:szCs w:val="21"/>
          <w:color w:val="auto"/>
        </w:rPr>
        <w:t xml:space="preserve">” shall mean, on any date, the ratio of Total Net Debt on such date to Consolidated EBITDA for the period of four consecutive fiscal quarters most recently ended on or prior to such date for which financial statements have been delivered pursuant to Section 5.04(a) or (b) or for which comparable financial statements have been filed with the SEC. Solely for purposes of this definition, if, at any time the Total Net Leverage Ratio is being determined, the Parent Borrower or any Subsidiary shall have completed a Permitted Acquisition or Asset Sale the consideration of which is greater than U.S.$25,000,000 since the beginning of the relevant four fiscal quarter period, the Total Net Leverage Ratio shall be determined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(using the criteria therefor described in Section 6.04(i)) as if</w:t>
      </w:r>
    </w:p>
    <w:p>
      <w:pPr>
        <w:sectPr>
          <w:pgSz w:w="11900" w:h="16838" w:orient="portrait"/>
          <w:cols w:equalWidth="0" w:num="1">
            <w:col w:w="11240"/>
          </w:cols>
          <w:pgMar w:left="320" w:top="1380" w:right="339" w:bottom="1440" w:gutter="0" w:footer="0" w:header="0"/>
        </w:sectPr>
      </w:pPr>
    </w:p>
    <w:bookmarkStart w:id="100" w:name="page101"/>
    <w:bookmarkEnd w:id="100"/>
    <w:p>
      <w:pPr>
        <w:spacing w:after="0" w:line="277" w:lineRule="auto"/>
        <w:rPr>
          <w:sz w:val="20"/>
          <w:szCs w:val="20"/>
          <w:color w:val="auto"/>
        </w:rPr>
      </w:pPr>
      <w:r>
        <w:rPr>
          <w:rFonts w:ascii="Times New Roman" w:cs="Times New Roman" w:eastAsia="Times New Roman" w:hAnsi="Times New Roman"/>
          <w:sz w:val="21"/>
          <w:szCs w:val="21"/>
          <w:color w:val="auto"/>
        </w:rPr>
        <w:t>such Permitted Acquisition or Asset Sale, and any related incurrence or repayment of Indebtedness, had occurred at the beginning of such period.</w:t>
      </w:r>
    </w:p>
    <w:p>
      <w:pPr>
        <w:spacing w:after="0" w:line="146" w:lineRule="exact"/>
        <w:rPr>
          <w:sz w:val="20"/>
          <w:szCs w:val="20"/>
          <w:color w:val="auto"/>
        </w:rPr>
      </w:pPr>
    </w:p>
    <w:p>
      <w:pPr>
        <w:ind w:firstLine="632"/>
        <w:spacing w:after="0" w:line="292"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U.S. Revolving Commitment</w:t>
      </w:r>
      <w:r>
        <w:rPr>
          <w:rFonts w:ascii="Times New Roman" w:cs="Times New Roman" w:eastAsia="Times New Roman" w:hAnsi="Times New Roman"/>
          <w:sz w:val="21"/>
          <w:szCs w:val="21"/>
          <w:color w:val="auto"/>
        </w:rPr>
        <w:t>” shall mean, at any time, the aggregate amount of the U.S. Revolving Commitments, as in effect at such time.</w:t>
      </w:r>
    </w:p>
    <w:p>
      <w:pPr>
        <w:spacing w:after="0" w:line="131"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Transactions</w:t>
      </w:r>
      <w:r>
        <w:rPr>
          <w:rFonts w:ascii="Times New Roman" w:cs="Times New Roman" w:eastAsia="Times New Roman" w:hAnsi="Times New Roman"/>
          <w:sz w:val="21"/>
          <w:szCs w:val="21"/>
          <w:color w:val="auto"/>
        </w:rPr>
        <w:t>” shall mean, collectively, (a) the entering by the Loan Parties into Loan Documents to which they are to be a party and (b) the payment of the fees and expenses incurred in connection with the consummation of the foregoing.</w:t>
      </w:r>
    </w:p>
    <w:p>
      <w:pPr>
        <w:spacing w:after="0" w:line="144"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Type</w:t>
      </w:r>
      <w:r>
        <w:rPr>
          <w:rFonts w:ascii="Times New Roman" w:cs="Times New Roman" w:eastAsia="Times New Roman" w:hAnsi="Times New Roman"/>
          <w:sz w:val="21"/>
          <w:szCs w:val="21"/>
          <w:color w:val="auto"/>
        </w:rPr>
        <w:t>”, when used in respect of any Loan or Borrowing, shall refer to the Rate by reference to which interest on such Loan or on the Loans comprising such Borrowing is determined. For purposes hereof, the term “</w:t>
      </w:r>
      <w:r>
        <w:rPr>
          <w:rFonts w:ascii="Times New Roman" w:cs="Times New Roman" w:eastAsia="Times New Roman" w:hAnsi="Times New Roman"/>
          <w:sz w:val="21"/>
          <w:szCs w:val="21"/>
          <w:i w:val="1"/>
          <w:iCs w:val="1"/>
          <w:color w:val="auto"/>
        </w:rPr>
        <w:t>Rate</w:t>
      </w:r>
      <w:r>
        <w:rPr>
          <w:rFonts w:ascii="Times New Roman" w:cs="Times New Roman" w:eastAsia="Times New Roman" w:hAnsi="Times New Roman"/>
          <w:sz w:val="21"/>
          <w:szCs w:val="21"/>
          <w:color w:val="auto"/>
        </w:rPr>
        <w:t xml:space="preserve">” shall include Adjusted Term SOFR, the Alternate Base Rate, the Canadian Prime Rate, the U.S. Base Rate, the BBSY Rate </w:t>
      </w:r>
      <w:r>
        <w:rPr>
          <w:rFonts w:ascii="Times New Roman" w:cs="Times New Roman" w:eastAsia="Times New Roman" w:hAnsi="Times New Roman"/>
          <w:sz w:val="21"/>
          <w:szCs w:val="21"/>
          <w:color w:val="FF0000"/>
        </w:rPr>
        <w:t>and the B/A Discount Rate</w:t>
      </w:r>
      <w:r>
        <w:rPr>
          <w:rFonts w:ascii="Times New Roman" w:cs="Times New Roman" w:eastAsia="Times New Roman" w:hAnsi="Times New Roman"/>
          <w:sz w:val="21"/>
          <w:szCs w:val="21"/>
          <w:u w:val="single" w:color="auto"/>
          <w:color w:val="0000FF"/>
          <w:highlight w:val="lightGray"/>
        </w:rPr>
        <w:t>, Adjusted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Term CORRA and any Benchmark that may become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applicable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to Bankers’ Acceptances and B/A Equivalent Loans</w:t>
      </w:r>
      <w:r>
        <w:rPr>
          <w:rFonts w:ascii="Times New Roman" w:cs="Times New Roman" w:eastAsia="Times New Roman" w:hAnsi="Times New Roman"/>
          <w:sz w:val="21"/>
          <w:szCs w:val="21"/>
          <w:u w:val="single" w:color="auto"/>
          <w:color w:val="0000FF"/>
          <w:highlight w:val="lightGray"/>
        </w:rPr>
        <w:t>from time to</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u w:val="single" w:color="auto"/>
          <w:color w:val="0000FF"/>
          <w:highlight w:val="lightGray"/>
        </w:rPr>
        <w:t>time</w:t>
      </w:r>
      <w:r>
        <w:rPr>
          <w:rFonts w:ascii="Times New Roman" w:cs="Times New Roman" w:eastAsia="Times New Roman" w:hAnsi="Times New Roman"/>
          <w:sz w:val="21"/>
          <w:szCs w:val="21"/>
          <w:color w:val="000000"/>
        </w:rPr>
        <w:t>.</w:t>
      </w:r>
    </w:p>
    <w:p>
      <w:pPr>
        <w:spacing w:after="0" w:line="165"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UCC</w:t>
      </w:r>
      <w:r>
        <w:rPr>
          <w:rFonts w:ascii="Times New Roman" w:cs="Times New Roman" w:eastAsia="Times New Roman" w:hAnsi="Times New Roman"/>
          <w:sz w:val="21"/>
          <w:szCs w:val="21"/>
          <w:color w:val="auto"/>
        </w:rPr>
        <w:t>” shall mean the Uniform Commercial Code as the same may, from time to time, be in effect in the State of New York; provided, however, in the event that, by reason of mandatory provisions of law, any or all of the attachment, perfection or priority of the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6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UKBA</w:t>
      </w:r>
      <w:r>
        <w:rPr>
          <w:rFonts w:ascii="Times New Roman" w:cs="Times New Roman" w:eastAsia="Times New Roman" w:hAnsi="Times New Roman"/>
          <w:sz w:val="21"/>
          <w:szCs w:val="21"/>
          <w:color w:val="auto"/>
        </w:rPr>
        <w:t>” shall mean the U.K. Bribery Act 2010.</w:t>
      </w:r>
    </w:p>
    <w:p>
      <w:pPr>
        <w:spacing w:after="0" w:line="215" w:lineRule="exact"/>
        <w:rPr>
          <w:rFonts w:ascii="Times New Roman" w:cs="Times New Roman" w:eastAsia="Times New Roman" w:hAnsi="Times New Roman"/>
          <w:sz w:val="21"/>
          <w:szCs w:val="21"/>
          <w:color w:val="auto"/>
        </w:rPr>
      </w:pPr>
    </w:p>
    <w:p>
      <w:pPr>
        <w:jc w:val="both"/>
        <w:ind w:firstLine="632"/>
        <w:spacing w:after="0" w:line="258"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UK Financial Institution</w:t>
      </w:r>
      <w:r>
        <w:rPr>
          <w:rFonts w:ascii="Times New Roman" w:cs="Times New Roman" w:eastAsia="Times New Roman" w:hAnsi="Times New Roman"/>
          <w:sz w:val="21"/>
          <w:szCs w:val="21"/>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“Unadjusted Benchmark Replacement” </w:t>
      </w:r>
      <w:r>
        <w:rPr>
          <w:rFonts w:ascii="Times New Roman" w:cs="Times New Roman" w:eastAsia="Times New Roman" w:hAnsi="Times New Roman"/>
          <w:sz w:val="21"/>
          <w:szCs w:val="21"/>
          <w:color w:val="auto"/>
        </w:rPr>
        <w:t>means the applicable Benchmark Replacement excluding the related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Benchmark Replacement Adjustment.</w:t>
      </w:r>
    </w:p>
    <w:p>
      <w:pPr>
        <w:spacing w:after="0" w:line="157" w:lineRule="exact"/>
        <w:rPr>
          <w:rFonts w:ascii="Times New Roman" w:cs="Times New Roman" w:eastAsia="Times New Roman" w:hAnsi="Times New Roman"/>
          <w:sz w:val="21"/>
          <w:szCs w:val="21"/>
          <w:color w:val="auto"/>
        </w:rPr>
      </w:pPr>
    </w:p>
    <w:p>
      <w:pPr>
        <w:jc w:val="both"/>
        <w:ind w:firstLine="632"/>
        <w:spacing w:after="0" w:line="253"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Unrestricted Cash</w:t>
      </w:r>
      <w:r>
        <w:rPr>
          <w:rFonts w:ascii="Times New Roman" w:cs="Times New Roman" w:eastAsia="Times New Roman" w:hAnsi="Times New Roman"/>
          <w:sz w:val="21"/>
          <w:szCs w:val="21"/>
          <w:color w:val="auto"/>
        </w:rPr>
        <w:t xml:space="preserve">” shall mean, as of any date of determination, the aggregate amount of all cash and Permitted Investments on the consolidated balance sheet of the Parent Borrower and its Subsidiaries that are not “restricted” for purposes of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aggregate amount of Unrestricted Cash shall not (i) include any cash or Permitted Investments that are subject to a Lien (other than any Lien in favor of any Collateral Agent and Permitted Liens (excluding those Permitted Liens arising under Sections 6.02(e), 6.02(f) and 6.02(i)) or (ii) include any cash or Permitted Investments that are restricted by contract,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-4087495</wp:posOffset>
            </wp:positionV>
            <wp:extent cx="14890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89075" cy="825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1"/>
          <w:szCs w:val="21"/>
          <w:color w:val="auto"/>
        </w:rPr>
        <w:t>material adverse tax consequences from being applied to repay any Obligations as determined by the Borrower in good faith.</w:t>
      </w:r>
    </w:p>
    <w:p>
      <w:pPr>
        <w:spacing w:after="0" w:line="214" w:lineRule="exact"/>
        <w:rPr>
          <w:sz w:val="20"/>
          <w:szCs w:val="20"/>
          <w:color w:val="auto"/>
        </w:rPr>
      </w:pPr>
    </w:p>
    <w:p>
      <w:pPr>
        <w:jc w:val="both"/>
        <w:ind w:firstLine="632"/>
        <w:spacing w:after="0" w:line="255" w:lineRule="auto"/>
        <w:tabs>
          <w:tab w:leader="none" w:pos="124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Base Rate</w:t>
      </w:r>
      <w:r>
        <w:rPr>
          <w:rFonts w:ascii="Times New Roman" w:cs="Times New Roman" w:eastAsia="Times New Roman" w:hAnsi="Times New Roman"/>
          <w:sz w:val="21"/>
          <w:szCs w:val="21"/>
          <w:color w:val="auto"/>
        </w:rPr>
        <w:t>” means, for any day, a rate per annum equal to the greatest of (i) the rate of interest per annum which is determined by the Canadian Administrative Agent from time to time as the reference rate of interest for loans in U.S. Dollars to its Canadian borrowers; (ii) the rate of interest per annum equal to the sum of the Federal Funds Effective Rate on such day plus ½ of 1.00%; and (iii) Adjusted Term SOFR for a one-month tenor in effect for such day plus 1.00%, adjusted automatically with each change in such rates all without the necessity of any notice to the Borrower or any other Person; provided that if such rates are equal or if such Federal Funds Effective Rate or Adjusted Term SOFR is unavailable for any reason on any date of determination, then the “U.S. Base Rate” shall be the rate specified in paragraph (i) above; provided further that to the extent such highest rate as calculated above shall, at any time, be less than the Floor, such rate shall be deemed to be the Floor for all purposes herein.</w:t>
      </w:r>
    </w:p>
    <w:p>
      <w:pPr>
        <w:spacing w:after="0" w:line="169"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Borrower</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Collateral</w:t>
      </w:r>
      <w:r>
        <w:rPr>
          <w:rFonts w:ascii="Times New Roman" w:cs="Times New Roman" w:eastAsia="Times New Roman" w:hAnsi="Times New Roman"/>
          <w:sz w:val="21"/>
          <w:szCs w:val="21"/>
          <w:color w:val="auto"/>
        </w:rPr>
        <w:t>” shall mean all “Collateral” as defined in any U.S. Security Document.</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Collateral Agent</w:t>
      </w:r>
      <w:r>
        <w:rPr>
          <w:rFonts w:ascii="Times New Roman" w:cs="Times New Roman" w:eastAsia="Times New Roman" w:hAnsi="Times New Roman"/>
          <w:sz w:val="21"/>
          <w:szCs w:val="21"/>
          <w:color w:val="auto"/>
        </w:rPr>
        <w:t>” shall have the meaning assigned to such term in the preamble hereto.</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Commitment Fee</w:t>
      </w:r>
      <w:r>
        <w:rPr>
          <w:rFonts w:ascii="Times New Roman" w:cs="Times New Roman" w:eastAsia="Times New Roman" w:hAnsi="Times New Roman"/>
          <w:sz w:val="21"/>
          <w:szCs w:val="21"/>
          <w:color w:val="auto"/>
        </w:rPr>
        <w:t>” shall have the meaning assigned to such term in Section 2.05(a)(i).</w:t>
      </w:r>
    </w:p>
    <w:p>
      <w:pPr>
        <w:spacing w:after="0" w:line="215"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Dollar Equivalent</w:t>
      </w:r>
      <w:r>
        <w:rPr>
          <w:rFonts w:ascii="Times New Roman" w:cs="Times New Roman" w:eastAsia="Times New Roman" w:hAnsi="Times New Roman"/>
          <w:sz w:val="21"/>
          <w:szCs w:val="21"/>
          <w:color w:val="auto"/>
        </w:rPr>
        <w:t>” shall mean, on any date of determination, with respect to any amount in Canadian dollars, Australian dollars or an Alternative Currency, the equivalent in U.S. dollars of such amount, determined by the Administrative Agent using the Exchange Rate then in effect.</w:t>
      </w:r>
    </w:p>
    <w:p>
      <w:pPr>
        <w:spacing w:after="0" w:line="155"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Guarantee Agreement</w:t>
      </w:r>
      <w:r>
        <w:rPr>
          <w:rFonts w:ascii="Times New Roman" w:cs="Times New Roman" w:eastAsia="Times New Roman" w:hAnsi="Times New Roman"/>
          <w:sz w:val="21"/>
          <w:szCs w:val="21"/>
          <w:color w:val="auto"/>
        </w:rPr>
        <w:t>” shall mean the U.S. Guarantee Agreement, substantially in the form of Exhibit C-3, among the U.S. Borrower, the U.S. Subsidiary Guarantors and the U.S. Collateral Agent for the benefit of the Secured Parties.</w:t>
      </w:r>
    </w:p>
    <w:p>
      <w:pPr>
        <w:spacing w:after="0" w:line="144"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L/C Exposure</w:t>
      </w:r>
      <w:r>
        <w:rPr>
          <w:rFonts w:ascii="Times New Roman" w:cs="Times New Roman" w:eastAsia="Times New Roman" w:hAnsi="Times New Roman"/>
          <w:sz w:val="21"/>
          <w:szCs w:val="21"/>
          <w:color w:val="auto"/>
        </w:rPr>
        <w:t xml:space="preserve">” shall mean at any time the sum of (a) the U.S. Dollar Equivalent of the aggregate undrawn amount of all outstanding U.S. Letters of Credit at such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the U.S. Dollar Equivalent of the aggregate principal amount of all L/C Disbursements in respect of U.S. Letters of Credit that have not yet been reimbursed at such</w:t>
      </w:r>
    </w:p>
    <w:p>
      <w:pPr>
        <w:sectPr>
          <w:pgSz w:w="11900" w:h="16838" w:orient="portrait"/>
          <w:cols w:equalWidth="0" w:num="1">
            <w:col w:w="11240"/>
          </w:cols>
          <w:pgMar w:left="320" w:top="1380" w:right="339" w:bottom="1440" w:gutter="0" w:footer="0" w:header="0"/>
        </w:sectPr>
      </w:pPr>
    </w:p>
    <w:bookmarkStart w:id="102" w:name="page103"/>
    <w:bookmarkEnd w:id="102"/>
    <w:p>
      <w:pPr>
        <w:spacing w:after="0" w:line="277" w:lineRule="auto"/>
        <w:rPr>
          <w:sz w:val="20"/>
          <w:szCs w:val="20"/>
          <w:color w:val="auto"/>
        </w:rPr>
      </w:pPr>
      <w:r>
        <w:rPr>
          <w:rFonts w:ascii="Times New Roman" w:cs="Times New Roman" w:eastAsia="Times New Roman" w:hAnsi="Times New Roman"/>
          <w:sz w:val="21"/>
          <w:szCs w:val="21"/>
          <w:color w:val="auto"/>
        </w:rPr>
        <w:t>time. The U.S. L/C Exposure of any U.S. Revolving Lender at any time shall mean its U.S. Revolving Pro Rata Percentage of the aggregate U.S. L/C Exposure at such time.</w:t>
      </w:r>
    </w:p>
    <w:p>
      <w:pPr>
        <w:spacing w:after="0" w:line="146" w:lineRule="exact"/>
        <w:rPr>
          <w:sz w:val="20"/>
          <w:szCs w:val="20"/>
          <w:color w:val="auto"/>
        </w:rPr>
      </w:pPr>
    </w:p>
    <w:p>
      <w:pPr>
        <w:ind w:left="1260" w:hanging="628"/>
        <w:spacing w:after="0"/>
        <w:tabs>
          <w:tab w:leader="none" w:pos="12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L/C Participation Fee</w:t>
      </w:r>
      <w:r>
        <w:rPr>
          <w:rFonts w:ascii="Times New Roman" w:cs="Times New Roman" w:eastAsia="Times New Roman" w:hAnsi="Times New Roman"/>
          <w:sz w:val="21"/>
          <w:szCs w:val="21"/>
          <w:color w:val="auto"/>
        </w:rPr>
        <w:t>” shall have the meaning assigned to such term in Section 2.05(c).</w:t>
      </w:r>
    </w:p>
    <w:p>
      <w:pPr>
        <w:spacing w:after="0" w:line="228"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Lenders</w:t>
      </w:r>
      <w:r>
        <w:rPr>
          <w:rFonts w:ascii="Times New Roman" w:cs="Times New Roman" w:eastAsia="Times New Roman" w:hAnsi="Times New Roman"/>
          <w:sz w:val="21"/>
          <w:szCs w:val="21"/>
          <w:color w:val="auto"/>
        </w:rPr>
        <w:t>” shall mean the Lenders having U.S. Revolving Commitments or outstanding U.S. Loans.</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Loan</w:t>
      </w:r>
      <w:r>
        <w:rPr>
          <w:rFonts w:ascii="Times New Roman" w:cs="Times New Roman" w:eastAsia="Times New Roman" w:hAnsi="Times New Roman"/>
          <w:sz w:val="21"/>
          <w:szCs w:val="21"/>
          <w:color w:val="auto"/>
        </w:rPr>
        <w:t>” shall mean a U.S. Revolving Credit Loan. Each U.S. Loan shall be an ABR Loan or a SOFR Loan.</w:t>
      </w:r>
    </w:p>
    <w:p>
      <w:pPr>
        <w:spacing w:after="0" w:line="215"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Owned Subsidiary</w:t>
      </w:r>
      <w:r>
        <w:rPr>
          <w:rFonts w:ascii="Times New Roman" w:cs="Times New Roman" w:eastAsia="Times New Roman" w:hAnsi="Times New Roman"/>
          <w:sz w:val="21"/>
          <w:szCs w:val="21"/>
          <w:color w:val="auto"/>
        </w:rPr>
        <w:t>” shall mean a Foreign Subsidiary of (i) the U.S. Borrower or (ii) a Subsidiary of the Parent Borrower that is a U.S. Person. None of the Material Subsidiaries on the Closing Date and their successors shall be considered a U.S. Owned Subsidiary.</w:t>
      </w:r>
    </w:p>
    <w:p>
      <w:pPr>
        <w:spacing w:after="0" w:line="173"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Person</w:t>
      </w:r>
      <w:r>
        <w:rPr>
          <w:rFonts w:ascii="Times New Roman" w:cs="Times New Roman" w:eastAsia="Times New Roman" w:hAnsi="Times New Roman"/>
          <w:sz w:val="21"/>
          <w:szCs w:val="21"/>
          <w:color w:val="auto"/>
        </w:rPr>
        <w:t>” shall mean any person that is a “United States person” as defined in Section 7701(a)(30) of the Code.</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Pledge Agreement</w:t>
      </w:r>
      <w:r>
        <w:rPr>
          <w:rFonts w:ascii="Times New Roman" w:cs="Times New Roman" w:eastAsia="Times New Roman" w:hAnsi="Times New Roman"/>
          <w:sz w:val="21"/>
          <w:szCs w:val="21"/>
          <w:color w:val="auto"/>
        </w:rPr>
        <w:t>” shall mean the U.S. Pledge Agreement, substantially in the form of Exhibit D-2, among the U.S. Borrower, the Subsidiaries party thereto and the U.S. Collateral Agent for the benefit of the Secured Parties.</w:t>
      </w:r>
    </w:p>
    <w:p>
      <w:pPr>
        <w:spacing w:after="0" w:line="144"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Borrowing</w:t>
      </w:r>
      <w:r>
        <w:rPr>
          <w:rFonts w:ascii="Times New Roman" w:cs="Times New Roman" w:eastAsia="Times New Roman" w:hAnsi="Times New Roman"/>
          <w:sz w:val="21"/>
          <w:szCs w:val="21"/>
          <w:color w:val="auto"/>
        </w:rPr>
        <w:t>” shall mean group of U.S. Revolving Credit Loans of a single Type made, converted or continued by the U.S. Revolving Lenders on a single date and, in the case of a SOFR Borrowing, as to which a single Interest Period is in effect.</w:t>
      </w:r>
    </w:p>
    <w:p>
      <w:pPr>
        <w:spacing w:after="0" w:line="173" w:lineRule="exact"/>
        <w:rPr>
          <w:rFonts w:ascii="Times New Roman" w:cs="Times New Roman" w:eastAsia="Times New Roman" w:hAnsi="Times New Roman"/>
          <w:sz w:val="21"/>
          <w:szCs w:val="21"/>
          <w:color w:val="auto"/>
        </w:rPr>
      </w:pPr>
    </w:p>
    <w:p>
      <w:pPr>
        <w:jc w:val="both"/>
        <w:ind w:firstLine="632"/>
        <w:spacing w:after="0" w:line="252"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Commitment</w:t>
      </w:r>
      <w:r>
        <w:rPr>
          <w:rFonts w:ascii="Times New Roman" w:cs="Times New Roman" w:eastAsia="Times New Roman" w:hAnsi="Times New Roman"/>
          <w:sz w:val="21"/>
          <w:szCs w:val="21"/>
          <w:color w:val="auto"/>
        </w:rPr>
        <w:t>” shall mean, with respect to each U.S. Revolving Lender, the commitment of such U.S. Revolving Lender to (a) make U.S. Revolving Credit Loans hereunder, (b) purchase participations in the U.S. L/C Exposure and (c) purchase participations in U.S. Swing Line Loans, in an aggregate principal amount at any one time outstanding not to exceed the amount set forth opposite such Lender’s name on Schedule 2.01 under the caption “U.S. Revolving Commitment”, or in the Assignment and Acceptance or Lender Joinder Agreement pursuant to which such U.S. Revolving Lender assumed its U.S. Revolving Commitment, as applicable, as the same may be (i) increased from time to time pursuant to Section 2.25, (ii) reduced from time to time pursuant to Section 2.09 and (iii) reduced or increased from time to time pursuant to assignments by or to such U.S. Revolving Lender pursuant to Section 9.04. The aggregate amount of the U.S. Revolving Commitments as of the Closing Date is U.S.$10,000,000.</w:t>
      </w:r>
    </w:p>
    <w:p>
      <w:pPr>
        <w:spacing w:after="0" w:line="174"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Credit Exposure</w:t>
      </w:r>
      <w:r>
        <w:rPr>
          <w:rFonts w:ascii="Times New Roman" w:cs="Times New Roman" w:eastAsia="Times New Roman" w:hAnsi="Times New Roman"/>
          <w:sz w:val="21"/>
          <w:szCs w:val="21"/>
          <w:color w:val="auto"/>
        </w:rPr>
        <w:t xml:space="preserve">” shall mean, with respect to any U.S. Revolving Lender at any time, the aggregate principal amount at such time of all outstanding U.S. Revolving Credit Loans of such U.S. Revolving Lender,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U.S. Dollar Equivalent of the aggregate amount at such time of such U.S. Revolving Lender’s U.S. Revolving Pro Rata</w:t>
      </w:r>
    </w:p>
    <w:p>
      <w:pPr>
        <w:sectPr>
          <w:pgSz w:w="11900" w:h="16838" w:orient="portrait"/>
          <w:cols w:equalWidth="0" w:num="1">
            <w:col w:w="11240"/>
          </w:cols>
          <w:pgMar w:left="320" w:top="1380" w:right="339" w:bottom="1440" w:gutter="0" w:footer="0" w:header="0"/>
        </w:sectPr>
      </w:pPr>
    </w:p>
    <w:bookmarkStart w:id="103" w:name="page104"/>
    <w:bookmarkEnd w:id="103"/>
    <w:p>
      <w:pPr>
        <w:spacing w:after="0" w:line="277" w:lineRule="auto"/>
        <w:rPr>
          <w:sz w:val="20"/>
          <w:szCs w:val="20"/>
          <w:color w:val="auto"/>
        </w:rPr>
      </w:pPr>
      <w:r>
        <w:rPr>
          <w:rFonts w:ascii="Times New Roman" w:cs="Times New Roman" w:eastAsia="Times New Roman" w:hAnsi="Times New Roman"/>
          <w:sz w:val="21"/>
          <w:szCs w:val="21"/>
          <w:color w:val="auto"/>
        </w:rPr>
        <w:t>Percentage of the U.S. L/C Exposure plus such U.S. Revolving Lender’s U.S. Revolving Pro Rata Percentage of the outstanding amount all U.S. Swing Line Loans.</w:t>
      </w:r>
    </w:p>
    <w:p>
      <w:pPr>
        <w:spacing w:after="0" w:line="146" w:lineRule="exact"/>
        <w:rPr>
          <w:sz w:val="20"/>
          <w:szCs w:val="20"/>
          <w:color w:val="auto"/>
        </w:rPr>
      </w:pPr>
    </w:p>
    <w:p>
      <w:pPr>
        <w:ind w:firstLine="632"/>
        <w:spacing w:after="0" w:line="292"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Credit Facility</w:t>
      </w:r>
      <w:r>
        <w:rPr>
          <w:rFonts w:ascii="Times New Roman" w:cs="Times New Roman" w:eastAsia="Times New Roman" w:hAnsi="Times New Roman"/>
          <w:sz w:val="21"/>
          <w:szCs w:val="21"/>
          <w:color w:val="auto"/>
        </w:rPr>
        <w:t>” shall mean at any time the aggregate amount of the U.S. Revolving Commitments of the U.S. Revolving Lenders at such time.</w:t>
      </w:r>
    </w:p>
    <w:p>
      <w:pPr>
        <w:spacing w:after="0" w:line="131"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Credit Loan</w:t>
      </w:r>
      <w:r>
        <w:rPr>
          <w:rFonts w:ascii="Times New Roman" w:cs="Times New Roman" w:eastAsia="Times New Roman" w:hAnsi="Times New Roman"/>
          <w:sz w:val="21"/>
          <w:szCs w:val="21"/>
          <w:color w:val="auto"/>
        </w:rPr>
        <w:t>” shall mean the U.S. dollar-denominated Revolving Credit Loans made by the U.S. Revolving Lenders to the U.S. Borrower.</w:t>
      </w:r>
    </w:p>
    <w:p>
      <w:pPr>
        <w:spacing w:after="0" w:line="144" w:lineRule="exact"/>
        <w:rPr>
          <w:rFonts w:ascii="Times New Roman" w:cs="Times New Roman" w:eastAsia="Times New Roman" w:hAnsi="Times New Roman"/>
          <w:sz w:val="21"/>
          <w:szCs w:val="21"/>
          <w:color w:val="auto"/>
        </w:rPr>
      </w:pPr>
    </w:p>
    <w:p>
      <w:pPr>
        <w:jc w:val="both"/>
        <w:ind w:firstLine="632"/>
        <w:spacing w:after="0" w:line="269"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Lenders</w:t>
      </w:r>
      <w:r>
        <w:rPr>
          <w:rFonts w:ascii="Times New Roman" w:cs="Times New Roman" w:eastAsia="Times New Roman" w:hAnsi="Times New Roman"/>
          <w:sz w:val="21"/>
          <w:szCs w:val="21"/>
          <w:color w:val="auto"/>
        </w:rPr>
        <w:t>” shall mean Lenders having U.S. Revolving Commitments, outstanding U.S. Revolving Credit Loans, participations in U.S. Letters of Credit pursuant to Section 2.21(d) or in outstanding U.S. Swing Line Loans pursuant to Section 2.23.</w:t>
      </w:r>
    </w:p>
    <w:p>
      <w:pPr>
        <w:spacing w:after="0" w:line="155" w:lineRule="exact"/>
        <w:rPr>
          <w:rFonts w:ascii="Times New Roman" w:cs="Times New Roman" w:eastAsia="Times New Roman" w:hAnsi="Times New Roman"/>
          <w:sz w:val="21"/>
          <w:szCs w:val="21"/>
          <w:color w:val="auto"/>
        </w:rPr>
      </w:pPr>
    </w:p>
    <w:p>
      <w:pPr>
        <w:jc w:val="both"/>
        <w:ind w:firstLine="632"/>
        <w:spacing w:after="0" w:line="254"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Pro Rata Percentage</w:t>
      </w:r>
      <w:r>
        <w:rPr>
          <w:rFonts w:ascii="Times New Roman" w:cs="Times New Roman" w:eastAsia="Times New Roman" w:hAnsi="Times New Roman"/>
          <w:sz w:val="21"/>
          <w:szCs w:val="21"/>
          <w:color w:val="auto"/>
        </w:rPr>
        <w:t xml:space="preserve">” of any U.S. Revolving Lender, subject to any adjustment as provided in Section 2.24(c) or 2.25(a), the percentage of the aggregate U.S. Revolving Commitments represented by such U.S. Revolving Lender’s U.S. Revolving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18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Security Agreement</w:t>
      </w:r>
      <w:r>
        <w:rPr>
          <w:rFonts w:ascii="Times New Roman" w:cs="Times New Roman" w:eastAsia="Times New Roman" w:hAnsi="Times New Roman"/>
          <w:sz w:val="21"/>
          <w:szCs w:val="21"/>
          <w:color w:val="auto"/>
        </w:rPr>
        <w:t>” shall mean the U.S. Security Agreement, substantially in the form of Exhibit E-3, among the U.S. Borrower, the Subsidiaries party thereto and the U.S. Collateral Agent for the benefit of the Secured Parties.</w:t>
      </w:r>
    </w:p>
    <w:p>
      <w:pPr>
        <w:spacing w:after="0" w:line="144" w:lineRule="exact"/>
        <w:rPr>
          <w:rFonts w:ascii="Times New Roman" w:cs="Times New Roman" w:eastAsia="Times New Roman" w:hAnsi="Times New Roman"/>
          <w:sz w:val="21"/>
          <w:szCs w:val="21"/>
          <w:color w:val="auto"/>
        </w:rPr>
      </w:pPr>
    </w:p>
    <w:p>
      <w:pPr>
        <w:jc w:val="both"/>
        <w:ind w:firstLine="632"/>
        <w:spacing w:after="0" w:line="263"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Security Documents</w:t>
      </w:r>
      <w:r>
        <w:rPr>
          <w:rFonts w:ascii="Times New Roman" w:cs="Times New Roman" w:eastAsia="Times New Roman" w:hAnsi="Times New Roman"/>
          <w:sz w:val="21"/>
          <w:szCs w:val="21"/>
          <w:color w:val="auto"/>
        </w:rPr>
        <w:t>” shall mean the U.S. Security Agreement, the U.S. Pledge Agreement and each other Security Document to which the U.S. Borrower or any Domestic Subsidiary is a party and that purports to grant a Lien in the assets of any such person in favor of the U.S. Collateral Agent for the benefit of the Secured Parties.</w:t>
      </w:r>
    </w:p>
    <w:p>
      <w:pPr>
        <w:spacing w:after="0" w:line="173"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Special Resolution Regime</w:t>
      </w:r>
      <w:r>
        <w:rPr>
          <w:rFonts w:ascii="Times New Roman" w:cs="Times New Roman" w:eastAsia="Times New Roman" w:hAnsi="Times New Roman"/>
          <w:sz w:val="21"/>
          <w:szCs w:val="21"/>
          <w:color w:val="auto"/>
        </w:rPr>
        <w:t>” shall have the meaning provided in Section 9.25.</w:t>
      </w:r>
    </w:p>
    <w:p>
      <w:pPr>
        <w:spacing w:after="0" w:line="215"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Subsidiary Guarantor</w:t>
      </w:r>
      <w:r>
        <w:rPr>
          <w:rFonts w:ascii="Times New Roman" w:cs="Times New Roman" w:eastAsia="Times New Roman" w:hAnsi="Times New Roman"/>
          <w:sz w:val="21"/>
          <w:szCs w:val="21"/>
          <w:color w:val="auto"/>
        </w:rPr>
        <w:t>” shall mean each Domestic Subsidiary of the U.S. Borrower listed on Schedule 1.01(b), and each other Domestic Subsidiary that is or becomes a party to the U.S. Guarantee Agreement.</w:t>
      </w:r>
    </w:p>
    <w:p>
      <w:pPr>
        <w:spacing w:after="0" w:line="14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Swing Line Borrowing</w:t>
      </w:r>
      <w:r>
        <w:rPr>
          <w:rFonts w:ascii="Times New Roman" w:cs="Times New Roman" w:eastAsia="Times New Roman" w:hAnsi="Times New Roman"/>
          <w:sz w:val="21"/>
          <w:szCs w:val="21"/>
          <w:color w:val="auto"/>
        </w:rPr>
        <w:t>” shall mean a borrowing of a U.S. Swing Line Loan pursuant to Section 2.23(a)(i) or, if an AutoBorrow Agreement is in effect, any transfer of funds pursuant to such AutoBorrow Agreement.</w:t>
      </w:r>
    </w:p>
    <w:p>
      <w:pPr>
        <w:spacing w:after="0" w:line="157"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Swing Line Lender</w:t>
      </w:r>
      <w:r>
        <w:rPr>
          <w:rFonts w:ascii="Times New Roman" w:cs="Times New Roman" w:eastAsia="Times New Roman" w:hAnsi="Times New Roman"/>
          <w:sz w:val="21"/>
          <w:szCs w:val="21"/>
          <w:color w:val="auto"/>
        </w:rPr>
        <w:t>” shall mean RBC in its capacity as provider of U.S. Swing Line Loans, or any successor swing line lender hereunder.</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Swing Line Loan</w:t>
      </w:r>
      <w:r>
        <w:rPr>
          <w:rFonts w:ascii="Times New Roman" w:cs="Times New Roman" w:eastAsia="Times New Roman" w:hAnsi="Times New Roman"/>
          <w:sz w:val="21"/>
          <w:szCs w:val="21"/>
          <w:color w:val="auto"/>
        </w:rPr>
        <w:t>” shall have the meaning assigned to such term in Section 2.23(a)(i).</w:t>
      </w:r>
    </w:p>
    <w:p>
      <w:pPr>
        <w:sectPr>
          <w:pgSz w:w="11900" w:h="16838" w:orient="portrait"/>
          <w:cols w:equalWidth="0" w:num="1">
            <w:col w:w="11240"/>
          </w:cols>
          <w:pgMar w:left="320" w:top="1380" w:right="339" w:bottom="1440" w:gutter="0" w:footer="0" w:header="0"/>
        </w:sectPr>
      </w:pPr>
    </w:p>
    <w:bookmarkStart w:id="104" w:name="page105"/>
    <w:bookmarkEnd w:id="104"/>
    <w:p>
      <w:pPr>
        <w:ind w:firstLine="632"/>
        <w:spacing w:after="0" w:line="279" w:lineRule="auto"/>
        <w:tabs>
          <w:tab w:leader="none" w:pos="124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Swing Line Sublimit</w:t>
      </w:r>
      <w:r>
        <w:rPr>
          <w:rFonts w:ascii="Times New Roman" w:cs="Times New Roman" w:eastAsia="Times New Roman" w:hAnsi="Times New Roman"/>
          <w:sz w:val="21"/>
          <w:szCs w:val="21"/>
          <w:color w:val="auto"/>
        </w:rPr>
        <w:t>” shall mean U.S.$10,000,000. The U.S. Swing Line Sublimit is part of, and not in addition to, the U.S. Revolving Commitments.</w:t>
      </w:r>
    </w:p>
    <w:p>
      <w:pPr>
        <w:spacing w:after="0" w:line="144"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Tax Compliance Certificate</w:t>
      </w:r>
      <w:r>
        <w:rPr>
          <w:rFonts w:ascii="Times New Roman" w:cs="Times New Roman" w:eastAsia="Times New Roman" w:hAnsi="Times New Roman"/>
          <w:sz w:val="21"/>
          <w:szCs w:val="21"/>
          <w:color w:val="auto"/>
        </w:rPr>
        <w:t>” shall have the meaning assigned to such term in Section 2.19(g)(ii)(B)(3).</w:t>
      </w:r>
    </w:p>
    <w:p>
      <w:pPr>
        <w:spacing w:after="0" w:line="228" w:lineRule="exact"/>
        <w:rPr>
          <w:rFonts w:ascii="Times New Roman" w:cs="Times New Roman" w:eastAsia="Times New Roman" w:hAnsi="Times New Roman"/>
          <w:sz w:val="21"/>
          <w:szCs w:val="21"/>
          <w:color w:val="auto"/>
        </w:rPr>
      </w:pPr>
    </w:p>
    <w:p>
      <w:pPr>
        <w:jc w:val="both"/>
        <w:ind w:firstLine="632"/>
        <w:spacing w:after="0" w:line="252" w:lineRule="auto"/>
        <w:tabs>
          <w:tab w:leader="none" w:pos="124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wholly owned Subsidiary</w:t>
      </w:r>
      <w:r>
        <w:rPr>
          <w:rFonts w:ascii="Times New Roman" w:cs="Times New Roman" w:eastAsia="Times New Roman" w:hAnsi="Times New Roman"/>
          <w:sz w:val="21"/>
          <w:szCs w:val="21"/>
          <w:color w:val="auto"/>
        </w:rPr>
        <w:t xml:space="preserve">” of any person shall mean (a) any subsidiary of such person of which securities (except for directors’ qualifying shares) or other ownership interests representing 100% of the equity or 100% of the ordinary voting power are, at the time any determination is being made, owned, controlled or held by such person or one or more wholly 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p>
    <w:p>
      <w:pPr>
        <w:spacing w:after="0" w:line="174" w:lineRule="exact"/>
        <w:rPr>
          <w:rFonts w:ascii="Times New Roman" w:cs="Times New Roman" w:eastAsia="Times New Roman" w:hAnsi="Times New Roman"/>
          <w:sz w:val="21"/>
          <w:szCs w:val="21"/>
          <w:color w:val="auto"/>
        </w:rPr>
      </w:pPr>
    </w:p>
    <w:p>
      <w:pPr>
        <w:ind w:firstLine="632"/>
        <w:spacing w:after="0" w:line="279" w:lineRule="auto"/>
        <w:tabs>
          <w:tab w:leader="none" w:pos="124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Withdrawal Liability</w:t>
      </w:r>
      <w:r>
        <w:rPr>
          <w:rFonts w:ascii="Times New Roman" w:cs="Times New Roman" w:eastAsia="Times New Roman" w:hAnsi="Times New Roman"/>
          <w:sz w:val="21"/>
          <w:szCs w:val="21"/>
          <w:color w:val="auto"/>
        </w:rPr>
        <w:t>” shall mean liability to a Multiemployer Plan as a result of a complete or partial withdrawal from such Multiemployer Plan, as such terms are defined in Part I of Subtitle E of Title IV of ERISA.</w:t>
      </w:r>
    </w:p>
    <w:p>
      <w:pPr>
        <w:spacing w:after="0" w:line="157"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Withholding Agent</w:t>
      </w:r>
      <w:r>
        <w:rPr>
          <w:rFonts w:ascii="Times New Roman" w:cs="Times New Roman" w:eastAsia="Times New Roman" w:hAnsi="Times New Roman"/>
          <w:sz w:val="21"/>
          <w:szCs w:val="21"/>
          <w:color w:val="auto"/>
        </w:rPr>
        <w:t>” shall mean any Loan Party and the Administrative Agent.</w:t>
      </w:r>
    </w:p>
    <w:p>
      <w:pPr>
        <w:spacing w:after="0" w:line="215" w:lineRule="exact"/>
        <w:rPr>
          <w:rFonts w:ascii="Times New Roman" w:cs="Times New Roman" w:eastAsia="Times New Roman" w:hAnsi="Times New Roman"/>
          <w:sz w:val="21"/>
          <w:szCs w:val="21"/>
          <w:color w:val="auto"/>
        </w:rPr>
      </w:pPr>
    </w:p>
    <w:p>
      <w:pPr>
        <w:ind w:left="1260" w:hanging="628"/>
        <w:spacing w:after="0"/>
        <w:tabs>
          <w:tab w:leader="none" w:pos="12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Write-Down and Conversion Powers</w:t>
      </w:r>
      <w:r>
        <w:rPr>
          <w:rFonts w:ascii="Times New Roman" w:cs="Times New Roman" w:eastAsia="Times New Roman" w:hAnsi="Times New Roman"/>
          <w:sz w:val="21"/>
          <w:szCs w:val="21"/>
          <w:color w:val="auto"/>
        </w:rPr>
        <w:t>” shall mean</w:t>
      </w:r>
    </w:p>
    <w:p>
      <w:pPr>
        <w:spacing w:after="0" w:line="217" w:lineRule="exact"/>
        <w:rPr>
          <w:rFonts w:ascii="Times New Roman" w:cs="Times New Roman" w:eastAsia="Times New Roman" w:hAnsi="Times New Roman"/>
          <w:sz w:val="21"/>
          <w:szCs w:val="21"/>
          <w:color w:val="auto"/>
        </w:rPr>
      </w:pPr>
    </w:p>
    <w:p>
      <w:pPr>
        <w:jc w:val="both"/>
        <w:ind w:firstLine="632"/>
        <w:spacing w:after="0" w:line="262" w:lineRule="auto"/>
        <w:tabs>
          <w:tab w:leader="none" w:pos="124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76" w:lineRule="exact"/>
        <w:rPr>
          <w:rFonts w:ascii="Times New Roman" w:cs="Times New Roman" w:eastAsia="Times New Roman" w:hAnsi="Times New Roman"/>
          <w:sz w:val="21"/>
          <w:szCs w:val="21"/>
          <w:color w:val="auto"/>
        </w:rPr>
      </w:pPr>
    </w:p>
    <w:p>
      <w:pPr>
        <w:jc w:val="both"/>
        <w:ind w:firstLine="632"/>
        <w:spacing w:after="0" w:line="255" w:lineRule="auto"/>
        <w:tabs>
          <w:tab w:leader="none" w:pos="124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with respect to the United Kingdom, any powers of the applicable UK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9"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1.02 </w:t>
      </w:r>
      <w:r>
        <w:rPr>
          <w:rFonts w:ascii="Times New Roman" w:cs="Times New Roman" w:eastAsia="Times New Roman" w:hAnsi="Times New Roman"/>
          <w:sz w:val="21"/>
          <w:szCs w:val="21"/>
          <w:b w:val="1"/>
          <w:bCs w:val="1"/>
          <w:i w:val="1"/>
          <w:iCs w:val="1"/>
          <w:color w:val="auto"/>
        </w:rPr>
        <w:t>Terms Generally</w:t>
      </w:r>
      <w:r>
        <w:rPr>
          <w:rFonts w:ascii="Times New Roman" w:cs="Times New Roman" w:eastAsia="Times New Roman" w:hAnsi="Times New Roman"/>
          <w:sz w:val="21"/>
          <w:szCs w:val="21"/>
          <w:color w:val="auto"/>
        </w:rPr>
        <w:t>. The definitions in Section 1.01 shall apply equally to both the singular and plural forms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w:t>
      </w:r>
    </w:p>
    <w:p>
      <w:pPr>
        <w:sectPr>
          <w:pgSz w:w="11900" w:h="16838" w:orient="portrait"/>
          <w:cols w:equalWidth="0" w:num="1">
            <w:col w:w="11240"/>
          </w:cols>
          <w:pgMar w:left="320" w:top="1378" w:right="339" w:bottom="1440" w:gutter="0" w:footer="0" w:header="0"/>
        </w:sectPr>
      </w:pPr>
    </w:p>
    <w:bookmarkStart w:id="105" w:name="page106"/>
    <w:bookmarkEnd w:id="105"/>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Parent Borrower notifies the Administrative Agent that the Borrowers wish to amend any covenant in Article VI or any related definition to eliminate the effect of any change in GAAP occurring after the Closing Date on the operation of such covenant (or if the Administrative Agent notifies the Parent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Parent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18"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1.03 </w:t>
      </w:r>
      <w:r>
        <w:rPr>
          <w:rFonts w:ascii="Times New Roman" w:cs="Times New Roman" w:eastAsia="Times New Roman" w:hAnsi="Times New Roman"/>
          <w:sz w:val="21"/>
          <w:szCs w:val="21"/>
          <w:b w:val="1"/>
          <w:bCs w:val="1"/>
          <w:i w:val="1"/>
          <w:iCs w:val="1"/>
          <w:color w:val="auto"/>
        </w:rPr>
        <w:t>Several Obligations; Power of Attorney</w:t>
      </w:r>
      <w:r>
        <w:rPr>
          <w:rFonts w:ascii="Times New Roman" w:cs="Times New Roman" w:eastAsia="Times New Roman" w:hAnsi="Times New Roman"/>
          <w:sz w:val="21"/>
          <w:szCs w:val="21"/>
          <w:color w:val="auto"/>
        </w:rPr>
        <w:t>. Each of the U.S. Borrower and the Australian Borrower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appoints the Parent Borrower and each of its officers to be its attorneys in fact (its “</w:t>
      </w:r>
      <w:r>
        <w:rPr>
          <w:rFonts w:ascii="Times New Roman" w:cs="Times New Roman" w:eastAsia="Times New Roman" w:hAnsi="Times New Roman"/>
          <w:sz w:val="21"/>
          <w:szCs w:val="21"/>
          <w:i w:val="1"/>
          <w:iCs w:val="1"/>
          <w:color w:val="auto"/>
        </w:rPr>
        <w:t>Attorneys</w:t>
      </w:r>
      <w:r>
        <w:rPr>
          <w:rFonts w:ascii="Times New Roman" w:cs="Times New Roman" w:eastAsia="Times New Roman" w:hAnsi="Times New Roman"/>
          <w:sz w:val="21"/>
          <w:szCs w:val="21"/>
          <w:color w:val="auto"/>
        </w:rPr>
        <w:t>”) and in its name and on its behalf and as its act and deed or otherwise to sign all documents and carry out all such acts as are necessary or appropriate in connection with executing any Borrowing Request, any Loan Documents or any</w:t>
      </w:r>
    </w:p>
    <w:p>
      <w:pPr>
        <w:sectPr>
          <w:pgSz w:w="11900" w:h="16838" w:orient="portrait"/>
          <w:cols w:equalWidth="0" w:num="1">
            <w:col w:w="11240"/>
          </w:cols>
          <w:pgMar w:left="320" w:top="1380" w:right="339" w:bottom="1440" w:gutter="0" w:footer="0" w:header="0"/>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21"/>
          <w:szCs w:val="21"/>
          <w:color w:val="auto"/>
        </w:rPr>
        <w:t>other instruments, certificates or documents delivered thereunder or in connection therewith (collectively, the “</w:t>
      </w:r>
      <w:r>
        <w:rPr>
          <w:rFonts w:ascii="Times New Roman" w:cs="Times New Roman" w:eastAsia="Times New Roman" w:hAnsi="Times New Roman"/>
          <w:sz w:val="21"/>
          <w:szCs w:val="21"/>
          <w:i w:val="1"/>
          <w:iCs w:val="1"/>
          <w:color w:val="auto"/>
        </w:rPr>
        <w:t>Documents</w:t>
      </w:r>
      <w:r>
        <w:rPr>
          <w:rFonts w:ascii="Times New Roman" w:cs="Times New Roman" w:eastAsia="Times New Roman" w:hAnsi="Times New Roman"/>
          <w:sz w:val="21"/>
          <w:szCs w:val="21"/>
          <w:color w:val="auto"/>
        </w:rPr>
        <w:t>”). This Power of Attorney shall be valid for the duration of the term of this Agreement. The U.S. Borrower and the Australian Borrower hereby ratifies any and all acts which any of its Attorneys shall do in order to execute on its behalf, or in connection with, the Documents mentioned herein.</w:t>
      </w:r>
    </w:p>
    <w:p>
      <w:pPr>
        <w:spacing w:after="0" w:line="163"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1.04 </w:t>
      </w:r>
      <w:r>
        <w:rPr>
          <w:rFonts w:ascii="Times New Roman" w:cs="Times New Roman" w:eastAsia="Times New Roman" w:hAnsi="Times New Roman"/>
          <w:sz w:val="21"/>
          <w:szCs w:val="21"/>
          <w:b w:val="1"/>
          <w:bCs w:val="1"/>
          <w:i w:val="1"/>
          <w:iCs w:val="1"/>
          <w:color w:val="auto"/>
        </w:rPr>
        <w:t>Classification of Loans and Borrowings</w:t>
      </w:r>
      <w:r>
        <w:rPr>
          <w:rFonts w:ascii="Times New Roman" w:cs="Times New Roman" w:eastAsia="Times New Roman" w:hAnsi="Times New Roman"/>
          <w:sz w:val="21"/>
          <w:szCs w:val="21"/>
          <w:color w:val="auto"/>
        </w:rPr>
        <w:t>. For purposes of this Agreement, Loans may be classified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referred to by Class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“U.S. Revolving Credit Loan”) or by Type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“SOFR Loan”) or by Class and Type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“SOFR U.S. Revolving Credit Loan”). Borrowings also may be classified and referred to by Class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“U.S. Revolving Borrowing”) or by Type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“SOFR Borrowing”) or by Class and Type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“SOFR U.S. Revolving Borrowing”).</w:t>
      </w:r>
    </w:p>
    <w:p>
      <w:pPr>
        <w:spacing w:after="0" w:line="17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SECTION 1.05 </w:t>
      </w:r>
      <w:r>
        <w:rPr>
          <w:rFonts w:ascii="Times New Roman" w:cs="Times New Roman" w:eastAsia="Times New Roman" w:hAnsi="Times New Roman"/>
          <w:sz w:val="20"/>
          <w:szCs w:val="20"/>
          <w:b w:val="1"/>
          <w:bCs w:val="1"/>
          <w:i w:val="1"/>
          <w:iCs w:val="1"/>
          <w:color w:val="auto"/>
        </w:rPr>
        <w:t>Additional Alternative Currencies</w:t>
      </w:r>
      <w:r>
        <w:rPr>
          <w:rFonts w:ascii="Times New Roman" w:cs="Times New Roman" w:eastAsia="Times New Roman" w:hAnsi="Times New Roman"/>
          <w:sz w:val="20"/>
          <w:szCs w:val="20"/>
          <w:color w:val="auto"/>
        </w:rPr>
        <w:t>. The Borrowers may from time to time request that Letters of Credit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issued in a currency other than those specifically listed in the definition of “Alternative Currency;”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 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spacing w:after="0" w:line="165"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1.06 </w:t>
      </w:r>
      <w:r>
        <w:rPr>
          <w:rFonts w:ascii="Times New Roman" w:cs="Times New Roman" w:eastAsia="Times New Roman" w:hAnsi="Times New Roman"/>
          <w:sz w:val="21"/>
          <w:szCs w:val="21"/>
          <w:b w:val="1"/>
          <w:bCs w:val="1"/>
          <w:i w:val="1"/>
          <w:iCs w:val="1"/>
          <w:color w:val="auto"/>
        </w:rPr>
        <w:t>Cashless Rolls</w:t>
      </w:r>
      <w:r>
        <w:rPr>
          <w:rFonts w:ascii="Times New Roman" w:cs="Times New Roman" w:eastAsia="Times New Roman" w:hAnsi="Times New Roman"/>
          <w:sz w:val="21"/>
          <w:szCs w:val="21"/>
          <w:color w:val="auto"/>
        </w:rPr>
        <w:t>. Notwithstanding anything to the contrary contained in this Agreement or in any other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 any Lender may exchange, continue or roll over all or a portion of its Canadian Term Loans (as defined in the Existing Credit Agreement) in connection with this Agreement, pursuant to a cashless settlement mechanism approved by the Borrower, the Administrative Agent and such Lender.</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1.07</w:t>
      </w:r>
      <w:r>
        <w:rPr>
          <w:sz w:val="20"/>
          <w:szCs w:val="20"/>
          <w:color w:val="auto"/>
        </w:rPr>
        <w:tab/>
      </w:r>
      <w:r>
        <w:rPr>
          <w:rFonts w:ascii="Times New Roman" w:cs="Times New Roman" w:eastAsia="Times New Roman" w:hAnsi="Times New Roman"/>
          <w:sz w:val="20"/>
          <w:szCs w:val="20"/>
          <w:b w:val="1"/>
          <w:bCs w:val="1"/>
          <w:i w:val="1"/>
          <w:iCs w:val="1"/>
          <w:color w:val="auto"/>
        </w:rPr>
        <w:t>Interest Rates; Benchmark Notification</w:t>
      </w:r>
      <w:r>
        <w:rPr>
          <w:rFonts w:ascii="Times New Roman" w:cs="Times New Roman" w:eastAsia="Times New Roman" w:hAnsi="Times New Roman"/>
          <w:sz w:val="20"/>
          <w:szCs w:val="20"/>
          <w:u w:val="single" w:color="auto"/>
          <w:color w:val="0000FF"/>
          <w:highlight w:val="lightGray"/>
        </w:rPr>
        <w:t>.</w:t>
      </w:r>
    </w:p>
    <w:p>
      <w:pPr>
        <w:spacing w:after="0" w:line="220" w:lineRule="exact"/>
        <w:rPr>
          <w:sz w:val="20"/>
          <w:szCs w:val="20"/>
          <w:color w:val="auto"/>
        </w:rPr>
      </w:pPr>
    </w:p>
    <w:p>
      <w:pPr>
        <w:ind w:firstLine="1259"/>
        <w:spacing w:after="0" w:line="277" w:lineRule="auto"/>
        <w:tabs>
          <w:tab w:leader="none" w:pos="1359" w:val="left"/>
        </w:tabs>
        <w:numPr>
          <w:ilvl w:val="0"/>
          <w:numId w:val="103"/>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u w:val="single" w:color="auto"/>
          <w:color w:val="0000FF"/>
          <w:highlight w:val="lightGray"/>
        </w:rPr>
        <w:t>(a)</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The interest rate on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Loan denominated in U.S. dollars</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u w:val="single" w:color="auto"/>
          <w:color w:val="0000FF"/>
          <w:highlight w:val="lightGray"/>
        </w:rPr>
        <w:t>or Canadian dollars</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may be derived from an interest rate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benchmark that may be discontinued or is, or may in the future become, the subject of regulatory reform.</w:t>
      </w:r>
    </w:p>
    <w:p>
      <w:pPr>
        <w:sectPr>
          <w:pgSz w:w="11900" w:h="16838" w:orient="portrait"/>
          <w:cols w:equalWidth="0" w:num="1">
            <w:col w:w="11240"/>
          </w:cols>
          <w:pgMar w:left="320" w:top="1378" w:right="339" w:bottom="1440" w:gutter="0" w:footer="0" w:header="0"/>
        </w:sectPr>
      </w:pPr>
    </w:p>
    <w:bookmarkStart w:id="107" w:name="page108"/>
    <w:bookmarkEnd w:id="107"/>
    <w:p>
      <w:pPr>
        <w:jc w:val="both"/>
        <w:ind w:left="-1120" w:firstLine="1259"/>
        <w:spacing w:after="0" w:line="250" w:lineRule="auto"/>
        <w:tabs>
          <w:tab w:leader="none" w:pos="645" w:val="left"/>
        </w:tabs>
        <w:numPr>
          <w:ilvl w:val="0"/>
          <w:numId w:val="104"/>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color w:val="auto"/>
        </w:rPr>
        <w:t>Upon the occurrence of a Benchmark Transition Event, Section 2.26 provides a mechanism for determining an alternative rate of interest. The Administrative Agent does not warrant or accept any responsibility for, and shall not have any liability with respect to, (a) the continuation of, the administration of, submission of, calculation of, performance of or any other matter related to any interest rate used in this Agreement (including, without limitation, the Alternate Base Rate, the U.S. Base Rate, SOFR, the Term SOFR Reference Rate, Adjusted Term SOFR or Term SOFR) or any component definition thereof or rates referred to in the definition thereof, or with respect to any alternative or successor rate thereto, or replacement rate thereof (including any Benchmark Replacement), including without limitation, whether the composition or characteristics of any such alternative, successor or replacement reference rate 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unavailability. The Administrative Agent and its affiliates and/or other related entities may engage in transactions that affect the calculation of any interest rate (or component thereof)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9" w:lineRule="exact"/>
        <w:rPr>
          <w:rFonts w:ascii="Times New Roman" w:cs="Times New Roman" w:eastAsia="Times New Roman" w:hAnsi="Times New Roman"/>
          <w:sz w:val="21"/>
          <w:szCs w:val="21"/>
          <w:u w:val="single" w:color="auto"/>
          <w:color w:val="0000FF"/>
          <w:highlight w:val="lightGray"/>
        </w:rPr>
      </w:pPr>
    </w:p>
    <w:p>
      <w:pPr>
        <w:jc w:val="both"/>
        <w:ind w:left="-1120" w:firstLine="1259"/>
        <w:spacing w:after="0" w:line="252" w:lineRule="auto"/>
        <w:tabs>
          <w:tab w:leader="none" w:pos="732" w:val="left"/>
        </w:tabs>
        <w:numPr>
          <w:ilvl w:val="0"/>
          <w:numId w:val="104"/>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Upon the occurrence of a Canadian Benchmark Transition Event, Section 2.27 provides a mechanism for determining an alternative rate of interest. The Canadian Administrative Agent does not warrant or accept responsibility for, and shall not have any liability with respect to (a) the continuation of, administration of, submission of, calculation of or any other matter related to the Canadian Prime Rate, Term CORRA, Daily Compounded CORRA, Adjusted Term CORRA or Adjusted Daily Compounded CORRA or any component definition thereof or rates referred to in the definition thereof, or any alternative, successor or replacement rate thereto (including any Canadian Benchmark Replacement), including whether the composition or characteristics of any such alternative, successor or replacement rate (including any Canadian Benchmark Replacement) will be similar to, or produce the same value or economic equivalence of, or have the same volume or liquidity as, the Canadian Prime Rate, Term CORRA, Daily Compounded CORRA, Adjusted Term CORRA, Adjusted Daily Compounded CORRA or any other Canadian Benchmark prior to its discontinuance or unavailability, or (b) the effect, implementation or composition of any Canadian Conforming Changes. The Canadian Administrative Agent and its affiliates or other related entities may engage in transactions that affect the calculation of the Canadian Prime Rate, Term CORRA, Daily Compounded CORRA, Adjusted Term CORRA, Adjusted Daily Compounded CORRA, any alternative, successor or replacement rate (including any Canadian Benchmark Replacement) or any relevant adjustments thereto, in each case, in a manner adverse to the Borrowers. The</w:t>
      </w:r>
    </w:p>
    <w:p>
      <w:pPr>
        <w:sectPr>
          <w:pgSz w:w="11900" w:h="16838" w:orient="portrait"/>
          <w:cols w:equalWidth="0" w:num="1">
            <w:col w:w="10120"/>
          </w:cols>
          <w:pgMar w:left="1440" w:top="1380" w:right="339" w:bottom="1440" w:gutter="0" w:footer="0" w:header="0"/>
        </w:sectPr>
      </w:pPr>
    </w:p>
    <w:bookmarkStart w:id="108" w:name="page109"/>
    <w:bookmarkEnd w:id="108"/>
    <w:p>
      <w:pPr>
        <w:jc w:val="both"/>
        <w:spacing w:after="0" w:line="255" w:lineRule="auto"/>
        <w:rPr>
          <w:sz w:val="20"/>
          <w:szCs w:val="20"/>
          <w:color w:val="auto"/>
        </w:rPr>
      </w:pPr>
      <w:r>
        <w:rPr>
          <w:rFonts w:ascii="Times New Roman" w:cs="Times New Roman" w:eastAsia="Times New Roman" w:hAnsi="Times New Roman"/>
          <w:sz w:val="21"/>
          <w:szCs w:val="21"/>
          <w:u w:val="single" w:color="auto"/>
          <w:color w:val="0000FF"/>
          <w:highlight w:val="lightGray"/>
        </w:rPr>
        <w:t>Canadian Administrative Agent may select information sources or services in its reasonable discretion to ascertain the Canadian Prime Rate, Term CORRA, Adjusted Term CORRA, Adjusted Daily Compounded CORRA or any other Canadian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CREDITS</w:t>
      </w:r>
    </w:p>
    <w:p>
      <w:pPr>
        <w:spacing w:after="0" w:line="216"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2.01 </w:t>
      </w:r>
      <w:r>
        <w:rPr>
          <w:rFonts w:ascii="Times New Roman" w:cs="Times New Roman" w:eastAsia="Times New Roman" w:hAnsi="Times New Roman"/>
          <w:sz w:val="21"/>
          <w:szCs w:val="21"/>
          <w:b w:val="1"/>
          <w:bCs w:val="1"/>
          <w:i w:val="1"/>
          <w:iCs w:val="1"/>
          <w:color w:val="auto"/>
        </w:rPr>
        <w:t>Commitments</w:t>
      </w:r>
      <w:r>
        <w:rPr>
          <w:rFonts w:ascii="Times New Roman" w:cs="Times New Roman" w:eastAsia="Times New Roman" w:hAnsi="Times New Roman"/>
          <w:sz w:val="21"/>
          <w:szCs w:val="21"/>
          <w:color w:val="auto"/>
        </w:rPr>
        <w:t>. Subject to the terms and conditions and relying upon the representations and warranties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 set forth:</w:t>
      </w:r>
    </w:p>
    <w:p>
      <w:pPr>
        <w:spacing w:after="0" w:line="144" w:lineRule="exact"/>
        <w:rPr>
          <w:sz w:val="20"/>
          <w:szCs w:val="20"/>
          <w:color w:val="auto"/>
        </w:rPr>
      </w:pPr>
    </w:p>
    <w:p>
      <w:pPr>
        <w:jc w:val="both"/>
        <w:ind w:firstLine="1259"/>
        <w:spacing w:after="0" w:line="257" w:lineRule="auto"/>
        <w:tabs>
          <w:tab w:leader="none" w:pos="180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U.S. Revolving Lender agrees, severally and not jointly, to make U.S. Revolving Credit Loans in U.S. dollars to the U.S. Borrower, at any time and from time to time on or after the Closing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70"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3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Canadian Revolving Lender agrees, severally and not jointly, to make Canadian Revolving Credit Loans in Canadian dollars and/or U.S. dollars to the Parent Borrower at any time and from time to time on or after the Closing Date, and until the earlier of the Maturity Date and the termination of the Canadian Revolving Commitment of such Lender in accordance with the terms hereof, in an aggregate principal amount at any time outstanding that will not result in such Lender’s Canadian Revolving Credit Exposure exceeding such Lender’s Canadian Revolving Commitment;</w:t>
      </w:r>
    </w:p>
    <w:p>
      <w:pPr>
        <w:spacing w:after="0" w:line="170" w:lineRule="exact"/>
        <w:rPr>
          <w:rFonts w:ascii="Times New Roman" w:cs="Times New Roman" w:eastAsia="Times New Roman" w:hAnsi="Times New Roman"/>
          <w:sz w:val="21"/>
          <w:szCs w:val="21"/>
          <w:color w:val="auto"/>
        </w:rPr>
      </w:pPr>
    </w:p>
    <w:p>
      <w:pPr>
        <w:ind w:firstLine="1259"/>
        <w:spacing w:after="0" w:line="277" w:lineRule="auto"/>
        <w:tabs>
          <w:tab w:leader="none" w:pos="169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Canadian Term Lender agrees, severally and not jointly, to make Canadian Term Loan in Canadian dollars to the Parent Borrower on the Closing Date, in a principal amount not to exceed such Lender’s Canadian Term Commitment;</w:t>
      </w:r>
    </w:p>
    <w:p>
      <w:pPr>
        <w:spacing w:after="0" w:line="161" w:lineRule="exact"/>
        <w:rPr>
          <w:rFonts w:ascii="Times New Roman" w:cs="Times New Roman" w:eastAsia="Times New Roman" w:hAnsi="Times New Roman"/>
          <w:sz w:val="21"/>
          <w:szCs w:val="21"/>
          <w:color w:val="auto"/>
        </w:rPr>
      </w:pPr>
    </w:p>
    <w:p>
      <w:pPr>
        <w:jc w:val="both"/>
        <w:ind w:firstLine="1259"/>
        <w:spacing w:after="0" w:line="254" w:lineRule="auto"/>
        <w:tabs>
          <w:tab w:leader="none" w:pos="190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Australian Lender agrees, severally and not jointly, to make Australian Revolving Credit Loans in Australian dollars and/or U.S. dollars to the Australian Borrower at any time and from time to time on or after the Closing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172" w:lineRule="exact"/>
        <w:rPr>
          <w:rFonts w:ascii="Times New Roman" w:cs="Times New Roman" w:eastAsia="Times New Roman" w:hAnsi="Times New Roman"/>
          <w:sz w:val="21"/>
          <w:szCs w:val="21"/>
          <w:color w:val="auto"/>
        </w:rPr>
      </w:pPr>
    </w:p>
    <w:p>
      <w:pPr>
        <w:ind w:left="1700" w:hanging="441"/>
        <w:spacing w:after="0"/>
        <w:tabs>
          <w:tab w:leader="none" w:pos="17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Swing Line Lender agrees to make Swing Line Loans in U.S. dollars to the U.S. Borrower in accordance</w:t>
      </w:r>
    </w:p>
    <w:p>
      <w:pPr>
        <w:spacing w:after="0" w:line="4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with Section 2.23;</w:t>
      </w:r>
    </w:p>
    <w:p>
      <w:pPr>
        <w:sectPr>
          <w:pgSz w:w="11900" w:h="16838" w:orient="portrait"/>
          <w:cols w:equalWidth="0" w:num="1">
            <w:col w:w="11240"/>
          </w:cols>
          <w:pgMar w:left="320" w:top="1380" w:right="339" w:bottom="1440" w:gutter="0" w:footer="0" w:header="0"/>
        </w:sectPr>
      </w:pPr>
    </w:p>
    <w:bookmarkStart w:id="109" w:name="page110"/>
    <w:bookmarkEnd w:id="109"/>
    <w:p>
      <w:pPr>
        <w:ind w:firstLine="1259"/>
        <w:spacing w:after="0" w:line="277" w:lineRule="auto"/>
        <w:tabs>
          <w:tab w:leader="none" w:pos="175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Canadian Swing Line Lender agrees to make Swing Line Loans in Canadian dollars or U.S. dollars to the Parent Borrower in accordance with Section 2.23; and</w:t>
      </w:r>
    </w:p>
    <w:p>
      <w:pPr>
        <w:spacing w:after="0" w:line="148" w:lineRule="exact"/>
        <w:rPr>
          <w:rFonts w:ascii="Times New Roman" w:cs="Times New Roman" w:eastAsia="Times New Roman" w:hAnsi="Times New Roman"/>
          <w:sz w:val="21"/>
          <w:szCs w:val="21"/>
          <w:color w:val="auto"/>
        </w:rPr>
      </w:pPr>
    </w:p>
    <w:p>
      <w:pPr>
        <w:ind w:firstLine="1259"/>
        <w:spacing w:after="0" w:line="290" w:lineRule="auto"/>
        <w:tabs>
          <w:tab w:leader="none" w:pos="174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the limits set forth in the preceding sentence and subject to the terms, conditions and limitations set forth herein, the Borrowers may borrow, prepay and reborrow Revolving Credit Loans.</w:t>
      </w:r>
    </w:p>
    <w:p>
      <w:pPr>
        <w:spacing w:after="0" w:line="131"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2.02 </w:t>
      </w:r>
      <w:r>
        <w:rPr>
          <w:rFonts w:ascii="Times New Roman" w:cs="Times New Roman" w:eastAsia="Times New Roman" w:hAnsi="Times New Roman"/>
          <w:sz w:val="21"/>
          <w:szCs w:val="21"/>
          <w:b w:val="1"/>
          <w:bCs w:val="1"/>
          <w:i w:val="1"/>
          <w:iCs w:val="1"/>
          <w:color w:val="auto"/>
        </w:rPr>
        <w:t>Loans</w:t>
      </w:r>
      <w:r>
        <w:rPr>
          <w:rFonts w:ascii="Times New Roman" w:cs="Times New Roman" w:eastAsia="Times New Roman" w:hAnsi="Times New Roman"/>
          <w:sz w:val="21"/>
          <w:szCs w:val="21"/>
          <w:color w:val="auto"/>
        </w:rPr>
        <w:t>. (a) Each Loan shall be made as part of a Borrowing consisting of Loans made by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Lenders ratably in accordance with their Applicable Pro Rata Percentages of the applicable Facility;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SOFR Loans, an integral multiple of U.S.$1,000,000 and in a minimum amount of U.S.$3,000,000, (iii) in </w:t>
      </w:r>
      <w:r>
        <w:rPr>
          <w:rFonts w:ascii="Times New Roman" w:cs="Times New Roman" w:eastAsia="Times New Roman" w:hAnsi="Times New Roman"/>
          <w:sz w:val="21"/>
          <w:szCs w:val="21"/>
          <w:color w:val="FF0000"/>
          <w:strike w:val="1"/>
        </w:rPr>
        <w:t>the</w:t>
      </w:r>
      <w:r>
        <w:rPr>
          <w:rFonts w:ascii="Times New Roman" w:cs="Times New Roman" w:eastAsia="Times New Roman" w:hAnsi="Times New Roman"/>
          <w:sz w:val="21"/>
          <w:szCs w:val="21"/>
          <w:color w:val="auto"/>
        </w:rPr>
        <w:t xml:space="preserve"> case of Canadian dollar-denominated </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Loans, an integral multiple of C$100,000 and in a minimum amount of C$1,000,000, (iv</w:t>
      </w:r>
      <w:r>
        <w:rPr>
          <w:rFonts w:ascii="Times New Roman" w:cs="Times New Roman" w:eastAsia="Times New Roman" w:hAnsi="Times New Roman"/>
          <w:sz w:val="21"/>
          <w:szCs w:val="21"/>
          <w:u w:val="single" w:color="auto"/>
          <w:color w:val="0000FF"/>
          <w:highlight w:val="lightGray"/>
        </w:rPr>
        <w:t>) in the case of Canadian dollar-denominated Loans (other than Term CORRA Loans), 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integral multiple of C$100,000 and in a minimum amount of C$1,000,000, (v</w:t>
      </w:r>
      <w:r>
        <w:rPr>
          <w:rFonts w:ascii="Times New Roman" w:cs="Times New Roman" w:eastAsia="Times New Roman" w:hAnsi="Times New Roman"/>
          <w:sz w:val="21"/>
          <w:szCs w:val="21"/>
          <w:color w:val="000000"/>
        </w:rPr>
        <w:t>) in the case of Australian dollar-denominated Loans, an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integral multiple of AUD$100,000 and in a minimum amount of AUD$1,000,000 or (</w:t>
      </w:r>
      <w:r>
        <w:rPr>
          <w:rFonts w:ascii="Times New Roman" w:cs="Times New Roman" w:eastAsia="Times New Roman" w:hAnsi="Times New Roman"/>
          <w:sz w:val="21"/>
          <w:szCs w:val="21"/>
          <w:color w:val="FF0000"/>
          <w:strike w:val="1"/>
        </w:rPr>
        <w:t>v</w:t>
      </w:r>
      <w:r>
        <w:rPr>
          <w:rFonts w:ascii="Times New Roman" w:cs="Times New Roman" w:eastAsia="Times New Roman" w:hAnsi="Times New Roman"/>
          <w:sz w:val="21"/>
          <w:szCs w:val="21"/>
          <w:u w:val="single" w:color="auto"/>
          <w:color w:val="0000FF"/>
          <w:highlight w:val="lightGray"/>
        </w:rPr>
        <w:t>vi</w:t>
      </w:r>
      <w:r>
        <w:rPr>
          <w:rFonts w:ascii="Times New Roman" w:cs="Times New Roman" w:eastAsia="Times New Roman" w:hAnsi="Times New Roman"/>
          <w:sz w:val="21"/>
          <w:szCs w:val="21"/>
          <w:color w:val="000000"/>
        </w:rPr>
        <w:t>) equal to the remaining available balance of the applicable Commitment.</w:t>
      </w:r>
    </w:p>
    <w:p>
      <w:pPr>
        <w:spacing w:after="0" w:line="176" w:lineRule="exact"/>
        <w:rPr>
          <w:sz w:val="20"/>
          <w:szCs w:val="20"/>
          <w:color w:val="auto"/>
        </w:rPr>
      </w:pPr>
    </w:p>
    <w:p>
      <w:pPr>
        <w:jc w:val="both"/>
        <w:ind w:firstLine="1259"/>
        <w:spacing w:after="0" w:line="251" w:lineRule="auto"/>
        <w:tabs>
          <w:tab w:leader="none" w:pos="1727"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Sections 2.08 and 2.14, (i) each Borrowing (other than a Swing Line Borrowing) denominated in U.S. dollars shall be comprised entirely of ABR Loans (if made to the U.S. Borrower), U.S. Base Rate Loans (if made to the Parent Borrower) or SOFR Loans as the Applicable Borrower may request pursuant to Section 2.03, (ii) each Borrowing (other than a Swing Line Borrowing) denominated in Canadian dollars shall be comprised entirely of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Loans or Canadian Prime Rate Loans as the Parent Borrower may request pursuant to Section 2.03 and (iii) each Borrowing denominated in Australian dollars shall be comprised entirely of BBSY Rate Loans. Each Lender may at its option make any SOFR Loan, Canadian Revolving Credit Loan or Australian Revolving Credit Loan denominated in U.S. dollars by causing any domestic or foreign branch or Affiliate of such Lender to make such Loan;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Borrowers shall not be entitled to request any Borrowing that, if made, would result in more than ten SOFR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Borrowings outstanding hereunder at any time, more than ten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Borrowings outstanding hereunder at any time, or more than ten BBSY Rate Borrowings outstanding hereunder at any time. For purposes of the foregoing, SOFR Borrowings </w:t>
      </w:r>
      <w:r>
        <w:rPr>
          <w:rFonts w:ascii="Times New Roman" w:cs="Times New Roman" w:eastAsia="Times New Roman" w:hAnsi="Times New Roman"/>
          <w:sz w:val="21"/>
          <w:szCs w:val="21"/>
          <w:color w:val="FF0000"/>
        </w:rPr>
        <w:t>or</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auto"/>
        </w:rPr>
        <w:t xml:space="preserve"> BBSY Rate Borrowings </w:t>
      </w:r>
      <w:r>
        <w:rPr>
          <w:rFonts w:ascii="Times New Roman" w:cs="Times New Roman" w:eastAsia="Times New Roman" w:hAnsi="Times New Roman"/>
          <w:sz w:val="21"/>
          <w:szCs w:val="21"/>
          <w:u w:val="single" w:color="auto"/>
          <w:color w:val="0000FF"/>
          <w:highlight w:val="lightGray"/>
        </w:rPr>
        <w:t>or Term CORRA Borrowings</w:t>
      </w:r>
      <w:r>
        <w:rPr>
          <w:rFonts w:ascii="Times New Roman" w:cs="Times New Roman" w:eastAsia="Times New Roman" w:hAnsi="Times New Roman"/>
          <w:sz w:val="21"/>
          <w:szCs w:val="21"/>
          <w:color w:val="auto"/>
        </w:rPr>
        <w:t xml:space="preserve"> having different Interest Periods </w:t>
      </w:r>
      <w:r>
        <w:rPr>
          <w:rFonts w:ascii="Times New Roman" w:cs="Times New Roman" w:eastAsia="Times New Roman" w:hAnsi="Times New Roman"/>
          <w:sz w:val="21"/>
          <w:szCs w:val="21"/>
          <w:color w:val="FF0000"/>
        </w:rPr>
        <w:t>and B/A Borrowings having different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Contract Periods</w:t>
      </w:r>
      <w:r>
        <w:rPr>
          <w:rFonts w:ascii="Times New Roman" w:cs="Times New Roman" w:eastAsia="Times New Roman" w:hAnsi="Times New Roman"/>
          <w:sz w:val="21"/>
          <w:szCs w:val="21"/>
          <w:color w:val="000000"/>
        </w:rPr>
        <w:t>, regardless of whether they commence on the same date, shall be considered separate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-404495</wp:posOffset>
            </wp:positionV>
            <wp:extent cx="1568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-246380</wp:posOffset>
            </wp:positionV>
            <wp:extent cx="2188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188210" cy="825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10" w:name="page111"/>
    <w:bookmarkEnd w:id="110"/>
    <w:p>
      <w:pPr>
        <w:jc w:val="both"/>
        <w:ind w:left="-1120" w:firstLine="1259"/>
        <w:spacing w:after="0" w:line="265" w:lineRule="auto"/>
        <w:tabs>
          <w:tab w:leader="none" w:pos="60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with respect to Loans made pursuant to Section 2.02(g), each U.S. Lender making Loans denominated in U.S. dollars to the U.S. Borrower shall make each such Loan to be made by it hereunder on the proposed date thereof by wire transfer of immediately available funds to such account as the Administrative Agent may designate not later than 1:00 p.m. (Standard Time) in the case of a SOFR Borrowing, or 1:00 p.m. (Standard Time) in the case of an ABR Borrowing, and the Administrative Agent shall promptly credit the amounts so received to an account designated by the U.S. Borrower in the applicable Borrowing Request. Except with respect to Loans made pursuant to Section 2.02(g), each Canadian Lender making Loans to the Parent Borrower shall make each Canadian Loan to be made by it hereunder on the proposed date thereof by wire transfer of immediately available funds to such account in Toronto, Ontario as the Canadian Administrative Agent may designate not later than 1:00 p.m. (Standard Time) in the case of a SOFR Borrowing or a </w:t>
      </w:r>
      <w:r>
        <w:rPr>
          <w:rFonts w:ascii="Times New Roman" w:cs="Times New Roman" w:eastAsia="Times New Roman" w:hAnsi="Times New Roman"/>
          <w:sz w:val="20"/>
          <w:szCs w:val="20"/>
          <w:color w:val="FF0000"/>
          <w:strike w:val="1"/>
        </w:rPr>
        <w:t>B/A</w:t>
      </w:r>
      <w:r>
        <w:rPr>
          <w:rFonts w:ascii="Times New Roman" w:cs="Times New Roman" w:eastAsia="Times New Roman" w:hAnsi="Times New Roman"/>
          <w:sz w:val="20"/>
          <w:szCs w:val="20"/>
          <w:u w:val="single" w:color="auto"/>
          <w:color w:val="0000FF"/>
          <w:highlight w:val="lightGray"/>
        </w:rPr>
        <w:t>Term CORRA</w:t>
      </w:r>
      <w:r>
        <w:rPr>
          <w:rFonts w:ascii="Times New Roman" w:cs="Times New Roman" w:eastAsia="Times New Roman" w:hAnsi="Times New Roman"/>
          <w:sz w:val="20"/>
          <w:szCs w:val="20"/>
          <w:color w:val="auto"/>
        </w:rPr>
        <w:t xml:space="preserve"> Borrowing, or 1:00 p.m. (Standard Time) in the case of a Canadian Prime Rate Borrowing or U.S. Base Rate Borrowing, and the Canadian Administrative Agent shall promptly credit the amounts so received to an account designated by the Parent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163" w:lineRule="exact"/>
        <w:rPr>
          <w:rFonts w:ascii="Times New Roman" w:cs="Times New Roman" w:eastAsia="Times New Roman" w:hAnsi="Times New Roman"/>
          <w:sz w:val="20"/>
          <w:szCs w:val="20"/>
          <w:color w:val="auto"/>
        </w:rPr>
      </w:pPr>
    </w:p>
    <w:p>
      <w:pPr>
        <w:jc w:val="both"/>
        <w:ind w:left="-1120" w:firstLine="1259"/>
        <w:spacing w:after="0" w:line="251" w:lineRule="auto"/>
        <w:tabs>
          <w:tab w:leader="none" w:pos="65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w:t>
      </w:r>
    </w:p>
    <w:p>
      <w:pPr>
        <w:sectPr>
          <w:pgSz w:w="11900" w:h="16838" w:orient="portrait"/>
          <w:cols w:equalWidth="0" w:num="1">
            <w:col w:w="10120"/>
          </w:cols>
          <w:pgMar w:left="1440" w:top="1380" w:right="33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shall constitute such Lender’s Loan as part of such Borrowing for purposes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foregoing does not constitute a waiver by any Borrower of any claim for damages permitted hereunder and attributable to such Lender. Any payment by a Borrower shall be without prejudice to any claim any Borrower may have against a Lender that shall have failed to make such payment to the Applicable Administrative Agent.</w:t>
      </w:r>
    </w:p>
    <w:p>
      <w:pPr>
        <w:spacing w:after="0" w:line="167" w:lineRule="exact"/>
        <w:rPr>
          <w:sz w:val="20"/>
          <w:szCs w:val="20"/>
          <w:color w:val="auto"/>
        </w:rPr>
      </w:pPr>
    </w:p>
    <w:p>
      <w:pPr>
        <w:jc w:val="both"/>
        <w:ind w:firstLine="1259"/>
        <w:spacing w:after="0" w:line="251" w:lineRule="auto"/>
        <w:tabs>
          <w:tab w:leader="none" w:pos="170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 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184" w:lineRule="exact"/>
        <w:rPr>
          <w:rFonts w:ascii="Times New Roman" w:cs="Times New Roman" w:eastAsia="Times New Roman" w:hAnsi="Times New Roman"/>
          <w:sz w:val="21"/>
          <w:szCs w:val="21"/>
          <w:color w:val="auto"/>
        </w:rPr>
      </w:pPr>
    </w:p>
    <w:p>
      <w:pPr>
        <w:ind w:firstLine="1259"/>
        <w:spacing w:after="0" w:line="277" w:lineRule="auto"/>
        <w:tabs>
          <w:tab w:leader="none" w:pos="182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Agreement, the Borrowers shall not be entitled to request any Borrowing if the Interest Period </w:t>
      </w:r>
      <w:r>
        <w:rPr>
          <w:rFonts w:ascii="Times New Roman" w:cs="Times New Roman" w:eastAsia="Times New Roman" w:hAnsi="Times New Roman"/>
          <w:sz w:val="21"/>
          <w:szCs w:val="21"/>
          <w:color w:val="FF0000"/>
          <w:strike w:val="1"/>
        </w:rPr>
        <w:t>or Contract Period</w:t>
      </w:r>
      <w:r>
        <w:rPr>
          <w:rFonts w:ascii="Times New Roman" w:cs="Times New Roman" w:eastAsia="Times New Roman" w:hAnsi="Times New Roman"/>
          <w:sz w:val="21"/>
          <w:szCs w:val="21"/>
          <w:color w:val="auto"/>
        </w:rPr>
        <w:t xml:space="preserve"> requested with respect thereto would end after the Maturity Date.</w:t>
      </w:r>
    </w:p>
    <w:p>
      <w:pPr>
        <w:spacing w:after="0" w:line="148" w:lineRule="exact"/>
        <w:rPr>
          <w:rFonts w:ascii="Times New Roman" w:cs="Times New Roman" w:eastAsia="Times New Roman" w:hAnsi="Times New Roman"/>
          <w:sz w:val="21"/>
          <w:szCs w:val="21"/>
          <w:color w:val="auto"/>
        </w:rPr>
      </w:pPr>
    </w:p>
    <w:p>
      <w:pPr>
        <w:jc w:val="both"/>
        <w:ind w:firstLine="1259"/>
        <w:spacing w:after="0" w:line="252" w:lineRule="auto"/>
        <w:tabs>
          <w:tab w:leader="none" w:pos="184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Issuing Bank shall not have received from the U.S. Borrower, the Parent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Revolving Lender or Australian Lender, as applicable, of the U.S. Dollar Equivalent of such L/C Disbursement and its U.S. Revolving Pro Rata Percentage, Canadian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Revolving Pro Rata Percentage or Australian Revolving Pro Rata Percentage, as applicable, of the U.S. Dollar Equivalent of such L/C 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w:t>
      </w:r>
    </w:p>
    <w:p>
      <w:pPr>
        <w:sectPr>
          <w:pgSz w:w="11900" w:h="16838" w:orient="portrait"/>
          <w:cols w:equalWidth="0" w:num="1">
            <w:col w:w="11240"/>
          </w:cols>
          <w:pgMar w:left="320" w:top="1378" w:right="339" w:bottom="1440" w:gutter="0" w:footer="0" w:header="0"/>
        </w:sectPr>
      </w:pPr>
    </w:p>
    <w:bookmarkStart w:id="112" w:name="page113"/>
    <w:bookmarkEnd w:id="112"/>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Revolving Pro Rata Percentage or Australian Revolving Pro Rata Percentage, as applicable, of such L/C Disbursement available to the Applicable Administrative Agent as provided above, such Lender and the Borrower for whose (or for whose Subsidiary’s)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 Disbursement and the date of actual payment of the amount due (whether by a U.S. Revolving Lender, a Canadian Revolving Lender, an Australian Lender or the Borrower for whose (or for whose Subsidiary’s) account such L/C Disbursement was made), the Borrower for whose (or for whose Subsidiary’s) account such L/C Disbursement was made covenants and agrees to pay, or cause to be paid, such additional amounts, if any, as may be necessary to ensure that the amount paid in U.S. dollars,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189"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2.03 </w:t>
      </w:r>
      <w:r>
        <w:rPr>
          <w:rFonts w:ascii="Times New Roman" w:cs="Times New Roman" w:eastAsia="Times New Roman" w:hAnsi="Times New Roman"/>
          <w:sz w:val="21"/>
          <w:szCs w:val="21"/>
          <w:b w:val="1"/>
          <w:bCs w:val="1"/>
          <w:i w:val="1"/>
          <w:iCs w:val="1"/>
          <w:color w:val="auto"/>
        </w:rPr>
        <w:t>Borrowing Procedure</w:t>
      </w:r>
      <w:r>
        <w:rPr>
          <w:rFonts w:ascii="Times New Roman" w:cs="Times New Roman" w:eastAsia="Times New Roman" w:hAnsi="Times New Roman"/>
          <w:sz w:val="21"/>
          <w:szCs w:val="21"/>
          <w:color w:val="auto"/>
        </w:rPr>
        <w:t>. (a) In order to request a Borrowing (other than a deemed Borrowing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2.02(g) or a Swing Line Borrowing as to which this Section 2.03(a) shall not apply), the applicable U.S. Borrower (or the Parent Borrower on its behalf) shall hand deliver, fax or send by electronic communication (e-mail) (or by telephone notice promptly confirmed by a written, fax or electronic communication (e-mail)) to the Administrative Agent a duly completed Borrowing Request</w:t>
      </w:r>
    </w:p>
    <w:p>
      <w:pPr>
        <w:spacing w:after="0" w:line="3" w:lineRule="exact"/>
        <w:rPr>
          <w:sz w:val="20"/>
          <w:szCs w:val="20"/>
          <w:color w:val="auto"/>
        </w:rPr>
      </w:pPr>
    </w:p>
    <w:p>
      <w:pPr>
        <w:ind w:left="300" w:hanging="295"/>
        <w:spacing w:after="0"/>
        <w:tabs>
          <w:tab w:leader="none" w:pos="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SOFR Borrowing, not later than 1:00 p.m. (Standard Time) three Business Days before a proposed Borrowing, and</w:t>
      </w:r>
    </w:p>
    <w:p>
      <w:pPr>
        <w:spacing w:after="0" w:line="18" w:lineRule="exact"/>
        <w:rPr>
          <w:rFonts w:ascii="Times New Roman" w:cs="Times New Roman" w:eastAsia="Times New Roman" w:hAnsi="Times New Roman"/>
          <w:sz w:val="20"/>
          <w:szCs w:val="20"/>
          <w:color w:val="auto"/>
        </w:rPr>
      </w:pPr>
    </w:p>
    <w:p>
      <w:pPr>
        <w:ind w:firstLine="5"/>
        <w:spacing w:after="0" w:line="266" w:lineRule="auto"/>
        <w:tabs>
          <w:tab w:leader="none" w:pos="30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ABR Borrowing not later than 1:00 p.m. (Standard Time) one Business Day before a proposed Borrowing. Each such Borrowing Request shall be irrevocable, shall be signed by or on behalf of a Responsible Officer of such U.S. Borrower (or</w:t>
      </w:r>
    </w:p>
    <w:p>
      <w:pPr>
        <w:sectPr>
          <w:pgSz w:w="11900" w:h="16838" w:orient="portrait"/>
          <w:cols w:equalWidth="0" w:num="1">
            <w:col w:w="11240"/>
          </w:cols>
          <w:pgMar w:left="320" w:top="1380" w:right="339" w:bottom="1440" w:gutter="0" w:footer="0" w:header="0"/>
        </w:sectPr>
      </w:pPr>
    </w:p>
    <w:bookmarkStart w:id="113" w:name="page114"/>
    <w:bookmarkEnd w:id="113"/>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the Parent Borrower on its behalf) and shall specify the following information: (i) [reserved], (ii) whether such Borrowing is to be a SOFR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SOFR Borrowing, the Interest Period with respect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SOFR Borrowing is specified in any such notice, then the Parent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173" w:lineRule="exact"/>
        <w:rPr>
          <w:sz w:val="20"/>
          <w:szCs w:val="20"/>
          <w:color w:val="auto"/>
        </w:rPr>
      </w:pPr>
    </w:p>
    <w:p>
      <w:pPr>
        <w:jc w:val="both"/>
        <w:ind w:firstLine="1259"/>
        <w:spacing w:after="0" w:line="250" w:lineRule="auto"/>
        <w:tabs>
          <w:tab w:leader="none" w:pos="177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request a Borrowing (other than a deemed Borrowing pursuant to Section 2.02(g) or a Swing Line Borrowing as to which Section 2.03(b) shall not apply), the Parent Borrower shall hand deliver, fax or send by electronic communication (e-mail) (or by telephone notice promptly confirmed by a written, fax or electronic communication (e-mail)) to the Canadian Administrative Agent a duly completed Borrowing Request (x) in the case of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or a SOFR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Parent Borrower and shall specify the following information: (i) in the case of a Canadian Revolving Borrowing, whether the Borrowing then being requested is to be denominated in Canadian dollars or U.S. dollars; (ii) whether such Borrowing is to be a Canadian Prime Rate Borrowing,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a U.S. Base Rate Borrowing or a SOFR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or a SOFR Borrowing, the </w:t>
      </w:r>
      <w:r>
        <w:rPr>
          <w:rFonts w:ascii="Times New Roman" w:cs="Times New Roman" w:eastAsia="Times New Roman" w:hAnsi="Times New Roman"/>
          <w:sz w:val="21"/>
          <w:szCs w:val="21"/>
          <w:color w:val="FF0000"/>
          <w:strike w:val="1"/>
        </w:rPr>
        <w:t>Contract Period or</w:t>
      </w:r>
      <w:r>
        <w:rPr>
          <w:rFonts w:ascii="Times New Roman" w:cs="Times New Roman" w:eastAsia="Times New Roman" w:hAnsi="Times New Roman"/>
          <w:sz w:val="21"/>
          <w:szCs w:val="21"/>
          <w:color w:val="auto"/>
        </w:rPr>
        <w:t xml:space="preserve"> Interest Period</w:t>
      </w:r>
      <w:r>
        <w:rPr>
          <w:rFonts w:ascii="Times New Roman" w:cs="Times New Roman" w:eastAsia="Times New Roman" w:hAnsi="Times New Roman"/>
          <w:sz w:val="21"/>
          <w:szCs w:val="21"/>
          <w:color w:val="FF0000"/>
          <w:strike w:val="1"/>
        </w:rPr>
        <w:t>, respectively,</w:t>
      </w:r>
      <w:r>
        <w:rPr>
          <w:rFonts w:ascii="Times New Roman" w:cs="Times New Roman" w:eastAsia="Times New Roman" w:hAnsi="Times New Roman"/>
          <w:sz w:val="21"/>
          <w:szCs w:val="21"/>
          <w:color w:val="auto"/>
        </w:rPr>
        <w:t xml:space="preserve"> therefor;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notwithstanding any contrary specification in any Borrowing Request, each requested Borrowing shall comply with the requirements set forth in Section 2.02. If no election as to the Type of Borrowing is specified in any such notice, then the requested Borrowing shall be a Canadian Prime Rate Borrowing (if denominated in Canadian dollars) or a U.S. Base Rate Borrowing (if denominated in U.S. dollars). If no </w:t>
      </w:r>
      <w:r>
        <w:rPr>
          <w:rFonts w:ascii="Times New Roman" w:cs="Times New Roman" w:eastAsia="Times New Roman" w:hAnsi="Times New Roman"/>
          <w:sz w:val="21"/>
          <w:szCs w:val="21"/>
          <w:color w:val="FF0000"/>
          <w:strike w:val="1"/>
        </w:rPr>
        <w:t>Contract Period or</w:t>
      </w:r>
      <w:r>
        <w:rPr>
          <w:rFonts w:ascii="Times New Roman" w:cs="Times New Roman" w:eastAsia="Times New Roman" w:hAnsi="Times New Roman"/>
          <w:sz w:val="21"/>
          <w:szCs w:val="21"/>
          <w:color w:val="auto"/>
        </w:rPr>
        <w:t xml:space="preserve"> Interest Period with respect to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or SOFR Borrowing has been specified in any such notice, then the Parent Borrower shall be deemed to have selected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Contract Period or</w:t>
      </w:r>
      <w:r>
        <w:rPr>
          <w:rFonts w:ascii="Times New Roman" w:cs="Times New Roman" w:eastAsia="Times New Roman" w:hAnsi="Times New Roman"/>
          <w:sz w:val="21"/>
          <w:szCs w:val="21"/>
          <w:u w:val="single" w:color="auto"/>
          <w:color w:val="0000FF"/>
          <w:highlight w:val="lightGray"/>
        </w:rPr>
        <w:t>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Interest Period of one month’s duration. The Canadian Administrative Agent shall promptly advise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Applicable Lenders of any notice given pursuant to this Section 2.03(b) (and the contents thereof), and of each Lender’s portion of the requested Borrowing.</w:t>
      </w:r>
    </w:p>
    <w:p>
      <w:pPr>
        <w:sectPr>
          <w:pgSz w:w="11900" w:h="16838" w:orient="portrait"/>
          <w:cols w:equalWidth="0" w:num="1">
            <w:col w:w="11240"/>
          </w:cols>
          <w:pgMar w:left="320" w:top="1380" w:right="339" w:bottom="1440" w:gutter="0" w:footer="0" w:header="0"/>
        </w:sectPr>
      </w:pPr>
    </w:p>
    <w:bookmarkStart w:id="114" w:name="page115"/>
    <w:bookmarkEnd w:id="114"/>
    <w:p>
      <w:pPr>
        <w:jc w:val="both"/>
        <w:ind w:left="-5" w:firstLine="1259"/>
        <w:spacing w:after="0" w:line="252" w:lineRule="auto"/>
        <w:tabs>
          <w:tab w:leader="none" w:pos="176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request a Borrowing (other than a deemed Borrowing pursuant to Section 2.02(g), as to which this Section 2.03(c) shall not apply), the Australian Borrower (or the Parent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Parent Borrower on its behalf) and shall specify the following information:</w:t>
      </w:r>
    </w:p>
    <w:p>
      <w:pPr>
        <w:spacing w:after="0" w:line="5" w:lineRule="exact"/>
        <w:rPr>
          <w:rFonts w:ascii="Times New Roman" w:cs="Times New Roman" w:eastAsia="Times New Roman" w:hAnsi="Times New Roman"/>
          <w:sz w:val="21"/>
          <w:szCs w:val="21"/>
          <w:color w:val="auto"/>
        </w:rPr>
      </w:pPr>
    </w:p>
    <w:p>
      <w:pPr>
        <w:jc w:val="both"/>
        <w:ind w:left="-5" w:firstLine="5"/>
        <w:spacing w:after="0" w:line="263" w:lineRule="auto"/>
        <w:tabs>
          <w:tab w:leader="none" w:pos="27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Borrowing then being requested is to be a BBSY Rate Borrowing denominated in Australian dollars or a SOFR Borrowing denominated in U.S. dollars; (ii) the date of such Borrowing (which shall be a Business Day); (iii) the number and location of the account to which funds are to be disbursed (which shall be an account that complies with the requirements of Section 2.02(c));</w:t>
      </w:r>
    </w:p>
    <w:p>
      <w:pPr>
        <w:spacing w:after="0" w:line="1" w:lineRule="exact"/>
        <w:rPr>
          <w:rFonts w:ascii="Times New Roman" w:cs="Times New Roman" w:eastAsia="Times New Roman" w:hAnsi="Times New Roman"/>
          <w:sz w:val="20"/>
          <w:szCs w:val="20"/>
          <w:color w:val="auto"/>
        </w:rPr>
      </w:pPr>
    </w:p>
    <w:p>
      <w:pPr>
        <w:jc w:val="both"/>
        <w:ind w:left="-5" w:firstLine="5"/>
        <w:spacing w:after="0" w:line="248" w:lineRule="auto"/>
        <w:tabs>
          <w:tab w:leader="none" w:pos="39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such Borrowing; and (v) the Interest Period therefor;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any contrary specification in any Borrowing Request, each requested Borrowing shall 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188" w:lineRule="exact"/>
        <w:rPr>
          <w:sz w:val="20"/>
          <w:szCs w:val="20"/>
          <w:color w:val="auto"/>
        </w:rPr>
      </w:pPr>
    </w:p>
    <w:p>
      <w:pPr>
        <w:ind w:left="635"/>
        <w:spacing w:after="0"/>
        <w:tabs>
          <w:tab w:leader="none" w:pos="2175" w:val="left"/>
        </w:tabs>
        <w:rPr>
          <w:sz w:val="20"/>
          <w:szCs w:val="20"/>
          <w:color w:val="auto"/>
        </w:rPr>
      </w:pPr>
      <w:r>
        <w:rPr>
          <w:rFonts w:ascii="Times New Roman" w:cs="Times New Roman" w:eastAsia="Times New Roman" w:hAnsi="Times New Roman"/>
          <w:sz w:val="21"/>
          <w:szCs w:val="21"/>
          <w:b w:val="1"/>
          <w:bCs w:val="1"/>
          <w:color w:val="auto"/>
        </w:rPr>
        <w:t>SECTION 2.04</w:t>
      </w:r>
      <w:r>
        <w:rPr>
          <w:sz w:val="20"/>
          <w:szCs w:val="20"/>
          <w:color w:val="auto"/>
        </w:rPr>
        <w:tab/>
      </w:r>
      <w:r>
        <w:rPr>
          <w:rFonts w:ascii="Times New Roman" w:cs="Times New Roman" w:eastAsia="Times New Roman" w:hAnsi="Times New Roman"/>
          <w:sz w:val="20"/>
          <w:szCs w:val="20"/>
          <w:b w:val="1"/>
          <w:bCs w:val="1"/>
          <w:i w:val="1"/>
          <w:iCs w:val="1"/>
          <w:color w:val="auto"/>
        </w:rPr>
        <w:t>Evidence of Debt; Repayment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5" w:firstLine="1259"/>
        <w:spacing w:after="0" w:line="253" w:lineRule="auto"/>
        <w:tabs>
          <w:tab w:leader="none" w:pos="172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Borrower hereby unconditionally promises to pay to the Administrative Agent for the account of each U.S. Revolving Lender holding U.S. Revolving Credit Loans the then unpaid principal amount of each such Revolving Credit Loan of such Lender on the Maturity Date. The Parent Borrower hereby unconditionally promises to pay to the Canadian Administrative Agent for the account of each Canadian Revolving Lender holding Canadian Revolving Credit Loans made to such Parent Borrower, the then unpaid principal amount of each such Revolving Credit Loan of such Canadian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72" w:lineRule="exact"/>
        <w:rPr>
          <w:rFonts w:ascii="Times New Roman" w:cs="Times New Roman" w:eastAsia="Times New Roman" w:hAnsi="Times New Roman"/>
          <w:sz w:val="21"/>
          <w:szCs w:val="21"/>
          <w:color w:val="auto"/>
        </w:rPr>
      </w:pPr>
    </w:p>
    <w:p>
      <w:pPr>
        <w:jc w:val="both"/>
        <w:ind w:left="-5" w:firstLine="1259"/>
        <w:spacing w:after="0" w:line="257" w:lineRule="auto"/>
        <w:tabs>
          <w:tab w:leader="none" w:pos="169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hereby unconditionally promises to pay in Canadian Dollars to the Canadian Administrative Agent for the account of each Canadian Term Lender holding Canadian Term Loans the principal amounts set forth in Schedule 2.04 on each corresponding date set forth on such schedule;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Canadian Administrative Agent shall promptly update Schedule 2.04 upon any repayment or prepayment of Canadian Term Loans, which updated schedule shall become effective upon delivery to the Parent Borrower.</w:t>
      </w:r>
    </w:p>
    <w:p>
      <w:pPr>
        <w:spacing w:after="0" w:line="170" w:lineRule="exact"/>
        <w:rPr>
          <w:rFonts w:ascii="Times New Roman" w:cs="Times New Roman" w:eastAsia="Times New Roman" w:hAnsi="Times New Roman"/>
          <w:sz w:val="21"/>
          <w:szCs w:val="21"/>
          <w:color w:val="auto"/>
        </w:rPr>
      </w:pPr>
    </w:p>
    <w:p>
      <w:pPr>
        <w:ind w:left="-5" w:firstLine="1259"/>
        <w:spacing w:after="0" w:line="277" w:lineRule="auto"/>
        <w:tabs>
          <w:tab w:leader="none" w:pos="183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Borrower shall repay each U.S. Swing Line Loan on the Swing Line Payment Date. The Parent Borrower shall repay each Canadian Swing Line Loan on the Swing Line Payment Date.</w:t>
      </w:r>
    </w:p>
    <w:p>
      <w:pPr>
        <w:sectPr>
          <w:pgSz w:w="11900" w:h="16838" w:orient="portrait"/>
          <w:cols w:equalWidth="0" w:num="1">
            <w:col w:w="11235"/>
          </w:cols>
          <w:pgMar w:left="325" w:top="1380" w:right="339" w:bottom="1440" w:gutter="0" w:footer="0" w:header="0"/>
        </w:sectPr>
      </w:pPr>
    </w:p>
    <w:bookmarkStart w:id="115" w:name="page116"/>
    <w:bookmarkEnd w:id="115"/>
    <w:p>
      <w:pPr>
        <w:ind w:firstLine="1259"/>
        <w:spacing w:after="0" w:line="277" w:lineRule="auto"/>
        <w:tabs>
          <w:tab w:leader="none" w:pos="1707"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FF0000"/>
          <w:strike w:val="1"/>
        </w:rPr>
        <w:t>Except for any B/A Loan (the compensation for which is set forth in Section 2.22), e</w:t>
      </w:r>
      <w:r>
        <w:rPr>
          <w:rFonts w:ascii="Times New Roman" w:cs="Times New Roman" w:eastAsia="Times New Roman" w:hAnsi="Times New Roman"/>
          <w:sz w:val="21"/>
          <w:szCs w:val="21"/>
          <w:u w:val="single" w:color="auto"/>
          <w:color w:val="0000FF"/>
          <w:highlight w:val="lightGray"/>
        </w:rPr>
        <w:t>E</w:t>
      </w:r>
      <w:r>
        <w:rPr>
          <w:rFonts w:ascii="Times New Roman" w:cs="Times New Roman" w:eastAsia="Times New Roman" w:hAnsi="Times New Roman"/>
          <w:sz w:val="21"/>
          <w:szCs w:val="21"/>
          <w:color w:val="000000"/>
        </w:rPr>
        <w:t>ach Loan shall bear interest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from and including the date made on the outstanding principal balance thereof as set forth in Section 2.06.</w:t>
      </w:r>
    </w:p>
    <w:p>
      <w:pPr>
        <w:spacing w:after="0" w:line="148" w:lineRule="exact"/>
        <w:rPr>
          <w:rFonts w:ascii="Times New Roman" w:cs="Times New Roman" w:eastAsia="Times New Roman" w:hAnsi="Times New Roman"/>
          <w:sz w:val="21"/>
          <w:szCs w:val="21"/>
          <w:color w:val="auto"/>
        </w:rPr>
      </w:pPr>
    </w:p>
    <w:p>
      <w:pPr>
        <w:jc w:val="both"/>
        <w:ind w:firstLine="1259"/>
        <w:spacing w:after="0" w:line="261" w:lineRule="auto"/>
        <w:tabs>
          <w:tab w:leader="none" w:pos="188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64"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1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168" w:lineRule="exact"/>
        <w:rPr>
          <w:rFonts w:ascii="Times New Roman" w:cs="Times New Roman" w:eastAsia="Times New Roman" w:hAnsi="Times New Roman"/>
          <w:sz w:val="21"/>
          <w:szCs w:val="21"/>
          <w:color w:val="auto"/>
        </w:rPr>
      </w:pPr>
    </w:p>
    <w:p>
      <w:pPr>
        <w:jc w:val="both"/>
        <w:ind w:firstLine="1259"/>
        <w:spacing w:after="0" w:line="261" w:lineRule="auto"/>
        <w:tabs>
          <w:tab w:leader="none" w:pos="183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entries made in the accounts maintained pursuant to paragraphs (e) and (f) above shall be </w:t>
      </w:r>
      <w:r>
        <w:rPr>
          <w:rFonts w:ascii="Times New Roman" w:cs="Times New Roman" w:eastAsia="Times New Roman" w:hAnsi="Times New Roman"/>
          <w:sz w:val="21"/>
          <w:szCs w:val="21"/>
          <w:i w:val="1"/>
          <w:iCs w:val="1"/>
          <w:color w:val="auto"/>
        </w:rPr>
        <w:t>prima facie</w:t>
      </w:r>
      <w:r>
        <w:rPr>
          <w:rFonts w:ascii="Times New Roman" w:cs="Times New Roman" w:eastAsia="Times New Roman" w:hAnsi="Times New Roman"/>
          <w:sz w:val="21"/>
          <w:szCs w:val="21"/>
          <w:color w:val="auto"/>
        </w:rPr>
        <w:t xml:space="preserve"> evidence of the existence and amounts of the obligations therein recorded;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failure of any Lender or the Administrative Agents to maintain such accounts or any error therein shall not in any manner affect the obligations of the Borrowers to repay the Loans in accordance with the terms of this Agreement.</w:t>
      </w:r>
    </w:p>
    <w:p>
      <w:pPr>
        <w:spacing w:after="0" w:line="164" w:lineRule="exact"/>
        <w:rPr>
          <w:rFonts w:ascii="Times New Roman" w:cs="Times New Roman" w:eastAsia="Times New Roman" w:hAnsi="Times New Roman"/>
          <w:sz w:val="21"/>
          <w:szCs w:val="21"/>
          <w:color w:val="auto"/>
        </w:rPr>
      </w:pPr>
    </w:p>
    <w:p>
      <w:pPr>
        <w:jc w:val="both"/>
        <w:ind w:firstLine="1259"/>
        <w:spacing w:after="0" w:line="255" w:lineRule="auto"/>
        <w:tabs>
          <w:tab w:leader="none" w:pos="1716"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request that Loans made by it hereunder be evidenced by a promissory note (a “</w:t>
      </w:r>
      <w:r>
        <w:rPr>
          <w:rFonts w:ascii="Times New Roman" w:cs="Times New Roman" w:eastAsia="Times New Roman" w:hAnsi="Times New Roman"/>
          <w:sz w:val="21"/>
          <w:szCs w:val="21"/>
          <w:i w:val="1"/>
          <w:iCs w:val="1"/>
          <w:color w:val="auto"/>
        </w:rPr>
        <w:t>Note</w:t>
      </w:r>
      <w:r>
        <w:rPr>
          <w:rFonts w:ascii="Times New Roman" w:cs="Times New Roman" w:eastAsia="Times New Roman" w:hAnsi="Times New Roman"/>
          <w:sz w:val="21"/>
          <w:szCs w:val="21"/>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w:t>
      </w:r>
    </w:p>
    <w:p>
      <w:pPr>
        <w:spacing w:after="0" w:line="171"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2.05 </w:t>
      </w:r>
      <w:r>
        <w:rPr>
          <w:rFonts w:ascii="Times New Roman" w:cs="Times New Roman" w:eastAsia="Times New Roman" w:hAnsi="Times New Roman"/>
          <w:sz w:val="21"/>
          <w:szCs w:val="21"/>
          <w:b w:val="1"/>
          <w:bCs w:val="1"/>
          <w:i w:val="1"/>
          <w:iCs w:val="1"/>
          <w:color w:val="auto"/>
        </w:rPr>
        <w:t>Fees</w:t>
      </w:r>
      <w:r>
        <w:rPr>
          <w:rFonts w:ascii="Times New Roman" w:cs="Times New Roman" w:eastAsia="Times New Roman" w:hAnsi="Times New Roman"/>
          <w:sz w:val="21"/>
          <w:szCs w:val="21"/>
          <w:color w:val="auto"/>
        </w:rPr>
        <w:t>. (a) (i) The U.S. Borrower agrees to pay to each U.S. Revolving Lender, through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on the last Business Day of March, June, September and December in each year, a commitment fee (the “U.S. Commitment Fee”) equal to the Applicable Percentage on the daily unused amount of the U.S. Revolving Commitments of such U.S. Revolving Lender to make U.S. Revolving Credit Loans to the U.S. Borrower during the preceding quarter. The U.S. Commitment Fee shall be computed on the basis of the actual number of days elapsed in a year of 360 days.</w:t>
      </w:r>
    </w:p>
    <w:p>
      <w:pPr>
        <w:spacing w:after="0" w:line="170" w:lineRule="exact"/>
        <w:rPr>
          <w:sz w:val="20"/>
          <w:szCs w:val="20"/>
          <w:color w:val="auto"/>
        </w:rPr>
      </w:pPr>
    </w:p>
    <w:p>
      <w:pPr>
        <w:jc w:val="both"/>
        <w:ind w:left="640" w:firstLine="1246"/>
        <w:spacing w:after="0" w:line="257" w:lineRule="auto"/>
        <w:tabs>
          <w:tab w:leader="none" w:pos="259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agrees to pay to each Canadian Revolving Lender, through the Canadian Administrative Agent, on the last Business Day of March, June, September and December in each year, a commitment fee (the “</w:t>
      </w:r>
      <w:r>
        <w:rPr>
          <w:rFonts w:ascii="Times New Roman" w:cs="Times New Roman" w:eastAsia="Times New Roman" w:hAnsi="Times New Roman"/>
          <w:sz w:val="21"/>
          <w:szCs w:val="21"/>
          <w:i w:val="1"/>
          <w:iCs w:val="1"/>
          <w:color w:val="auto"/>
        </w:rPr>
        <w:t>Canadian Commitment Fee</w:t>
      </w:r>
      <w:r>
        <w:rPr>
          <w:rFonts w:ascii="Times New Roman" w:cs="Times New Roman" w:eastAsia="Times New Roman" w:hAnsi="Times New Roman"/>
          <w:sz w:val="21"/>
          <w:szCs w:val="21"/>
          <w:color w:val="auto"/>
        </w:rPr>
        <w:t>”) equal to the Applicable Percentage on the daily unused amount of the Canadian Revolving Commitments of such Canadian Revolving Lender to make Canadian Revolving Credit Loans to the Parent Borrower during the preceding quarter.</w:t>
      </w:r>
    </w:p>
    <w:p>
      <w:pPr>
        <w:sectPr>
          <w:pgSz w:w="11900" w:h="16838" w:orient="portrait"/>
          <w:cols w:equalWidth="0" w:num="1">
            <w:col w:w="11240"/>
          </w:cols>
          <w:pgMar w:left="320" w:top="1380" w:right="339" w:bottom="1440" w:gutter="0" w:footer="0" w:header="0"/>
        </w:sectPr>
      </w:pPr>
    </w:p>
    <w:bookmarkStart w:id="116" w:name="page117"/>
    <w:bookmarkEnd w:id="116"/>
    <w:p>
      <w:pPr>
        <w:spacing w:after="0" w:line="277" w:lineRule="auto"/>
        <w:rPr>
          <w:sz w:val="20"/>
          <w:szCs w:val="20"/>
          <w:color w:val="auto"/>
        </w:rPr>
      </w:pPr>
      <w:r>
        <w:rPr>
          <w:rFonts w:ascii="Times New Roman" w:cs="Times New Roman" w:eastAsia="Times New Roman" w:hAnsi="Times New Roman"/>
          <w:sz w:val="21"/>
          <w:szCs w:val="21"/>
          <w:color w:val="auto"/>
        </w:rPr>
        <w:t>The Canadian Commitment Fees shall be computed on the basis of the actual number of days elapsed in a year of 365 or 366 days, as the case may be.</w:t>
      </w:r>
    </w:p>
    <w:p>
      <w:pPr>
        <w:spacing w:after="0" w:line="148" w:lineRule="exact"/>
        <w:rPr>
          <w:sz w:val="20"/>
          <w:szCs w:val="20"/>
          <w:color w:val="auto"/>
        </w:rPr>
      </w:pPr>
    </w:p>
    <w:p>
      <w:pPr>
        <w:jc w:val="both"/>
        <w:ind w:firstLine="1246"/>
        <w:spacing w:after="0" w:line="256" w:lineRule="auto"/>
        <w:tabs>
          <w:tab w:leader="none" w:pos="1792"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Australian Borrower agrees to pay to each Australian Lender, through the Australian Administrative Agent, on the last Business Day of March, June, September and December in each year, a commitment fee (the “</w:t>
      </w:r>
      <w:r>
        <w:rPr>
          <w:rFonts w:ascii="Times New Roman" w:cs="Times New Roman" w:eastAsia="Times New Roman" w:hAnsi="Times New Roman"/>
          <w:sz w:val="21"/>
          <w:szCs w:val="21"/>
          <w:i w:val="1"/>
          <w:iCs w:val="1"/>
          <w:color w:val="auto"/>
        </w:rPr>
        <w:t>Australian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Commitment Fee</w:t>
      </w:r>
      <w:r>
        <w:rPr>
          <w:rFonts w:ascii="Times New Roman" w:cs="Times New Roman" w:eastAsia="Times New Roman" w:hAnsi="Times New Roman"/>
          <w:sz w:val="21"/>
          <w:szCs w:val="21"/>
          <w:color w:val="auto"/>
        </w:rPr>
        <w:t>”; together with the U.S. Commitment Fee and the Canadian Commitment Fees, the “</w:t>
      </w:r>
      <w:r>
        <w:rPr>
          <w:rFonts w:ascii="Times New Roman" w:cs="Times New Roman" w:eastAsia="Times New Roman" w:hAnsi="Times New Roman"/>
          <w:sz w:val="21"/>
          <w:szCs w:val="21"/>
          <w:i w:val="1"/>
          <w:iCs w:val="1"/>
          <w:color w:val="auto"/>
        </w:rPr>
        <w:t>Commitment Fees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equal to the Applicable Percentage on the daily unused amount of 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170" w:lineRule="exact"/>
        <w:rPr>
          <w:rFonts w:ascii="Times New Roman" w:cs="Times New Roman" w:eastAsia="Times New Roman" w:hAnsi="Times New Roman"/>
          <w:sz w:val="21"/>
          <w:szCs w:val="21"/>
          <w:color w:val="auto"/>
        </w:rPr>
      </w:pPr>
    </w:p>
    <w:p>
      <w:pPr>
        <w:jc w:val="both"/>
        <w:ind w:firstLine="1246"/>
        <w:spacing w:after="0" w:line="255" w:lineRule="auto"/>
        <w:tabs>
          <w:tab w:leader="none" w:pos="1775"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Commitment Fees due to each Revolving Lender shall commence to accrue on the Closing Date and shall, in each case, cease to accrue on the date on which the applicable 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Revolving Commitments when calculating the Canadian Commitment Fees under this Section 2.05(a).</w:t>
      </w:r>
    </w:p>
    <w:p>
      <w:pPr>
        <w:spacing w:after="0" w:line="172" w:lineRule="exact"/>
        <w:rPr>
          <w:rFonts w:ascii="Times New Roman" w:cs="Times New Roman" w:eastAsia="Times New Roman" w:hAnsi="Times New Roman"/>
          <w:sz w:val="21"/>
          <w:szCs w:val="21"/>
          <w:color w:val="auto"/>
        </w:rPr>
      </w:pPr>
    </w:p>
    <w:p>
      <w:pPr>
        <w:jc w:val="both"/>
        <w:ind w:left="-640" w:firstLine="1259"/>
        <w:spacing w:after="0" w:line="262" w:lineRule="auto"/>
        <w:tabs>
          <w:tab w:leader="none" w:pos="107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163" w:lineRule="exact"/>
        <w:rPr>
          <w:rFonts w:ascii="Times New Roman" w:cs="Times New Roman" w:eastAsia="Times New Roman" w:hAnsi="Times New Roman"/>
          <w:sz w:val="21"/>
          <w:szCs w:val="21"/>
          <w:color w:val="auto"/>
        </w:rPr>
      </w:pPr>
    </w:p>
    <w:p>
      <w:pPr>
        <w:jc w:val="both"/>
        <w:ind w:left="-640" w:firstLine="1259"/>
        <w:spacing w:after="0" w:line="252" w:lineRule="auto"/>
        <w:tabs>
          <w:tab w:leader="none" w:pos="109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Borrower agrees to pay to each U.S. Revolving Lender, through the Administrative Agent, on the last Business Day of March, June, September and December of each year, commencing with the first such date to occur after the Closing Date, and on the date on which the U.S. Revolving Commitment of such Revolving Lender shall be terminated as provided herein, a fee (the “</w:t>
      </w:r>
      <w:r>
        <w:rPr>
          <w:rFonts w:ascii="Times New Roman" w:cs="Times New Roman" w:eastAsia="Times New Roman" w:hAnsi="Times New Roman"/>
          <w:sz w:val="21"/>
          <w:szCs w:val="21"/>
          <w:i w:val="1"/>
          <w:iCs w:val="1"/>
          <w:color w:val="auto"/>
        </w:rPr>
        <w:t>U.S. L/C Participation Fee</w:t>
      </w:r>
      <w:r>
        <w:rPr>
          <w:rFonts w:ascii="Times New Roman" w:cs="Times New Roman" w:eastAsia="Times New Roman" w:hAnsi="Times New Roman"/>
          <w:sz w:val="21"/>
          <w:szCs w:val="21"/>
          <w:color w:val="auto"/>
        </w:rPr>
        <w:t>”)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SOFR Loans pursuant to Section 2.06. The Parent Borrower agrees to pay to each Canadian Revolving Lender, through the Canadian Administrative Agent, on the last Business Day of March, June, September and December of each year, commencing with the first such date to occur after the Closing Date, and on the date on which the Canadian Revolving Commitment of such Revolving Lender shall be terminated as provided herein, a fee (the “</w:t>
      </w:r>
      <w:r>
        <w:rPr>
          <w:rFonts w:ascii="Times New Roman" w:cs="Times New Roman" w:eastAsia="Times New Roman" w:hAnsi="Times New Roman"/>
          <w:sz w:val="21"/>
          <w:szCs w:val="21"/>
          <w:i w:val="1"/>
          <w:iCs w:val="1"/>
          <w:color w:val="auto"/>
        </w:rPr>
        <w:t>Canadian L/C Participation Fee</w:t>
      </w:r>
      <w:r>
        <w:rPr>
          <w:rFonts w:ascii="Times New Roman" w:cs="Times New Roman" w:eastAsia="Times New Roman" w:hAnsi="Times New Roman"/>
          <w:sz w:val="21"/>
          <w:szCs w:val="21"/>
          <w:color w:val="auto"/>
        </w:rPr>
        <w:t>”) calculated on such Lender’s Canadian Revolving Pro Rata Percentage of the daily aggregate Canadian L/C Exposure (in each</w:t>
      </w:r>
    </w:p>
    <w:p>
      <w:pPr>
        <w:sectPr>
          <w:pgSz w:w="11900" w:h="16838" w:orient="portrait"/>
          <w:cols w:equalWidth="0" w:num="1">
            <w:col w:w="10600"/>
          </w:cols>
          <w:pgMar w:left="960" w:top="1380" w:right="339" w:bottom="1440" w:gutter="0" w:footer="0" w:header="0"/>
        </w:sectPr>
      </w:pPr>
    </w:p>
    <w:bookmarkStart w:id="117" w:name="page118"/>
    <w:bookmarkEnd w:id="117"/>
    <w:p>
      <w:pPr>
        <w:jc w:val="both"/>
        <w:spacing w:after="0" w:line="250" w:lineRule="auto"/>
        <w:rPr>
          <w:sz w:val="20"/>
          <w:szCs w:val="20"/>
          <w:color w:val="auto"/>
        </w:rPr>
      </w:pPr>
      <w:r>
        <w:rPr>
          <w:rFonts w:ascii="Times New Roman" w:cs="Times New Roman" w:eastAsia="Times New Roman" w:hAnsi="Times New Roman"/>
          <w:sz w:val="21"/>
          <w:szCs w:val="21"/>
          <w:color w:val="auto"/>
        </w:rPr>
        <w:t>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SOFR Loans pursuant to Section 2.06. The Australian Borrower agrees to pay to each Australian Lender, through the Australian Administrative Agent, on the last Business Day of March, June, September and December of each year, commencing with the first such date to occur after the Closing Date, and on the date on which the Australian Revolving Commitment of such Revolving Lender shall be terminated as provided herein, a fee (the “</w:t>
      </w:r>
      <w:r>
        <w:rPr>
          <w:rFonts w:ascii="Times New Roman" w:cs="Times New Roman" w:eastAsia="Times New Roman" w:hAnsi="Times New Roman"/>
          <w:sz w:val="21"/>
          <w:szCs w:val="21"/>
          <w:i w:val="1"/>
          <w:iCs w:val="1"/>
          <w:color w:val="auto"/>
        </w:rPr>
        <w:t>Australian L/C Participation Fee</w:t>
      </w:r>
      <w:r>
        <w:rPr>
          <w:rFonts w:ascii="Times New Roman" w:cs="Times New Roman" w:eastAsia="Times New Roman" w:hAnsi="Times New Roman"/>
          <w:sz w:val="21"/>
          <w:szCs w:val="21"/>
          <w:color w:val="auto"/>
        </w:rPr>
        <w:t>”; together with the U.S. L/C Participation Fee and the Canadian L/C Participation Fees, the “</w:t>
      </w:r>
      <w:r>
        <w:rPr>
          <w:rFonts w:ascii="Times New Roman" w:cs="Times New Roman" w:eastAsia="Times New Roman" w:hAnsi="Times New Roman"/>
          <w:sz w:val="21"/>
          <w:szCs w:val="21"/>
          <w:i w:val="1"/>
          <w:iCs w:val="1"/>
          <w:color w:val="auto"/>
        </w:rPr>
        <w:t>L/C Participation Fees</w:t>
      </w:r>
      <w:r>
        <w:rPr>
          <w:rFonts w:ascii="Times New Roman" w:cs="Times New Roman" w:eastAsia="Times New Roman" w:hAnsi="Times New Roman"/>
          <w:sz w:val="21"/>
          <w:szCs w:val="21"/>
          <w:color w:val="auto"/>
        </w:rPr>
        <w:t>”) calculated on such Lender’s Australian Revolving Pro Rata Percentage of the daily aggregate Australian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Rate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Times New Roman" w:cs="Times New Roman" w:eastAsia="Times New Roman" w:hAnsi="Times New Roman"/>
          <w:sz w:val="21"/>
          <w:szCs w:val="21"/>
          <w:i w:val="1"/>
          <w:iCs w:val="1"/>
          <w:color w:val="auto"/>
        </w:rPr>
        <w:t>Issuing Bank Fees</w:t>
      </w:r>
      <w:r>
        <w:rPr>
          <w:rFonts w:ascii="Times New Roman" w:cs="Times New Roman" w:eastAsia="Times New Roman" w:hAnsi="Times New Roman"/>
          <w:sz w:val="21"/>
          <w:szCs w:val="21"/>
          <w:color w:val="auto"/>
        </w:rPr>
        <w:t>”).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187" w:lineRule="exact"/>
        <w:rPr>
          <w:sz w:val="20"/>
          <w:szCs w:val="20"/>
          <w:color w:val="auto"/>
        </w:rPr>
      </w:pPr>
    </w:p>
    <w:p>
      <w:pPr>
        <w:jc w:val="both"/>
        <w:ind w:firstLine="1259"/>
        <w:spacing w:after="0" w:line="254" w:lineRule="auto"/>
        <w:tabs>
          <w:tab w:leader="none" w:pos="1787"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shall be paid on the dates due, in immediately available U.S. dollars (except with respect to (i) L/C Participation Fees and Issuing Bank Fees in respect of Letters of Credit denominated in Canadian dollars, each of which shall be payable in immediately available Canadian dollars and (ii) L/C Participation Fees and Issuing Bank Fees in respect of Letters of Credit denominated in Australian dollars,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180" w:lineRule="exact"/>
        <w:rPr>
          <w:sz w:val="20"/>
          <w:szCs w:val="20"/>
          <w:color w:val="auto"/>
        </w:rPr>
      </w:pPr>
    </w:p>
    <w:p>
      <w:pPr>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2.06 </w:t>
      </w:r>
      <w:r>
        <w:rPr>
          <w:rFonts w:ascii="Times New Roman" w:cs="Times New Roman" w:eastAsia="Times New Roman" w:hAnsi="Times New Roman"/>
          <w:sz w:val="21"/>
          <w:szCs w:val="21"/>
          <w:b w:val="1"/>
          <w:bCs w:val="1"/>
          <w:i w:val="1"/>
          <w:iCs w:val="1"/>
          <w:color w:val="auto"/>
        </w:rPr>
        <w:t>Interest on Loans</w:t>
      </w:r>
      <w:r>
        <w:rPr>
          <w:rFonts w:ascii="Times New Roman" w:cs="Times New Roman" w:eastAsia="Times New Roman" w:hAnsi="Times New Roman"/>
          <w:sz w:val="21"/>
          <w:szCs w:val="21"/>
          <w:color w:val="auto"/>
        </w:rPr>
        <w:t>. (a) Subject to the provisions of Section 9.09, the Loans comprising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ABR Borrowing shall bear interest (computed on the basis of the</w:t>
      </w:r>
    </w:p>
    <w:p>
      <w:pPr>
        <w:sectPr>
          <w:pgSz w:w="11900" w:h="16838" w:orient="portrait"/>
          <w:cols w:equalWidth="0" w:num="1">
            <w:col w:w="11240"/>
          </w:cols>
          <w:pgMar w:left="320" w:top="1380" w:right="339" w:bottom="1440" w:gutter="0" w:footer="0" w:header="0"/>
        </w:sectPr>
      </w:pPr>
    </w:p>
    <w:bookmarkStart w:id="118" w:name="page119"/>
    <w:bookmarkEnd w:id="118"/>
    <w:p>
      <w:pPr>
        <w:jc w:val="both"/>
        <w:spacing w:after="0" w:line="261" w:lineRule="auto"/>
        <w:rPr>
          <w:sz w:val="20"/>
          <w:szCs w:val="20"/>
          <w:color w:val="auto"/>
        </w:rPr>
      </w:pPr>
      <w:r>
        <w:rPr>
          <w:rFonts w:ascii="Times New Roman" w:cs="Times New Roman" w:eastAsia="Times New Roman" w:hAnsi="Times New Roman"/>
          <w:sz w:val="21"/>
          <w:szCs w:val="21"/>
          <w:color w:val="auto"/>
        </w:rPr>
        <w:t>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65" w:lineRule="exact"/>
        <w:rPr>
          <w:sz w:val="20"/>
          <w:szCs w:val="20"/>
          <w:color w:val="auto"/>
        </w:rPr>
      </w:pPr>
    </w:p>
    <w:p>
      <w:pPr>
        <w:jc w:val="both"/>
        <w:ind w:firstLine="1259"/>
        <w:spacing w:after="0" w:line="256" w:lineRule="auto"/>
        <w:tabs>
          <w:tab w:leader="none" w:pos="1859"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the Loans comprising each SOFR Borrowing shall bear interest (computed on the basis of the actual number of days elapsed over a year of 360 days) at a rate per annum equal to Adjusted Term SOFR for the Interest Period in effect for such Borrowing plus the Applicable Percentage in respect of SOFR Loans in effect from time to time.</w:t>
      </w:r>
    </w:p>
    <w:p>
      <w:pPr>
        <w:spacing w:after="0" w:line="185"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2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71" w:lineRule="exact"/>
        <w:rPr>
          <w:rFonts w:ascii="Times New Roman" w:cs="Times New Roman" w:eastAsia="Times New Roman" w:hAnsi="Times New Roman"/>
          <w:sz w:val="21"/>
          <w:szCs w:val="21"/>
          <w:color w:val="auto"/>
        </w:rPr>
      </w:pPr>
    </w:p>
    <w:p>
      <w:pPr>
        <w:jc w:val="both"/>
        <w:ind w:firstLine="1259"/>
        <w:spacing w:after="0" w:line="257" w:lineRule="auto"/>
        <w:tabs>
          <w:tab w:leader="none" w:pos="181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Section 9.09, the Loans comprising each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shall </w:t>
      </w:r>
      <w:r>
        <w:rPr>
          <w:rFonts w:ascii="Times New Roman" w:cs="Times New Roman" w:eastAsia="Times New Roman" w:hAnsi="Times New Roman"/>
          <w:sz w:val="21"/>
          <w:szCs w:val="21"/>
          <w:color w:val="FF0000"/>
          <w:strike w:val="1"/>
        </w:rPr>
        <w:t>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subject to an Acceptance Fee, payable by the Parent Borrower on the date of acceptance of the relevant B/A and calculated as set forth in the definition of the term “Acceptance Fee” in Section 1.01.</w:t>
      </w:r>
      <w:r>
        <w:rPr>
          <w:rFonts w:ascii="Times New Roman" w:cs="Times New Roman" w:eastAsia="Times New Roman" w:hAnsi="Times New Roman"/>
          <w:sz w:val="21"/>
          <w:szCs w:val="21"/>
          <w:u w:val="single" w:color="auto"/>
          <w:color w:val="0000FF"/>
          <w:highlight w:val="lightGray"/>
          <w:strike w:val="1"/>
        </w:rPr>
        <w:t>bear interest (computed on the basis of the actual number of days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highlight w:val="lightGray"/>
          <w:strike w:val="1"/>
        </w:rPr>
        <w:t>elapsed over a year of 365 or 366 days, as the case may be) at a rate per annum equal to Adjusted Term CORRA for the Interest Period in effect for such Borrowing plus the Applicable Percentage in respect of Term CORRA Loans in effect from time to time.</w:t>
      </w:r>
    </w:p>
    <w:p>
      <w:pPr>
        <w:spacing w:after="0" w:line="170" w:lineRule="exact"/>
        <w:rPr>
          <w:rFonts w:ascii="Times New Roman" w:cs="Times New Roman" w:eastAsia="Times New Roman" w:hAnsi="Times New Roman"/>
          <w:sz w:val="21"/>
          <w:szCs w:val="21"/>
          <w:color w:val="auto"/>
        </w:rPr>
      </w:pPr>
    </w:p>
    <w:p>
      <w:pPr>
        <w:jc w:val="both"/>
        <w:ind w:firstLine="1259"/>
        <w:spacing w:after="0" w:line="261" w:lineRule="auto"/>
        <w:tabs>
          <w:tab w:leader="none" w:pos="182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164" w:lineRule="exact"/>
        <w:rPr>
          <w:rFonts w:ascii="Times New Roman" w:cs="Times New Roman" w:eastAsia="Times New Roman" w:hAnsi="Times New Roman"/>
          <w:sz w:val="21"/>
          <w:szCs w:val="21"/>
          <w:color w:val="auto"/>
        </w:rPr>
      </w:pPr>
    </w:p>
    <w:p>
      <w:pPr>
        <w:jc w:val="both"/>
        <w:ind w:firstLine="1259"/>
        <w:spacing w:after="0" w:line="261" w:lineRule="auto"/>
        <w:tabs>
          <w:tab w:leader="none" w:pos="173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64"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43"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w:t>
      </w:r>
    </w:p>
    <w:p>
      <w:pPr>
        <w:sectPr>
          <w:pgSz w:w="11900" w:h="16838" w:orient="portrait"/>
          <w:cols w:equalWidth="0" w:num="1">
            <w:col w:w="11240"/>
          </w:cols>
          <w:pgMar w:left="320" w:top="138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color w:val="auto"/>
        </w:rPr>
        <w:t>to the Alternate Base Rate plus the Applicable Percentage in respect of ABR Loans in effect from time to time.</w:t>
      </w:r>
    </w:p>
    <w:p>
      <w:pPr>
        <w:spacing w:after="0" w:line="216" w:lineRule="exact"/>
        <w:rPr>
          <w:sz w:val="20"/>
          <w:szCs w:val="20"/>
          <w:color w:val="auto"/>
        </w:rPr>
      </w:pPr>
    </w:p>
    <w:p>
      <w:pPr>
        <w:jc w:val="both"/>
        <w:ind w:firstLine="1259"/>
        <w:spacing w:after="0" w:line="254" w:lineRule="auto"/>
        <w:tabs>
          <w:tab w:leader="none" w:pos="1755"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184"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5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Interest on each Loan shall be payable to the Applicable Administrative Agent on the Interest Payment Dates applicable to such Loan except as otherwise provided in this Agreement. The applicable Alternate Base Rate, Adjusted Term SOFR, BBSY Rate, </w:t>
      </w:r>
      <w:r>
        <w:rPr>
          <w:rFonts w:ascii="Times New Roman" w:cs="Times New Roman" w:eastAsia="Times New Roman" w:hAnsi="Times New Roman"/>
          <w:sz w:val="21"/>
          <w:szCs w:val="21"/>
          <w:u w:val="single" w:color="auto"/>
          <w:color w:val="0000FF"/>
          <w:highlight w:val="lightGray"/>
        </w:rPr>
        <w:t>Adjusted Term CORRA,</w:t>
      </w:r>
      <w:r>
        <w:rPr>
          <w:rFonts w:ascii="Times New Roman" w:cs="Times New Roman" w:eastAsia="Times New Roman" w:hAnsi="Times New Roman"/>
          <w:sz w:val="21"/>
          <w:szCs w:val="21"/>
          <w:color w:val="auto"/>
        </w:rPr>
        <w:t xml:space="preserve"> Canadian Prime Rate</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and</w:t>
      </w:r>
      <w:r>
        <w:rPr>
          <w:rFonts w:ascii="Times New Roman" w:cs="Times New Roman" w:eastAsia="Times New Roman" w:hAnsi="Times New Roman"/>
          <w:sz w:val="21"/>
          <w:szCs w:val="21"/>
          <w:color w:val="auto"/>
        </w:rPr>
        <w:t xml:space="preserve"> U.S. Base Rate</w:t>
      </w:r>
      <w:r>
        <w:rPr>
          <w:rFonts w:ascii="Times New Roman" w:cs="Times New Roman" w:eastAsia="Times New Roman" w:hAnsi="Times New Roman"/>
          <w:sz w:val="21"/>
          <w:szCs w:val="21"/>
          <w:color w:val="FF0000"/>
          <w:strike w:val="1"/>
        </w:rPr>
        <w:t>, B/A Discount Rate, and Acceptance Fee</w:t>
      </w:r>
      <w:r>
        <w:rPr>
          <w:rFonts w:ascii="Times New Roman" w:cs="Times New Roman" w:eastAsia="Times New Roman" w:hAnsi="Times New Roman"/>
          <w:sz w:val="21"/>
          <w:szCs w:val="21"/>
          <w:color w:val="auto"/>
        </w:rPr>
        <w:t xml:space="preserve"> shall be determined by the Applicable Administrative Agent, and such determination shall be conclusive absent manifest error.</w:t>
      </w:r>
    </w:p>
    <w:p>
      <w:pPr>
        <w:spacing w:after="0" w:line="169" w:lineRule="exact"/>
        <w:rPr>
          <w:rFonts w:ascii="Times New Roman" w:cs="Times New Roman" w:eastAsia="Times New Roman" w:hAnsi="Times New Roman"/>
          <w:sz w:val="21"/>
          <w:szCs w:val="21"/>
          <w:color w:val="auto"/>
        </w:rPr>
      </w:pPr>
    </w:p>
    <w:p>
      <w:pPr>
        <w:jc w:val="both"/>
        <w:ind w:firstLine="1259"/>
        <w:spacing w:after="0" w:line="252" w:lineRule="auto"/>
        <w:tabs>
          <w:tab w:leader="none" w:pos="170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the </w:t>
      </w:r>
      <w:r>
        <w:rPr>
          <w:rFonts w:ascii="Times New Roman" w:cs="Times New Roman" w:eastAsia="Times New Roman" w:hAnsi="Times New Roman"/>
          <w:sz w:val="21"/>
          <w:szCs w:val="21"/>
          <w:i w:val="1"/>
          <w:iCs w:val="1"/>
          <w:color w:val="auto"/>
        </w:rPr>
        <w:t>Interest Act</w:t>
      </w:r>
      <w:r>
        <w:rPr>
          <w:rFonts w:ascii="Times New Roman" w:cs="Times New Roman" w:eastAsia="Times New Roman" w:hAnsi="Times New Roman"/>
          <w:sz w:val="21"/>
          <w:szCs w:val="21"/>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 Each Borrower confirms that it fully understands and is able to calculate the rate of interest applicable to the Facilities based on the methodology for calculating per annum rates provided for in this Agreement. Each Agent agrees that, if requested in writing by any Borrower, it will calculate the nominal and effective per annum rate of interest on any Loan outstanding at the time of such request and provide such information to such Borrower within a reasonable time following such request; provided that any error in any such calculation, or any failure to provide such information on request, shall not relieve any Borrower of any of its obligations under this Agreement or any other Loan Document, nor result in any liability to any Agent or any Lender. Each Borrower hereby irrevocably agrees not to plead or assert, whether by way of defense or otherwise, in any proceeding relating to the Loan Documents, that the interest payable under this Agreement and the calculation thereof has not been adequately disclosed to any Borrower, whether pursuant to section 4 of the </w:t>
      </w:r>
      <w:r>
        <w:rPr>
          <w:rFonts w:ascii="Times New Roman" w:cs="Times New Roman" w:eastAsia="Times New Roman" w:hAnsi="Times New Roman"/>
          <w:sz w:val="21"/>
          <w:szCs w:val="21"/>
          <w:i w:val="1"/>
          <w:iCs w:val="1"/>
          <w:color w:val="auto"/>
        </w:rPr>
        <w:t>Interest Act</w:t>
      </w:r>
      <w:r>
        <w:rPr>
          <w:rFonts w:ascii="Times New Roman" w:cs="Times New Roman" w:eastAsia="Times New Roman" w:hAnsi="Times New Roman"/>
          <w:sz w:val="21"/>
          <w:szCs w:val="21"/>
          <w:color w:val="auto"/>
        </w:rPr>
        <w:t xml:space="preserve"> (Canada) or any other applicable law or legal principle.</w:t>
      </w:r>
    </w:p>
    <w:p>
      <w:pPr>
        <w:spacing w:after="0" w:line="176" w:lineRule="exact"/>
        <w:rPr>
          <w:rFonts w:ascii="Times New Roman" w:cs="Times New Roman" w:eastAsia="Times New Roman" w:hAnsi="Times New Roman"/>
          <w:sz w:val="21"/>
          <w:szCs w:val="21"/>
          <w:color w:val="auto"/>
        </w:rPr>
      </w:pPr>
    </w:p>
    <w:p>
      <w:pPr>
        <w:jc w:val="both"/>
        <w:ind w:firstLine="1259"/>
        <w:spacing w:after="0" w:line="262" w:lineRule="auto"/>
        <w:tabs>
          <w:tab w:leader="none" w:pos="178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use or administration of SOFR or Term SOFR, the Administrative Agent will have the right to make Conforming Changes from time to time and, notwithstanding anything to the contrary herein or in any other Loan Document, any</w:t>
      </w:r>
    </w:p>
    <w:p>
      <w:pPr>
        <w:sectPr>
          <w:pgSz w:w="11900" w:h="16838" w:orient="portrait"/>
          <w:cols w:equalWidth="0" w:num="1">
            <w:col w:w="11240"/>
          </w:cols>
          <w:pgMar w:left="320" w:top="1380" w:right="339" w:bottom="1440" w:gutter="0" w:footer="0" w:header="0"/>
        </w:sectPr>
      </w:pPr>
    </w:p>
    <w:bookmarkStart w:id="120" w:name="page121"/>
    <w:bookmarkEnd w:id="120"/>
    <w:p>
      <w:pPr>
        <w:jc w:val="both"/>
        <w:spacing w:after="0" w:line="262" w:lineRule="auto"/>
        <w:rPr>
          <w:sz w:val="20"/>
          <w:szCs w:val="20"/>
          <w:color w:val="auto"/>
        </w:rPr>
      </w:pPr>
      <w:r>
        <w:rPr>
          <w:rFonts w:ascii="Times New Roman" w:cs="Times New Roman" w:eastAsia="Times New Roman" w:hAnsi="Times New Roman"/>
          <w:sz w:val="21"/>
          <w:szCs w:val="21"/>
          <w:color w:val="auto"/>
        </w:rPr>
        <w:t>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SOFR or Term SOFR, as applicable.</w:t>
      </w:r>
    </w:p>
    <w:p>
      <w:pPr>
        <w:spacing w:after="0" w:line="172"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2.07 </w:t>
      </w:r>
      <w:r>
        <w:rPr>
          <w:rFonts w:ascii="Times New Roman" w:cs="Times New Roman" w:eastAsia="Times New Roman" w:hAnsi="Times New Roman"/>
          <w:sz w:val="21"/>
          <w:szCs w:val="21"/>
          <w:b w:val="1"/>
          <w:bCs w:val="1"/>
          <w:i w:val="1"/>
          <w:iCs w:val="1"/>
          <w:color w:val="auto"/>
        </w:rPr>
        <w:t>Default Interest</w:t>
      </w:r>
      <w:r>
        <w:rPr>
          <w:rFonts w:ascii="Times New Roman" w:cs="Times New Roman" w:eastAsia="Times New Roman" w:hAnsi="Times New Roman"/>
          <w:sz w:val="21"/>
          <w:szCs w:val="21"/>
          <w:color w:val="auto"/>
        </w:rPr>
        <w:t>. If a Borrower shall default in the payment of the principal of or interest on any Loan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amount becoming 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Parent Borrower, or a BBSY Rate Loan, in the case of the Australian Borrower) plus 2.00% (subject to Section 9.09).</w:t>
      </w:r>
    </w:p>
    <w:p>
      <w:pPr>
        <w:spacing w:after="0" w:line="175"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2.08 </w:t>
      </w:r>
      <w:r>
        <w:rPr>
          <w:rFonts w:ascii="Times New Roman" w:cs="Times New Roman" w:eastAsia="Times New Roman" w:hAnsi="Times New Roman"/>
          <w:sz w:val="21"/>
          <w:szCs w:val="21"/>
          <w:b w:val="1"/>
          <w:bCs w:val="1"/>
          <w:i w:val="1"/>
          <w:iCs w:val="1"/>
          <w:color w:val="auto"/>
        </w:rPr>
        <w:t>Alternate Rate of Interest</w:t>
      </w:r>
      <w:r>
        <w:rPr>
          <w:rFonts w:ascii="Times New Roman" w:cs="Times New Roman" w:eastAsia="Times New Roman" w:hAnsi="Times New Roman"/>
          <w:sz w:val="21"/>
          <w:szCs w:val="21"/>
          <w:color w:val="auto"/>
        </w:rPr>
        <w:t>. (a) In the event, and on each occasion, that (i) on the day two Business Days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prior to the commencement of any Interest Period for a SOFR Borrowing the Applicable Administrative Agent is unable to determine Adjusted Term SOFR for SOFR Loans comprising any requested Borrowing, or (ii) if the Applicable Required Lenders shall, by 11:00 a.m. (Standard Time) at least one (1) Business Day before the date of any requested Borrowing, notify the Applicable Administrative Agent that Adjusted Term SOFR for SOFR Loans comprising such Borrowing will not adequately and fairly reflect the cost to any Lender of making or maintaining its SOFR Loan, during such Interest Period, then the Applicable Administrative Agent shall, as soon as practicable thereafter, give written, fax or electronic communication (e-mail) (or telephone notice promptly confirmed by a written, fax or electronic communication (e-mail)) notice of such determination to each Applicable Borrower and each Applicable Lender. In the event of any such determination, until the Applicable Administrative Agent shall have advised the Applicable Borrowers and the Applicable Lenders that the circumstances giving rise to such notice no longer exist, any request by such Borrower for a SOFR Borrowing (other than a SOFR Borrowing under the Australian Revolving Credit Facility) pursuant to Section 2.03 or 2.10 shall be deemed to be a request for an ABR Borrowing (or, in the case of a request by the Parent Borrower, a U.S. Base Rate Borrowing). Each determination by the </w:t>
      </w:r>
      <w:r>
        <w:rPr>
          <w:rFonts w:ascii="Times New Roman" w:cs="Times New Roman" w:eastAsia="Times New Roman" w:hAnsi="Times New Roman"/>
          <w:sz w:val="21"/>
          <w:szCs w:val="21"/>
          <w:u w:val="single" w:color="auto"/>
          <w:color w:val="0000FF"/>
          <w:highlight w:val="lightGray"/>
        </w:rPr>
        <w:t>Applicable</w:t>
      </w:r>
      <w:r>
        <w:rPr>
          <w:rFonts w:ascii="Times New Roman" w:cs="Times New Roman" w:eastAsia="Times New Roman" w:hAnsi="Times New Roman"/>
          <w:sz w:val="21"/>
          <w:szCs w:val="21"/>
          <w:color w:val="auto"/>
        </w:rPr>
        <w:t xml:space="preserve"> Administrative Agent hereunder shall be conclusive absent manifest error.</w:t>
      </w:r>
    </w:p>
    <w:p>
      <w:pPr>
        <w:spacing w:after="0" w:line="179" w:lineRule="exact"/>
        <w:rPr>
          <w:sz w:val="20"/>
          <w:szCs w:val="20"/>
          <w:color w:val="auto"/>
        </w:rPr>
      </w:pPr>
    </w:p>
    <w:p>
      <w:pPr>
        <w:jc w:val="both"/>
        <w:ind w:firstLine="1259"/>
        <w:spacing w:after="0" w:line="256" w:lineRule="auto"/>
        <w:tabs>
          <w:tab w:leader="none" w:pos="181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the Applicable Administrative Agent (i) determines that the circumstances described in clause (a)(i) of this Section 2.08 have arisen and such circumstances are unlikely to be temporary, (ii) determines that the circumstances described in clause (a)(i) of this Section 2.08 have not arisen but the supervisor for the administrator of Term SOFR or a Governmental Authority having jurisdiction over the Applicable Administrative</w:t>
      </w:r>
    </w:p>
    <w:p>
      <w:pPr>
        <w:sectPr>
          <w:pgSz w:w="11900" w:h="16838" w:orient="portrait"/>
          <w:cols w:equalWidth="0" w:num="1">
            <w:col w:w="11240"/>
          </w:cols>
          <w:pgMar w:left="320" w:top="1380" w:right="339" w:bottom="1440" w:gutter="0" w:footer="0" w:header="0"/>
        </w:sectPr>
      </w:pPr>
    </w:p>
    <w:bookmarkStart w:id="121" w:name="page122"/>
    <w:bookmarkEnd w:id="121"/>
    <w:p>
      <w:pPr>
        <w:jc w:val="both"/>
        <w:spacing w:after="0" w:line="263" w:lineRule="auto"/>
        <w:rPr>
          <w:sz w:val="20"/>
          <w:szCs w:val="20"/>
          <w:color w:val="auto"/>
        </w:rPr>
      </w:pPr>
      <w:r>
        <w:rPr>
          <w:rFonts w:ascii="Times New Roman" w:cs="Times New Roman" w:eastAsia="Times New Roman" w:hAnsi="Times New Roman"/>
          <w:sz w:val="20"/>
          <w:szCs w:val="20"/>
          <w:color w:val="auto"/>
        </w:rPr>
        <w:t>Agent has made a public statement identifying a specific date after which Term SOFR shall no longer be used for determining interest rates for loans, (iii) is advised by the Applicable Required Lenders of their determination in accordance with clause (a)(ii) of this Section 2.08, or (iv) new syndicated loans have started to adopt a new benchmark interest rate, then the Applicable Administrative Agent and the Applicable Borrower shall endeavor to establish an alternate rate of interest to Term SOFR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to the extent that the Applicable Administrative Agent determines that adoption of any portion of such market convention is not administratively feasible or that no market convention for the administration of such alternate rate of interest exists, the Applicable Administrative Agent shall administer such alternate rate of interest in a manner acceptable by the Applicable Administrative Agent and the Borrower. Notwithstanding anything to the contrary in Section 9.08, such amendment shall become effective without any further action or consent of any other party to this Agreement so long as the Applicable Administrative Agent shall not have received, within five (5) Business Days of the date notice of such alternate rate of interest is provided to the Applicable Lenders, a written notice from the Applicable Required Lenders stating that such Applicable Required Lenders object to such amendment. If a notice of an alternate rate of interest has been given and no such alternate rate of interest has been determined, and (x) the circumstances under clause (i) or (iii) above exist or (y) the specific date referred to in clause</w:t>
      </w:r>
    </w:p>
    <w:p>
      <w:pPr>
        <w:spacing w:after="0" w:line="7" w:lineRule="exact"/>
        <w:rPr>
          <w:sz w:val="20"/>
          <w:szCs w:val="20"/>
          <w:color w:val="auto"/>
        </w:rPr>
      </w:pPr>
    </w:p>
    <w:p>
      <w:pPr>
        <w:ind w:firstLine="5"/>
        <w:spacing w:after="0" w:line="253" w:lineRule="auto"/>
        <w:tabs>
          <w:tab w:leader="none" w:pos="31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occurred (as applicable), Alternate Base Rate shall apply without regard to clause (c) of the definition thereof. Provided that, if such alternate rate of interest shall be less than zero, such rate shall be deemed to be zero for the purposes of this Agreement.</w:t>
      </w:r>
    </w:p>
    <w:p>
      <w:pPr>
        <w:spacing w:after="0" w:line="172" w:lineRule="exact"/>
        <w:rPr>
          <w:rFonts w:ascii="Times New Roman" w:cs="Times New Roman" w:eastAsia="Times New Roman" w:hAnsi="Times New Roman"/>
          <w:sz w:val="21"/>
          <w:szCs w:val="21"/>
          <w:color w:val="auto"/>
        </w:rPr>
      </w:pPr>
    </w:p>
    <w:p>
      <w:pPr>
        <w:jc w:val="both"/>
        <w:ind w:firstLine="1259"/>
        <w:spacing w:after="0" w:line="254" w:lineRule="auto"/>
        <w:tabs>
          <w:tab w:leader="none" w:pos="1735" w:val="left"/>
        </w:tabs>
        <w:numPr>
          <w:ilvl w:val="1"/>
          <w:numId w:val="124"/>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Subject to Section 2.27, if, on or prior to the first day of any Interest Period for any Term CORRA Loan (i) the Applicable Administrative Agent determines (which determination shall be conclusive and binding absent manifest error) that “Adjusted Term CORRA” cannot be determined pursuant to the definition thereof, for reasons other than a Canadian Benchmark Transition Event or (ii) the Applicable Required Lenders determine that for any reason in connection with any request for a Term CORRA Loan, or a conversion thereto or a continuation thereof that Term CORRA for any requested Interest Period with respect to a proposed Term CORRA Loan does not adequately and fairly reflect the cost to such Lenders of making and maintaining such Loan, and the Applicable Required Lenders have provided notice of such determination to the Applicable Administrative Agent, the Applicable Administrative Agent will promptly so notify the Applicable Borrower and each Applicable Lender.</w:t>
      </w:r>
    </w:p>
    <w:p>
      <w:pPr>
        <w:spacing w:after="0" w:line="177" w:lineRule="exact"/>
        <w:rPr>
          <w:rFonts w:ascii="Times New Roman" w:cs="Times New Roman" w:eastAsia="Times New Roman" w:hAnsi="Times New Roman"/>
          <w:sz w:val="21"/>
          <w:szCs w:val="21"/>
          <w:u w:val="single" w:color="auto"/>
          <w:color w:val="0000FF"/>
          <w:highlight w:val="lightGray"/>
        </w:rPr>
      </w:pPr>
    </w:p>
    <w:p>
      <w:pPr>
        <w:jc w:val="both"/>
        <w:ind w:firstLine="1259"/>
        <w:spacing w:after="0" w:line="255" w:lineRule="auto"/>
        <w:tabs>
          <w:tab w:leader="none" w:pos="1734" w:val="left"/>
        </w:tabs>
        <w:numPr>
          <w:ilvl w:val="1"/>
          <w:numId w:val="124"/>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Upon delivery of such notice by the Applicable Administrative Agent to the Applicable Borrower under Section 2.08(c), any obligation of the Applicable Lenders to make Term CORRA Loans and any right of the Applicable Borrower to continue Term CORRA Loans or to convert Canadian Prime Rate Loans to Term CORRA Loans shall be suspended (to the extent of the affected Term CORRA Loans or affected Interest Periods) until the Applicable Administrative Agent (with respect to Section 2.08(c) (ii), at the instruction of the Applicable Required Lenders) revokes such notice. Upon receipt of such notice by the Applicable Administrative Agent to the Applicable Borrower, the Applicable Borrower may revoke any</w:t>
      </w:r>
    </w:p>
    <w:p>
      <w:pPr>
        <w:sectPr>
          <w:pgSz w:w="11900" w:h="16838" w:orient="portrait"/>
          <w:cols w:equalWidth="0" w:num="1">
            <w:col w:w="11240"/>
          </w:cols>
          <w:pgMar w:left="320" w:top="1380" w:right="339" w:bottom="1440" w:gutter="0" w:footer="0" w:header="0"/>
        </w:sectPr>
      </w:pPr>
    </w:p>
    <w:bookmarkStart w:id="122" w:name="page123"/>
    <w:bookmarkEnd w:id="122"/>
    <w:p>
      <w:pPr>
        <w:jc w:val="both"/>
        <w:spacing w:after="0" w:line="257" w:lineRule="auto"/>
        <w:rPr>
          <w:sz w:val="20"/>
          <w:szCs w:val="20"/>
          <w:color w:val="auto"/>
        </w:rPr>
      </w:pPr>
      <w:r>
        <w:rPr>
          <w:rFonts w:ascii="Times New Roman" w:cs="Times New Roman" w:eastAsia="Times New Roman" w:hAnsi="Times New Roman"/>
          <w:sz w:val="21"/>
          <w:szCs w:val="21"/>
          <w:u w:val="single" w:color="auto"/>
          <w:color w:val="0000FF"/>
          <w:highlight w:val="lightGray"/>
        </w:rPr>
        <w:t>pending request for a borrowing of, conversion to or continuation of Term CORRA Loans (to the extent of the affected Term CORRA Loans or affected Interest Periods), and failing such revocation, the Applicable Borrower will be deemed to have converted any such request into a request for a Borrowing of or conversion to Canadian Prime Rate Loans, in the amount specified therein. Upon any such conversion, the Applicable Borrower shall also pay accrued interest on the amount so converted, together with any additional amounts required pursuant to Section 2.15.</w:t>
      </w:r>
    </w:p>
    <w:p>
      <w:pPr>
        <w:spacing w:after="0" w:line="167"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2.09 </w:t>
      </w:r>
      <w:r>
        <w:rPr>
          <w:rFonts w:ascii="Times New Roman" w:cs="Times New Roman" w:eastAsia="Times New Roman" w:hAnsi="Times New Roman"/>
          <w:sz w:val="21"/>
          <w:szCs w:val="21"/>
          <w:b w:val="1"/>
          <w:bCs w:val="1"/>
          <w:i w:val="1"/>
          <w:iCs w:val="1"/>
          <w:color w:val="auto"/>
        </w:rPr>
        <w:t>Termination and Reduction of Commitments</w:t>
      </w:r>
      <w:r>
        <w:rPr>
          <w:rFonts w:ascii="Times New Roman" w:cs="Times New Roman" w:eastAsia="Times New Roman" w:hAnsi="Times New Roman"/>
          <w:sz w:val="21"/>
          <w:szCs w:val="21"/>
          <w:color w:val="auto"/>
        </w:rPr>
        <w:t>. (a) The Revolving Commitments and the L/C Commitments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automatically terminate on the Maturity Date.</w:t>
      </w:r>
    </w:p>
    <w:p>
      <w:pPr>
        <w:spacing w:after="0" w:line="144" w:lineRule="exact"/>
        <w:rPr>
          <w:sz w:val="20"/>
          <w:szCs w:val="20"/>
          <w:color w:val="auto"/>
        </w:rPr>
      </w:pPr>
    </w:p>
    <w:p>
      <w:pPr>
        <w:ind w:firstLine="1259"/>
        <w:spacing w:after="0" w:line="290" w:lineRule="auto"/>
        <w:tabs>
          <w:tab w:leader="none" w:pos="1744"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Canadian Term Commitments shall automatically terminate on the Closing Date immediately following the making of the Canadian Term Loan on such date.</w:t>
      </w:r>
    </w:p>
    <w:p>
      <w:pPr>
        <w:spacing w:after="0" w:line="135" w:lineRule="exact"/>
        <w:rPr>
          <w:rFonts w:ascii="Times New Roman" w:cs="Times New Roman" w:eastAsia="Times New Roman" w:hAnsi="Times New Roman"/>
          <w:sz w:val="21"/>
          <w:szCs w:val="21"/>
          <w:color w:val="auto"/>
        </w:rPr>
      </w:pPr>
    </w:p>
    <w:p>
      <w:pPr>
        <w:jc w:val="both"/>
        <w:ind w:firstLine="1259"/>
        <w:spacing w:after="0" w:line="254" w:lineRule="auto"/>
        <w:tabs>
          <w:tab w:leader="none" w:pos="178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at least three Business Days’ prior irrevocable written, fax or electronic communication (e-mail) (or by telephone notice promptly confirmed by a written, fax or electronic communication (e-mail)) notice to the Applicable Administrative Agent, the U.S. Borrower, the Parent Borrower or the Australian Borrower, as the case may be, may at any time in whole permanently terminate, or from time to time in part permanently reduce, any Class of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partial reduction of any Class of Commitments shall be in an integral multiple of U.S.$1,000,000.</w:t>
      </w:r>
    </w:p>
    <w:p>
      <w:pPr>
        <w:spacing w:after="0" w:line="185"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6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voluntary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68"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2.10 </w:t>
      </w:r>
      <w:r>
        <w:rPr>
          <w:rFonts w:ascii="Times New Roman" w:cs="Times New Roman" w:eastAsia="Times New Roman" w:hAnsi="Times New Roman"/>
          <w:sz w:val="21"/>
          <w:szCs w:val="21"/>
          <w:b w:val="1"/>
          <w:bCs w:val="1"/>
          <w:i w:val="1"/>
          <w:iCs w:val="1"/>
          <w:color w:val="auto"/>
        </w:rPr>
        <w:t>Conversion and Continuation of Borrowings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Borrowers shall have the right at any time upon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irrevocable notice to the Applicable Administrative Agent (a) not later than 1:00 p.m. (Standard Time) one Business Day before the proposed conversion, to convert any SOFR Borrowing under a Class of U.S. Revolving Commitments into an ABR Borrowing under the same Class of U.S. Revolving Commitments, (b) not later than 1:00 p.m. (Standard Time) one Business Day before the proposed conversion, to convert any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under one Canadian Facility into a Canadian Prime Rate Borrowing under the same Canadian Facility, (c) not later than 1:00 p.m. (Standard Time) three Business Days prior to conversion or continuation, to convert any ABR Borrowing under a Class of U.S. Revolving Commitments or U.S. Base Rate Borrowing under a Class of Canadian Revolving Commitments into a SOFR Borrowing under the same Class of Commitments or to continue any SOFR Borrowing under a Class of U.S. Revolving Commitments or Canadian Revolving Commitments as a SOFR Borrowing under the same Class of Commitments for an additional Interest Period, (d) not later than 3:00 p.m. (Sydney time) three Business Days prior to continuation, to continue any SOFR Borrowing under the Australian Revolving Commitments as a SOFR Borrowing under the Australian Revolving Commitments for an additional Interest Period, (e) not later than 1:00 p.m. (Standard Time) three Business Days prior to conversion, to convert the Interest Period with respect to any SOFR Borrowing under a Class of U.S. Revolving</w:t>
      </w:r>
    </w:p>
    <w:p>
      <w:pPr>
        <w:sectPr>
          <w:pgSz w:w="11900" w:h="16838" w:orient="portrait"/>
          <w:cols w:equalWidth="0" w:num="1">
            <w:col w:w="11240"/>
          </w:cols>
          <w:pgMar w:left="320" w:top="1380" w:right="339" w:bottom="1440" w:gutter="0" w:footer="0" w:header="0"/>
        </w:sectPr>
      </w:pPr>
    </w:p>
    <w:bookmarkStart w:id="123" w:name="page124"/>
    <w:bookmarkEnd w:id="123"/>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Commitments or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under a Canadian Facility to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under the same Canadian Facility or to continue any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under a Canadian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Facility as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000000"/>
        </w:rPr>
        <w:t xml:space="preserve"> Borrowing under the same Canadian Facility for an additional </w:t>
      </w:r>
      <w:r>
        <w:rPr>
          <w:rFonts w:ascii="Times New Roman" w:cs="Times New Roman" w:eastAsia="Times New Roman" w:hAnsi="Times New Roman"/>
          <w:sz w:val="21"/>
          <w:szCs w:val="21"/>
          <w:color w:val="FF0000"/>
          <w:strike w:val="1"/>
        </w:rPr>
        <w:t>Contract Period; provided, that with</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respect to this clause (g), such notice may be given one Business Day prior to conversion with respect to any Canadian Prime Rate Borrowing under a Canadian Facility outstanding as of the Closing Date to a B/A Borrowing under the same Canadian Facility</w:t>
      </w:r>
      <w:r>
        <w:rPr>
          <w:rFonts w:ascii="Times New Roman" w:cs="Times New Roman" w:eastAsia="Times New Roman" w:hAnsi="Times New Roman"/>
          <w:sz w:val="21"/>
          <w:szCs w:val="21"/>
          <w:u w:val="single" w:color="auto"/>
          <w:color w:val="0000FF"/>
          <w:highlight w:val="lightGray"/>
          <w:strike w:val="1"/>
        </w:rPr>
        <w:t>Interest Period</w:t>
      </w:r>
      <w:r>
        <w:rPr>
          <w:rFonts w:ascii="Times New Roman" w:cs="Times New Roman" w:eastAsia="Times New Roman" w:hAnsi="Times New Roman"/>
          <w:sz w:val="21"/>
          <w:szCs w:val="21"/>
          <w:color w:val="000000"/>
          <w:strike w:val="1"/>
        </w:rPr>
        <w:t>, subject in each case to the following:</w:t>
      </w:r>
    </w:p>
    <w:p>
      <w:pPr>
        <w:spacing w:after="0" w:line="179" w:lineRule="exact"/>
        <w:rPr>
          <w:sz w:val="20"/>
          <w:szCs w:val="20"/>
          <w:color w:val="auto"/>
        </w:rPr>
      </w:pPr>
    </w:p>
    <w:p>
      <w:pPr>
        <w:ind w:left="640" w:firstLine="1246"/>
        <w:spacing w:after="0" w:line="277" w:lineRule="auto"/>
        <w:tabs>
          <w:tab w:leader="none" w:pos="232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conversion or continuation shall be made pro rata among the Applicable Lenders in accordance with the respective principal amounts of the Loans comprising the converted or continued Borrowing;</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0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less than all the outstanding principal amount of any Borrowing shall be converted or continued, then each resulting Borrowing shall satisfy the limitations specified in Sections 2.02(a) and 2.02(b) </w:t>
      </w:r>
      <w:r>
        <w:rPr>
          <w:rFonts w:ascii="Times New Roman" w:cs="Times New Roman" w:eastAsia="Times New Roman" w:hAnsi="Times New Roman"/>
          <w:sz w:val="21"/>
          <w:szCs w:val="21"/>
          <w:color w:val="FF0000"/>
          <w:strike w:val="1"/>
        </w:rPr>
        <w:t>and, if applicable, Section 2.22</w:t>
      </w:r>
      <w:r>
        <w:rPr>
          <w:rFonts w:ascii="Times New Roman" w:cs="Times New Roman" w:eastAsia="Times New Roman" w:hAnsi="Times New Roman"/>
          <w:sz w:val="21"/>
          <w:szCs w:val="21"/>
          <w:color w:val="auto"/>
        </w:rPr>
        <w:t>, regarding the principal amount and maximum number of Borrowings of the relevant Type;</w:t>
      </w:r>
    </w:p>
    <w:p>
      <w:pPr>
        <w:spacing w:after="0" w:line="176" w:lineRule="exact"/>
        <w:rPr>
          <w:rFonts w:ascii="Times New Roman" w:cs="Times New Roman" w:eastAsia="Times New Roman" w:hAnsi="Times New Roman"/>
          <w:sz w:val="21"/>
          <w:szCs w:val="21"/>
          <w:color w:val="auto"/>
        </w:rPr>
      </w:pPr>
    </w:p>
    <w:p>
      <w:pPr>
        <w:jc w:val="both"/>
        <w:ind w:left="640" w:firstLine="1246"/>
        <w:spacing w:after="0" w:line="256" w:lineRule="auto"/>
        <w:tabs>
          <w:tab w:leader="none" w:pos="247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conversion shall be effected by each Applicable Lender and the Applicable Administrative Agent by recording for the account of such Lender the new Type and/or Interest Period </w:t>
      </w:r>
      <w:r>
        <w:rPr>
          <w:rFonts w:ascii="Times New Roman" w:cs="Times New Roman" w:eastAsia="Times New Roman" w:hAnsi="Times New Roman"/>
          <w:sz w:val="21"/>
          <w:szCs w:val="21"/>
          <w:color w:val="FF0000"/>
          <w:strike w:val="1"/>
        </w:rPr>
        <w:t>or Contract Period</w:t>
      </w:r>
      <w:r>
        <w:rPr>
          <w:rFonts w:ascii="Times New Roman" w:cs="Times New Roman" w:eastAsia="Times New Roman" w:hAnsi="Times New Roman"/>
          <w:sz w:val="21"/>
          <w:szCs w:val="21"/>
          <w:color w:val="auto"/>
        </w:rPr>
        <w:t xml:space="preserve"> for such Borrowing resulting from such conversion; accrued interest on any SOFR Loan</w:t>
      </w:r>
      <w:r>
        <w:rPr>
          <w:rFonts w:ascii="Times New Roman" w:cs="Times New Roman" w:eastAsia="Times New Roman" w:hAnsi="Times New Roman"/>
          <w:sz w:val="21"/>
          <w:szCs w:val="21"/>
          <w:u w:val="single" w:color="auto"/>
          <w:color w:val="0000FF"/>
          <w:highlight w:val="lightGray"/>
        </w:rPr>
        <w:t>, Term CORRA Loan</w:t>
      </w:r>
      <w:r>
        <w:rPr>
          <w:rFonts w:ascii="Times New Roman" w:cs="Times New Roman" w:eastAsia="Times New Roman" w:hAnsi="Times New Roman"/>
          <w:sz w:val="21"/>
          <w:szCs w:val="21"/>
          <w:color w:val="auto"/>
        </w:rPr>
        <w:t xml:space="preserve"> or BBSY Rate Loan (or, in each case, any portion thereof) being converted shall be paid by the Applicable Borrower at the time of conversion;</w:t>
      </w:r>
    </w:p>
    <w:p>
      <w:pPr>
        <w:spacing w:after="0" w:line="171" w:lineRule="exact"/>
        <w:rPr>
          <w:rFonts w:ascii="Times New Roman" w:cs="Times New Roman" w:eastAsia="Times New Roman" w:hAnsi="Times New Roman"/>
          <w:sz w:val="21"/>
          <w:szCs w:val="21"/>
          <w:color w:val="auto"/>
        </w:rPr>
      </w:pPr>
    </w:p>
    <w:p>
      <w:pPr>
        <w:jc w:val="both"/>
        <w:ind w:left="640" w:firstLine="1246"/>
        <w:spacing w:after="0" w:line="268" w:lineRule="auto"/>
        <w:tabs>
          <w:tab w:leader="none" w:pos="243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SOFR Borrowing, BBSY Rate Borrowing or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is converted at a time other than the end of the Interest </w:t>
      </w:r>
      <w:r>
        <w:rPr>
          <w:rFonts w:ascii="Times New Roman" w:cs="Times New Roman" w:eastAsia="Times New Roman" w:hAnsi="Times New Roman"/>
          <w:sz w:val="21"/>
          <w:szCs w:val="21"/>
          <w:color w:val="FF0000"/>
          <w:strike w:val="1"/>
        </w:rPr>
        <w:t>Period or Contract</w:t>
      </w:r>
      <w:r>
        <w:rPr>
          <w:rFonts w:ascii="Times New Roman" w:cs="Times New Roman" w:eastAsia="Times New Roman" w:hAnsi="Times New Roman"/>
          <w:sz w:val="21"/>
          <w:szCs w:val="21"/>
          <w:color w:val="auto"/>
        </w:rPr>
        <w:t xml:space="preserve"> Period applicable thereto, the Applicable Borrower shall pay, upon demand, any amounts due to the Applicable Lenders pursuant to Section 2.15;</w:t>
      </w:r>
    </w:p>
    <w:p>
      <w:pPr>
        <w:spacing w:after="0" w:line="158" w:lineRule="exact"/>
        <w:rPr>
          <w:rFonts w:ascii="Times New Roman" w:cs="Times New Roman" w:eastAsia="Times New Roman" w:hAnsi="Times New Roman"/>
          <w:sz w:val="21"/>
          <w:szCs w:val="21"/>
          <w:color w:val="auto"/>
        </w:rPr>
      </w:pPr>
    </w:p>
    <w:p>
      <w:pPr>
        <w:ind w:left="640" w:firstLine="1246"/>
        <w:spacing w:after="0" w:line="277" w:lineRule="auto"/>
        <w:tabs>
          <w:tab w:leader="none" w:pos="234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portion of a Borrowing maturing or required to be repaid in less than one month may not be converted into or continued as a SOFR Borrowing, a BBSY Rate Borrowing or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57" w:lineRule="auto"/>
        <w:tabs>
          <w:tab w:leader="none" w:pos="2422"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portion of a SOFR Borrowing (other than a SOFR Borrowing under the Australian Revolving Credit Facility) or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that cannot be converted into or continued as a SOFR Borrowing or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CORRA</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u w:val="single" w:color="auto"/>
          <w:color w:val="0000FF"/>
          <w:highlight w:val="lightGray"/>
        </w:rPr>
        <w:t>, respectively,</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by reason of the immediately preceding clause shall be automatically converted at the end</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of the Interest </w:t>
      </w:r>
      <w:r>
        <w:rPr>
          <w:rFonts w:ascii="Times New Roman" w:cs="Times New Roman" w:eastAsia="Times New Roman" w:hAnsi="Times New Roman"/>
          <w:sz w:val="21"/>
          <w:szCs w:val="21"/>
          <w:color w:val="FF0000"/>
          <w:strike w:val="1"/>
        </w:rPr>
        <w:t>Period or Contract</w:t>
      </w:r>
      <w:r>
        <w:rPr>
          <w:rFonts w:ascii="Times New Roman" w:cs="Times New Roman" w:eastAsia="Times New Roman" w:hAnsi="Times New Roman"/>
          <w:sz w:val="21"/>
          <w:szCs w:val="21"/>
          <w:color w:val="000000"/>
        </w:rPr>
        <w:t xml:space="preserve"> Period in effect for such Borrowing into an ABR Borrowing, a U.S. Base Rate Borrowing or a Canadian Prime Rate Borrowing, as the case may be;</w:t>
      </w:r>
    </w:p>
    <w:p>
      <w:pPr>
        <w:sectPr>
          <w:pgSz w:w="11900" w:h="16838" w:orient="portrait"/>
          <w:cols w:equalWidth="0" w:num="1">
            <w:col w:w="11240"/>
          </w:cols>
          <w:pgMar w:left="320" w:top="1380" w:right="339" w:bottom="1440" w:gutter="0" w:footer="0" w:header="0"/>
        </w:sectPr>
      </w:pPr>
    </w:p>
    <w:bookmarkStart w:id="124" w:name="page125"/>
    <w:bookmarkEnd w:id="124"/>
    <w:p>
      <w:pPr>
        <w:jc w:val="both"/>
        <w:ind w:left="640" w:firstLine="1246"/>
        <w:spacing w:after="0" w:line="261" w:lineRule="auto"/>
        <w:tabs>
          <w:tab w:leader="none" w:pos="2472"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notice to each Applicable Borrower from the Applicable Administrative Agent given at the request of the Applicable Required Lenders after the occurrence and during the continuance of a Default or Event of Default, no outstanding Loan owing to such Lenders may be converted into, or continued as, a SOFR Loan, a BBSY Rate Loan or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Loan, as applicable; and</w:t>
      </w:r>
    </w:p>
    <w:p>
      <w:pPr>
        <w:spacing w:after="0" w:line="164" w:lineRule="exact"/>
        <w:rPr>
          <w:rFonts w:ascii="Times New Roman" w:cs="Times New Roman" w:eastAsia="Times New Roman" w:hAnsi="Times New Roman"/>
          <w:sz w:val="21"/>
          <w:szCs w:val="21"/>
          <w:color w:val="auto"/>
        </w:rPr>
      </w:pPr>
    </w:p>
    <w:p>
      <w:pPr>
        <w:ind w:left="2560" w:hanging="674"/>
        <w:spacing w:after="0"/>
        <w:tabs>
          <w:tab w:leader="none" w:pos="256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a Swing Line Loan may not be converted to a SOFR</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w:t>
      </w:r>
    </w:p>
    <w:p>
      <w:pPr>
        <w:spacing w:after="0" w:line="192" w:lineRule="exact"/>
        <w:rPr>
          <w:sz w:val="20"/>
          <w:szCs w:val="20"/>
          <w:color w:val="auto"/>
        </w:rPr>
      </w:pPr>
    </w:p>
    <w:p>
      <w:pPr>
        <w:ind w:right="40" w:firstLine="627"/>
        <w:spacing w:after="0" w:line="251" w:lineRule="auto"/>
        <w:rPr>
          <w:sz w:val="20"/>
          <w:szCs w:val="20"/>
          <w:color w:val="auto"/>
        </w:rPr>
      </w:pPr>
      <w:r>
        <w:rPr>
          <w:rFonts w:ascii="Times New Roman" w:cs="Times New Roman" w:eastAsia="Times New Roman" w:hAnsi="Times New Roman"/>
          <w:sz w:val="21"/>
          <w:szCs w:val="21"/>
          <w:color w:val="auto"/>
        </w:rPr>
        <w:t xml:space="preserve">Each notice pursuant to this Section 2.10 shall be irrevocable, shall be hand delivered, faxed or sent by electronic communication (e-mail) (or by telephone notice promptly confirmed by a written, fax or electronic communication (e-mail)), shall refer to this Agreement, shall be substantially in the form of Exhibit B-6 and specify (i) the identity and amount of the Borrowing that the Applicable Borrower requests be converted or continued, (ii) whether such Borrowing is to be converted to or continued as a SOFR Borrowing, an ABR Borrowing,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Borrowing, a U.S. Base Rate Borrowing, a Canadian Prime Rate Borrowing or a BBSY Rate Borrowing, (iii) if such notice requests a conversion, the date of such conversion (which shall be a Business Day) and (iv) if such Borrowing is to be converted to or continued as a SOFR Borrowing, a BBSY Rate Borrowing or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the Interest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or Contract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 respect thereto. If no Interest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or Contract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is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specified in any such notice with respect to any conversion to or continuation as a SOFR Borrowing, a BBSY Rate Borrowing or a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the Applicable Borrower shall be deemed to have selected an Interest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or Contract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of one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month’s </w:t>
      </w:r>
      <w:r>
        <w:rPr>
          <w:rFonts w:ascii="Times New Roman" w:cs="Times New Roman" w:eastAsia="Times New Roman" w:hAnsi="Times New Roman"/>
          <w:sz w:val="21"/>
          <w:szCs w:val="21"/>
          <w:color w:val="FF0000"/>
          <w:strike w:val="1"/>
        </w:rPr>
        <w:t>or 30 days’, as the case may be,</w:t>
      </w:r>
      <w:r>
        <w:rPr>
          <w:rFonts w:ascii="Times New Roman" w:cs="Times New Roman" w:eastAsia="Times New Roman" w:hAnsi="Times New Roman"/>
          <w:sz w:val="21"/>
          <w:szCs w:val="21"/>
          <w:color w:val="000000"/>
        </w:rPr>
        <w:t xml:space="preserve">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SOFR Borrowing (other than a SOFR Borrowing under the Australian Revolving Credit Facility) or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000000"/>
        </w:rPr>
        <w:t xml:space="preserve"> Borrowing into a subsequent Interest </w:t>
      </w:r>
      <w:r>
        <w:rPr>
          <w:rFonts w:ascii="Times New Roman" w:cs="Times New Roman" w:eastAsia="Times New Roman" w:hAnsi="Times New Roman"/>
          <w:sz w:val="21"/>
          <w:szCs w:val="21"/>
          <w:color w:val="FF0000"/>
          <w:strike w:val="1"/>
        </w:rPr>
        <w:t>Period or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Contract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Period (and shall not otherwise have given notice in accordance with this Section 2.10 to convert such Borrowing), such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shall, at the end of the Interest Period applicable thereto (unless repaid pursuant to the terms hereof), automatically be converted into an ABR Borrowing, a U.S. Base Rate Borrowing or a Canadian Prime Rate Borrowing, as applicable.</w:t>
      </w:r>
    </w:p>
    <w:p>
      <w:pPr>
        <w:spacing w:after="0" w:line="172"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SECTION 2.11 </w:t>
      </w:r>
      <w:r>
        <w:rPr>
          <w:rFonts w:ascii="Times New Roman" w:cs="Times New Roman" w:eastAsia="Times New Roman" w:hAnsi="Times New Roman"/>
          <w:sz w:val="20"/>
          <w:szCs w:val="20"/>
          <w:b w:val="1"/>
          <w:bCs w:val="1"/>
          <w:i w:val="1"/>
          <w:iCs w:val="1"/>
          <w:color w:val="auto"/>
        </w:rPr>
        <w:t>Optional Prepayment</w:t>
      </w:r>
      <w:r>
        <w:rPr>
          <w:rFonts w:ascii="Times New Roman" w:cs="Times New Roman" w:eastAsia="Times New Roman" w:hAnsi="Times New Roman"/>
          <w:sz w:val="20"/>
          <w:szCs w:val="20"/>
          <w:color w:val="auto"/>
        </w:rPr>
        <w:t>. (a) Each Borrower shall have the right at any time and from time to time to prepay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Borrowing </w:t>
      </w:r>
      <w:r>
        <w:rPr>
          <w:rFonts w:ascii="Times New Roman" w:cs="Times New Roman" w:eastAsia="Times New Roman" w:hAnsi="Times New Roman"/>
          <w:sz w:val="20"/>
          <w:szCs w:val="20"/>
          <w:color w:val="FF0000"/>
          <w:strike w:val="1"/>
        </w:rPr>
        <w:t>(other than Bankers’ Acceptances or B/A Equivalent Loans, which may, however, be defeased as provided below),</w:t>
      </w:r>
      <w:r>
        <w:rPr>
          <w:rFonts w:ascii="Times New Roman" w:cs="Times New Roman" w:eastAsia="Times New Roman" w:hAnsi="Times New Roman"/>
          <w:sz w:val="20"/>
          <w:szCs w:val="20"/>
          <w:u w:val="single" w:color="auto"/>
          <w:color w:val="0000FF"/>
          <w:highlight w:val="lightGray"/>
        </w:rPr>
        <w:t>,</w:t>
      </w:r>
      <w:r>
        <w:rPr>
          <w:rFonts w:ascii="Times New Roman" w:cs="Times New Roman" w:eastAsia="Times New Roman" w:hAnsi="Times New Roman"/>
          <w:sz w:val="20"/>
          <w:szCs w:val="20"/>
          <w:color w:val="auto"/>
        </w:rPr>
        <w:t xml:space="preserve"> in whole or in part, upon written, fax or electronic communication (e-mail) (or by telephone notice promptly confirmed by written, fax or electronic communication (e-mail)), substantially in the form of Exhibit B-5, delivered to the Applicable Administrative Agent by</w:t>
      </w:r>
    </w:p>
    <w:p>
      <w:pPr>
        <w:spacing w:after="0" w:line="3" w:lineRule="exact"/>
        <w:rPr>
          <w:sz w:val="20"/>
          <w:szCs w:val="20"/>
          <w:color w:val="auto"/>
        </w:rPr>
      </w:pPr>
    </w:p>
    <w:p>
      <w:pPr>
        <w:jc w:val="both"/>
        <w:ind w:firstLine="5"/>
        <w:spacing w:after="0" w:line="253" w:lineRule="auto"/>
        <w:tabs>
          <w:tab w:leader="none" w:pos="282"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 p.m. (Standard Time) at least three Business Days prior to the date designated for such prepayment, in the case of any prepayment of a SOFR Borrowing</w:t>
      </w:r>
      <w:r>
        <w:rPr>
          <w:rFonts w:ascii="Times New Roman" w:cs="Times New Roman" w:eastAsia="Times New Roman" w:hAnsi="Times New Roman"/>
          <w:sz w:val="21"/>
          <w:szCs w:val="21"/>
          <w:u w:val="single" w:color="auto"/>
          <w:color w:val="0000FF"/>
          <w:highlight w:val="lightGray"/>
        </w:rPr>
        <w:t>, Term CORRA Borrowing</w:t>
      </w:r>
      <w:r>
        <w:rPr>
          <w:rFonts w:ascii="Times New Roman" w:cs="Times New Roman" w:eastAsia="Times New Roman" w:hAnsi="Times New Roman"/>
          <w:sz w:val="21"/>
          <w:szCs w:val="21"/>
          <w:color w:val="auto"/>
        </w:rPr>
        <w:t xml:space="preserve"> or a BBSY Rate Borrowing, (ii) 1:00 p.m. (Standard Time) on the date designated for such prepayment in the case of any prepayment of an ABR Borrowing under the U.S. Revolving Commitments, or (iii) 1:00 p.m. (Standard Time) one Business Day prior to the date designated for such prepayment, in the case</w:t>
      </w:r>
    </w:p>
    <w:p>
      <w:pPr>
        <w:sectPr>
          <w:pgSz w:w="11900" w:h="16838" w:orient="portrait"/>
          <w:cols w:equalWidth="0" w:num="1">
            <w:col w:w="11240"/>
          </w:cols>
          <w:pgMar w:left="320" w:top="1380" w:right="339" w:bottom="1440" w:gutter="0" w:footer="0" w:header="0"/>
        </w:sectPr>
      </w:pPr>
    </w:p>
    <w:bookmarkStart w:id="125" w:name="page126"/>
    <w:bookmarkEnd w:id="125"/>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of a U.S. Base Rate Borrowing or a Canadian Prime Rate Borrowing under the Canadian Revolving Commitments or Canadian Term Loans;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each partial prepayment shall be in an amount that is a minimum amount of U.S.$500,000 or an integral multiple of U.S.$100,000 in excess thereof (or C$500,000 and C$100,000, respectively, in the case of Borrowings denominated in Canadian dollars or AUD$500,000 and AUD$100,000, respectively, in the case of Borrowings denominated in Australian dollars);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Applicable Borrower may defease any BBSY Rate Loan</w:t>
      </w:r>
      <w:r>
        <w:rPr>
          <w:rFonts w:ascii="Times New Roman" w:cs="Times New Roman" w:eastAsia="Times New Roman" w:hAnsi="Times New Roman"/>
          <w:sz w:val="21"/>
          <w:szCs w:val="21"/>
          <w:color w:val="FF0000"/>
          <w:strike w:val="1"/>
        </w:rPr>
        <w:t>, B/A or B/A Equivalent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Loan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by depositing with the Applicable Administrative Agent an amount that, together with interest accruing on such amount to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end of the </w:t>
      </w:r>
      <w:r>
        <w:rPr>
          <w:rFonts w:ascii="Times New Roman" w:cs="Times New Roman" w:eastAsia="Times New Roman" w:hAnsi="Times New Roman"/>
          <w:sz w:val="21"/>
          <w:szCs w:val="21"/>
          <w:color w:val="FF0000"/>
          <w:strike w:val="1"/>
        </w:rPr>
        <w:t>Contract</w:t>
      </w:r>
      <w:r>
        <w:rPr>
          <w:rFonts w:ascii="Times New Roman" w:cs="Times New Roman" w:eastAsia="Times New Roman" w:hAnsi="Times New Roman"/>
          <w:sz w:val="21"/>
          <w:szCs w:val="21"/>
          <w:u w:val="single" w:color="auto"/>
          <w:color w:val="0000FF"/>
          <w:highlight w:val="lightGray"/>
        </w:rPr>
        <w:t>Interest</w:t>
      </w:r>
      <w:r>
        <w:rPr>
          <w:rFonts w:ascii="Times New Roman" w:cs="Times New Roman" w:eastAsia="Times New Roman" w:hAnsi="Times New Roman"/>
          <w:sz w:val="21"/>
          <w:szCs w:val="21"/>
          <w:color w:val="000000"/>
        </w:rPr>
        <w:t xml:space="preserve"> Period for such BBSY Rate Loan</w:t>
      </w:r>
      <w:r>
        <w:rPr>
          <w:rFonts w:ascii="Times New Roman" w:cs="Times New Roman" w:eastAsia="Times New Roman" w:hAnsi="Times New Roman"/>
          <w:sz w:val="21"/>
          <w:szCs w:val="21"/>
          <w:color w:val="FF0000"/>
          <w:strike w:val="1"/>
        </w:rPr>
        <w:t>, B/A or B/A Equivalent Loan,</w:t>
      </w:r>
      <w:r>
        <w:rPr>
          <w:rFonts w:ascii="Times New Roman" w:cs="Times New Roman" w:eastAsia="Times New Roman" w:hAnsi="Times New Roman"/>
          <w:sz w:val="21"/>
          <w:szCs w:val="21"/>
          <w:color w:val="000000"/>
        </w:rPr>
        <w:t xml:space="preserve"> is sufficient to pay such maturing BBSY Rate </w:t>
      </w:r>
      <w:r>
        <w:rPr>
          <w:rFonts w:ascii="Times New Roman" w:cs="Times New Roman" w:eastAsia="Times New Roman" w:hAnsi="Times New Roman"/>
          <w:sz w:val="21"/>
          <w:szCs w:val="21"/>
          <w:color w:val="FF0000"/>
          <w:strike w:val="1"/>
        </w:rPr>
        <w:t>Loans, Bankers’ Acceptances or B/A Equivalent</w:t>
      </w:r>
      <w:r>
        <w:rPr>
          <w:rFonts w:ascii="Times New Roman" w:cs="Times New Roman" w:eastAsia="Times New Roman" w:hAnsi="Times New Roman"/>
          <w:sz w:val="21"/>
          <w:szCs w:val="21"/>
          <w:color w:val="000000"/>
        </w:rPr>
        <w:t xml:space="preserve"> Loans when due. Such deposited cash collateral shall be assigned to the Applicable Administrative Agent as security for the obligations of the Parent Borrower in relation to such BBSY Rate Loan</w:t>
      </w:r>
      <w:r>
        <w:rPr>
          <w:rFonts w:ascii="Times New Roman" w:cs="Times New Roman" w:eastAsia="Times New Roman" w:hAnsi="Times New Roman"/>
          <w:sz w:val="21"/>
          <w:szCs w:val="21"/>
          <w:color w:val="FF0000"/>
          <w:strike w:val="1"/>
        </w:rPr>
        <w:t>, B/As or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B/A Equivalent Loans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 the Lien of the Applicable Administrative Agent thereby created therein shall rank in priority to all other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Liens and adverse claims against deposited cash collateral. The Applicable Administrative Agent shall promptly advise the Applicable Lenders of any notice given pursuant to this Section 2.11 and of each Lender’s portion of such prepayment.</w:t>
      </w:r>
    </w:p>
    <w:p>
      <w:pPr>
        <w:spacing w:after="0" w:line="184" w:lineRule="exact"/>
        <w:rPr>
          <w:sz w:val="20"/>
          <w:szCs w:val="20"/>
          <w:color w:val="auto"/>
        </w:rPr>
      </w:pPr>
    </w:p>
    <w:p>
      <w:pPr>
        <w:jc w:val="both"/>
        <w:ind w:firstLine="1259"/>
        <w:spacing w:after="0" w:line="261" w:lineRule="auto"/>
        <w:tabs>
          <w:tab w:leader="none" w:pos="170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U.S. Borrower may, upon notice to the U.S. Swing Line Lender (with a copy to the Administrative Agent), at any time or from time to time, voluntarily prepay U.S. Swing Line Loans in whole or in part without premium or penalty;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notice must be received by the U.S. Swing Line Lender and the Administrative Agent not later than 1:00 p.m. (Standard Time) on the date of the prepayment, and (B) any such prepayment shall be in a minimum principal amount of $100,000.</w:t>
      </w:r>
    </w:p>
    <w:p>
      <w:pPr>
        <w:spacing w:after="0" w:line="164" w:lineRule="exact"/>
        <w:rPr>
          <w:rFonts w:ascii="Times New Roman" w:cs="Times New Roman" w:eastAsia="Times New Roman" w:hAnsi="Times New Roman"/>
          <w:sz w:val="21"/>
          <w:szCs w:val="21"/>
          <w:color w:val="auto"/>
        </w:rPr>
      </w:pPr>
    </w:p>
    <w:p>
      <w:pPr>
        <w:jc w:val="both"/>
        <w:ind w:firstLine="1259"/>
        <w:spacing w:after="0" w:line="257" w:lineRule="auto"/>
        <w:tabs>
          <w:tab w:leader="none" w:pos="184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may, upon notice to the Canadian Swing Line Lender (with a copy to the Canadian Administrative Agent), at any time or from time to time, voluntarily prepay Canadian Swing Line Loans in whole or in part without premium or penalty;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70"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3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 Each prepayment of outstanding Canadian Term Loans, pursuant to this Section 2.11 shall be applied to the principal repayment installments thereof in direct order of maturity.</w:t>
      </w:r>
    </w:p>
    <w:p>
      <w:pPr>
        <w:spacing w:after="0" w:line="167"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2.12 </w:t>
      </w:r>
      <w:r>
        <w:rPr>
          <w:rFonts w:ascii="Times New Roman" w:cs="Times New Roman" w:eastAsia="Times New Roman" w:hAnsi="Times New Roman"/>
          <w:sz w:val="21"/>
          <w:szCs w:val="21"/>
          <w:b w:val="1"/>
          <w:bCs w:val="1"/>
          <w:i w:val="1"/>
          <w:iCs w:val="1"/>
          <w:color w:val="auto"/>
        </w:rPr>
        <w:t>Mandatory Prepayments</w:t>
      </w:r>
      <w:r>
        <w:rPr>
          <w:rFonts w:ascii="Times New Roman" w:cs="Times New Roman" w:eastAsia="Times New Roman" w:hAnsi="Times New Roman"/>
          <w:sz w:val="21"/>
          <w:szCs w:val="21"/>
          <w:color w:val="auto"/>
        </w:rPr>
        <w:t>. (a) In the event of any termination of all the U.S. Revolving Commitments,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Canadian Revolving Commitments or Australian Revolving Commitments, each Applicable Borrower shall, on the date of such termination, repay or prepay all its outstanding U.S. Revolving Credit Loans, Canadian Revolving Credit Loans or Australian Revolving Credit Loans, as applicable, and replace all outstanding U.S. Letters of Credit,</w:t>
      </w:r>
    </w:p>
    <w:p>
      <w:pPr>
        <w:sectPr>
          <w:pgSz w:w="11900" w:h="16838" w:orient="portrait"/>
          <w:cols w:equalWidth="0" w:num="1">
            <w:col w:w="11240"/>
          </w:cols>
          <w:pgMar w:left="320" w:top="1380" w:right="339" w:bottom="1440" w:gutter="0" w:footer="0" w:header="0"/>
        </w:sectPr>
      </w:pPr>
    </w:p>
    <w:bookmarkStart w:id="126" w:name="page127"/>
    <w:bookmarkEnd w:id="126"/>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Canadian Letters of Credit or Australian Letters of Credit, as applicable, and/or deposit an amount equal to the sum of the U.S. L/C Exposure, the Canadian L/C Exposure or the Australian L/C Exposure, as applicable, in cash in a cash collateral account established with the Applicable Collateral Agent for the benefit of the Secured Parties. In the event of any partial reduction of the U.S. Revolving Commitments, the Canadian Revolving Commitments or the Australian Revolving Commitments, then (i) at or prior to the effective date of such reduction, the Applicable Administrative Agent shall notify each of the Applicable Borrowers and Applicable Lenders of the aggregate U.S. Revolving Credit Exposure, the aggregate Canadian Revolving Credit Exposure or the aggregate Australian Revolving Credit Exposure, as the case may be, after giving effect thereto, and (ii) if the aggregate U.S. Revolving Credit Exposure, the aggregate Canadian Revolving Credit Exposure or the Australian Revolving Credit Exposure, as the case may be, would exceed the Total U.S. Revolving Commitment, Total Canadian Revolving Commitment or Total Australian Revolving Commitment, respectively, after giving effect to such reduction, then the U.S. Borrower, the Parent Borrower, or the Australian Borrower, as the case may be, shall, on the date of such reduction, repay or prepay Borrowings of Revolving Credit Loans (or defease BBSY Rate Borrowings </w:t>
      </w:r>
      <w:r>
        <w:rPr>
          <w:rFonts w:ascii="Times New Roman" w:cs="Times New Roman" w:eastAsia="Times New Roman" w:hAnsi="Times New Roman"/>
          <w:sz w:val="21"/>
          <w:szCs w:val="21"/>
          <w:color w:val="FF0000"/>
          <w:strike w:val="1"/>
        </w:rPr>
        <w:t>or B/A Borrowings</w:t>
      </w:r>
      <w:r>
        <w:rPr>
          <w:rFonts w:ascii="Times New Roman" w:cs="Times New Roman" w:eastAsia="Times New Roman" w:hAnsi="Times New Roman"/>
          <w:sz w:val="21"/>
          <w:szCs w:val="21"/>
          <w:color w:val="auto"/>
        </w:rPr>
        <w:t xml:space="preserve">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 shall repay or prepay U.S. Revolving Borrowings and/or replace or cash collateralize outstanding U.S. Letters of Credit in an amount sufficient to eliminate such excess. If on any date, the aggregate Canadian Revolving Credit Exposure exceeds the Total Canadian Revolving Commitment, then within two Business Days following such date, the Parent Borrower shall repay or prepay Canadian Revolving Borrowings </w:t>
      </w:r>
      <w:r>
        <w:rPr>
          <w:rFonts w:ascii="Times New Roman" w:cs="Times New Roman" w:eastAsia="Times New Roman" w:hAnsi="Times New Roman"/>
          <w:sz w:val="21"/>
          <w:szCs w:val="21"/>
          <w:color w:val="FF0000"/>
          <w:strike w:val="1"/>
        </w:rPr>
        <w:t>(or defease B/A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Borrowings as described in Section 2.11(a))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and/or replace or cash collateralize outstanding Canadian Letters of Credit in an amount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sufficient to eliminate such excess. If on any date, the aggregate Australian Revolving Credit Exposure exceeds the Total Australian Revolving Commitment, then within two Business Days following such date, the Australian Borrower shall repay or prepay Australian Revolving Borrowings (or defease BBSY Rate Borrowings as described in Section 2.11(a)) and/or replace or cash collateralize outstanding Australian Letters of Credit in an amount sufficient to eliminate such excess.</w:t>
      </w:r>
    </w:p>
    <w:p>
      <w:pPr>
        <w:spacing w:after="0" w:line="190" w:lineRule="exact"/>
        <w:rPr>
          <w:sz w:val="20"/>
          <w:szCs w:val="20"/>
          <w:color w:val="auto"/>
        </w:rPr>
      </w:pPr>
    </w:p>
    <w:p>
      <w:pPr>
        <w:jc w:val="both"/>
        <w:ind w:firstLine="1259"/>
        <w:spacing w:after="0" w:line="253" w:lineRule="auto"/>
        <w:tabs>
          <w:tab w:leader="none" w:pos="171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any date the Parent Borrower or any of its Subsidiaries shall receive Net Cash Proceeds from any Asset Sale and the aggregate amount of all such Net Cash Proceeds received since the later of the Closing Date and the date on which the last prepayment under this Section 2.12(b) was made exceeds C$5,000,000, the Canadian Term Loans shall be prepaid on or before the date which is not more than five (5) Business Days following the date of receipt of such Net Cash Proceeds by an amount equal to 100% of the amount of such Net Cash Proceeds;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no prepayment shall be required under this Section 2.12(b) to the extent that, if no Event of Default has occurred and is then continuing, the Parent Borrower delivers a certificate to the Administrative Agent prior to the date of any such required prepayment stating that the Parent Borrower or such Subsidiary intends to reinvest such Net Cash Proceeds in assets used or useful in the business of the Parent Borrower and its Subsidiaries within twelve months after receipt of such Net Cash Proceeds by the Parent Borrower or such Subsidiary;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however, that any Net Cash Proceeds not so reinvested within such twelve month period shall be</w:t>
      </w:r>
    </w:p>
    <w:p>
      <w:pPr>
        <w:sectPr>
          <w:pgSz w:w="11900" w:h="16838" w:orient="portrait"/>
          <w:cols w:equalWidth="0" w:num="1">
            <w:col w:w="11240"/>
          </w:cols>
          <w:pgMar w:left="320" w:top="138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1"/>
          <w:szCs w:val="21"/>
          <w:color w:val="auto"/>
        </w:rPr>
        <w:t>immediately applied to the prepayment of the Canadian Term Loans as set forth in this Section 2.12(b).</w:t>
      </w:r>
    </w:p>
    <w:p>
      <w:pPr>
        <w:spacing w:after="0" w:line="216" w:lineRule="exact"/>
        <w:rPr>
          <w:sz w:val="20"/>
          <w:szCs w:val="20"/>
          <w:color w:val="auto"/>
        </w:rPr>
      </w:pPr>
    </w:p>
    <w:p>
      <w:pPr>
        <w:jc w:val="both"/>
        <w:ind w:firstLine="1259"/>
        <w:spacing w:after="0" w:line="255" w:lineRule="auto"/>
        <w:tabs>
          <w:tab w:leader="none" w:pos="169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on any date the Parent Borrower or any of its Subsidiaries shall receive Net Cash Proceeds from the issuance or incurrence of Indebtedness for borrowed money (other than any cash proceeds from the issuance of Indebtedness permitted pursuant to Section 6.01 (other than Section 6.01(e) excluding any Permitted Refinancing Indebtedness in respect of previously incurred Indebtedness pursuant to Section 6.01(e)), the Canadian Term Loans shall be prepaid, substantially simultaneously with (and in any event not later than the third Business Day next following) the date of receipt of such Net Cash Proceeds by an amount equal to 100% of the amount of such Net Cash Proceeds.</w:t>
      </w:r>
    </w:p>
    <w:p>
      <w:pPr>
        <w:spacing w:after="0" w:line="172" w:lineRule="exact"/>
        <w:rPr>
          <w:rFonts w:ascii="Times New Roman" w:cs="Times New Roman" w:eastAsia="Times New Roman" w:hAnsi="Times New Roman"/>
          <w:sz w:val="21"/>
          <w:szCs w:val="21"/>
          <w:color w:val="auto"/>
        </w:rPr>
      </w:pPr>
    </w:p>
    <w:p>
      <w:pPr>
        <w:jc w:val="both"/>
        <w:ind w:firstLine="1259"/>
        <w:spacing w:after="0" w:line="252" w:lineRule="auto"/>
        <w:tabs>
          <w:tab w:leader="none" w:pos="188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at any time there are any Canadian Revolving Credit Loans or U.S. Revolving Credit Loans then outstanding, Excess Cash on deposit in Canada and the United States exceeds $15,000,000 for a period of more than five consecutive Business Days, the Borrowers shall make mandatory prepayments of Canadian Revolving Credit Loans and U.S. Revolving Credit Loans </w:t>
      </w:r>
      <w:r>
        <w:rPr>
          <w:rFonts w:ascii="Times New Roman" w:cs="Times New Roman" w:eastAsia="Times New Roman" w:hAnsi="Times New Roman"/>
          <w:sz w:val="21"/>
          <w:szCs w:val="21"/>
          <w:color w:val="FF0000"/>
          <w:strike w:val="1"/>
        </w:rPr>
        <w:t>(or, in respect of Bankers’ Acceptances, defease such Bankers’ Acceptances in accordance with the procedures set forth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Section 2.11(a))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in an amount equal to the lesser of (A) an amount sufficient to reduce the aggregate amount of Excess Cash on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deposit in Canada and the United States after such prepayment to below $15,000,000 or (B) an amount sufficient to repay all Canadian Revolving Credit Loans and U.S. Revolving Credit Loans outstanding hereunder, in each case, such prepayment shall be made within five Business Days or (ii) at any time there are Australian Revolving Credit Loans then outstanding, Excess Cash on deposit in Australia exceeds AUS$15,000,000 for a period of more than five consecutive Business Days, the Australian Borrower shall make mandatory prepayments of Australian Revolving Credit Loans (or, in respect of BBSY Rate Loans, defease such BBSY Rate Loans in accordance with the procedures set forth in Section 2.11(a)) in an amount equal to the lesser of (A) an amount sufficient to reduce the aggregate amount of Excess Cash on deposit in Australia after such prepayment to below $15,000,000 or (B) an amount sufficient to repay all Australian Revolving Credit Loans outstanding hereunder, in each case, such prepayment shall be made within five Business Days.</w:t>
      </w:r>
    </w:p>
    <w:p>
      <w:pPr>
        <w:spacing w:after="0" w:line="171"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2.13 </w:t>
      </w:r>
      <w:r>
        <w:rPr>
          <w:rFonts w:ascii="Times New Roman" w:cs="Times New Roman" w:eastAsia="Times New Roman" w:hAnsi="Times New Roman"/>
          <w:sz w:val="21"/>
          <w:szCs w:val="21"/>
          <w:b w:val="1"/>
          <w:bCs w:val="1"/>
          <w:i w:val="1"/>
          <w:iCs w:val="1"/>
          <w:color w:val="auto"/>
        </w:rPr>
        <w:t>Increased Costs; Capital Requirements</w:t>
      </w:r>
      <w:r>
        <w:rPr>
          <w:rFonts w:ascii="Times New Roman" w:cs="Times New Roman" w:eastAsia="Times New Roman" w:hAnsi="Times New Roman"/>
          <w:sz w:val="21"/>
          <w:szCs w:val="21"/>
          <w:color w:val="auto"/>
        </w:rPr>
        <w:t>. (a) Notwithstanding any other provision of this Agreement, if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Change in Law shall (i) 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Adjusted Term SOFR, </w:t>
      </w:r>
      <w:r>
        <w:rPr>
          <w:rFonts w:ascii="Times New Roman" w:cs="Times New Roman" w:eastAsia="Times New Roman" w:hAnsi="Times New Roman"/>
          <w:sz w:val="21"/>
          <w:szCs w:val="21"/>
          <w:color w:val="FF0000"/>
          <w:strike w:val="1"/>
        </w:rPr>
        <w:t>the B/A Discount Rate</w:t>
      </w:r>
      <w:r>
        <w:rPr>
          <w:rFonts w:ascii="Times New Roman" w:cs="Times New Roman" w:eastAsia="Times New Roman" w:hAnsi="Times New Roman"/>
          <w:sz w:val="21"/>
          <w:szCs w:val="21"/>
          <w:u w:val="single" w:color="auto"/>
          <w:color w:val="0000FF"/>
          <w:highlight w:val="lightGray"/>
        </w:rPr>
        <w:t>Adjusted Term CORRA</w:t>
      </w:r>
      <w:r>
        <w:rPr>
          <w:rFonts w:ascii="Times New Roman" w:cs="Times New Roman" w:eastAsia="Times New Roman" w:hAnsi="Times New Roman"/>
          <w:sz w:val="21"/>
          <w:szCs w:val="21"/>
          <w:color w:val="auto"/>
        </w:rPr>
        <w:t xml:space="preserve"> or the BBSY Rate), (ii) subject any Lender or any Issuing Bank to any Taxes (other than (A) Indemnified Taxes, (B) Taxes described in clauses (b) through (h) of the definition of Excluded Taxes and (C) Connection Income Taxes) on its loans, loan principal, letters of credit, commitments, or other obligations, or its deposits, reserves, other liabilities or capital attributable thereto; or (iii) impose on any Lender or Issuing Bank, any other condition, cost or expense (other than Taxes) affecting this Agreement or SOFR Loans,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Loans or BBSY Rate Loans made by such Lender or any Letter of Credit or participation therein, and the result of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any of the foregoing shall</w:t>
      </w:r>
    </w:p>
    <w:p>
      <w:pPr>
        <w:sectPr>
          <w:pgSz w:w="11900" w:h="16838" w:orient="portrait"/>
          <w:cols w:equalWidth="0" w:num="1">
            <w:col w:w="11240"/>
          </w:cols>
          <w:pgMar w:left="320" w:top="1380" w:right="339" w:bottom="1440" w:gutter="0" w:footer="0" w:header="0"/>
        </w:sectPr>
      </w:pPr>
    </w:p>
    <w:bookmarkStart w:id="128" w:name="page129"/>
    <w:bookmarkEnd w:id="128"/>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be to increase the cost to such Lender or Issuing Bank of making or maintaining any SOFR Loan,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171" w:lineRule="exact"/>
        <w:rPr>
          <w:sz w:val="20"/>
          <w:szCs w:val="20"/>
          <w:color w:val="auto"/>
        </w:rPr>
      </w:pPr>
    </w:p>
    <w:p>
      <w:pPr>
        <w:jc w:val="both"/>
        <w:ind w:firstLine="1259"/>
        <w:spacing w:after="0" w:line="251" w:lineRule="auto"/>
        <w:tabs>
          <w:tab w:leader="none" w:pos="174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197"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84"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171" w:lineRule="exact"/>
        <w:rPr>
          <w:rFonts w:ascii="Times New Roman" w:cs="Times New Roman" w:eastAsia="Times New Roman" w:hAnsi="Times New Roman"/>
          <w:sz w:val="21"/>
          <w:szCs w:val="21"/>
          <w:color w:val="auto"/>
        </w:rPr>
      </w:pPr>
    </w:p>
    <w:p>
      <w:pPr>
        <w:jc w:val="both"/>
        <w:ind w:firstLine="1259"/>
        <w:spacing w:after="0" w:line="254" w:lineRule="auto"/>
        <w:tabs>
          <w:tab w:leader="none" w:pos="1764"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foregoing limitation shall not apply to any</w:t>
      </w:r>
    </w:p>
    <w:p>
      <w:pPr>
        <w:sectPr>
          <w:pgSz w:w="11900" w:h="16838" w:orient="portrait"/>
          <w:cols w:equalWidth="0" w:num="1">
            <w:col w:w="11240"/>
          </w:cols>
          <w:pgMar w:left="320" w:top="1380" w:right="339" w:bottom="1440" w:gutter="0" w:footer="0" w:header="0"/>
        </w:sectPr>
      </w:pPr>
    </w:p>
    <w:bookmarkStart w:id="129" w:name="page130"/>
    <w:bookmarkEnd w:id="129"/>
    <w:p>
      <w:pPr>
        <w:jc w:val="both"/>
        <w:spacing w:after="0" w:line="262" w:lineRule="auto"/>
        <w:rPr>
          <w:sz w:val="20"/>
          <w:szCs w:val="20"/>
          <w:color w:val="auto"/>
        </w:rPr>
      </w:pPr>
      <w:r>
        <w:rPr>
          <w:rFonts w:ascii="Times New Roman" w:cs="Times New Roman" w:eastAsia="Times New Roman" w:hAnsi="Times New Roman"/>
          <w:sz w:val="21"/>
          <w:szCs w:val="21"/>
          <w:color w:val="auto"/>
        </w:rPr>
        <w:t>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172"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SECTION 2.14 </w:t>
      </w:r>
      <w:r>
        <w:rPr>
          <w:rFonts w:ascii="Times New Roman" w:cs="Times New Roman" w:eastAsia="Times New Roman" w:hAnsi="Times New Roman"/>
          <w:sz w:val="21"/>
          <w:szCs w:val="21"/>
          <w:b w:val="1"/>
          <w:bCs w:val="1"/>
          <w:i w:val="1"/>
          <w:iCs w:val="1"/>
          <w:color w:val="auto"/>
        </w:rPr>
        <w:t>Change in Legality</w:t>
      </w:r>
      <w:r>
        <w:rPr>
          <w:rFonts w:ascii="Times New Roman" w:cs="Times New Roman" w:eastAsia="Times New Roman" w:hAnsi="Times New Roman"/>
          <w:sz w:val="21"/>
          <w:szCs w:val="21"/>
          <w:color w:val="auto"/>
        </w:rPr>
        <w:t>. Notwithstanding any other provision of this Agreement, if any Change in Law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make it unlawful, or any Governmental Authority has asserted that it is unlawful, for any Lender to make, maintain or fund Loans whose interest is determined by reference to SOFR </w:t>
      </w:r>
      <w:r>
        <w:rPr>
          <w:rFonts w:ascii="Times New Roman" w:cs="Times New Roman" w:eastAsia="Times New Roman" w:hAnsi="Times New Roman"/>
          <w:sz w:val="21"/>
          <w:szCs w:val="21"/>
          <w:color w:val="FF0000"/>
        </w:rPr>
        <w:t>or</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color w:val="0000FF"/>
        </w:rPr>
        <w:t>or Adjusted Term CORRA</w:t>
      </w:r>
      <w:r>
        <w:rPr>
          <w:rFonts w:ascii="Times New Roman" w:cs="Times New Roman" w:eastAsia="Times New Roman" w:hAnsi="Times New Roman"/>
          <w:sz w:val="21"/>
          <w:szCs w:val="21"/>
          <w:color w:val="auto"/>
        </w:rPr>
        <w:t xml:space="preserve">, or to determine or charge interest rates based upon SOFR </w:t>
      </w:r>
      <w:r>
        <w:rPr>
          <w:rFonts w:ascii="Times New Roman" w:cs="Times New Roman" w:eastAsia="Times New Roman" w:hAnsi="Times New Roman"/>
          <w:sz w:val="21"/>
          <w:szCs w:val="21"/>
          <w:color w:val="FF0000"/>
        </w:rPr>
        <w:t>or</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color w:val="0000FF"/>
        </w:rPr>
        <w:t>or Adjusted Term CORRA</w:t>
      </w:r>
      <w:r>
        <w:rPr>
          <w:rFonts w:ascii="Times New Roman" w:cs="Times New Roman" w:eastAsia="Times New Roman" w:hAnsi="Times New Roman"/>
          <w:sz w:val="21"/>
          <w:szCs w:val="21"/>
          <w:color w:val="auto"/>
        </w:rPr>
        <w:t>, then, upon notice thereof by such Lender to the Borrowers (through the Administrative Agent) (such notice, an “</w:t>
      </w:r>
      <w:r>
        <w:rPr>
          <w:rFonts w:ascii="Times New Roman" w:cs="Times New Roman" w:eastAsia="Times New Roman" w:hAnsi="Times New Roman"/>
          <w:sz w:val="21"/>
          <w:szCs w:val="21"/>
          <w:i w:val="1"/>
          <w:iCs w:val="1"/>
          <w:color w:val="auto"/>
        </w:rPr>
        <w:t>Illegality Notice</w:t>
      </w:r>
      <w:r>
        <w:rPr>
          <w:rFonts w:ascii="Times New Roman" w:cs="Times New Roman" w:eastAsia="Times New Roman" w:hAnsi="Times New Roman"/>
          <w:sz w:val="21"/>
          <w:szCs w:val="21"/>
          <w:color w:val="auto"/>
        </w:rPr>
        <w:t xml:space="preserve">”), (a) any obligation of such Lender to make or continue SOFR Loans or </w:t>
      </w:r>
      <w:r>
        <w:rPr>
          <w:rFonts w:ascii="Times New Roman" w:cs="Times New Roman" w:eastAsia="Times New Roman" w:hAnsi="Times New Roman"/>
          <w:sz w:val="21"/>
          <w:szCs w:val="21"/>
          <w:u w:val="single" w:color="auto"/>
          <w:color w:val="0000FF"/>
          <w:highlight w:val="lightGray"/>
        </w:rPr>
        <w:t>Term CORRA Loans, as applicable, or</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to convert ABR Loans or U.S. Base Rate Loans to SOFR</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u w:val="single" w:color="auto"/>
          <w:color w:val="0000FF"/>
          <w:highlight w:val="lightGray"/>
        </w:rPr>
        <w:t>Loans or to convert Canadian Prime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u w:val="single" w:color="auto"/>
          <w:color w:val="0000FF"/>
          <w:highlight w:val="lightGray"/>
        </w:rPr>
        <w:t>Rate Loans to Term CORRA</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Loans shall be suspended, and (b) if such notice asserts the illegality of such Lender making or</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maintaining ABR Loans or U.S. Base Rate Loans the interest rate on which is determined by reference to the Term SOFR component of Alternate Base Rate or U.S. Base Rate, the interest rate on which ABR Loans or U.S. Base Rate Loans of such Lender shall, if necessary to avoid such illegality, be determined by the Administrative Agent without reference to the Term SOFR component of Alternate Base Rate or U.S. Base Rate, </w:t>
      </w:r>
      <w:r>
        <w:rPr>
          <w:rFonts w:ascii="Times New Roman" w:cs="Times New Roman" w:eastAsia="Times New Roman" w:hAnsi="Times New Roman"/>
          <w:sz w:val="21"/>
          <w:szCs w:val="21"/>
          <w:u w:val="single" w:color="auto"/>
          <w:color w:val="0000FF"/>
          <w:highlight w:val="lightGray"/>
        </w:rPr>
        <w:t>and (c) if such notice asserts the illegality of such Lender making or maintaining Canadian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Prime Rate Loans the interest rate on which is determined by reference to the Term CORRA component of Canadian Prime Rate, the interest rate on which Canadian Prime Rate Loans of such Lender shall, if necessary to avoid such illegality, be determined by the Applicable Administrative Agent without reference to the Term CORRA component of Canadian Prime Rate,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in each case, until such</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Lender notifies the Administrative Agent and the Borrowers that the circumstances giving rise to such determination no longer exist. Upon receipt of an Illegality Notice, the Borrowers shall prepay or, if applicable, convert </w:t>
      </w:r>
      <w:r>
        <w:rPr>
          <w:rFonts w:ascii="Times New Roman" w:cs="Times New Roman" w:eastAsia="Times New Roman" w:hAnsi="Times New Roman"/>
          <w:sz w:val="21"/>
          <w:szCs w:val="21"/>
          <w:u w:val="single" w:color="auto"/>
          <w:color w:val="0000FF"/>
          <w:highlight w:val="lightGray"/>
        </w:rPr>
        <w:t>(i)</w:t>
      </w:r>
      <w:r>
        <w:rPr>
          <w:rFonts w:ascii="Times New Roman" w:cs="Times New Roman" w:eastAsia="Times New Roman" w:hAnsi="Times New Roman"/>
          <w:sz w:val="21"/>
          <w:szCs w:val="21"/>
          <w:color w:val="000000"/>
        </w:rPr>
        <w:t xml:space="preserve"> all SOFR Loans to ABR Loans or U.S. Base Rate Loans (the interest rate on which ABR Loans or U.S. Base Rate Loans shall, if necessary to avoid such illegality, be determined by the Administrative Agent without reference to the Term SOFR component of Alternate Base Rate or U.S. Base Rate), either on the last day of the Interest Period therefor, if all affected Lenders may lawfully continue to maintain such SOFR Loan to such day, or immediately, if all affected Lenders may not lawfully continue to maintain such SOFR Loan </w:t>
      </w:r>
      <w:r>
        <w:rPr>
          <w:rFonts w:ascii="Times New Roman" w:cs="Times New Roman" w:eastAsia="Times New Roman" w:hAnsi="Times New Roman"/>
          <w:sz w:val="21"/>
          <w:szCs w:val="21"/>
          <w:color w:val="0000FF"/>
        </w:rPr>
        <w:t>and all Term CORRA Loans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of such Lender to Canadian Prime Rate Loans, either on the last day of the Interest Period , if such Lender may lawfully continue to maintain such Term CORRA Loans to such day, or immediately, if such Lender may not lawfully continue to maintain such Term CORRA Loans</w:t>
      </w:r>
      <w:r>
        <w:rPr>
          <w:rFonts w:ascii="Times New Roman" w:cs="Times New Roman" w:eastAsia="Times New Roman" w:hAnsi="Times New Roman"/>
          <w:sz w:val="21"/>
          <w:szCs w:val="21"/>
          <w:color w:val="000000"/>
        </w:rPr>
        <w:t>, in each case, until the Administrative Agent is advised in writing by each affected Lender that it is no longer illegal</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for such Lender to determine or charge interest rates based upon SOFR, the Term SOFR Reference Rate, Adjusted Term SOFR </w:t>
      </w:r>
      <w:r>
        <w:rPr>
          <w:rFonts w:ascii="Times New Roman" w:cs="Times New Roman" w:eastAsia="Times New Roman" w:hAnsi="Times New Roman"/>
          <w:sz w:val="21"/>
          <w:szCs w:val="21"/>
          <w:color w:val="FF0000"/>
        </w:rPr>
        <w:t>or</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000000"/>
        </w:rPr>
        <w:t xml:space="preserve"> Term SOFR</w:t>
      </w:r>
      <w:r>
        <w:rPr>
          <w:rFonts w:ascii="Times New Roman" w:cs="Times New Roman" w:eastAsia="Times New Roman" w:hAnsi="Times New Roman"/>
          <w:sz w:val="21"/>
          <w:szCs w:val="21"/>
          <w:u w:val="single" w:color="auto"/>
          <w:color w:val="0000FF"/>
          <w:highlight w:val="lightGray"/>
        </w:rPr>
        <w:t>, Term CORRA or Adjusted Term CORRA, as appliable</w:t>
      </w:r>
      <w:r>
        <w:rPr>
          <w:rFonts w:ascii="Times New Roman" w:cs="Times New Roman" w:eastAsia="Times New Roman" w:hAnsi="Times New Roman"/>
          <w:sz w:val="21"/>
          <w:szCs w:val="21"/>
          <w:color w:val="000000"/>
        </w:rPr>
        <w:t>. Upon any such prepayment or conversion following receipt of an Illegality Notice, the Borrower shall also pay accrued interest on the amount so prepaid or converted, together with any additional amounts required pursuant to Section 2.13 and Section 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-3902075</wp:posOffset>
            </wp:positionV>
            <wp:extent cx="1435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351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-3977005</wp:posOffset>
            </wp:positionV>
            <wp:extent cx="4055745" cy="298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4055745" cy="29845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-1271270</wp:posOffset>
            </wp:positionV>
            <wp:extent cx="1552575" cy="140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552575" cy="140970"/>
                    </a:xfrm>
                    <a:prstGeom prst="rect">
                      <a:avLst/>
                    </a:prstGeom>
                    <a:noFill/>
                  </pic:spPr>
                </pic:pic>
              </a:graphicData>
            </a:graphic>
          </wp:anchor>
        </w:drawing>
        <w:drawing>
          <wp:anchor simplePos="0" relativeHeight="251657728" behindDoc="1" locked="0" layoutInCell="0" allowOverlap="1">
            <wp:simplePos x="0" y="0"/>
            <wp:positionH relativeFrom="column">
              <wp:posOffset>6946265</wp:posOffset>
            </wp:positionH>
            <wp:positionV relativeFrom="paragraph">
              <wp:posOffset>-557530</wp:posOffset>
            </wp:positionV>
            <wp:extent cx="151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51765" cy="8255"/>
                    </a:xfrm>
                    <a:prstGeom prst="rect">
                      <a:avLst/>
                    </a:prstGeom>
                    <a:noFill/>
                  </pic:spPr>
                </pic:pic>
              </a:graphicData>
            </a:graphic>
          </wp:anchor>
        </w:drawing>
      </w:r>
    </w:p>
    <w:p>
      <w:pPr>
        <w:spacing w:after="0" w:line="167"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2.15 </w:t>
      </w:r>
      <w:r>
        <w:rPr>
          <w:rFonts w:ascii="Times New Roman" w:cs="Times New Roman" w:eastAsia="Times New Roman" w:hAnsi="Times New Roman"/>
          <w:sz w:val="21"/>
          <w:szCs w:val="21"/>
          <w:b w:val="1"/>
          <w:bCs w:val="1"/>
          <w:i w:val="1"/>
          <w:iCs w:val="1"/>
          <w:color w:val="auto"/>
        </w:rPr>
        <w:t>Breakage Costs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Borrowers hereby severally indemnify each Lender against any loss or expense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Lender may sustain or incur as a consequence of</w:t>
      </w:r>
    </w:p>
    <w:p>
      <w:pPr>
        <w:sectPr>
          <w:pgSz w:w="11900" w:h="16838" w:orient="portrait"/>
          <w:cols w:equalWidth="0" w:num="1">
            <w:col w:w="11240"/>
          </w:cols>
          <w:pgMar w:left="320" w:top="1380" w:right="339" w:bottom="1440" w:gutter="0" w:footer="0" w:header="0"/>
        </w:sectPr>
      </w:pPr>
    </w:p>
    <w:bookmarkStart w:id="130" w:name="page131"/>
    <w:bookmarkEnd w:id="130"/>
    <w:p>
      <w:pPr>
        <w:jc w:val="both"/>
        <w:ind w:firstLine="5"/>
        <w:spacing w:after="0" w:line="250" w:lineRule="auto"/>
        <w:tabs>
          <w:tab w:leader="none" w:pos="3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other than a default by such Lender in the performance of its obligations hereunder, which results in (i) such Lender receiving or being deemed to receive any amount on account of the principal of any SOFR Loan</w:t>
      </w:r>
      <w:r>
        <w:rPr>
          <w:rFonts w:ascii="Times New Roman" w:cs="Times New Roman" w:eastAsia="Times New Roman" w:hAnsi="Times New Roman"/>
          <w:sz w:val="21"/>
          <w:szCs w:val="21"/>
          <w:u w:val="single" w:color="auto"/>
          <w:color w:val="0000FF"/>
          <w:highlight w:val="lightGray"/>
        </w:rPr>
        <w:t>, Term CORRA Loan</w:t>
      </w:r>
      <w:r>
        <w:rPr>
          <w:rFonts w:ascii="Times New Roman" w:cs="Times New Roman" w:eastAsia="Times New Roman" w:hAnsi="Times New Roman"/>
          <w:sz w:val="21"/>
          <w:szCs w:val="21"/>
          <w:color w:val="auto"/>
        </w:rPr>
        <w:t xml:space="preserve"> or BBSY Rate Loan prior to the end of the Interest Period in effect therefor, including, without limitation, as a result of any prepayment, the acceleration of the maturity of the Obligations or for any other reason, (ii) the conversion of any SOFR Loan to an ABR Loan or U.S. Base Rate Loans</w:t>
      </w:r>
      <w:r>
        <w:rPr>
          <w:rFonts w:ascii="Times New Roman" w:cs="Times New Roman" w:eastAsia="Times New Roman" w:hAnsi="Times New Roman"/>
          <w:sz w:val="21"/>
          <w:szCs w:val="21"/>
          <w:u w:val="single" w:color="auto"/>
          <w:color w:val="0000FF"/>
          <w:highlight w:val="lightGray"/>
        </w:rPr>
        <w:t>, the conversion of any Term CORRA Loan to a Canadian Prime Rate Loan</w:t>
      </w:r>
      <w:r>
        <w:rPr>
          <w:rFonts w:ascii="Times New Roman" w:cs="Times New Roman" w:eastAsia="Times New Roman" w:hAnsi="Times New Roman"/>
          <w:sz w:val="21"/>
          <w:szCs w:val="21"/>
          <w:color w:val="auto"/>
        </w:rPr>
        <w:t xml:space="preserve"> or the conversion of the Interest Period with respect to any SOFR Loan</w:t>
      </w:r>
      <w:r>
        <w:rPr>
          <w:rFonts w:ascii="Times New Roman" w:cs="Times New Roman" w:eastAsia="Times New Roman" w:hAnsi="Times New Roman"/>
          <w:sz w:val="21"/>
          <w:szCs w:val="21"/>
          <w:u w:val="single" w:color="auto"/>
          <w:color w:val="0000FF"/>
          <w:highlight w:val="lightGray"/>
        </w:rPr>
        <w:t>, Term CORRA Loan</w:t>
      </w:r>
      <w:r>
        <w:rPr>
          <w:rFonts w:ascii="Times New Roman" w:cs="Times New Roman" w:eastAsia="Times New Roman" w:hAnsi="Times New Roman"/>
          <w:sz w:val="21"/>
          <w:szCs w:val="21"/>
          <w:color w:val="auto"/>
        </w:rPr>
        <w:t xml:space="preserve"> or BBSY Rate Loan, in each case other than on the last day of the Interest Period in effect therefor, (iii) any SOFR Loan,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Loan or BBSY Rate Loan to be made by such Lender (including any SOFR Loan,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Loan or BBSY Rate Loan to be made pursuant to a conversion or continuation under Section 2.10 </w:t>
      </w:r>
      <w:r>
        <w:rPr>
          <w:rFonts w:ascii="Times New Roman" w:cs="Times New Roman" w:eastAsia="Times New Roman" w:hAnsi="Times New Roman"/>
          <w:sz w:val="21"/>
          <w:szCs w:val="21"/>
          <w:color w:val="FF0000"/>
        </w:rPr>
        <w:t>or 2.22, as applicable</w:t>
      </w:r>
      <w:r>
        <w:rPr>
          <w:rFonts w:ascii="Times New Roman" w:cs="Times New Roman" w:eastAsia="Times New Roman" w:hAnsi="Times New Roman"/>
          <w:sz w:val="21"/>
          <w:szCs w:val="21"/>
          <w:color w:val="auto"/>
        </w:rPr>
        <w:t>) not being made after notice of such Loan shall have been given by a Borrower hereunder or (iv) other than with respect to any Defaulting Lender, any assignment of a SOFR Loan</w:t>
      </w:r>
      <w:r>
        <w:rPr>
          <w:rFonts w:ascii="Times New Roman" w:cs="Times New Roman" w:eastAsia="Times New Roman" w:hAnsi="Times New Roman"/>
          <w:sz w:val="21"/>
          <w:szCs w:val="21"/>
          <w:u w:val="single" w:color="auto"/>
          <w:color w:val="0000FF"/>
          <w:highlight w:val="lightGray"/>
        </w:rPr>
        <w:t>, Term CORRA Loan</w:t>
      </w:r>
      <w:r>
        <w:rPr>
          <w:rFonts w:ascii="Times New Roman" w:cs="Times New Roman" w:eastAsia="Times New Roman" w:hAnsi="Times New Roman"/>
          <w:sz w:val="21"/>
          <w:szCs w:val="21"/>
          <w:color w:val="auto"/>
        </w:rPr>
        <w:t xml:space="preserve"> or BBSY Rate Loan is made other than on the last day of the Interest Period for such Loan as a result of a request by the Applicable Borrower pursuant to Section 2.20 (any of the events referred to in this clause (a) being called a “</w:t>
      </w:r>
      <w:r>
        <w:rPr>
          <w:rFonts w:ascii="Times New Roman" w:cs="Times New Roman" w:eastAsia="Times New Roman" w:hAnsi="Times New Roman"/>
          <w:sz w:val="21"/>
          <w:szCs w:val="21"/>
          <w:i w:val="1"/>
          <w:iCs w:val="1"/>
          <w:color w:val="auto"/>
        </w:rPr>
        <w:t>Breakage Event</w:t>
      </w:r>
      <w:r>
        <w:rPr>
          <w:rFonts w:ascii="Times New Roman" w:cs="Times New Roman" w:eastAsia="Times New Roman" w:hAnsi="Times New Roman"/>
          <w:sz w:val="21"/>
          <w:szCs w:val="21"/>
          <w:color w:val="auto"/>
        </w:rPr>
        <w:t xml:space="preserve">”) or (b) any default in the making of any payment or prepayment required to be made hereunder. In the case of any Breakage Event, such loss shall include an amount equal to the excess, as reasonably determined by such Lender, of (i) its cost of obtaining funds for the SOFR Loan, </w:t>
      </w:r>
      <w:r>
        <w:rPr>
          <w:rFonts w:ascii="Times New Roman" w:cs="Times New Roman" w:eastAsia="Times New Roman" w:hAnsi="Times New Roman"/>
          <w:sz w:val="21"/>
          <w:szCs w:val="21"/>
          <w:color w:val="FF0000"/>
          <w:strike w:val="1"/>
        </w:rPr>
        <w:t>B/A</w:t>
      </w:r>
      <w:r>
        <w:rPr>
          <w:rFonts w:ascii="Times New Roman" w:cs="Times New Roman" w:eastAsia="Times New Roman" w:hAnsi="Times New Roman"/>
          <w:sz w:val="21"/>
          <w:szCs w:val="21"/>
          <w:u w:val="single" w:color="auto"/>
          <w:color w:val="0000FF"/>
          <w:highlight w:val="lightGray"/>
        </w:rPr>
        <w:t>Term CORRA</w:t>
      </w:r>
      <w:r>
        <w:rPr>
          <w:rFonts w:ascii="Times New Roman" w:cs="Times New Roman" w:eastAsia="Times New Roman" w:hAnsi="Times New Roman"/>
          <w:sz w:val="21"/>
          <w:szCs w:val="21"/>
          <w:color w:val="auto"/>
        </w:rPr>
        <w:t xml:space="preserve"> Loan or BBSY Rate Loan that is the subject of such Breakage Event for the period from the date of such Breakage Event to the last day of the Interest </w:t>
      </w:r>
      <w:r>
        <w:rPr>
          <w:rFonts w:ascii="Times New Roman" w:cs="Times New Roman" w:eastAsia="Times New Roman" w:hAnsi="Times New Roman"/>
          <w:sz w:val="21"/>
          <w:szCs w:val="21"/>
          <w:color w:val="FF0000"/>
          <w:strike w:val="1"/>
        </w:rPr>
        <w:t>Period or Contract</w:t>
      </w:r>
      <w:r>
        <w:rPr>
          <w:rFonts w:ascii="Times New Roman" w:cs="Times New Roman" w:eastAsia="Times New Roman" w:hAnsi="Times New Roman"/>
          <w:sz w:val="21"/>
          <w:szCs w:val="21"/>
          <w:color w:val="auto"/>
        </w:rPr>
        <w:t xml:space="preserve">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-1983740</wp:posOffset>
            </wp:positionV>
            <wp:extent cx="1189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69"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2.16 </w:t>
      </w:r>
      <w:r>
        <w:rPr>
          <w:rFonts w:ascii="Times New Roman" w:cs="Times New Roman" w:eastAsia="Times New Roman" w:hAnsi="Times New Roman"/>
          <w:sz w:val="21"/>
          <w:szCs w:val="21"/>
          <w:b w:val="1"/>
          <w:bCs w:val="1"/>
          <w:i w:val="1"/>
          <w:iCs w:val="1"/>
          <w:color w:val="auto"/>
        </w:rPr>
        <w:t>Pro Rata Treatment</w:t>
      </w:r>
      <w:r>
        <w:rPr>
          <w:rFonts w:ascii="Times New Roman" w:cs="Times New Roman" w:eastAsia="Times New Roman" w:hAnsi="Times New Roman"/>
          <w:sz w:val="21"/>
          <w:szCs w:val="21"/>
          <w:color w:val="auto"/>
        </w:rPr>
        <w:t>. Except as required under Section 2.14, each Borrowing, each payment or prepayment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principal of any Borrowing, each payment of interest on any Class of Loans, each payment of the Commitment Fees with respect to any Class of Loans, each reduction of the Commitments and each conversion of any Borrowing to or continuation of any Borrowing as a Borrowing of any Type shall be allocated pro rata among the Applicable Lenders in accordance with their Applicable Pro Rata Percentages.</w:t>
      </w:r>
    </w:p>
    <w:p>
      <w:pPr>
        <w:spacing w:after="0" w:line="166"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2.17 </w:t>
      </w:r>
      <w:r>
        <w:rPr>
          <w:rFonts w:ascii="Times New Roman" w:cs="Times New Roman" w:eastAsia="Times New Roman" w:hAnsi="Times New Roman"/>
          <w:sz w:val="21"/>
          <w:szCs w:val="21"/>
          <w:b w:val="1"/>
          <w:bCs w:val="1"/>
          <w:i w:val="1"/>
          <w:iCs w:val="1"/>
          <w:color w:val="auto"/>
        </w:rPr>
        <w:t>Sharing of Setoffs</w:t>
      </w:r>
      <w:r>
        <w:rPr>
          <w:rFonts w:ascii="Times New Roman" w:cs="Times New Roman" w:eastAsia="Times New Roman" w:hAnsi="Times New Roman"/>
          <w:sz w:val="21"/>
          <w:szCs w:val="21"/>
          <w:color w:val="auto"/>
        </w:rPr>
        <w:t>. (a) Each Canadian Lender agrees that if it shall, through the exercise of a right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banker’s lien, setoff or counterclaim against a Borrower or any other Loan Party, or pursuant to a secured claim or other security or interest arising from, or in lieu of, such secured claim, received by such Canadian Lender under any applicable Insolvency Law or otherwise, or by any other means, obtain payment (voluntary or involuntary) in respect of any Canadian Loan as a result of which the unpaid portion of its Canadian Loans shall be proportionately less than the unpaid portion of the Canadian Loans of any other Canadian Lender of the same Class, it shall (i) notify the Applicable Administrative Agent of such fact and (ii) be deemed simultaneously to have purchased from such other Canadian Lender</w:t>
      </w:r>
    </w:p>
    <w:p>
      <w:pPr>
        <w:sectPr>
          <w:pgSz w:w="11900" w:h="16838" w:orient="portrait"/>
          <w:cols w:equalWidth="0" w:num="1">
            <w:col w:w="11240"/>
          </w:cols>
          <w:pgMar w:left="320" w:top="1380" w:right="339" w:bottom="1440" w:gutter="0" w:footer="0" w:header="0"/>
        </w:sectPr>
      </w:pPr>
    </w:p>
    <w:bookmarkStart w:id="131" w:name="page132"/>
    <w:bookmarkEnd w:id="131"/>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at face value, and shall promptly pay to such other Canadian Lender the purchase price for, a participation in the Canadian Loans of the same Class of such other Canadian Lender and, if applicable, subparticipations in Canadian L/C Exposure and Canadian Swing Line Loans of such other Canadian Lender, or make such other adjustments as shall be equitable, so that the aggregate unpaid amount of the Canadian Loans and participations in Canadian L/C Exposure and Canadian Swing Line Loans held by each Canadian Lender shall be in the same proportion to the aggregate unpaid amount of all Canadian Loans, Canadian L/C Exposure and Canadian Swing Line Loans then outstanding of the same Class as the amount of its Canadian Loans, Canadian L/C Exposure and Canadian Swing Line Loans prior to such exercise of banker’s lien, setoff or counterclaim or other event was to the amount of all Canadian Loans, Canadian L/C Exposure and Canadian Swing Line Loans outstanding prior to such exercise of banker’s lien, setoff or counterclaim or other event;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63" w:lineRule="exact"/>
        <w:rPr>
          <w:sz w:val="20"/>
          <w:szCs w:val="20"/>
          <w:color w:val="auto"/>
        </w:rPr>
      </w:pPr>
    </w:p>
    <w:p>
      <w:pPr>
        <w:jc w:val="both"/>
        <w:ind w:firstLine="1259"/>
        <w:spacing w:after="0" w:line="251" w:lineRule="auto"/>
        <w:tabs>
          <w:tab w:leader="none" w:pos="177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 (i) 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such purchase, purchases, subparticipations or adjustments shall be made pursuant to this Section 2.17(b)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76" w:lineRule="exact"/>
        <w:rPr>
          <w:rFonts w:ascii="Times New Roman" w:cs="Times New Roman" w:eastAsia="Times New Roman" w:hAnsi="Times New Roman"/>
          <w:sz w:val="21"/>
          <w:szCs w:val="21"/>
          <w:color w:val="auto"/>
        </w:rPr>
      </w:pPr>
    </w:p>
    <w:p>
      <w:pPr>
        <w:jc w:val="both"/>
        <w:ind w:firstLine="1259"/>
        <w:spacing w:after="0" w:line="268" w:lineRule="auto"/>
        <w:tabs>
          <w:tab w:leader="none" w:pos="188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w:t>
      </w:r>
    </w:p>
    <w:p>
      <w:pPr>
        <w:sectPr>
          <w:pgSz w:w="11900" w:h="16838" w:orient="portrait"/>
          <w:cols w:equalWidth="0" w:num="1">
            <w:col w:w="11240"/>
          </w:cols>
          <w:pgMar w:left="320" w:top="1380" w:right="339" w:bottom="1440" w:gutter="0" w:footer="0" w:header="0"/>
        </w:sectPr>
      </w:pPr>
    </w:p>
    <w:bookmarkStart w:id="132" w:name="page133"/>
    <w:bookmarkEnd w:id="13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such purchase, purchases, subparticipations or adjustments shall be made pursuant to this Section 2.17(c)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85" w:lineRule="exact"/>
        <w:rPr>
          <w:sz w:val="20"/>
          <w:szCs w:val="20"/>
          <w:color w:val="auto"/>
        </w:rPr>
      </w:pPr>
    </w:p>
    <w:p>
      <w:pPr>
        <w:jc w:val="both"/>
        <w:ind w:firstLine="1259"/>
        <w:spacing w:after="0" w:line="262" w:lineRule="auto"/>
        <w:tabs>
          <w:tab w:leader="none" w:pos="182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Bilateral Lender (in such capacity as the lender under the Bilateral Agreement and not in its capacity as a Lender under this Agreement) receives or recovers any money in respect of any sum due from an Australian Loan Party and applies such amounts against the Bilateral Obligations (including recoveries by way of set off) (“</w:t>
      </w:r>
      <w:r>
        <w:rPr>
          <w:rFonts w:ascii="Times New Roman" w:cs="Times New Roman" w:eastAsia="Times New Roman" w:hAnsi="Times New Roman"/>
          <w:sz w:val="21"/>
          <w:szCs w:val="21"/>
          <w:i w:val="1"/>
          <w:iCs w:val="1"/>
          <w:color w:val="auto"/>
        </w:rPr>
        <w:t>Turnover Money</w:t>
      </w:r>
      <w:r>
        <w:rPr>
          <w:rFonts w:ascii="Times New Roman" w:cs="Times New Roman" w:eastAsia="Times New Roman" w:hAnsi="Times New Roman"/>
          <w:sz w:val="21"/>
          <w:szCs w:val="21"/>
          <w:color w:val="auto"/>
        </w:rPr>
        <w:t>”) and:</w:t>
      </w:r>
    </w:p>
    <w:p>
      <w:pPr>
        <w:spacing w:after="0" w:line="163" w:lineRule="exact"/>
        <w:rPr>
          <w:rFonts w:ascii="Times New Roman" w:cs="Times New Roman" w:eastAsia="Times New Roman" w:hAnsi="Times New Roman"/>
          <w:sz w:val="21"/>
          <w:szCs w:val="21"/>
          <w:color w:val="auto"/>
        </w:rPr>
      </w:pPr>
    </w:p>
    <w:p>
      <w:pPr>
        <w:jc w:val="both"/>
        <w:ind w:left="640" w:firstLine="1246"/>
        <w:spacing w:after="0" w:line="268" w:lineRule="auto"/>
        <w:tabs>
          <w:tab w:leader="none" w:pos="2378"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Event of Default has occurred and is continuing under this Agreement and the Australian Collateral Agent has enforced its rights and remedies under the Australian Security Documents as contemplated by Sections 7.02 or 7.03; or</w:t>
      </w:r>
    </w:p>
    <w:p>
      <w:pPr>
        <w:spacing w:after="0" w:line="158" w:lineRule="exact"/>
        <w:rPr>
          <w:rFonts w:ascii="Times New Roman" w:cs="Times New Roman" w:eastAsia="Times New Roman" w:hAnsi="Times New Roman"/>
          <w:sz w:val="21"/>
          <w:szCs w:val="21"/>
          <w:color w:val="auto"/>
        </w:rPr>
      </w:pPr>
    </w:p>
    <w:p>
      <w:pPr>
        <w:ind w:left="2400" w:hanging="514"/>
        <w:spacing w:after="0"/>
        <w:tabs>
          <w:tab w:leader="none" w:pos="240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paragraph (i) above does not apply, but an Event of Default has occurred and is continuing under this</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w:t>
      </w:r>
    </w:p>
    <w:p>
      <w:pPr>
        <w:spacing w:after="0" w:line="31" w:lineRule="exact"/>
        <w:rPr>
          <w:sz w:val="20"/>
          <w:szCs w:val="20"/>
          <w:color w:val="auto"/>
        </w:rPr>
      </w:pPr>
    </w:p>
    <w:p>
      <w:pPr>
        <w:ind w:left="2400" w:hanging="514"/>
        <w:spacing w:after="0"/>
        <w:tabs>
          <w:tab w:leader="none" w:pos="240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paragraph (i) above:</w:t>
      </w:r>
    </w:p>
    <w:p>
      <w:pPr>
        <w:spacing w:after="0" w:line="204" w:lineRule="exact"/>
        <w:rPr>
          <w:rFonts w:ascii="Times New Roman" w:cs="Times New Roman" w:eastAsia="Times New Roman" w:hAnsi="Times New Roman"/>
          <w:sz w:val="21"/>
          <w:szCs w:val="21"/>
          <w:color w:val="auto"/>
        </w:rPr>
      </w:pPr>
    </w:p>
    <w:p>
      <w:pPr>
        <w:jc w:val="both"/>
        <w:ind w:left="1260" w:firstLine="1254"/>
        <w:spacing w:after="0" w:line="262" w:lineRule="auto"/>
        <w:tabs>
          <w:tab w:leader="none" w:pos="2992"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Bilateral Lender will promptly notify the Australian Collateral Agent and pay an amount equal to the Turnover Money to the Australian Collateral Agent (unless the Australian Collateral Agent directs otherwise on the instructions of the Applicable Required Lenders); and</w:t>
      </w:r>
    </w:p>
    <w:p>
      <w:pPr>
        <w:spacing w:after="0" w:line="176" w:lineRule="exact"/>
        <w:rPr>
          <w:rFonts w:ascii="Times New Roman" w:cs="Times New Roman" w:eastAsia="Times New Roman" w:hAnsi="Times New Roman"/>
          <w:sz w:val="19"/>
          <w:szCs w:val="19"/>
          <w:color w:val="auto"/>
        </w:rPr>
      </w:pPr>
    </w:p>
    <w:p>
      <w:pPr>
        <w:ind w:left="1260" w:firstLine="1254"/>
        <w:spacing w:after="0" w:line="277" w:lineRule="auto"/>
        <w:tabs>
          <w:tab w:leader="none" w:pos="3006"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Australian Collateral Agent will deal with the Turnover Money as if it were a payment by the Australian Loan Parties under this Agreement; and</w:t>
      </w:r>
    </w:p>
    <w:p>
      <w:pPr>
        <w:sectPr>
          <w:pgSz w:w="11900" w:h="16838" w:orient="portrait"/>
          <w:cols w:equalWidth="0" w:num="1">
            <w:col w:w="11240"/>
          </w:cols>
          <w:pgMar w:left="320" w:top="1380" w:right="339" w:bottom="1440" w:gutter="0" w:footer="0" w:header="0"/>
        </w:sectPr>
      </w:pPr>
    </w:p>
    <w:bookmarkStart w:id="133" w:name="page134"/>
    <w:bookmarkEnd w:id="133"/>
    <w:p>
      <w:pPr>
        <w:ind w:left="2400" w:hanging="514"/>
        <w:spacing w:after="0"/>
        <w:tabs>
          <w:tab w:leader="none" w:pos="240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paragraph (ii) above:</w:t>
      </w:r>
    </w:p>
    <w:p>
      <w:pPr>
        <w:spacing w:after="0" w:line="215" w:lineRule="exact"/>
        <w:rPr>
          <w:rFonts w:ascii="Times New Roman" w:cs="Times New Roman" w:eastAsia="Times New Roman" w:hAnsi="Times New Roman"/>
          <w:sz w:val="21"/>
          <w:szCs w:val="21"/>
          <w:color w:val="auto"/>
        </w:rPr>
      </w:pPr>
    </w:p>
    <w:p>
      <w:pPr>
        <w:jc w:val="both"/>
        <w:ind w:left="1260" w:firstLine="1254"/>
        <w:spacing w:after="0" w:line="268" w:lineRule="auto"/>
        <w:tabs>
          <w:tab w:leader="none" w:pos="3011"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Bilateral Lender will promptly notify the Australian Administrative Agent and pay an amount equal to the Turnover Money to the Australian Administrative Agent (unless the Australian Administrative Agent directs otherwise on the instructions of the Applicable Required Lenders); and</w:t>
      </w:r>
    </w:p>
    <w:p>
      <w:pPr>
        <w:spacing w:after="0" w:line="158" w:lineRule="exact"/>
        <w:rPr>
          <w:rFonts w:ascii="Times New Roman" w:cs="Times New Roman" w:eastAsia="Times New Roman" w:hAnsi="Times New Roman"/>
          <w:sz w:val="19"/>
          <w:szCs w:val="19"/>
          <w:color w:val="auto"/>
        </w:rPr>
      </w:pPr>
    </w:p>
    <w:p>
      <w:pPr>
        <w:jc w:val="both"/>
        <w:ind w:left="1260" w:firstLine="1254"/>
        <w:spacing w:after="0" w:line="268" w:lineRule="auto"/>
        <w:tabs>
          <w:tab w:leader="none" w:pos="2996"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Australian Administrative Agent will hold the Turnover Money paid to it under paragraph (A) for a period of no greater than 15 Business Days (“</w:t>
      </w:r>
      <w:r>
        <w:rPr>
          <w:rFonts w:ascii="Times New Roman" w:cs="Times New Roman" w:eastAsia="Times New Roman" w:hAnsi="Times New Roman"/>
          <w:sz w:val="21"/>
          <w:szCs w:val="21"/>
          <w:i w:val="1"/>
          <w:iCs w:val="1"/>
          <w:color w:val="auto"/>
        </w:rPr>
        <w:t>Decision Period</w:t>
      </w:r>
      <w:r>
        <w:rPr>
          <w:rFonts w:ascii="Times New Roman" w:cs="Times New Roman" w:eastAsia="Times New Roman" w:hAnsi="Times New Roman"/>
          <w:sz w:val="21"/>
          <w:szCs w:val="21"/>
          <w:color w:val="auto"/>
        </w:rPr>
        <w:t>”) to be applied by the Australian Administrative Agent as follows:</w:t>
      </w:r>
    </w:p>
    <w:p>
      <w:pPr>
        <w:spacing w:after="0" w:line="158" w:lineRule="exact"/>
        <w:rPr>
          <w:rFonts w:ascii="Times New Roman" w:cs="Times New Roman" w:eastAsia="Times New Roman" w:hAnsi="Times New Roman"/>
          <w:sz w:val="19"/>
          <w:szCs w:val="19"/>
          <w:color w:val="auto"/>
        </w:rPr>
      </w:pPr>
    </w:p>
    <w:p>
      <w:pPr>
        <w:jc w:val="both"/>
        <w:ind w:left="1880" w:firstLine="1261"/>
        <w:spacing w:after="0" w:line="255" w:lineRule="auto"/>
        <w:tabs>
          <w:tab w:leader="none" w:pos="3574" w:val="left"/>
        </w:tabs>
        <w:numPr>
          <w:ilvl w:val="2"/>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if prior to the end of the Decision Period, an Event of Default occurs or has occurred and is continuing under this Agreement and the Australian Collateral Agent enforces its rights and remedies under the Australian Security Documents as contemplated by Section 7.02 or 7.03, the Australian Administrative Agent will immediately pay an amount equal to the Turnover Money to the Australian Collateral Agent on such enforcement and the Australian Collateral Agent shall deal with the Turnover Money as if it were a payment by the Australian Loan Parties under this Agreement; or</w:t>
      </w:r>
    </w:p>
    <w:p>
      <w:pPr>
        <w:spacing w:after="0" w:line="185" w:lineRule="exact"/>
        <w:rPr>
          <w:rFonts w:ascii="Times New Roman" w:cs="Times New Roman" w:eastAsia="Times New Roman" w:hAnsi="Times New Roman"/>
          <w:sz w:val="19"/>
          <w:szCs w:val="19"/>
          <w:color w:val="auto"/>
        </w:rPr>
      </w:pPr>
    </w:p>
    <w:p>
      <w:pPr>
        <w:ind w:left="1880" w:firstLine="1261"/>
        <w:spacing w:after="0" w:line="277" w:lineRule="auto"/>
        <w:tabs>
          <w:tab w:leader="none" w:pos="3638" w:val="left"/>
        </w:tabs>
        <w:numPr>
          <w:ilvl w:val="2"/>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all other circumstances, it will return an amount equal to the Turnover Moneys to the Bilateral Lender for the Bilateral Lender to apply to the Bilateral Obligations.</w:t>
      </w:r>
    </w:p>
    <w:p>
      <w:pPr>
        <w:spacing w:after="0" w:line="148" w:lineRule="exact"/>
        <w:rPr>
          <w:sz w:val="20"/>
          <w:szCs w:val="20"/>
          <w:color w:val="auto"/>
        </w:rPr>
      </w:pPr>
    </w:p>
    <w:p>
      <w:pPr>
        <w:jc w:val="both"/>
        <w:ind w:firstLine="331"/>
        <w:spacing w:after="0" w:line="253" w:lineRule="auto"/>
        <w:rPr>
          <w:sz w:val="20"/>
          <w:szCs w:val="20"/>
          <w:color w:val="auto"/>
        </w:rPr>
      </w:pPr>
      <w:r>
        <w:rPr>
          <w:rFonts w:ascii="Times New Roman" w:cs="Times New Roman" w:eastAsia="Times New Roman" w:hAnsi="Times New Roman"/>
          <w:sz w:val="21"/>
          <w:szCs w:val="21"/>
          <w:color w:val="auto"/>
        </w:rPr>
        <w:t>The parties agree that the Turnover Money recovered by the Bilateral Lender that is ultimately distributed by the Australian Collateral Agent to the relevant Secured Parties will be taken to have been a payment for the account of the Australian Collateral Agent and not to the Bilateral Lender for its own account (and the liability of an Australian Loan Party to the Bilateral Lender will only be reduced to the extent the Turnover Money is returned the Bilateral Lender as contemplated by Section 2.17(d)(iv)(B)(2)). Without limiting this paragraph, the relevant Australian Loan Party shall indemnify the Bilateral Lender against a recovery by the Bilateral Lender of the Turnover Money to the extent that (despite this paragraph), the relevant Australian Loan Party’s liability has been discharged by the recovery or payment. For the avoidance of doubt, the Bilateral Lender’s obligations under this clause Section 2.17(d) to pay any Turnover Moneys to the Australian Administrative Agent or Australian Collateral Agent (as the case may be), is only enlivened when an Event of Default has occurred and is continuing.</w:t>
      </w:r>
    </w:p>
    <w:p>
      <w:pPr>
        <w:spacing w:after="0" w:line="205" w:lineRule="exact"/>
        <w:rPr>
          <w:sz w:val="20"/>
          <w:szCs w:val="20"/>
          <w:color w:val="auto"/>
        </w:rPr>
      </w:pPr>
    </w:p>
    <w:p>
      <w:pPr>
        <w:jc w:val="both"/>
        <w:ind w:firstLine="1259"/>
        <w:spacing w:after="0" w:line="257" w:lineRule="auto"/>
        <w:tabs>
          <w:tab w:leader="none" w:pos="1738"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Section 2.17(a), (b), (c) and (d)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 2.17(a), (b) and (c) shall apply).</w:t>
      </w:r>
    </w:p>
    <w:p>
      <w:pPr>
        <w:sectPr>
          <w:pgSz w:w="11900" w:h="16838" w:orient="portrait"/>
          <w:cols w:equalWidth="0" w:num="1">
            <w:col w:w="11240"/>
          </w:cols>
          <w:pgMar w:left="320" w:top="1380" w:right="339" w:bottom="1440" w:gutter="0" w:footer="0" w:header="0"/>
        </w:sectPr>
      </w:pPr>
    </w:p>
    <w:bookmarkStart w:id="134" w:name="page135"/>
    <w:bookmarkEnd w:id="134"/>
    <w:p>
      <w:pPr>
        <w:jc w:val="both"/>
        <w:ind w:firstLine="1259"/>
        <w:spacing w:after="0" w:line="257" w:lineRule="auto"/>
        <w:tabs>
          <w:tab w:leader="none" w:pos="1732"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expressly consents to the arrangements set forth in Section 2.17(a), (b), (c) and (d) above and agrees, to the extent it may effectively do so under applicable law, that any Lender holding a participation in a Loan or L/C Exposure pursuant to the foregoing arrangements may exercise against each Loan Party any and all rights of banker’s lien, setoff or counterclaim with respect to such participation as fully as if such Lender were a direct creditor of each Loan Party in the amount of such participation.</w:t>
      </w:r>
    </w:p>
    <w:p>
      <w:pPr>
        <w:spacing w:after="0" w:line="167"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2.18 </w:t>
      </w:r>
      <w:r>
        <w:rPr>
          <w:rFonts w:ascii="Times New Roman" w:cs="Times New Roman" w:eastAsia="Times New Roman" w:hAnsi="Times New Roman"/>
          <w:sz w:val="21"/>
          <w:szCs w:val="21"/>
          <w:b w:val="1"/>
          <w:bCs w:val="1"/>
          <w:i w:val="1"/>
          <w:iCs w:val="1"/>
          <w:color w:val="auto"/>
        </w:rPr>
        <w:t>Payments</w:t>
      </w:r>
      <w:r>
        <w:rPr>
          <w:rFonts w:ascii="Times New Roman" w:cs="Times New Roman" w:eastAsia="Times New Roman" w:hAnsi="Times New Roman"/>
          <w:sz w:val="21"/>
          <w:szCs w:val="21"/>
          <w:color w:val="auto"/>
        </w:rPr>
        <w:t>. (a) The Borrowers shall make each payment (including principal of or interest on any Borrowing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any L/C 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193" w:lineRule="exact"/>
        <w:rPr>
          <w:sz w:val="20"/>
          <w:szCs w:val="20"/>
          <w:color w:val="auto"/>
        </w:rPr>
      </w:pPr>
    </w:p>
    <w:p>
      <w:pPr>
        <w:jc w:val="both"/>
        <w:ind w:firstLine="1259"/>
        <w:spacing w:after="0" w:line="256" w:lineRule="auto"/>
        <w:tabs>
          <w:tab w:leader="none" w:pos="174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68"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2.19</w:t>
      </w:r>
      <w:r>
        <w:rPr>
          <w:sz w:val="20"/>
          <w:szCs w:val="20"/>
          <w:color w:val="auto"/>
        </w:rPr>
        <w:tab/>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760" w:hanging="501"/>
        <w:spacing w:after="0"/>
        <w:tabs>
          <w:tab w:leader="none" w:pos="176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2.19, the term “Lender” includes any Issuing Bank and the term “applicable law”</w:t>
      </w:r>
    </w:p>
    <w:p>
      <w:pPr>
        <w:spacing w:after="0" w:line="3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includes FATCA.</w:t>
      </w:r>
    </w:p>
    <w:p>
      <w:pPr>
        <w:spacing w:after="0" w:line="191"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3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w:t>
      </w:r>
    </w:p>
    <w:p>
      <w:pPr>
        <w:sectPr>
          <w:pgSz w:w="11900" w:h="16838" w:orient="portrait"/>
          <w:cols w:equalWidth="0" w:num="1">
            <w:col w:w="11240"/>
          </w:cols>
          <w:pgMar w:left="320" w:top="1380" w:right="33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21"/>
          <w:szCs w:val="21"/>
          <w:color w:val="auto"/>
        </w:rPr>
        <w:t>accordance with applicable law and, if such Tax is an Indemnified Tax, then the sum payable by the Applicable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5" w:lineRule="exact"/>
        <w:rPr>
          <w:sz w:val="20"/>
          <w:szCs w:val="20"/>
          <w:color w:val="auto"/>
        </w:rPr>
      </w:pPr>
    </w:p>
    <w:p>
      <w:pPr>
        <w:ind w:firstLine="1259"/>
        <w:spacing w:after="0" w:line="277" w:lineRule="auto"/>
        <w:tabs>
          <w:tab w:leader="none" w:pos="1769"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Loan Parties shall pay any Other Taxes to the relevant Governmental Authority in accordance with applicable law or, at the option of the Applicable Administrative Agent, timely reimburse it for the payment of any Other Taxes.</w:t>
      </w:r>
    </w:p>
    <w:p>
      <w:pPr>
        <w:spacing w:after="0" w:line="148" w:lineRule="exact"/>
        <w:rPr>
          <w:rFonts w:ascii="Times New Roman" w:cs="Times New Roman" w:eastAsia="Times New Roman" w:hAnsi="Times New Roman"/>
          <w:sz w:val="21"/>
          <w:szCs w:val="21"/>
          <w:color w:val="auto"/>
        </w:rPr>
      </w:pPr>
    </w:p>
    <w:p>
      <w:pPr>
        <w:jc w:val="both"/>
        <w:ind w:firstLine="1259"/>
        <w:spacing w:after="0" w:line="254" w:lineRule="auto"/>
        <w:tabs>
          <w:tab w:leader="none" w:pos="1772"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shall severally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171" w:lineRule="exact"/>
        <w:rPr>
          <w:rFonts w:ascii="Times New Roman" w:cs="Times New Roman" w:eastAsia="Times New Roman" w:hAnsi="Times New Roman"/>
          <w:sz w:val="21"/>
          <w:szCs w:val="21"/>
          <w:color w:val="auto"/>
        </w:rPr>
      </w:pPr>
    </w:p>
    <w:p>
      <w:pPr>
        <w:jc w:val="both"/>
        <w:ind w:firstLine="1259"/>
        <w:spacing w:after="0" w:line="252" w:lineRule="auto"/>
        <w:tabs>
          <w:tab w:leader="none" w:pos="185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190" w:lineRule="exact"/>
        <w:rPr>
          <w:rFonts w:ascii="Times New Roman" w:cs="Times New Roman" w:eastAsia="Times New Roman" w:hAnsi="Times New Roman"/>
          <w:sz w:val="21"/>
          <w:szCs w:val="21"/>
          <w:color w:val="auto"/>
        </w:rPr>
      </w:pPr>
    </w:p>
    <w:p>
      <w:pPr>
        <w:jc w:val="both"/>
        <w:ind w:firstLine="1259"/>
        <w:spacing w:after="0" w:line="256" w:lineRule="auto"/>
        <w:tabs>
          <w:tab w:leader="none" w:pos="169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w:t>
      </w:r>
    </w:p>
    <w:p>
      <w:pPr>
        <w:sectPr>
          <w:pgSz w:w="11900" w:h="16838" w:orient="portrait"/>
          <w:cols w:equalWidth="0" w:num="1">
            <w:col w:w="11240"/>
          </w:cols>
          <w:pgMar w:left="320" w:top="1380" w:right="339" w:bottom="1440" w:gutter="0" w:footer="0" w:header="0"/>
        </w:sectPr>
      </w:pPr>
    </w:p>
    <w:bookmarkStart w:id="136" w:name="page137"/>
    <w:bookmarkEnd w:id="136"/>
    <w:p>
      <w:pPr>
        <w:jc w:val="both"/>
        <w:ind w:left="-1120" w:firstLine="1259"/>
        <w:spacing w:after="0" w:line="251" w:lineRule="auto"/>
        <w:tabs>
          <w:tab w:leader="none" w:pos="64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0" w:lineRule="exact"/>
        <w:rPr>
          <w:rFonts w:ascii="Times New Roman" w:cs="Times New Roman" w:eastAsia="Times New Roman" w:hAnsi="Times New Roman"/>
          <w:sz w:val="21"/>
          <w:szCs w:val="21"/>
          <w:color w:val="auto"/>
        </w:rPr>
      </w:pPr>
    </w:p>
    <w:p>
      <w:pPr>
        <w:ind w:left="-480" w:firstLine="1246"/>
        <w:spacing w:after="0" w:line="290" w:lineRule="auto"/>
        <w:tabs>
          <w:tab w:leader="none" w:pos="124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in the event that the Applicable Borrower with respect to such Lender is a U.S. Person:</w:t>
      </w:r>
    </w:p>
    <w:p>
      <w:pPr>
        <w:spacing w:after="0" w:line="135" w:lineRule="exact"/>
        <w:rPr>
          <w:rFonts w:ascii="Times New Roman" w:cs="Times New Roman" w:eastAsia="Times New Roman" w:hAnsi="Times New Roman"/>
          <w:sz w:val="21"/>
          <w:szCs w:val="21"/>
          <w:color w:val="auto"/>
        </w:rPr>
      </w:pPr>
    </w:p>
    <w:p>
      <w:pPr>
        <w:jc w:val="both"/>
        <w:ind w:left="140" w:firstLine="1254"/>
        <w:spacing w:after="0" w:line="257" w:lineRule="auto"/>
        <w:tabs>
          <w:tab w:leader="none" w:pos="1877" w:val="left"/>
        </w:tabs>
        <w:numPr>
          <w:ilvl w:val="2"/>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Lender with respect to such Borrower that is a U.S. Person shall deliver to such Borrower and the Applicable Administrative Agent on or prior to the date on which such Lender becomes a Lender under this Agreement (and from time to time thereafter upon the reasonable request of such Borrower or the Applicable Administrative Agent), executed originals of IRS Form W-9 certifying that such Lender is exempt from U.S. federal backup withholding tax;</w:t>
      </w:r>
    </w:p>
    <w:p>
      <w:pPr>
        <w:spacing w:after="0" w:line="170" w:lineRule="exact"/>
        <w:rPr>
          <w:rFonts w:ascii="Times New Roman" w:cs="Times New Roman" w:eastAsia="Times New Roman" w:hAnsi="Times New Roman"/>
          <w:sz w:val="19"/>
          <w:szCs w:val="19"/>
          <w:color w:val="auto"/>
        </w:rPr>
      </w:pPr>
    </w:p>
    <w:p>
      <w:pPr>
        <w:jc w:val="both"/>
        <w:ind w:left="140" w:firstLine="1254"/>
        <w:spacing w:after="0" w:line="257" w:lineRule="auto"/>
        <w:tabs>
          <w:tab w:leader="none" w:pos="2036" w:val="left"/>
        </w:tabs>
        <w:numPr>
          <w:ilvl w:val="2"/>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Foreign Lender with respect to such Borrower shall deliver to such Borrower and the Applicable Administrative Agent, in such number of copies as shall be requested by the recipient, (on or prior to the date on which such Foreign Lender becomes a Lender under this Agreement and from time to time thereafter upon the request of such Borrower or the Applicable Administrative Agent), but only if such Foreign Lender is legally entitled to do so, whichever of the following is applicable:</w:t>
      </w:r>
    </w:p>
    <w:p>
      <w:pPr>
        <w:spacing w:after="0" w:line="183" w:lineRule="exact"/>
        <w:rPr>
          <w:rFonts w:ascii="Times New Roman" w:cs="Times New Roman" w:eastAsia="Times New Roman" w:hAnsi="Times New Roman"/>
          <w:sz w:val="19"/>
          <w:szCs w:val="19"/>
          <w:color w:val="auto"/>
        </w:rPr>
      </w:pPr>
    </w:p>
    <w:p>
      <w:pPr>
        <w:jc w:val="both"/>
        <w:ind w:left="760" w:firstLine="1261"/>
        <w:spacing w:after="0" w:line="257" w:lineRule="auto"/>
        <w:tabs>
          <w:tab w:leader="none" w:pos="2484" w:val="left"/>
        </w:tabs>
        <w:numPr>
          <w:ilvl w:val="3"/>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duly completed copies of an applicable IRS Form W-8BEN or W-8BEN-E establishing an exemption from, or reduction of, U.S. federal withholding Tax pursuant to the “interest” article of such tax treaty and (y) with respect to any other applicable payments under any Loan Document, an applicable</w:t>
      </w:r>
    </w:p>
    <w:p>
      <w:pPr>
        <w:sectPr>
          <w:pgSz w:w="11900" w:h="16838" w:orient="portrait"/>
          <w:cols w:equalWidth="0" w:num="1">
            <w:col w:w="10120"/>
          </w:cols>
          <w:pgMar w:left="1440" w:top="1380" w:right="339" w:bottom="1440" w:gutter="0" w:footer="0" w:header="0"/>
        </w:sectPr>
      </w:pPr>
    </w:p>
    <w:bookmarkStart w:id="137" w:name="page138"/>
    <w:bookmarkEnd w:id="137"/>
    <w:p>
      <w:pPr>
        <w:ind w:left="760"/>
        <w:spacing w:after="0" w:line="277" w:lineRule="auto"/>
        <w:rPr>
          <w:sz w:val="20"/>
          <w:szCs w:val="20"/>
          <w:color w:val="auto"/>
        </w:rPr>
      </w:pPr>
      <w:r>
        <w:rPr>
          <w:rFonts w:ascii="Times New Roman" w:cs="Times New Roman" w:eastAsia="Times New Roman" w:hAnsi="Times New Roman"/>
          <w:sz w:val="21"/>
          <w:szCs w:val="21"/>
          <w:color w:val="auto"/>
        </w:rPr>
        <w:t>IRS Form W-8BEN or W-8BEN-E establishing an exemption from, or reduction of, U.S. federal withholding Tax pursuant to the “business profits” or “other income” article of such tax treaty,</w:t>
      </w:r>
    </w:p>
    <w:p>
      <w:pPr>
        <w:spacing w:after="0" w:line="148" w:lineRule="exact"/>
        <w:rPr>
          <w:sz w:val="20"/>
          <w:szCs w:val="20"/>
          <w:color w:val="auto"/>
        </w:rPr>
      </w:pPr>
    </w:p>
    <w:p>
      <w:pPr>
        <w:ind w:left="2460" w:hanging="439"/>
        <w:spacing w:after="0"/>
        <w:tabs>
          <w:tab w:leader="none" w:pos="2460" w:val="left"/>
        </w:tabs>
        <w:numPr>
          <w:ilvl w:val="2"/>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duly completed copies of IRS Form W-8ECI,</w:t>
      </w:r>
    </w:p>
    <w:p>
      <w:pPr>
        <w:spacing w:after="0" w:line="228" w:lineRule="exact"/>
        <w:rPr>
          <w:rFonts w:ascii="Times New Roman" w:cs="Times New Roman" w:eastAsia="Times New Roman" w:hAnsi="Times New Roman"/>
          <w:sz w:val="19"/>
          <w:szCs w:val="19"/>
          <w:color w:val="auto"/>
        </w:rPr>
      </w:pPr>
    </w:p>
    <w:p>
      <w:pPr>
        <w:jc w:val="both"/>
        <w:ind w:left="760" w:firstLine="1261"/>
        <w:spacing w:after="0" w:line="259" w:lineRule="auto"/>
        <w:tabs>
          <w:tab w:leader="none" w:pos="2455" w:val="left"/>
        </w:tabs>
        <w:numPr>
          <w:ilvl w:val="2"/>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the applicable Exhibit I-1 to the effect that such Foreign Lender is not (A) a “bank” within the meaning of Section 881(c)(3)(A) of the Code,</w:t>
      </w:r>
    </w:p>
    <w:p>
      <w:pPr>
        <w:jc w:val="both"/>
        <w:ind w:left="760" w:firstLine="6"/>
        <w:spacing w:after="0" w:line="268" w:lineRule="auto"/>
        <w:tabs>
          <w:tab w:leader="none" w:pos="110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 percent shareholder” of the Applicable Borrower within the meaning of Section 881(c)(3)(B) of the Code, or (C) a “controlled foreign corporation” described in Section 881(c)(3)(C) of the Code (a “U.S. Tax Compliance Certificate”) and (y) duly completed copies of an applicable IRS Form W-8BEN or W-8BEN-E, or</w:t>
      </w:r>
    </w:p>
    <w:p>
      <w:pPr>
        <w:spacing w:after="0" w:line="172" w:lineRule="exact"/>
        <w:rPr>
          <w:rFonts w:ascii="Times New Roman" w:cs="Times New Roman" w:eastAsia="Times New Roman" w:hAnsi="Times New Roman"/>
          <w:sz w:val="20"/>
          <w:szCs w:val="20"/>
          <w:color w:val="auto"/>
        </w:rPr>
      </w:pPr>
    </w:p>
    <w:p>
      <w:pPr>
        <w:jc w:val="both"/>
        <w:ind w:left="760" w:firstLine="1261"/>
        <w:spacing w:after="0" w:line="254" w:lineRule="auto"/>
        <w:tabs>
          <w:tab w:leader="none" w:pos="2507" w:val="left"/>
        </w:tabs>
        <w:numPr>
          <w:ilvl w:val="2"/>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to the extent a Foreign Lender is not the beneficial owner, duly completed copies of IRS Form W-8IMY, accompanied by IRS Form W-8ECI, an applicable IRS Form W-8BEN or W-8BEN-E,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71" w:lineRule="exact"/>
        <w:rPr>
          <w:rFonts w:ascii="Times New Roman" w:cs="Times New Roman" w:eastAsia="Times New Roman" w:hAnsi="Times New Roman"/>
          <w:sz w:val="19"/>
          <w:szCs w:val="19"/>
          <w:color w:val="auto"/>
        </w:rPr>
      </w:pPr>
    </w:p>
    <w:p>
      <w:pPr>
        <w:jc w:val="both"/>
        <w:ind w:left="140" w:firstLine="1254"/>
        <w:spacing w:after="0" w:line="254" w:lineRule="auto"/>
        <w:tabs>
          <w:tab w:leader="none" w:pos="1949"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Lender shall, to the extent it is legally entitled to do so, deliver to such Borrower and the Applicable Administrative Agent (in such copies as shall be requested by the recipient) on or prior to the date on which such Lender becomes a Lender under this Agreement (and from time to time thereafter upon the reasonable request of such Borrower or the Applicable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177" w:lineRule="exact"/>
        <w:rPr>
          <w:rFonts w:ascii="Times New Roman" w:cs="Times New Roman" w:eastAsia="Times New Roman" w:hAnsi="Times New Roman"/>
          <w:sz w:val="19"/>
          <w:szCs w:val="19"/>
          <w:color w:val="auto"/>
        </w:rPr>
      </w:pPr>
    </w:p>
    <w:p>
      <w:pPr>
        <w:jc w:val="both"/>
        <w:ind w:left="140" w:firstLine="1254"/>
        <w:spacing w:after="0" w:line="261" w:lineRule="auto"/>
        <w:tabs>
          <w:tab w:leader="none" w:pos="1964"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Applicable Borrower or the Applicable</w:t>
      </w:r>
    </w:p>
    <w:p>
      <w:pPr>
        <w:sectPr>
          <w:pgSz w:w="11900" w:h="16838" w:orient="portrait"/>
          <w:cols w:equalWidth="0" w:num="1">
            <w:col w:w="10120"/>
          </w:cols>
          <w:pgMar w:left="1440" w:top="1380" w:right="339" w:bottom="1440" w:gutter="0" w:footer="0" w:header="0"/>
        </w:sectPr>
      </w:pPr>
    </w:p>
    <w:bookmarkStart w:id="138" w:name="page139"/>
    <w:bookmarkEnd w:id="138"/>
    <w:p>
      <w:pPr>
        <w:jc w:val="both"/>
        <w:ind w:left="1260"/>
        <w:spacing w:after="0" w:line="253" w:lineRule="auto"/>
        <w:rPr>
          <w:sz w:val="20"/>
          <w:szCs w:val="20"/>
          <w:color w:val="auto"/>
        </w:rPr>
      </w:pPr>
      <w:r>
        <w:rPr>
          <w:rFonts w:ascii="Times New Roman" w:cs="Times New Roman" w:eastAsia="Times New Roman" w:hAnsi="Times New Roman"/>
          <w:sz w:val="21"/>
          <w:szCs w:val="21"/>
          <w:color w:val="auto"/>
        </w:rPr>
        <w:t>Administrative Agent, at the time or times prescribed by law and at such time or times reasonably requested by the Applicable Borrower or the Applicable Administrative Agent, such documentation prescribed by applicable law (including as prescribed by Section 1471(b)(3)(C)(i) of the Code) and such additional documentation reasonably requested by the Applicable Borrower or the Applicable Administrative Agent as may be necessary for the Applicable Borrower or the Applicable Administrative Agent to comply with its obligations under FATCA, to determine that such Agent, Lender or Issuing Bank has complied with its obligations under FATCA or to determine the amount to deduct and withhold from any such payments. Solely for purposes of this paragraph (i), “</w:t>
      </w:r>
      <w:r>
        <w:rPr>
          <w:rFonts w:ascii="Times New Roman" w:cs="Times New Roman" w:eastAsia="Times New Roman" w:hAnsi="Times New Roman"/>
          <w:sz w:val="21"/>
          <w:szCs w:val="21"/>
          <w:i w:val="1"/>
          <w:iCs w:val="1"/>
          <w:color w:val="auto"/>
        </w:rPr>
        <w:t>FATCA</w:t>
      </w:r>
      <w:r>
        <w:rPr>
          <w:rFonts w:ascii="Times New Roman" w:cs="Times New Roman" w:eastAsia="Times New Roman" w:hAnsi="Times New Roman"/>
          <w:sz w:val="21"/>
          <w:szCs w:val="21"/>
          <w:color w:val="auto"/>
        </w:rPr>
        <w:t>” shall include any amendments made to FATCA after the date of this Agreement.</w:t>
      </w:r>
    </w:p>
    <w:p>
      <w:pPr>
        <w:spacing w:after="0" w:line="185" w:lineRule="exact"/>
        <w:rPr>
          <w:sz w:val="20"/>
          <w:szCs w:val="20"/>
          <w:color w:val="auto"/>
        </w:rPr>
      </w:pPr>
    </w:p>
    <w:p>
      <w:pPr>
        <w:jc w:val="both"/>
        <w:ind w:left="1260" w:firstLine="1254"/>
        <w:spacing w:after="0" w:line="281" w:lineRule="auto"/>
        <w:tabs>
          <w:tab w:leader="none" w:pos="299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Solely for purposes of determining withholding Taxes imposed under FATCA, the Borrowers and the Administrative Agents shall treat (and the Lenders hereby authorize the Administrative Agents to treat) the Loans as not qualifying as a “grandfathered obligation” within the meaning of Treasury Regulation Section 1.1471-2(b)(2)(i).</w:t>
      </w:r>
    </w:p>
    <w:p>
      <w:pPr>
        <w:spacing w:after="0" w:line="146" w:lineRule="exact"/>
        <w:rPr>
          <w:sz w:val="20"/>
          <w:szCs w:val="20"/>
          <w:color w:val="auto"/>
        </w:rPr>
      </w:pPr>
    </w:p>
    <w:p>
      <w:pPr>
        <w:ind w:right="120" w:firstLine="627"/>
        <w:spacing w:after="0" w:line="268" w:lineRule="auto"/>
        <w:rPr>
          <w:sz w:val="20"/>
          <w:szCs w:val="20"/>
          <w:color w:val="auto"/>
        </w:rPr>
      </w:pPr>
      <w:r>
        <w:rPr>
          <w:rFonts w:ascii="Times New Roman" w:cs="Times New Roman" w:eastAsia="Times New Roman" w:hAnsi="Times New Roman"/>
          <w:sz w:val="21"/>
          <w:szCs w:val="21"/>
          <w:color w:val="auto"/>
        </w:rPr>
        <w:t>Each Lender agrees that if any form or certification it previously delivered expires or becomes obsolete or inaccurate in any respect, it shall update such form or certification or promptly notify the Parent Borrower and the Applicable Administrative Agent in writing of its legal inability to do so.</w:t>
      </w:r>
    </w:p>
    <w:p>
      <w:pPr>
        <w:spacing w:after="0" w:line="158" w:lineRule="exact"/>
        <w:rPr>
          <w:sz w:val="20"/>
          <w:szCs w:val="20"/>
          <w:color w:val="auto"/>
        </w:rPr>
      </w:pPr>
    </w:p>
    <w:p>
      <w:pPr>
        <w:jc w:val="both"/>
        <w:ind w:firstLine="1259"/>
        <w:spacing w:after="0" w:line="266" w:lineRule="auto"/>
        <w:tabs>
          <w:tab w:leader="none" w:pos="1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RBC, as Administrative Agent, shall deliver, on or before the date it becomes a party to this Agreement, to the U.S. Borrower a duly completed copy of IRS Form W-8IMY certifying that it is a “U.S. branch” of a foreign bank and that it agrees to be treated as a U.S. Person with respect to any payments made to it by the U.S. Borrower under any Loan Document. RBC, as Administrative Agent agrees that if such IRS Form W-8IMY previously delivered expires or becomes obsolete or inaccurate in any respect, it shall update such form if it is legally able to do so or promptly notify the Parent Borrower in writing of its legal inability to do so (including as a result of a change in RBC’s operations). If the Administrative Agent (i) fails to deliver the form required by this Section 2.19(h) or is legally unable to update such form as required by this Section 2.19(h) and (ii) fails to appoint as a sub-agent pursuant to Section 8.05 any Affiliate of the Administrative Agent that is a U.S. Person or that can deliver the form required by this Section 2.19(h), then the Parent Borrower shall have the right to require the appointment of an agent that is a U.S. Person solely for the purposes of receiving U.S. tax forms and administering any required withholding for U.S. Taxes under this Section 2.19;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appointment shall not otherwise affect the rights and obligations of the Administrative Agent set forth in this Agreement.</w:t>
      </w:r>
    </w:p>
    <w:p>
      <w:pPr>
        <w:spacing w:after="0" w:line="162" w:lineRule="exact"/>
        <w:rPr>
          <w:rFonts w:ascii="Times New Roman" w:cs="Times New Roman" w:eastAsia="Times New Roman" w:hAnsi="Times New Roman"/>
          <w:sz w:val="20"/>
          <w:szCs w:val="20"/>
          <w:color w:val="auto"/>
        </w:rPr>
      </w:pPr>
    </w:p>
    <w:p>
      <w:pPr>
        <w:jc w:val="both"/>
        <w:ind w:firstLine="1259"/>
        <w:spacing w:after="0" w:line="262" w:lineRule="auto"/>
        <w:tabs>
          <w:tab w:leader="none" w:pos="168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w:t>
      </w:r>
    </w:p>
    <w:p>
      <w:pPr>
        <w:sectPr>
          <w:pgSz w:w="11900" w:h="16838" w:orient="portrait"/>
          <w:cols w:equalWidth="0" w:num="1">
            <w:col w:w="11240"/>
          </w:cols>
          <w:pgMar w:left="320" w:top="1380" w:right="339" w:bottom="1440" w:gutter="0" w:footer="0" w:header="0"/>
        </w:sectPr>
      </w:pPr>
    </w:p>
    <w:bookmarkStart w:id="139" w:name="page140"/>
    <w:bookmarkEnd w:id="139"/>
    <w:p>
      <w:pPr>
        <w:jc w:val="both"/>
        <w:spacing w:after="0" w:line="252" w:lineRule="auto"/>
        <w:rPr>
          <w:sz w:val="20"/>
          <w:szCs w:val="20"/>
          <w:color w:val="auto"/>
        </w:rPr>
      </w:pPr>
      <w:r>
        <w:rPr>
          <w:rFonts w:ascii="Times New Roman" w:cs="Times New Roman" w:eastAsia="Times New Roman" w:hAnsi="Times New Roman"/>
          <w:sz w:val="21"/>
          <w:szCs w:val="21"/>
          <w:color w:val="auto"/>
        </w:rPr>
        <w:t>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77" w:lineRule="exact"/>
        <w:rPr>
          <w:sz w:val="20"/>
          <w:szCs w:val="20"/>
          <w:color w:val="auto"/>
        </w:rPr>
      </w:pPr>
    </w:p>
    <w:p>
      <w:pPr>
        <w:ind w:firstLine="1259"/>
        <w:spacing w:after="0" w:line="277" w:lineRule="auto"/>
        <w:tabs>
          <w:tab w:leader="none" w:pos="169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Unless expressly stated otherwise in the relevant Loan Document, the consideration payable for any supply made by or through a Lender or Issuing Bank under or in connection with any Loan Document does not include Australian GST.</w:t>
      </w:r>
    </w:p>
    <w:p>
      <w:pPr>
        <w:spacing w:after="0" w:line="148" w:lineRule="exact"/>
        <w:rPr>
          <w:rFonts w:ascii="Times New Roman" w:cs="Times New Roman" w:eastAsia="Times New Roman" w:hAnsi="Times New Roman"/>
          <w:sz w:val="21"/>
          <w:szCs w:val="21"/>
          <w:color w:val="auto"/>
        </w:rPr>
      </w:pPr>
    </w:p>
    <w:p>
      <w:pPr>
        <w:ind w:left="640" w:firstLine="1246"/>
        <w:spacing w:after="0" w:line="290" w:lineRule="auto"/>
        <w:tabs>
          <w:tab w:leader="none" w:pos="2421"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Australian GST is payable in respect of any supply made by or through a Lender or Issuing Bank (a “</w:t>
      </w:r>
      <w:r>
        <w:rPr>
          <w:rFonts w:ascii="Times New Roman" w:cs="Times New Roman" w:eastAsia="Times New Roman" w:hAnsi="Times New Roman"/>
          <w:sz w:val="21"/>
          <w:szCs w:val="21"/>
          <w:i w:val="1"/>
          <w:iCs w:val="1"/>
          <w:color w:val="auto"/>
        </w:rPr>
        <w:t>Supplier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under or in connection with any Loan Document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GST Liability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then:</w:t>
      </w:r>
    </w:p>
    <w:p>
      <w:pPr>
        <w:spacing w:after="0" w:line="133" w:lineRule="exact"/>
        <w:rPr>
          <w:rFonts w:ascii="Times New Roman" w:cs="Times New Roman" w:eastAsia="Times New Roman" w:hAnsi="Times New Roman"/>
          <w:sz w:val="21"/>
          <w:szCs w:val="21"/>
          <w:color w:val="auto"/>
        </w:rPr>
      </w:pPr>
    </w:p>
    <w:p>
      <w:pPr>
        <w:jc w:val="both"/>
        <w:ind w:left="1260" w:firstLine="1254"/>
        <w:spacing w:after="0" w:line="269" w:lineRule="auto"/>
        <w:tabs>
          <w:tab w:leader="none" w:pos="3113" w:val="left"/>
        </w:tabs>
        <w:numPr>
          <w:ilvl w:val="2"/>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where consideration is provided by a party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Recipient Party</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in relation to that supply, the Recipient Party will pay an additional amount to the Supplier equal to the full amount of the Australian GST Liability; and</w:t>
      </w:r>
    </w:p>
    <w:p>
      <w:pPr>
        <w:spacing w:after="0" w:line="157" w:lineRule="exact"/>
        <w:rPr>
          <w:rFonts w:ascii="Times New Roman" w:cs="Times New Roman" w:eastAsia="Times New Roman" w:hAnsi="Times New Roman"/>
          <w:sz w:val="19"/>
          <w:szCs w:val="19"/>
          <w:color w:val="auto"/>
        </w:rPr>
      </w:pPr>
    </w:p>
    <w:p>
      <w:pPr>
        <w:ind w:left="1260" w:firstLine="1254"/>
        <w:spacing w:after="0" w:line="277" w:lineRule="auto"/>
        <w:tabs>
          <w:tab w:leader="none" w:pos="3022" w:val="left"/>
        </w:tabs>
        <w:numPr>
          <w:ilvl w:val="2"/>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except where the foregoing clause (A) applies, the Australian Borrower will indemnify and keep the Supplier indemnified for the full amount of the Australian GST Liability.</w:t>
      </w:r>
    </w:p>
    <w:p>
      <w:pPr>
        <w:spacing w:after="0" w:line="161" w:lineRule="exact"/>
        <w:rPr>
          <w:sz w:val="20"/>
          <w:szCs w:val="20"/>
          <w:color w:val="auto"/>
        </w:rPr>
      </w:pPr>
    </w:p>
    <w:p>
      <w:pPr>
        <w:ind w:left="1260"/>
        <w:spacing w:after="0" w:line="267" w:lineRule="auto"/>
        <w:rPr>
          <w:sz w:val="20"/>
          <w:szCs w:val="20"/>
          <w:color w:val="auto"/>
        </w:rPr>
      </w:pPr>
      <w:r>
        <w:rPr>
          <w:rFonts w:ascii="Times New Roman" w:cs="Times New Roman" w:eastAsia="Times New Roman" w:hAnsi="Times New Roman"/>
          <w:sz w:val="20"/>
          <w:szCs w:val="20"/>
          <w:color w:val="auto"/>
        </w:rPr>
        <w:t>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2.20(j)(ii)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 Recipient Party or the Supplier (as the case may be) must make any payments necessary to reflect the adjustment; and (3) this Section 2.20(j)(ii) does not apply</w:t>
      </w:r>
    </w:p>
    <w:p>
      <w:pPr>
        <w:sectPr>
          <w:pgSz w:w="11900" w:h="16838" w:orient="portrait"/>
          <w:cols w:equalWidth="0" w:num="1">
            <w:col w:w="11240"/>
          </w:cols>
          <w:pgMar w:left="320" w:top="1380" w:right="339" w:bottom="1440" w:gutter="0" w:footer="0" w:header="0"/>
        </w:sectPr>
      </w:pPr>
    </w:p>
    <w:bookmarkStart w:id="140" w:name="page141"/>
    <w:bookmarkEnd w:id="140"/>
    <w:p>
      <w:pPr>
        <w:ind w:left="1260" w:right="60"/>
        <w:spacing w:after="0" w:line="261" w:lineRule="auto"/>
        <w:rPr>
          <w:sz w:val="20"/>
          <w:szCs w:val="20"/>
          <w:color w:val="auto"/>
        </w:rPr>
      </w:pPr>
      <w:r>
        <w:rPr>
          <w:rFonts w:ascii="Times New Roman" w:cs="Times New Roman" w:eastAsia="Times New Roman" w:hAnsi="Times New Roman"/>
          <w:sz w:val="21"/>
          <w:szCs w:val="21"/>
          <w:color w:val="auto"/>
        </w:rPr>
        <w:t>to the extent that the Australian GST Liability on a supply made by or through a Lender or Issuing Bank under or in connection with any Loan Document is payable by the Recipient Party or the Australian Borrower, as appropriate, under Division 83 or 84 of the A New Tax System (</w:t>
      </w:r>
      <w:r>
        <w:rPr>
          <w:rFonts w:ascii="Times New Roman" w:cs="Times New Roman" w:eastAsia="Times New Roman" w:hAnsi="Times New Roman"/>
          <w:sz w:val="21"/>
          <w:szCs w:val="21"/>
          <w:i w:val="1"/>
          <w:iCs w:val="1"/>
          <w:color w:val="auto"/>
        </w:rPr>
        <w:t>Goods and Services Tax</w:t>
      </w:r>
      <w:r>
        <w:rPr>
          <w:rFonts w:ascii="Times New Roman" w:cs="Times New Roman" w:eastAsia="Times New Roman" w:hAnsi="Times New Roman"/>
          <w:sz w:val="21"/>
          <w:szCs w:val="21"/>
          <w:color w:val="auto"/>
        </w:rPr>
        <w:t>) Act 1999 (</w:t>
      </w:r>
      <w:r>
        <w:rPr>
          <w:rFonts w:ascii="Times New Roman" w:cs="Times New Roman" w:eastAsia="Times New Roman" w:hAnsi="Times New Roman"/>
          <w:sz w:val="21"/>
          <w:szCs w:val="21"/>
          <w:i w:val="1"/>
          <w:iCs w:val="1"/>
          <w:color w:val="auto"/>
        </w:rPr>
        <w:t>Cth</w:t>
      </w:r>
      <w:r>
        <w:rPr>
          <w:rFonts w:ascii="Times New Roman" w:cs="Times New Roman" w:eastAsia="Times New Roman" w:hAnsi="Times New Roman"/>
          <w:sz w:val="21"/>
          <w:szCs w:val="21"/>
          <w:color w:val="auto"/>
        </w:rPr>
        <w:t>) and the Lender or Issuing Bank has no liability at all in relation to that payment.</w:t>
      </w:r>
    </w:p>
    <w:p>
      <w:pPr>
        <w:spacing w:after="0" w:line="165" w:lineRule="exact"/>
        <w:rPr>
          <w:sz w:val="20"/>
          <w:szCs w:val="20"/>
          <w:color w:val="auto"/>
        </w:rPr>
      </w:pPr>
    </w:p>
    <w:p>
      <w:pPr>
        <w:jc w:val="both"/>
        <w:ind w:left="640" w:firstLine="1246"/>
        <w:spacing w:after="0" w:line="257" w:lineRule="auto"/>
        <w:tabs>
          <w:tab w:leader="none" w:pos="254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or reimbursement required to be made to a Lender or Issuing Bank under any Loan Document that is calculated by reference to a cost or other amount paid or incurred will be limited to the total cost or other amount less the amount of any input tax credit or other credit to which the relevant Lender or Issuing Bank (or the representative member for a Australian GST group of which the relevant Lender or Issuing Bank is a member) is entitled for the acquisition to which the cost or other amount relates.</w:t>
      </w:r>
    </w:p>
    <w:p>
      <w:pPr>
        <w:spacing w:after="0" w:line="170" w:lineRule="exact"/>
        <w:rPr>
          <w:rFonts w:ascii="Times New Roman" w:cs="Times New Roman" w:eastAsia="Times New Roman" w:hAnsi="Times New Roman"/>
          <w:sz w:val="21"/>
          <w:szCs w:val="21"/>
          <w:color w:val="auto"/>
        </w:rPr>
      </w:pPr>
    </w:p>
    <w:p>
      <w:pPr>
        <w:ind w:left="640" w:firstLine="1246"/>
        <w:spacing w:after="0" w:line="277" w:lineRule="auto"/>
        <w:tabs>
          <w:tab w:leader="none" w:pos="2494"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Words used in this Section 2.19(j) which are not defined in this agreement but which have a defined meaning in the GST Law have the same meaning as in the GST Law unless the contrary intention appears.</w:t>
      </w:r>
    </w:p>
    <w:p>
      <w:pPr>
        <w:spacing w:after="0" w:line="144" w:lineRule="exact"/>
        <w:rPr>
          <w:sz w:val="20"/>
          <w:szCs w:val="20"/>
          <w:color w:val="auto"/>
        </w:rPr>
      </w:pPr>
    </w:p>
    <w:p>
      <w:pPr>
        <w:jc w:val="both"/>
        <w:ind w:firstLine="627"/>
        <w:spacing w:after="0" w:line="250" w:lineRule="auto"/>
        <w:rPr>
          <w:sz w:val="20"/>
          <w:szCs w:val="20"/>
          <w:color w:val="auto"/>
        </w:rPr>
      </w:pPr>
      <w:r>
        <w:rPr>
          <w:rFonts w:ascii="Times New Roman" w:cs="Times New Roman" w:eastAsia="Times New Roman" w:hAnsi="Times New Roman"/>
          <w:sz w:val="21"/>
          <w:szCs w:val="21"/>
          <w:b w:val="1"/>
          <w:bCs w:val="1"/>
          <w:u w:val="single" w:color="auto"/>
          <w:color w:val="auto"/>
        </w:rPr>
        <w:t>SECTION 2.20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Assignment of Commitments Under Certain Circumstances; Duty to Mitigate</w:t>
      </w:r>
      <w:r>
        <w:rPr>
          <w:rFonts w:ascii="Times New Roman" w:cs="Times New Roman" w:eastAsia="Times New Roman" w:hAnsi="Times New Roman"/>
          <w:sz w:val="21"/>
          <w:szCs w:val="21"/>
          <w:color w:val="auto"/>
        </w:rPr>
        <w:t>. (a) In the event (i)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Lender or Issuing Bank delivers a certificate requesting 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 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w:t>
      </w:r>
    </w:p>
    <w:p>
      <w:pPr>
        <w:sectPr>
          <w:pgSz w:w="11900" w:h="16838" w:orient="portrait"/>
          <w:cols w:equalWidth="0" w:num="1">
            <w:col w:w="11240"/>
          </w:cols>
          <w:pgMar w:left="320" w:top="1380" w:right="339" w:bottom="1440" w:gutter="0" w:footer="0" w:header="0"/>
        </w:sectPr>
      </w:pPr>
    </w:p>
    <w:bookmarkStart w:id="141" w:name="page142"/>
    <w:bookmarkEnd w:id="141"/>
    <w:p>
      <w:pPr>
        <w:jc w:val="both"/>
        <w:spacing w:after="0" w:line="261" w:lineRule="auto"/>
        <w:rPr>
          <w:sz w:val="20"/>
          <w:szCs w:val="20"/>
          <w:color w:val="auto"/>
        </w:rPr>
      </w:pPr>
      <w:r>
        <w:rPr>
          <w:rFonts w:ascii="Times New Roman" w:cs="Times New Roman" w:eastAsia="Times New Roman" w:hAnsi="Times New Roman"/>
          <w:sz w:val="21"/>
          <w:szCs w:val="21"/>
          <w:color w:val="auto"/>
        </w:rPr>
        <w:t>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165" w:lineRule="exact"/>
        <w:rPr>
          <w:sz w:val="20"/>
          <w:szCs w:val="20"/>
          <w:color w:val="auto"/>
        </w:rPr>
      </w:pPr>
    </w:p>
    <w:p>
      <w:pPr>
        <w:jc w:val="both"/>
        <w:ind w:firstLine="1259"/>
        <w:spacing w:after="0" w:line="265" w:lineRule="auto"/>
        <w:tabs>
          <w:tab w:leader="none" w:pos="172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7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2.21</w:t>
      </w:r>
      <w:r>
        <w:rPr>
          <w:sz w:val="20"/>
          <w:szCs w:val="20"/>
          <w:color w:val="auto"/>
        </w:rPr>
        <w:tab/>
      </w:r>
      <w:r>
        <w:rPr>
          <w:rFonts w:ascii="Times New Roman" w:cs="Times New Roman" w:eastAsia="Times New Roman" w:hAnsi="Times New Roman"/>
          <w:sz w:val="20"/>
          <w:szCs w:val="20"/>
          <w:b w:val="1"/>
          <w:bCs w:val="1"/>
          <w:i w:val="1"/>
          <w:iCs w:val="1"/>
          <w:color w:val="auto"/>
        </w:rPr>
        <w:t>Letters of Credit</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both"/>
        <w:ind w:firstLine="1259"/>
        <w:spacing w:after="0" w:line="255" w:lineRule="auto"/>
        <w:tabs>
          <w:tab w:leader="none" w:pos="176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Each Borrower may request the issuance of a Letter of Credit denominated in U.S. dollars, Canadian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dollars, Australian dollars or in 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172" w:lineRule="exact"/>
        <w:rPr>
          <w:rFonts w:ascii="Times New Roman" w:cs="Times New Roman" w:eastAsia="Times New Roman" w:hAnsi="Times New Roman"/>
          <w:sz w:val="21"/>
          <w:szCs w:val="21"/>
          <w:color w:val="auto"/>
        </w:rPr>
      </w:pPr>
    </w:p>
    <w:p>
      <w:pPr>
        <w:jc w:val="both"/>
        <w:ind w:firstLine="1259"/>
        <w:spacing w:after="0" w:line="253" w:lineRule="auto"/>
        <w:tabs>
          <w:tab w:leader="none" w:pos="1773"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of Issuance, Amendment, Renewal, Extension; Certain Conditions</w:t>
      </w:r>
      <w:r>
        <w:rPr>
          <w:rFonts w:ascii="Times New Roman" w:cs="Times New Roman" w:eastAsia="Times New Roman" w:hAnsi="Times New Roman"/>
          <w:sz w:val="21"/>
          <w:szCs w:val="21"/>
          <w:color w:val="auto"/>
        </w:rPr>
        <w:t>. In order to request the issuance of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Letter of Credit denominated in U.S. dollars, Canadian dollars, 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 Credit to be amended, renewed or extended, the date of issuance, amendment, renewal or</w:t>
      </w:r>
    </w:p>
    <w:p>
      <w:pPr>
        <w:sectPr>
          <w:pgSz w:w="11900" w:h="16838" w:orient="portrait"/>
          <w:cols w:equalWidth="0" w:num="1">
            <w:col w:w="11240"/>
          </w:cols>
          <w:pgMar w:left="320" w:top="1380" w:right="339" w:bottom="1440" w:gutter="0" w:footer="0" w:header="0"/>
        </w:sectPr>
      </w:pPr>
    </w:p>
    <w:bookmarkStart w:id="142" w:name="page143"/>
    <w:bookmarkEnd w:id="142"/>
    <w:p>
      <w:pPr>
        <w:jc w:val="both"/>
        <w:spacing w:after="0" w:line="250" w:lineRule="auto"/>
        <w:rPr>
          <w:sz w:val="20"/>
          <w:szCs w:val="20"/>
          <w:color w:val="auto"/>
        </w:rPr>
      </w:pPr>
      <w:r>
        <w:rPr>
          <w:rFonts w:ascii="Times New Roman" w:cs="Times New Roman" w:eastAsia="Times New Roman" w:hAnsi="Times New Roman"/>
          <w:sz w:val="21"/>
          <w:szCs w:val="21"/>
          <w:color w:val="auto"/>
        </w:rPr>
        <w:t>extension (which date shall be (x) 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whether the Letter of Credit is to be a U.S. Letter of Credit, a Canadian Letter of Credit or an Australian Letter of Credit, the name and address of the beneficiary thereof and such other information as shall be necessary to 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denominated in U.S. dollars or an Alternative Currency and shall be issued, amended, renewed or extended only if, and upon issuance, amendment, renewal or extension of each Letter of Credit the U.S. Borrower shall be deemed to represent and warrant that, after giving effect to such issuance, amendment, renewal or extension (i) the U.S. L/C Exposure shall not exceed U.S.$10,000,000, (ii) the aggregate U.S. Revolving Credit Exposure shall not exceed the Total U.S. Revolving Commitment, and (iii) the U.S. L/C Exposure related to U.S. Letters of Credit issued by an Issuing Bank shall not exceed an amount agreed to in writing between the U.S. Borrower and such Issuing Bank and notified to the Administrative Agent. A Canadian Letter of Credit shall be denominated in Canadian dollars and shall be issued, amended, renewed or extended only if, and upon issuance, amendment, renewal or extension of each Canadian Letter of Credit, such Parent Borrower shall be deemed to represent and warrant that after giving effect to such issuance, amendment, renewal or extension (i) the Canadian L/C Exposure shall not exceed the Canadian Dollar Equivalent of U.S.$20,000,000, (ii) the aggregate Canadian Revolving Credit Exposure shall not exceed the Total Canadian Revolving Commitment and (iii) the portion of the Canadian L/C Exposure attributable to Letters of Credit issued by such Applicable Issuing Bank will not, unless such Applicable Issuing Bank shall so agree in its sole discretion, exceed the L/C Issuance Limit of such Applicable Issuing Bank. An Australian Letter of Credit shall be denominated in Australian dollars and shall be issued, amended, renewed or extended only if, and upon issuance, amendment, renewal or extension of each Australian Letter of Credit, 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w:t>
      </w:r>
    </w:p>
    <w:p>
      <w:pPr>
        <w:spacing w:after="0" w:line="191" w:lineRule="exact"/>
        <w:rPr>
          <w:sz w:val="20"/>
          <w:szCs w:val="20"/>
          <w:color w:val="auto"/>
        </w:rPr>
      </w:pPr>
    </w:p>
    <w:p>
      <w:pPr>
        <w:jc w:val="both"/>
        <w:ind w:firstLine="1259"/>
        <w:spacing w:after="0" w:line="254" w:lineRule="auto"/>
        <w:tabs>
          <w:tab w:leader="none" w:pos="1722"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Expiration Date</w:t>
      </w:r>
      <w:r>
        <w:rPr>
          <w:rFonts w:ascii="Times New Roman" w:cs="Times New Roman" w:eastAsia="Times New Roman" w:hAnsi="Times New Roman"/>
          <w:sz w:val="21"/>
          <w:szCs w:val="21"/>
          <w:color w:val="auto"/>
        </w:rPr>
        <w:t>. Each U.S. Letter of Credit and Canadian Letter of Credit shall have an expiration date not later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than the earlier of (y) three years after the date of the issuance of such Letter of Credit and (z) the date that is 24 months after the Maturity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60 days prior to the Maturity Date the Borrowers shall deposit in an account with the U.S. Collateral Agent or the Canadian Collateral Agent, as the case may be, for the benefit of the U.S. Revolving Lenders or Canadian Revolving Lenders, as the case may be, an amount in cash equal to 105% of the U.S. L/C Exposure or Canadian L/C Exposure, respectively, as of such date. Such deposit shall be held by the U.S. Collateral Agent or the Canadian Collateral Agent, as the case may be, as collateral for the payment and performance of the Obligations. Such</w:t>
      </w:r>
    </w:p>
    <w:p>
      <w:pPr>
        <w:sectPr>
          <w:pgSz w:w="11900" w:h="16838" w:orient="portrait"/>
          <w:cols w:equalWidth="0" w:num="1">
            <w:col w:w="11240"/>
          </w:cols>
          <w:pgMar w:left="320" w:top="1380" w:right="339" w:bottom="1440" w:gutter="0" w:footer="0" w:header="0"/>
        </w:sectPr>
      </w:pPr>
    </w:p>
    <w:bookmarkStart w:id="143" w:name="page144"/>
    <w:bookmarkEnd w:id="143"/>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Event of Default has occurred and is continuing, be released to the Borrowers to the extent that the funds on deposit exceed 105% of the U.S. L/C Exposure or the Canadian L/C Exposure, respectively. Each Australian Letter of Credit shall have an expiration date not later than the Maturity Date.</w:t>
      </w:r>
    </w:p>
    <w:p>
      <w:pPr>
        <w:spacing w:after="0" w:line="182" w:lineRule="exact"/>
        <w:rPr>
          <w:sz w:val="20"/>
          <w:szCs w:val="20"/>
          <w:color w:val="auto"/>
        </w:rPr>
      </w:pPr>
    </w:p>
    <w:p>
      <w:pPr>
        <w:jc w:val="both"/>
        <w:ind w:firstLine="1259"/>
        <w:spacing w:after="0" w:line="251" w:lineRule="auto"/>
        <w:tabs>
          <w:tab w:leader="none" w:pos="170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Participations</w:t>
      </w:r>
      <w:r>
        <w:rPr>
          <w:rFonts w:ascii="Times New Roman" w:cs="Times New Roman" w:eastAsia="Times New Roman" w:hAnsi="Times New Roman"/>
          <w:sz w:val="21"/>
          <w:szCs w:val="21"/>
          <w:color w:val="auto"/>
        </w:rPr>
        <w:t>. By the issuance of a Letter of Credit and without any further action on the part of an Issuing Bank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the Lenders, the Applicable Issuing Bank hereby grants to each U.S. Revolving Lender, Canadian Revolving Lender or Australian Lender, as the case may be, and each such Revolving Lender hereby acquires from the Applicable Issuing Bank, a participation in such Letter of Credit equal to such Lender’s U.S. Revolving Pro Rata Percentage, Canadian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Revolving Pro Rata Percentage or Australian Revolving Pro Rata Percentage, as applicable, of the U.S. Dollar Equivalent of each L/C Disbursement (except (i) in the case of Canadian Letter of Credit, in which case such payment shall be made in Canadian dollars or (ii) in the case of an Australian Letter of Credit,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w:t>
      </w:r>
    </w:p>
    <w:p>
      <w:pPr>
        <w:spacing w:after="0" w:line="176" w:lineRule="exact"/>
        <w:rPr>
          <w:rFonts w:ascii="Times New Roman" w:cs="Times New Roman" w:eastAsia="Times New Roman" w:hAnsi="Times New Roman"/>
          <w:sz w:val="21"/>
          <w:szCs w:val="21"/>
          <w:color w:val="auto"/>
        </w:rPr>
      </w:pPr>
    </w:p>
    <w:p>
      <w:pPr>
        <w:jc w:val="both"/>
        <w:ind w:firstLine="1259"/>
        <w:spacing w:after="0" w:line="269" w:lineRule="auto"/>
        <w:tabs>
          <w:tab w:leader="none" w:pos="183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Reimbursement</w:t>
      </w:r>
      <w:r>
        <w:rPr>
          <w:rFonts w:ascii="Times New Roman" w:cs="Times New Roman" w:eastAsia="Times New Roman" w:hAnsi="Times New Roman"/>
          <w:sz w:val="21"/>
          <w:szCs w:val="21"/>
          <w:color w:val="auto"/>
        </w:rPr>
        <w:t>. If an Issuing Bank shall make any L/C Disbursement in respect of a Letter of Credit,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Borrower shall pay to the Applicable Administrative Agent, for the account of the Applicable Issuing Bank, an amount equal to such L/C Disbursement in the same currency in which such L/C Disbursement is denominated (or, if such</w:t>
      </w:r>
    </w:p>
    <w:p>
      <w:pPr>
        <w:sectPr>
          <w:pgSz w:w="11900" w:h="16838" w:orient="portrait"/>
          <w:cols w:equalWidth="0" w:num="1">
            <w:col w:w="11240"/>
          </w:cols>
          <w:pgMar w:left="320" w:top="1380" w:right="339" w:bottom="1440" w:gutter="0" w:footer="0" w:header="0"/>
        </w:sectPr>
      </w:pPr>
    </w:p>
    <w:bookmarkStart w:id="144" w:name="page145"/>
    <w:bookmarkEnd w:id="144"/>
    <w:p>
      <w:pPr>
        <w:jc w:val="both"/>
        <w:spacing w:after="0" w:line="261" w:lineRule="auto"/>
        <w:rPr>
          <w:sz w:val="20"/>
          <w:szCs w:val="20"/>
          <w:color w:val="auto"/>
        </w:rPr>
      </w:pPr>
      <w:r>
        <w:rPr>
          <w:rFonts w:ascii="Times New Roman" w:cs="Times New Roman" w:eastAsia="Times New Roman" w:hAnsi="Times New Roman"/>
          <w:sz w:val="21"/>
          <w:szCs w:val="21"/>
          <w:color w:val="auto"/>
        </w:rPr>
        <w:t>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163" w:lineRule="exact"/>
        <w:rPr>
          <w:sz w:val="20"/>
          <w:szCs w:val="20"/>
          <w:color w:val="auto"/>
        </w:rPr>
      </w:pPr>
    </w:p>
    <w:p>
      <w:pPr>
        <w:jc w:val="both"/>
        <w:ind w:firstLine="1259"/>
        <w:spacing w:after="0" w:line="263" w:lineRule="auto"/>
        <w:tabs>
          <w:tab w:leader="none" w:pos="168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Obligations Absolute</w:t>
      </w:r>
      <w:r>
        <w:rPr>
          <w:rFonts w:ascii="Times New Roman" w:cs="Times New Roman" w:eastAsia="Times New Roman" w:hAnsi="Times New Roman"/>
          <w:sz w:val="21"/>
          <w:szCs w:val="21"/>
          <w:color w:val="auto"/>
        </w:rPr>
        <w:t>. Each Borrower’s obligations to reimburse L/C Disbursements as provided in paragraph (e)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above shall be absolute, unconditional and irrevocable, and shall be performed strictly in accordance with the terms of this Agreement, under any and all circumstances whatsoever, and irrespective of:</w:t>
      </w:r>
    </w:p>
    <w:p>
      <w:pPr>
        <w:spacing w:after="0" w:line="162" w:lineRule="exact"/>
        <w:rPr>
          <w:rFonts w:ascii="Times New Roman" w:cs="Times New Roman" w:eastAsia="Times New Roman" w:hAnsi="Times New Roman"/>
          <w:sz w:val="21"/>
          <w:szCs w:val="21"/>
          <w:color w:val="auto"/>
        </w:rPr>
      </w:pPr>
    </w:p>
    <w:p>
      <w:pPr>
        <w:ind w:left="2420" w:hanging="534"/>
        <w:spacing w:after="0"/>
        <w:tabs>
          <w:tab w:leader="none" w:pos="242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or enforceability of any Letter of Credit or any Loan Document, or any term or</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therein;</w:t>
      </w:r>
    </w:p>
    <w:p>
      <w:pPr>
        <w:spacing w:after="0" w:line="204" w:lineRule="exact"/>
        <w:rPr>
          <w:rFonts w:ascii="Times New Roman" w:cs="Times New Roman" w:eastAsia="Times New Roman" w:hAnsi="Times New Roman"/>
          <w:sz w:val="21"/>
          <w:szCs w:val="21"/>
          <w:color w:val="auto"/>
        </w:rPr>
      </w:pPr>
    </w:p>
    <w:p>
      <w:pPr>
        <w:ind w:left="640" w:firstLine="1246"/>
        <w:spacing w:after="0" w:line="277" w:lineRule="auto"/>
        <w:tabs>
          <w:tab w:leader="none" w:pos="2366"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or waiver of or any consent to departure from all or any of the provisions of any Letter of Credit or any Loan Document;</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57" w:lineRule="auto"/>
        <w:tabs>
          <w:tab w:leader="none" w:pos="2511"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counterclaim, setoff, defense or other right that such Borrower, any other party guaranteeing, or otherwise obligated with, such Borrower, any subsidiary or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70"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47"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rFonts w:ascii="Times New Roman" w:cs="Times New Roman" w:eastAsia="Times New Roman" w:hAnsi="Times New Roman"/>
          <w:sz w:val="21"/>
          <w:szCs w:val="21"/>
          <w:color w:val="auto"/>
        </w:rPr>
      </w:pPr>
    </w:p>
    <w:p>
      <w:pPr>
        <w:jc w:val="both"/>
        <w:ind w:left="640" w:firstLine="1246"/>
        <w:spacing w:after="0" w:line="254" w:lineRule="auto"/>
        <w:tabs>
          <w:tab w:leader="none" w:pos="2412"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185" w:lineRule="exact"/>
        <w:rPr>
          <w:rFonts w:ascii="Times New Roman" w:cs="Times New Roman" w:eastAsia="Times New Roman" w:hAnsi="Times New Roman"/>
          <w:sz w:val="21"/>
          <w:szCs w:val="21"/>
          <w:color w:val="auto"/>
        </w:rPr>
      </w:pPr>
    </w:p>
    <w:p>
      <w:pPr>
        <w:ind w:left="640" w:firstLine="1246"/>
        <w:spacing w:after="0" w:line="277" w:lineRule="auto"/>
        <w:tabs>
          <w:tab w:leader="none" w:pos="2546"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adverse change in the relevant exchange rates or in the availability of the relevant Alternative Currency to any Borrower, any Subsidiary or any other person, or in the relevant currency markets generally; or</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521"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act or omission to act or delay of any kind of the Applicable Issuing Bank, the Lenders, the Agents or any other person or any other event or circumstance whatsoever, whether or not similar to any of the foregoing, that might,</w:t>
      </w:r>
    </w:p>
    <w:p>
      <w:pPr>
        <w:sectPr>
          <w:pgSz w:w="11900" w:h="16838" w:orient="portrait"/>
          <w:cols w:equalWidth="0" w:num="1">
            <w:col w:w="11240"/>
          </w:cols>
          <w:pgMar w:left="320" w:top="1380" w:right="339" w:bottom="1440" w:gutter="0" w:footer="0" w:header="0"/>
        </w:sectPr>
      </w:pPr>
    </w:p>
    <w:bookmarkStart w:id="145" w:name="page146"/>
    <w:bookmarkEnd w:id="145"/>
    <w:p>
      <w:pPr>
        <w:ind w:left="640"/>
        <w:spacing w:after="0"/>
        <w:rPr>
          <w:sz w:val="20"/>
          <w:szCs w:val="20"/>
          <w:color w:val="auto"/>
        </w:rPr>
      </w:pPr>
      <w:r>
        <w:rPr>
          <w:rFonts w:ascii="Times New Roman" w:cs="Times New Roman" w:eastAsia="Times New Roman" w:hAnsi="Times New Roman"/>
          <w:sz w:val="21"/>
          <w:szCs w:val="21"/>
          <w:color w:val="auto"/>
        </w:rPr>
        <w:t>but for the provisions of this Section, constitute a legal or equitable discharge of such Borrower’s obligations hereunder.</w:t>
      </w:r>
    </w:p>
    <w:p>
      <w:pPr>
        <w:spacing w:after="0" w:line="216" w:lineRule="exact"/>
        <w:rPr>
          <w:sz w:val="20"/>
          <w:szCs w:val="20"/>
          <w:color w:val="auto"/>
        </w:rPr>
      </w:pPr>
    </w:p>
    <w:p>
      <w:pPr>
        <w:jc w:val="both"/>
        <w:ind w:right="220" w:firstLine="627"/>
        <w:spacing w:after="0" w:line="268" w:lineRule="auto"/>
        <w:rPr>
          <w:sz w:val="20"/>
          <w:szCs w:val="20"/>
          <w:color w:val="auto"/>
        </w:rPr>
      </w:pPr>
      <w:r>
        <w:rPr>
          <w:rFonts w:ascii="Times New Roman" w:cs="Times New Roman" w:eastAsia="Times New Roman" w:hAnsi="Times New Roman"/>
          <w:sz w:val="21"/>
          <w:szCs w:val="21"/>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56" w:lineRule="exact"/>
        <w:rPr>
          <w:sz w:val="20"/>
          <w:szCs w:val="20"/>
          <w:color w:val="auto"/>
        </w:rPr>
      </w:pPr>
    </w:p>
    <w:p>
      <w:pPr>
        <w:jc w:val="both"/>
        <w:ind w:firstLine="1259"/>
        <w:spacing w:after="0" w:line="263" w:lineRule="auto"/>
        <w:tabs>
          <w:tab w:leader="none" w:pos="170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Role of Issuing Bank</w:t>
      </w:r>
      <w:r>
        <w:rPr>
          <w:rFonts w:ascii="Times New Roman" w:cs="Times New Roman" w:eastAsia="Times New Roman" w:hAnsi="Times New Roman"/>
          <w:sz w:val="21"/>
          <w:szCs w:val="21"/>
          <w:color w:val="auto"/>
        </w:rPr>
        <w:t>. Each Borrower assumes all risks of the acts or omissions of any beneficiary or transferee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Letter of Credit with respect to its use of such Letter of Credit. None of the Issuing Banks, the Agents, any of their respective Related Parties or any correspondent, participant or assignee of any Issuing Bank shall be liable or responsible for:</w:t>
      </w:r>
    </w:p>
    <w:p>
      <w:pPr>
        <w:spacing w:after="0" w:line="162" w:lineRule="exact"/>
        <w:rPr>
          <w:rFonts w:ascii="Times New Roman" w:cs="Times New Roman" w:eastAsia="Times New Roman" w:hAnsi="Times New Roman"/>
          <w:sz w:val="21"/>
          <w:szCs w:val="21"/>
          <w:color w:val="auto"/>
        </w:rPr>
      </w:pPr>
    </w:p>
    <w:p>
      <w:pPr>
        <w:ind w:left="640" w:firstLine="1246"/>
        <w:spacing w:after="0" w:line="290" w:lineRule="auto"/>
        <w:tabs>
          <w:tab w:leader="none" w:pos="2444"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which may be made of any Letter of Credit or any acts or omissions of any beneficiary or transferee in connection therewith;</w:t>
      </w:r>
    </w:p>
    <w:p>
      <w:pPr>
        <w:spacing w:after="0" w:line="135" w:lineRule="exact"/>
        <w:rPr>
          <w:rFonts w:ascii="Times New Roman" w:cs="Times New Roman" w:eastAsia="Times New Roman" w:hAnsi="Times New Roman"/>
          <w:sz w:val="21"/>
          <w:szCs w:val="21"/>
          <w:color w:val="auto"/>
        </w:rPr>
      </w:pPr>
    </w:p>
    <w:p>
      <w:pPr>
        <w:ind w:left="640" w:firstLine="1246"/>
        <w:spacing w:after="0" w:line="277" w:lineRule="auto"/>
        <w:tabs>
          <w:tab w:leader="none" w:pos="2507"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sufficiency or genuineness of documents, or of any endorsement thereon, even if such documents should prove to be in any or all respects invalid, insufficient, fraudulent or forged; or</w:t>
      </w:r>
    </w:p>
    <w:p>
      <w:pPr>
        <w:spacing w:after="0" w:line="148" w:lineRule="exact"/>
        <w:rPr>
          <w:rFonts w:ascii="Times New Roman" w:cs="Times New Roman" w:eastAsia="Times New Roman" w:hAnsi="Times New Roman"/>
          <w:sz w:val="21"/>
          <w:szCs w:val="21"/>
          <w:color w:val="auto"/>
        </w:rPr>
      </w:pPr>
    </w:p>
    <w:p>
      <w:pPr>
        <w:ind w:left="640" w:firstLine="1246"/>
        <w:spacing w:after="0" w:line="277" w:lineRule="auto"/>
        <w:tabs>
          <w:tab w:leader="none" w:pos="2492"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circumstances whatsoever in making or failing to make payment under any Letter of Credit (including the Issuing Bank’s own negligence),</w:t>
      </w:r>
    </w:p>
    <w:p>
      <w:pPr>
        <w:spacing w:after="0" w:line="14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 Borrower shall have a claim against the Applicable Issuing Bank, and such Issuing Bank shall be liable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shall promptly pay to, such 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w:t>
      </w:r>
    </w:p>
    <w:p>
      <w:pPr>
        <w:sectPr>
          <w:pgSz w:w="11900" w:h="16838" w:orient="portrait"/>
          <w:cols w:equalWidth="0" w:num="1">
            <w:col w:w="11240"/>
          </w:cols>
          <w:pgMar w:left="320" w:top="1380" w:right="339" w:bottom="1440" w:gutter="0" w:footer="0" w:header="0"/>
        </w:sectPr>
      </w:pPr>
    </w:p>
    <w:bookmarkStart w:id="146" w:name="page147"/>
    <w:bookmarkEnd w:id="146"/>
    <w:p>
      <w:pPr>
        <w:ind w:right="280"/>
        <w:spacing w:after="0" w:line="277" w:lineRule="auto"/>
        <w:rPr>
          <w:sz w:val="20"/>
          <w:szCs w:val="20"/>
          <w:color w:val="auto"/>
        </w:rPr>
      </w:pPr>
      <w:r>
        <w:rPr>
          <w:rFonts w:ascii="Times New Roman" w:cs="Times New Roman" w:eastAsia="Times New Roman" w:hAnsi="Times New Roman"/>
          <w:sz w:val="21"/>
          <w:szCs w:val="21"/>
          <w:color w:val="auto"/>
        </w:rPr>
        <w:t>(other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146" w:lineRule="exact"/>
        <w:rPr>
          <w:sz w:val="20"/>
          <w:szCs w:val="20"/>
          <w:color w:val="auto"/>
        </w:rPr>
      </w:pPr>
    </w:p>
    <w:p>
      <w:pPr>
        <w:jc w:val="both"/>
        <w:ind w:firstLine="1259"/>
        <w:spacing w:after="0" w:line="256" w:lineRule="auto"/>
        <w:tabs>
          <w:tab w:leader="none" w:pos="1707"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Disbursement Procedures</w:t>
      </w:r>
      <w:r>
        <w:rPr>
          <w:rFonts w:ascii="Times New Roman" w:cs="Times New Roman" w:eastAsia="Times New Roman" w:hAnsi="Times New Roman"/>
          <w:sz w:val="21"/>
          <w:szCs w:val="21"/>
          <w:color w:val="auto"/>
        </w:rPr>
        <w:t>. The Applicable Issuing Bank shall, promptly following its receipt thereof, examine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documents purporting to 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70" w:lineRule="exact"/>
        <w:rPr>
          <w:rFonts w:ascii="Times New Roman" w:cs="Times New Roman" w:eastAsia="Times New Roman" w:hAnsi="Times New Roman"/>
          <w:sz w:val="21"/>
          <w:szCs w:val="21"/>
          <w:color w:val="auto"/>
        </w:rPr>
      </w:pPr>
    </w:p>
    <w:p>
      <w:pPr>
        <w:jc w:val="both"/>
        <w:ind w:firstLine="1259"/>
        <w:spacing w:after="0" w:line="254" w:lineRule="auto"/>
        <w:tabs>
          <w:tab w:leader="none" w:pos="1661"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Interim Interest</w:t>
      </w:r>
      <w:r>
        <w:rPr>
          <w:rFonts w:ascii="Times New Roman" w:cs="Times New Roman" w:eastAsia="Times New Roman" w:hAnsi="Times New Roman"/>
          <w:sz w:val="21"/>
          <w:szCs w:val="21"/>
          <w:color w:val="auto"/>
        </w:rPr>
        <w:t>. If an Issuing Bank shall make any L/C Disbursement in respect of a Letter of Credit, then, unless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Applicable Borrower 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 Rate Loan (for Canadian Letters of Credit) or, in the case of any L/C Disbursement with respect to an Australian Letter of Credit, a BBSY Rate Loan, as the case may be.</w:t>
      </w:r>
    </w:p>
    <w:p>
      <w:pPr>
        <w:spacing w:after="0" w:line="171" w:lineRule="exact"/>
        <w:rPr>
          <w:rFonts w:ascii="Times New Roman" w:cs="Times New Roman" w:eastAsia="Times New Roman" w:hAnsi="Times New Roman"/>
          <w:sz w:val="21"/>
          <w:szCs w:val="21"/>
          <w:color w:val="auto"/>
        </w:rPr>
      </w:pPr>
    </w:p>
    <w:p>
      <w:pPr>
        <w:jc w:val="both"/>
        <w:ind w:firstLine="1259"/>
        <w:spacing w:after="0" w:line="264" w:lineRule="auto"/>
        <w:tabs>
          <w:tab w:leader="none" w:pos="1726"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or Removal of an Issuing Bank</w:t>
      </w:r>
      <w:r>
        <w:rPr>
          <w:rFonts w:ascii="Times New Roman" w:cs="Times New Roman" w:eastAsia="Times New Roman" w:hAnsi="Times New Roman"/>
          <w:sz w:val="20"/>
          <w:szCs w:val="20"/>
          <w:color w:val="auto"/>
        </w:rPr>
        <w:t>. An Issuing Bank may resign at any time by giving 30 days’ prior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written notice to the Applicable Administrative Agent, the Applicable Lenders and the Parent Borrower, and may be removed at any time by the Parent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each Applicable Borrower and the Applicable Administrative Agent, and, from and after the effective date of such agreement, (i) such successor Lender shall have all the rights and obligations of the previous Issuing Bank under this Agreement and the other Loan Documents and</w:t>
      </w:r>
    </w:p>
    <w:p>
      <w:pPr>
        <w:jc w:val="both"/>
        <w:ind w:firstLine="5"/>
        <w:spacing w:after="0" w:line="253" w:lineRule="auto"/>
        <w:tabs>
          <w:tab w:leader="none" w:pos="322"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w:t>
      </w:r>
    </w:p>
    <w:p>
      <w:pPr>
        <w:sectPr>
          <w:pgSz w:w="11900" w:h="16838" w:orient="portrait"/>
          <w:cols w:equalWidth="0" w:num="1">
            <w:col w:w="11240"/>
          </w:cols>
          <w:pgMar w:left="320" w:top="1380" w:right="339" w:bottom="1440" w:gutter="0" w:footer="0" w:header="0"/>
        </w:sectPr>
      </w:pPr>
    </w:p>
    <w:bookmarkStart w:id="147" w:name="page148"/>
    <w:bookmarkEnd w:id="147"/>
    <w:p>
      <w:pPr>
        <w:spacing w:after="0" w:line="277" w:lineRule="auto"/>
        <w:rPr>
          <w:sz w:val="20"/>
          <w:szCs w:val="20"/>
          <w:color w:val="auto"/>
        </w:rPr>
      </w:pPr>
      <w:r>
        <w:rPr>
          <w:rFonts w:ascii="Times New Roman" w:cs="Times New Roman" w:eastAsia="Times New Roman" w:hAnsi="Times New Roman"/>
          <w:sz w:val="21"/>
          <w:szCs w:val="21"/>
          <w:color w:val="auto"/>
        </w:rPr>
        <w:t>and the other Loan Documents with respect to Letters of Credit issued by it prior to such resignation or removal, but shall not be required to issue additional Letters of Credit.</w:t>
      </w:r>
    </w:p>
    <w:p>
      <w:pPr>
        <w:spacing w:after="0" w:line="146" w:lineRule="exact"/>
        <w:rPr>
          <w:sz w:val="20"/>
          <w:szCs w:val="20"/>
          <w:color w:val="auto"/>
        </w:rPr>
      </w:pPr>
    </w:p>
    <w:p>
      <w:pPr>
        <w:jc w:val="both"/>
        <w:ind w:firstLine="1259"/>
        <w:spacing w:after="0" w:line="250" w:lineRule="auto"/>
        <w:tabs>
          <w:tab w:leader="none" w:pos="1707"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Cash Collateralization</w:t>
      </w:r>
      <w:r>
        <w:rPr>
          <w:rFonts w:ascii="Times New Roman" w:cs="Times New Roman" w:eastAsia="Times New Roman" w:hAnsi="Times New Roman"/>
          <w:sz w:val="21"/>
          <w:szCs w:val="21"/>
          <w:color w:val="auto"/>
        </w:rPr>
        <w:t>. If (i) any Event of Default shall occur and be continuing, other than an event with respect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to a Borrower described in Section 7.01(g) or (h) and a Borrower shall receive notice from Applicable Administrative Agent or the Required U.S. Lenders, the Required Canadian Revolving Lenders or the Required Australian Lenders, as applicable, requesting that it deposit Cash Collateral and specifying the amount to be deposited, or (ii) an Event of Default shall occur and be continuing with respect to a Borrower described in Section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Revolving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a condition to the issuance amendment, renewal or extension of a Letter of Credit), the Applicable Borrower shall deliver to the U.S. Collateral Agent, the Canadian Collateral Agent or the Australian Collateral Agent, as the case may be, for the benefit of the U.S. Revolving Lenders, Canadian Revolving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w:t>
      </w:r>
      <w:r>
        <w:rPr>
          <w:rFonts w:ascii="Times New Roman" w:cs="Times New Roman" w:eastAsia="Times New Roman" w:hAnsi="Times New Roman"/>
          <w:sz w:val="21"/>
          <w:szCs w:val="21"/>
          <w:u w:val="single" w:color="auto"/>
          <w:color w:val="0000FF"/>
          <w:highlight w:val="lightGray"/>
        </w:rPr>
        <w:t>or</w:t>
      </w:r>
      <w:r>
        <w:rPr>
          <w:rFonts w:ascii="Times New Roman" w:cs="Times New Roman" w:eastAsia="Times New Roman" w:hAnsi="Times New Roman"/>
          <w:sz w:val="21"/>
          <w:szCs w:val="21"/>
          <w:color w:val="auto"/>
        </w:rPr>
        <w:t xml:space="preserve"> Australian L/C Exposure </w:t>
      </w:r>
      <w:r>
        <w:rPr>
          <w:rFonts w:ascii="Times New Roman" w:cs="Times New Roman" w:eastAsia="Times New Roman" w:hAnsi="Times New Roman"/>
          <w:sz w:val="21"/>
          <w:szCs w:val="21"/>
          <w:color w:val="FF0000"/>
        </w:rPr>
        <w:t>or Fronting Exposure pursuant to Section 2.22(c) or (k)</w:t>
      </w:r>
      <w:r>
        <w:rPr>
          <w:rFonts w:ascii="Times New Roman" w:cs="Times New Roman" w:eastAsia="Times New Roman" w:hAnsi="Times New Roman"/>
          <w:sz w:val="21"/>
          <w:szCs w:val="21"/>
          <w:color w:val="auto"/>
        </w:rPr>
        <w:t>, then such Borrower and the Applicable Collateral Agent shall establish a cash collateral account (an “</w:t>
      </w:r>
      <w:r>
        <w:rPr>
          <w:rFonts w:ascii="Times New Roman" w:cs="Times New Roman" w:eastAsia="Times New Roman" w:hAnsi="Times New Roman"/>
          <w:sz w:val="21"/>
          <w:szCs w:val="21"/>
          <w:i w:val="1"/>
          <w:iCs w:val="1"/>
          <w:color w:val="auto"/>
        </w:rPr>
        <w:t>L/C Cash Collateral Account</w:t>
      </w:r>
      <w:r>
        <w:rPr>
          <w:rFonts w:ascii="Times New Roman" w:cs="Times New Roman" w:eastAsia="Times New Roman" w:hAnsi="Times New Roman"/>
          <w:sz w:val="21"/>
          <w:szCs w:val="21"/>
          <w:color w:val="auto"/>
        </w:rPr>
        <w:t>”)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-1986280</wp:posOffset>
            </wp:positionV>
            <wp:extent cx="31381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48" w:name="page149"/>
    <w:bookmarkEnd w:id="148"/>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Cash Collateral furnished by or on behalf of a Loan Party shall not be released during the continuance of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Event of Default and may be otherwise applied in accordance with Section 7.06.</w:t>
      </w:r>
    </w:p>
    <w:p>
      <w:pPr>
        <w:spacing w:after="0" w:line="171" w:lineRule="exact"/>
        <w:rPr>
          <w:sz w:val="20"/>
          <w:szCs w:val="20"/>
          <w:color w:val="auto"/>
        </w:rPr>
      </w:pPr>
    </w:p>
    <w:p>
      <w:pPr>
        <w:jc w:val="both"/>
        <w:ind w:firstLine="1259"/>
        <w:spacing w:after="0" w:line="252" w:lineRule="auto"/>
        <w:tabs>
          <w:tab w:leader="none" w:pos="1674"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Additional Issuing Banks</w:t>
      </w:r>
      <w:r>
        <w:rPr>
          <w:rFonts w:ascii="Times New Roman" w:cs="Times New Roman" w:eastAsia="Times New Roman" w:hAnsi="Times New Roman"/>
          <w:sz w:val="21"/>
          <w:szCs w:val="21"/>
          <w:color w:val="auto"/>
        </w:rPr>
        <w:t>. A Borrower may, at any time and from time to time with the consent of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(which consent shall not be unreasonably withheld or delayed) and such Revolving Lender, designate one or more additional Revolving Lenders to act as an issuing bank under the terms of this Agreement. The acceptance of any appointment as an Issuing Bank hereunder by a Revolving Lender shall be evidenced by an agreement entered into by such Revolving Lender, in a form satisfactory to each Applicable Borrower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189" w:lineRule="exact"/>
        <w:rPr>
          <w:rFonts w:ascii="Times New Roman" w:cs="Times New Roman" w:eastAsia="Times New Roman" w:hAnsi="Times New Roman"/>
          <w:sz w:val="21"/>
          <w:szCs w:val="21"/>
          <w:color w:val="auto"/>
        </w:rPr>
      </w:pPr>
    </w:p>
    <w:p>
      <w:pPr>
        <w:ind w:left="1800" w:hanging="541"/>
        <w:spacing w:after="0"/>
        <w:tabs>
          <w:tab w:leader="none" w:pos="180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conflict between the terms hereof and the terms of any Letter of Credit Document, the terms</w:t>
      </w:r>
    </w:p>
    <w:p>
      <w:pPr>
        <w:spacing w:after="0" w:line="3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 shall control.</w:t>
      </w:r>
    </w:p>
    <w:p>
      <w:pPr>
        <w:spacing w:after="0" w:line="191" w:lineRule="exact"/>
        <w:rPr>
          <w:rFonts w:ascii="Times New Roman" w:cs="Times New Roman" w:eastAsia="Times New Roman" w:hAnsi="Times New Roman"/>
          <w:sz w:val="21"/>
          <w:szCs w:val="21"/>
          <w:color w:val="auto"/>
        </w:rPr>
      </w:pPr>
    </w:p>
    <w:p>
      <w:pPr>
        <w:jc w:val="both"/>
        <w:ind w:firstLine="1259"/>
        <w:spacing w:after="0" w:line="254" w:lineRule="auto"/>
        <w:tabs>
          <w:tab w:leader="none" w:pos="1745"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 respect to the U.S. Borrower, the Parent Borrower or any Subsidiary thereof or the Australian Borrower or any Subsidiary thereof) inures to the benefit of such Borrower, and that such Borrower’s business derives substantial benefits from the businesses of such Borrower’s Subsidiaries.</w:t>
      </w:r>
    </w:p>
    <w:p>
      <w:pPr>
        <w:spacing w:after="0" w:line="171" w:lineRule="exact"/>
        <w:rPr>
          <w:rFonts w:ascii="Times New Roman" w:cs="Times New Roman" w:eastAsia="Times New Roman" w:hAnsi="Times New Roman"/>
          <w:sz w:val="21"/>
          <w:szCs w:val="21"/>
          <w:color w:val="auto"/>
        </w:rPr>
      </w:pPr>
    </w:p>
    <w:p>
      <w:pPr>
        <w:jc w:val="both"/>
        <w:ind w:firstLine="1259"/>
        <w:spacing w:after="0" w:line="268" w:lineRule="auto"/>
        <w:tabs>
          <w:tab w:leader="none" w:pos="179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ectPr>
          <w:pgSz w:w="11900" w:h="16838" w:orient="portrait"/>
          <w:cols w:equalWidth="0" w:num="1">
            <w:col w:w="11240"/>
          </w:cols>
          <w:pgMar w:left="320" w:top="1380" w:right="339" w:bottom="1440" w:gutter="0" w:footer="0" w:header="0"/>
        </w:sectPr>
      </w:pPr>
    </w:p>
    <w:bookmarkStart w:id="149" w:name="page150"/>
    <w:bookmarkEnd w:id="149"/>
    <w:p>
      <w:pPr>
        <w:ind w:left="8"/>
        <w:spacing w:after="0"/>
        <w:tabs>
          <w:tab w:leader="none" w:pos="1548" w:val="left"/>
        </w:tabs>
        <w:rPr>
          <w:sz w:val="20"/>
          <w:szCs w:val="20"/>
          <w:color w:val="auto"/>
        </w:rPr>
      </w:pPr>
      <w:r>
        <w:rPr>
          <w:rFonts w:ascii="Times New Roman" w:cs="Times New Roman" w:eastAsia="Times New Roman" w:hAnsi="Times New Roman"/>
          <w:sz w:val="21"/>
          <w:szCs w:val="21"/>
          <w:b w:val="1"/>
          <w:bCs w:val="1"/>
          <w:color w:val="auto"/>
        </w:rPr>
        <w:t>SECTION 2.22</w:t>
      </w:r>
      <w:r>
        <w:rPr>
          <w:sz w:val="20"/>
          <w:szCs w:val="20"/>
          <w:color w:val="auto"/>
        </w:rPr>
        <w:tab/>
      </w:r>
      <w:r>
        <w:rPr>
          <w:rFonts w:ascii="Times New Roman" w:cs="Times New Roman" w:eastAsia="Times New Roman" w:hAnsi="Times New Roman"/>
          <w:sz w:val="20"/>
          <w:szCs w:val="20"/>
          <w:b w:val="1"/>
          <w:bCs w:val="1"/>
          <w:i w:val="1"/>
          <w:iCs w:val="1"/>
          <w:color w:val="FF0000"/>
          <w:strike w:val="1"/>
        </w:rPr>
        <w:t>Bankers’ Acceptances</w:t>
      </w:r>
      <w:r>
        <w:rPr>
          <w:rFonts w:ascii="Times New Roman" w:cs="Times New Roman" w:eastAsia="Times New Roman" w:hAnsi="Times New Roman"/>
          <w:sz w:val="20"/>
          <w:szCs w:val="20"/>
          <w:b w:val="1"/>
          <w:bCs w:val="1"/>
          <w:i w:val="1"/>
          <w:iCs w:val="1"/>
          <w:u w:val="single" w:color="auto"/>
          <w:color w:val="0000FF"/>
          <w:highlight w:val="lightGray"/>
          <w:strike w:val="1"/>
        </w:rPr>
        <w:t>[Reserved]</w:t>
      </w:r>
      <w:r>
        <w:rPr>
          <w:rFonts w:ascii="Times New Roman" w:cs="Times New Roman" w:eastAsia="Times New Roman" w:hAnsi="Times New Roman"/>
          <w:sz w:val="20"/>
          <w:szCs w:val="20"/>
          <w:u w:val="single" w:color="auto"/>
          <w:color w:val="0000FF"/>
          <w:highlight w:val="lightGray"/>
          <w:strike w:val="1"/>
        </w:rPr>
        <w:t>.</w:t>
      </w:r>
    </w:p>
    <w:p>
      <w:pPr>
        <w:spacing w:after="0" w:line="220" w:lineRule="exact"/>
        <w:rPr>
          <w:sz w:val="20"/>
          <w:szCs w:val="20"/>
          <w:color w:val="auto"/>
        </w:rPr>
      </w:pPr>
    </w:p>
    <w:p>
      <w:pPr>
        <w:ind w:left="-632" w:firstLine="632"/>
        <w:spacing w:after="0" w:line="277" w:lineRule="auto"/>
        <w:tabs>
          <w:tab w:leader="none" w:pos="113" w:val="left"/>
        </w:tabs>
        <w:numPr>
          <w:ilvl w:val="0"/>
          <w:numId w:val="16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(a) Subject to the terms and conditions of this Agreement, the Parent Borrower may request a Borrowing denominated in Canadian dollars by presenting drafts for acceptance and, if applicable, purchase as B/As by the Canadian Lenders.</w:t>
      </w:r>
    </w:p>
    <w:p>
      <w:pPr>
        <w:spacing w:after="0" w:line="161" w:lineRule="exact"/>
        <w:rPr>
          <w:rFonts w:ascii="Times New Roman" w:cs="Times New Roman" w:eastAsia="Times New Roman" w:hAnsi="Times New Roman"/>
          <w:sz w:val="21"/>
          <w:szCs w:val="21"/>
          <w:color w:val="FF0000"/>
          <w:strike w:val="1"/>
        </w:rPr>
      </w:pPr>
    </w:p>
    <w:p>
      <w:pPr>
        <w:ind w:left="-632" w:firstLine="1259"/>
        <w:spacing w:after="0" w:line="277" w:lineRule="auto"/>
        <w:tabs>
          <w:tab w:leader="none" w:pos="1154" w:val="left"/>
        </w:tabs>
        <w:numPr>
          <w:ilvl w:val="1"/>
          <w:numId w:val="16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No Contract Period with respect to a B/A to be accepted and, if applicable, purchased as a Loan shall extend beyond the Maturity Date. All B/A Loans shall be denominated in Canadian dollars.</w:t>
      </w:r>
    </w:p>
    <w:p>
      <w:pPr>
        <w:spacing w:after="0" w:line="148" w:lineRule="exact"/>
        <w:rPr>
          <w:rFonts w:ascii="Times New Roman" w:cs="Times New Roman" w:eastAsia="Times New Roman" w:hAnsi="Times New Roman"/>
          <w:sz w:val="21"/>
          <w:szCs w:val="21"/>
          <w:color w:val="FF0000"/>
          <w:strike w:val="1"/>
        </w:rPr>
      </w:pPr>
    </w:p>
    <w:p>
      <w:pPr>
        <w:jc w:val="both"/>
        <w:ind w:left="-632" w:firstLine="1259"/>
        <w:spacing w:after="0" w:line="250" w:lineRule="auto"/>
        <w:tabs>
          <w:tab w:leader="none" w:pos="1168" w:val="left"/>
        </w:tabs>
        <w:numPr>
          <w:ilvl w:val="1"/>
          <w:numId w:val="16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To facilitate availment of the B/A Loans, the Parent Borrower hereby appoints each Canadian Lender as its attorney to sign and endorse on its behalf, in handwriting or by facsimile or mechanical signature as and when deemed necessary by such Canadian Lender, blank forms of B/As in the form requested by such Canadian Lender. The Parent Borrower recognizes and agrees that all B/As signed and/or endorsed on its behalf by a Canadian Lender shall bind such Parent Borrower as fully and effectually as if signed in the handwriting of and duly issued by the proper signing officers of such Parent Borrower. Each Canadian Lender is hereby authorized to issue such B/As endorsed in blank in such face amounts as may be determined by such Canadian Lender; </w:t>
      </w:r>
      <w:r>
        <w:rPr>
          <w:rFonts w:ascii="Times New Roman" w:cs="Times New Roman" w:eastAsia="Times New Roman" w:hAnsi="Times New Roman"/>
          <w:sz w:val="21"/>
          <w:szCs w:val="21"/>
          <w:i w:val="1"/>
          <w:iCs w:val="1"/>
          <w:color w:val="FF0000"/>
          <w:strike w:val="1"/>
        </w:rPr>
        <w:t>provided</w:t>
      </w:r>
      <w:r>
        <w:rPr>
          <w:rFonts w:ascii="Times New Roman" w:cs="Times New Roman" w:eastAsia="Times New Roman" w:hAnsi="Times New Roman"/>
          <w:sz w:val="21"/>
          <w:szCs w:val="21"/>
          <w:color w:val="FF0000"/>
          <w:strike w:val="1"/>
        </w:rPr>
        <w:t xml:space="preserve"> that the aggregate amount thereof is equal to the aggregate amount of B/As required to be accepted and purchased by such Canadian Lender. No Canadian Lender shall be liable for any damage, loss or other claim arising by reason of any loss or improper use of any such instrument except the gross negligence or willful misconduct of such Canadian Lender. Each applicable Canadian Lender shall maintain a record with respect to B/As (i) voided by it for any reason, (ii) accepted and purchased by it hereunder and (iii) canceled at their respective maturities. Each Canadian Lender further agrees to retain such records in the manner and for the statutory periods provided in the various provincial or federal statutes and regulations which apply to such Canadian Lender. On request by or on behalf of the Parent Borrower, a Canadian Lender shall cancel all forms of B/A which have been pre-signed or pre-endorsed on behalf of such Parent Borrower and which are held by such Canadian Lender and are not required to be issued in accordance with such Parent Borrower’s irrevocable notice. At the discretion of a Lender, Bankers’ Acceptances to be accepted by such Lender may be issued in the form of “Depository Bills” within the meaning of the </w:t>
      </w:r>
      <w:r>
        <w:rPr>
          <w:rFonts w:ascii="Times New Roman" w:cs="Times New Roman" w:eastAsia="Times New Roman" w:hAnsi="Times New Roman"/>
          <w:sz w:val="21"/>
          <w:szCs w:val="21"/>
          <w:i w:val="1"/>
          <w:iCs w:val="1"/>
          <w:color w:val="FF0000"/>
          <w:strike w:val="1"/>
        </w:rPr>
        <w:t>Depository Bills and Notes Act</w:t>
      </w:r>
      <w:r>
        <w:rPr>
          <w:rFonts w:ascii="Times New Roman" w:cs="Times New Roman" w:eastAsia="Times New Roman" w:hAnsi="Times New Roman"/>
          <w:sz w:val="21"/>
          <w:szCs w:val="21"/>
          <w:color w:val="FF0000"/>
          <w:strike w:val="1"/>
        </w:rPr>
        <w:t xml:space="preserve"> (Canada) and deposited with the Canadian Depository for Securities Limited (“</w:t>
      </w:r>
      <w:r>
        <w:rPr>
          <w:rFonts w:ascii="Times New Roman" w:cs="Times New Roman" w:eastAsia="Times New Roman" w:hAnsi="Times New Roman"/>
          <w:sz w:val="21"/>
          <w:szCs w:val="21"/>
          <w:i w:val="1"/>
          <w:iCs w:val="1"/>
          <w:color w:val="FF0000"/>
          <w:strike w:val="1"/>
        </w:rPr>
        <w:t>CDS</w:t>
      </w:r>
      <w:r>
        <w:rPr>
          <w:rFonts w:ascii="Times New Roman" w:cs="Times New Roman" w:eastAsia="Times New Roman" w:hAnsi="Times New Roman"/>
          <w:sz w:val="21"/>
          <w:szCs w:val="21"/>
          <w:color w:val="FF0000"/>
          <w:strike w:val="1"/>
        </w:rPr>
        <w:t>”) and may be made payable to “CDS &amp; Co.” or in such other name as may be acceptable to CDS and thereafter dealt with in accordance with the rules and procedures of CDS, consistent with the terms of this Agreement. All Depository Bills so issued shall be governed by the provisions of this Section 2.22.</w:t>
      </w:r>
    </w:p>
    <w:p>
      <w:pPr>
        <w:spacing w:after="0" w:line="199" w:lineRule="exact"/>
        <w:rPr>
          <w:rFonts w:ascii="Times New Roman" w:cs="Times New Roman" w:eastAsia="Times New Roman" w:hAnsi="Times New Roman"/>
          <w:sz w:val="21"/>
          <w:szCs w:val="21"/>
          <w:color w:val="FF0000"/>
          <w:strike w:val="1"/>
        </w:rPr>
      </w:pPr>
    </w:p>
    <w:p>
      <w:pPr>
        <w:jc w:val="both"/>
        <w:ind w:left="-632" w:firstLine="1259"/>
        <w:spacing w:after="0" w:line="254" w:lineRule="auto"/>
        <w:tabs>
          <w:tab w:leader="none" w:pos="1102" w:val="left"/>
        </w:tabs>
        <w:numPr>
          <w:ilvl w:val="1"/>
          <w:numId w:val="16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Drafts of the Parent Borrower to be accepted as B/As hereunder shall be signed as set forth in this Section 2.22. Notwithstanding that any person whose signature appears on any B/A may no longer be an authorized signatory for any of the Canadian Lenders or the Parent Borrower at the date of issuance of a B/A, such signature shall nevertheless be valid and sufficient for all purposes as if such authority had remained in force at the time of such issuance and any such B/A so signed shall be binding on such Parent Borrower.</w:t>
      </w:r>
    </w:p>
    <w:p>
      <w:pPr>
        <w:sectPr>
          <w:pgSz w:w="11900" w:h="16838" w:orient="portrait"/>
          <w:cols w:equalWidth="0" w:num="1">
            <w:col w:w="10608"/>
          </w:cols>
          <w:pgMar w:left="952" w:top="1376" w:right="339" w:bottom="1440" w:gutter="0" w:footer="0" w:header="0"/>
        </w:sectPr>
      </w:pPr>
    </w:p>
    <w:bookmarkStart w:id="150" w:name="page151"/>
    <w:bookmarkEnd w:id="150"/>
    <w:p>
      <w:pPr>
        <w:jc w:val="both"/>
        <w:ind w:left="-1120" w:firstLine="1259"/>
        <w:spacing w:after="0" w:line="255" w:lineRule="auto"/>
        <w:tabs>
          <w:tab w:leader="none" w:pos="772" w:val="left"/>
        </w:tabs>
        <w:numPr>
          <w:ilvl w:val="0"/>
          <w:numId w:val="161"/>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Promptly following receipt of a notice of borrowing, continuation or conversion of B/As, the Canadian Administrative Agent shall so advise the Canadian Lenders, and shall advise each Canadian Lender, of the aggregate face amount of the B/As to be accepted by it and the applicable Contract Period (which shall be identical for all Canadian Lenders). The aggregate face amount of the B/As to be accepted by a Canadian Lender shall be in an integral multiple of C$100,000 and such face amount shall be in each Canadian Lender’s pro rata portion of such Canadian Borrowing; </w:t>
      </w:r>
      <w:r>
        <w:rPr>
          <w:rFonts w:ascii="Times New Roman" w:cs="Times New Roman" w:eastAsia="Times New Roman" w:hAnsi="Times New Roman"/>
          <w:sz w:val="21"/>
          <w:szCs w:val="21"/>
          <w:i w:val="1"/>
          <w:iCs w:val="1"/>
          <w:color w:val="FF0000"/>
          <w:strike w:val="1"/>
        </w:rPr>
        <w:t>provided</w:t>
      </w:r>
      <w:r>
        <w:rPr>
          <w:rFonts w:ascii="Times New Roman" w:cs="Times New Roman" w:eastAsia="Times New Roman" w:hAnsi="Times New Roman"/>
          <w:sz w:val="21"/>
          <w:szCs w:val="21"/>
          <w:color w:val="FF0000"/>
          <w:strike w:val="1"/>
        </w:rPr>
        <w:t>, that the Canadian Administrative Agent may, in its sole discretion, increase or reduce any Canadian Lender’s portion of such B/A to the nearest C$100,000.</w:t>
      </w:r>
    </w:p>
    <w:p>
      <w:pPr>
        <w:spacing w:after="0" w:line="172" w:lineRule="exact"/>
        <w:rPr>
          <w:rFonts w:ascii="Times New Roman" w:cs="Times New Roman" w:eastAsia="Times New Roman" w:hAnsi="Times New Roman"/>
          <w:sz w:val="21"/>
          <w:szCs w:val="21"/>
          <w:color w:val="FF0000"/>
          <w:strike w:val="1"/>
        </w:rPr>
      </w:pPr>
    </w:p>
    <w:p>
      <w:pPr>
        <w:jc w:val="both"/>
        <w:ind w:left="-1120" w:firstLine="1259"/>
        <w:spacing w:after="0" w:line="254" w:lineRule="auto"/>
        <w:tabs>
          <w:tab w:leader="none" w:pos="553" w:val="left"/>
        </w:tabs>
        <w:numPr>
          <w:ilvl w:val="0"/>
          <w:numId w:val="161"/>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The Parent Borrower may specify in a notice of borrowing or conversion or continuation pursuant to Section 2.03 or Section 2.10, respectively, that it desires that any B/As requested by such notice be purchased by the applicable Canadian Lenders, in which case the applicable Canadian Lenders shall purchase, or arrange the purchase of, each B/A from such Parent Borrower at the B/A Discount Rate for such Canadian Lender applicable to such B/A accepted by it and provide to the Canadian Administrative Agent the Discount Proceeds for the account of such Parent Borrower. The Acceptance Fee payable by such Parent Borrower to a Canadian Lender under Section 2.06 in respect of each B/A accepted by such Canadian Lender shall be set off against the Discount Proceeds payable by such Canadian Lender under this Section 2.22.</w:t>
      </w:r>
    </w:p>
    <w:p>
      <w:pPr>
        <w:spacing w:after="0" w:line="171" w:lineRule="exact"/>
        <w:rPr>
          <w:rFonts w:ascii="Times New Roman" w:cs="Times New Roman" w:eastAsia="Times New Roman" w:hAnsi="Times New Roman"/>
          <w:sz w:val="21"/>
          <w:szCs w:val="21"/>
          <w:color w:val="FF0000"/>
          <w:strike w:val="1"/>
        </w:rPr>
      </w:pPr>
    </w:p>
    <w:p>
      <w:pPr>
        <w:ind w:left="-1120" w:firstLine="1259"/>
        <w:spacing w:after="0" w:line="290" w:lineRule="auto"/>
        <w:tabs>
          <w:tab w:leader="none" w:pos="614" w:val="left"/>
        </w:tabs>
        <w:numPr>
          <w:ilvl w:val="0"/>
          <w:numId w:val="161"/>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Each Canadian Lender may at any time and from time to time hold, sell, rediscount or otherwise dispose of any or all B/As accepted and purchased by it.</w:t>
      </w:r>
    </w:p>
    <w:p>
      <w:pPr>
        <w:spacing w:after="0" w:line="135" w:lineRule="exact"/>
        <w:rPr>
          <w:rFonts w:ascii="Times New Roman" w:cs="Times New Roman" w:eastAsia="Times New Roman" w:hAnsi="Times New Roman"/>
          <w:sz w:val="21"/>
          <w:szCs w:val="21"/>
          <w:color w:val="FF0000"/>
          <w:strike w:val="1"/>
        </w:rPr>
      </w:pPr>
    </w:p>
    <w:p>
      <w:pPr>
        <w:jc w:val="both"/>
        <w:ind w:left="-1120" w:firstLine="1259"/>
        <w:spacing w:after="0" w:line="251" w:lineRule="auto"/>
        <w:tabs>
          <w:tab w:leader="none" w:pos="692" w:val="left"/>
        </w:tabs>
        <w:numPr>
          <w:ilvl w:val="0"/>
          <w:numId w:val="161"/>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If a Canadian Lender notifies the Canadian Administrative Agent in writing that it is unable or unwilling to accept Bankers’ Acceptances, such Canadian Lender will, instead of accepting and, if applicable, purchasing Bankers’ Acceptances, make an advance (a “</w:t>
      </w:r>
      <w:r>
        <w:rPr>
          <w:rFonts w:ascii="Times New Roman" w:cs="Times New Roman" w:eastAsia="Times New Roman" w:hAnsi="Times New Roman"/>
          <w:sz w:val="21"/>
          <w:szCs w:val="21"/>
          <w:i w:val="1"/>
          <w:iCs w:val="1"/>
          <w:color w:val="FF0000"/>
          <w:strike w:val="1"/>
        </w:rPr>
        <w:t>B/A Equivalent Loan</w:t>
      </w:r>
      <w:r>
        <w:rPr>
          <w:rFonts w:ascii="Times New Roman" w:cs="Times New Roman" w:eastAsia="Times New Roman" w:hAnsi="Times New Roman"/>
          <w:sz w:val="21"/>
          <w:szCs w:val="21"/>
          <w:color w:val="FF0000"/>
          <w:strike w:val="1"/>
        </w:rPr>
        <w:t>”) to the Parent Borrower in the amount and for the same term as the draft that such Canadian Lender would otherwise have been required to accept and purchase hereunder. Each such Canadian Lender will provide to the Canadian Administrative Agent the Discount Proceeds of such B/A Equivalent Loan for the account of such Parent Borrower. Each such B/A Equivalent Loan will bear interest at the same rate that would result if such Lender had accepted (and been paid an Acceptance Fee) and purchased (on a discounted basis at the B/A Discount Rate) a Bankers’ Acceptance for the relevant Contract Period (it being the intention of the parties that each such B/A Equivalent Loan shall have the same economic consequences for the Lenders and the Parent Borrower as the Bankers’ Acceptance which such B/A Equivalent Loan replaces). All such interest shall be paid in advance on the date such B/A Equivalent Loan is made, and will be deducted from the principal amount of such B/A Equivalent Loan in the same manner in which the Discount Proceeds of a Bankers’ Acceptance would be deducted from the face amount of the Bankers’ Acceptance. Each B/A Equivalent Loan shall be evidenced by a non-interest bearing promissory note (a “</w:t>
      </w:r>
      <w:r>
        <w:rPr>
          <w:rFonts w:ascii="Times New Roman" w:cs="Times New Roman" w:eastAsia="Times New Roman" w:hAnsi="Times New Roman"/>
          <w:sz w:val="21"/>
          <w:szCs w:val="21"/>
          <w:i w:val="1"/>
          <w:iCs w:val="1"/>
          <w:color w:val="FF0000"/>
          <w:strike w:val="1"/>
        </w:rPr>
        <w:t>Discount Note</w:t>
      </w:r>
      <w:r>
        <w:rPr>
          <w:rFonts w:ascii="Times New Roman" w:cs="Times New Roman" w:eastAsia="Times New Roman" w:hAnsi="Times New Roman"/>
          <w:sz w:val="21"/>
          <w:szCs w:val="21"/>
          <w:color w:val="FF0000"/>
          <w:strike w:val="1"/>
        </w:rPr>
        <w:t>”) of the Parent Borrower, denominated in Canadian dollars, executed and delivered by the Parent Borrower to such Canadian Lender, substantially in the form of Exhibit G.</w:t>
      </w:r>
    </w:p>
    <w:p>
      <w:pPr>
        <w:sectPr>
          <w:pgSz w:w="11900" w:h="16838" w:orient="portrait"/>
          <w:cols w:equalWidth="0" w:num="1">
            <w:col w:w="10120"/>
          </w:cols>
          <w:pgMar w:left="1440" w:top="1380" w:right="339" w:bottom="1440" w:gutter="0" w:footer="0" w:header="0"/>
        </w:sectPr>
      </w:pPr>
    </w:p>
    <w:bookmarkStart w:id="151" w:name="page152"/>
    <w:bookmarkEnd w:id="151"/>
    <w:p>
      <w:pPr>
        <w:jc w:val="both"/>
        <w:ind w:left="-1120" w:firstLine="1259"/>
        <w:spacing w:after="0" w:line="253" w:lineRule="auto"/>
        <w:tabs>
          <w:tab w:leader="none" w:pos="554" w:val="left"/>
        </w:tabs>
        <w:numPr>
          <w:ilvl w:val="0"/>
          <w:numId w:val="162"/>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The Parent Borrower waives presentment for payment and any other defense to payment of any amounts due to a Canadian Lender in respect of a B/A accepted and purchased by it pursuant to this Agreement which might exist solely by reason of such B/A being held, at the maturity thereof, by such Canadian Lender in its own right and the Parent Borrower agrees not to claim any days of grace if such Canadian Lender as holder sues such Parent Borrower on the B/A for payment of the amount payable by such Parent Borrower thereunder. On the last day of the Contract Period of a B/A, or such earlier date as may be required or permitted pursuant to the provisions of this Agreement, the Parent Borrower shall pay the Canadian Lender that has accepted and purchased such B/A the full face amount of such B/A and after such payment, such Parent Borrower shall have no further liability in respect of such B/A and such Canadian Lender shall be entitled to all benefits of, and be responsible for all payments due to third parties under, such B/A.</w:t>
      </w:r>
    </w:p>
    <w:p>
      <w:pPr>
        <w:spacing w:after="0" w:line="178" w:lineRule="exact"/>
        <w:rPr>
          <w:rFonts w:ascii="Times New Roman" w:cs="Times New Roman" w:eastAsia="Times New Roman" w:hAnsi="Times New Roman"/>
          <w:sz w:val="21"/>
          <w:szCs w:val="21"/>
          <w:color w:val="FF0000"/>
          <w:strike w:val="1"/>
        </w:rPr>
      </w:pPr>
    </w:p>
    <w:p>
      <w:pPr>
        <w:jc w:val="both"/>
        <w:ind w:left="-1120" w:firstLine="1259"/>
        <w:spacing w:after="0" w:line="262" w:lineRule="auto"/>
        <w:tabs>
          <w:tab w:leader="none" w:pos="606" w:val="left"/>
        </w:tabs>
        <w:numPr>
          <w:ilvl w:val="0"/>
          <w:numId w:val="162"/>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Except as required by any Canadian Lender upon the occurrence of an Event of Default, no B/A Loan may be repaid by the Parent Borrower prior to the expiry date of the Contract Period applicable to such B/A Loan; </w:t>
      </w:r>
      <w:r>
        <w:rPr>
          <w:rFonts w:ascii="Times New Roman" w:cs="Times New Roman" w:eastAsia="Times New Roman" w:hAnsi="Times New Roman"/>
          <w:sz w:val="21"/>
          <w:szCs w:val="21"/>
          <w:i w:val="1"/>
          <w:iCs w:val="1"/>
          <w:color w:val="FF0000"/>
          <w:strike w:val="1"/>
        </w:rPr>
        <w:t>provided</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i w:val="1"/>
          <w:iCs w:val="1"/>
          <w:color w:val="FF0000"/>
          <w:strike w:val="1"/>
        </w:rPr>
        <w:t>however</w:t>
      </w:r>
      <w:r>
        <w:rPr>
          <w:rFonts w:ascii="Times New Roman" w:cs="Times New Roman" w:eastAsia="Times New Roman" w:hAnsi="Times New Roman"/>
          <w:sz w:val="21"/>
          <w:szCs w:val="21"/>
          <w:color w:val="FF0000"/>
          <w:strike w:val="1"/>
        </w:rPr>
        <w:t>, that any B/A Loan may be defeased as provided in the proviso to Section 2.11(a).</w:t>
      </w:r>
    </w:p>
    <w:p>
      <w:pPr>
        <w:spacing w:after="0" w:line="163" w:lineRule="exact"/>
        <w:rPr>
          <w:rFonts w:ascii="Times New Roman" w:cs="Times New Roman" w:eastAsia="Times New Roman" w:hAnsi="Times New Roman"/>
          <w:sz w:val="21"/>
          <w:szCs w:val="21"/>
          <w:color w:val="FF0000"/>
          <w:strike w:val="1"/>
        </w:rPr>
      </w:pPr>
    </w:p>
    <w:p>
      <w:pPr>
        <w:jc w:val="both"/>
        <w:ind w:left="-1120" w:firstLine="1259"/>
        <w:spacing w:after="0" w:line="251" w:lineRule="auto"/>
        <w:tabs>
          <w:tab w:leader="none" w:pos="718" w:val="left"/>
        </w:tabs>
        <w:numPr>
          <w:ilvl w:val="0"/>
          <w:numId w:val="162"/>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With respect to any repayment of unmatured B/A’s pursuant to the proviso to Section 2.11(a) or otherwise hereunder, it is agreed that the Parent Borrower shall provide for the funding in full of the unmatured B/A’s to be repaid by paying to and depositing with the Canadian Administrative Agent Cash Collateral for each such unmatured B/A equal to the face amount payable at maturity thereof. The Canadian Administrative Agent shall hold such Cash Collateral in an interest bearing Cash Collateral account at rates prevailing at the time of deposit for similar accounts with the Canadian Administrative Agent; such Cash Collateral, such Cash Collateral account, any accounts receivable, claims, instruments or securities evidencing or relating to the foregoing, and any proceeds of any of the foregoing (collectively, the “</w:t>
      </w:r>
      <w:r>
        <w:rPr>
          <w:rFonts w:ascii="Times New Roman" w:cs="Times New Roman" w:eastAsia="Times New Roman" w:hAnsi="Times New Roman"/>
          <w:sz w:val="21"/>
          <w:szCs w:val="21"/>
          <w:i w:val="1"/>
          <w:iCs w:val="1"/>
          <w:color w:val="FF0000"/>
          <w:strike w:val="1"/>
        </w:rPr>
        <w:t>Outstanding BAs Collateral</w:t>
      </w:r>
      <w:r>
        <w:rPr>
          <w:rFonts w:ascii="Times New Roman" w:cs="Times New Roman" w:eastAsia="Times New Roman" w:hAnsi="Times New Roman"/>
          <w:sz w:val="21"/>
          <w:szCs w:val="21"/>
          <w:color w:val="FF0000"/>
          <w:strike w:val="1"/>
        </w:rPr>
        <w:t>”) shall be assigned to the Canadian Administrative Agent as security for the obligations of the Parent Borrower in relation to such B/A’s and the security interest of the Canadian Administrative Agent created in such Outstanding BAs Collateral shall rank in priority to all other security interests and adverse claims against such Outstanding BAs Collateral. Such Outstanding BAs Collateral shall be applied to satisfy the obligations of the Parent Borrower for such B/A’s as they mature and the Canadian Administrative Agent is hereby irrevocably directed by the Parent Borrower to apply any such Outstanding BAs Collateral to such maturing B/A’s. The Outstanding BAs Collateral created herein shall not be released to the Parent Borrower prior to the maturity of the applicable B/As without the consent of the applicable Canadian Lenders; however, interest on such deposited amounts shall be for the account of the Parent Borrower and may be withdrawn by the Parent Borrower so long as no Default or Event of Default is then continuing. If, after maturity of the B/A’s for which such Outstanding BAs Collateral is held and application by the Canadian Administrative Agent of the Outstanding BAs Collateral to satisfy the obligations of the Parent Borrower hereunder with respect to the B/A’s being repaid, any interest or other proceeds of the Outstanding BAs Collateral remains, such interest or other proceeds shall be promptly paid and transferred by the Canadian Administrative Agent to the Parent Borrower so long as no Default or Event of Default is then continuing.</w:t>
      </w:r>
    </w:p>
    <w:p>
      <w:pPr>
        <w:sectPr>
          <w:pgSz w:w="11900" w:h="16838" w:orient="portrait"/>
          <w:cols w:equalWidth="0" w:num="1">
            <w:col w:w="10120"/>
          </w:cols>
          <w:pgMar w:left="1440" w:top="1380" w:right="339" w:bottom="1440" w:gutter="0" w:footer="0" w:header="0"/>
        </w:sectPr>
      </w:pPr>
    </w:p>
    <w:bookmarkStart w:id="152" w:name="page153"/>
    <w:bookmarkEnd w:id="152"/>
    <w:p>
      <w:pPr>
        <w:spacing w:after="0"/>
        <w:tabs>
          <w:tab w:leader="none" w:pos="1540" w:val="left"/>
        </w:tabs>
        <w:rPr>
          <w:sz w:val="20"/>
          <w:szCs w:val="20"/>
          <w:color w:val="auto"/>
        </w:rPr>
      </w:pPr>
      <w:r>
        <w:rPr>
          <w:rFonts w:ascii="Times New Roman" w:cs="Times New Roman" w:eastAsia="Times New Roman" w:hAnsi="Times New Roman"/>
          <w:sz w:val="21"/>
          <w:szCs w:val="21"/>
          <w:b w:val="1"/>
          <w:bCs w:val="1"/>
          <w:color w:val="auto"/>
        </w:rPr>
        <w:t>SECTION 2.23</w:t>
      </w:r>
      <w:r>
        <w:rPr>
          <w:sz w:val="20"/>
          <w:szCs w:val="20"/>
          <w:color w:val="auto"/>
        </w:rPr>
        <w:tab/>
      </w:r>
      <w:r>
        <w:rPr>
          <w:rFonts w:ascii="Times New Roman" w:cs="Times New Roman" w:eastAsia="Times New Roman" w:hAnsi="Times New Roman"/>
          <w:sz w:val="20"/>
          <w:szCs w:val="20"/>
          <w:b w:val="1"/>
          <w:bCs w:val="1"/>
          <w:i w:val="1"/>
          <w:iCs w:val="1"/>
          <w:color w:val="auto"/>
        </w:rPr>
        <w:t>Swing Line Loans</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ind w:left="1060" w:hanging="441"/>
        <w:spacing w:after="0"/>
        <w:tabs>
          <w:tab w:leader="none" w:pos="106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w:t>
      </w:r>
    </w:p>
    <w:p>
      <w:pPr>
        <w:spacing w:after="0" w:line="215" w:lineRule="exact"/>
        <w:rPr>
          <w:rFonts w:ascii="Times New Roman" w:cs="Times New Roman" w:eastAsia="Times New Roman" w:hAnsi="Times New Roman"/>
          <w:sz w:val="21"/>
          <w:szCs w:val="21"/>
          <w:color w:val="auto"/>
        </w:rPr>
      </w:pPr>
    </w:p>
    <w:p>
      <w:pPr>
        <w:jc w:val="both"/>
        <w:ind w:firstLine="1246"/>
        <w:spacing w:after="0" w:line="251" w:lineRule="auto"/>
        <w:tabs>
          <w:tab w:leader="none" w:pos="1844"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U.S. Swing Line</w:t>
      </w:r>
      <w:r>
        <w:rPr>
          <w:rFonts w:ascii="Times New Roman" w:cs="Times New Roman" w:eastAsia="Times New Roman" w:hAnsi="Times New Roman"/>
          <w:sz w:val="21"/>
          <w:szCs w:val="21"/>
          <w:color w:val="auto"/>
        </w:rPr>
        <w:t>. Subject to the terms and conditions set forth herein, and if an AutoBorrow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is in effect, subject to the terms and conditions of such AutoBorrow Agreement, the U.S. Swing Line Lender may in its sole and absolute discretion, in reliance upon the agreements of the other U.S. Revolving Lenders set forth in this Section 2.23, make loans in U.S. dollars (each such loan, a “</w:t>
      </w:r>
      <w:r>
        <w:rPr>
          <w:rFonts w:ascii="Times New Roman" w:cs="Times New Roman" w:eastAsia="Times New Roman" w:hAnsi="Times New Roman"/>
          <w:sz w:val="21"/>
          <w:szCs w:val="21"/>
          <w:i w:val="1"/>
          <w:iCs w:val="1"/>
          <w:color w:val="auto"/>
        </w:rPr>
        <w:t>U.S. Swing Line Loan</w:t>
      </w:r>
      <w:r>
        <w:rPr>
          <w:rFonts w:ascii="Times New Roman" w:cs="Times New Roman" w:eastAsia="Times New Roman" w:hAnsi="Times New Roman"/>
          <w:sz w:val="21"/>
          <w:szCs w:val="21"/>
          <w:color w:val="auto"/>
        </w:rPr>
        <w:t xml:space="preserve">”) to the U.S. Borrower from time to time on or after the Closing Date until the earlier of the Maturity Date and the termination of the Total 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after giving effect to any U.S. Swing Line Loan, (i) the aggregate U.S. Revolving Credit Exposure of all 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Revolving Lenders shall not exceed the Total U.S. Revolving Commitments at such time, and (ii) the U.S. Revolving Credit Exposure of each U.S. Revolving Lender at such time shall not exceed such Lender’s U.S. Revolving Commitment,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the U.S. Borrower shall not use the proceeds of any U.S. Swing Line Loan to refinance any outstanding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U.S. Swing Line Loan. Within the foregoing limits, the U.S. Borrower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(expressed as a decimal) times the amount of such U.S. Swing Line Loan. Each U.S. Revolving Lender shall have the obligation to purchase and fund risk participations in the U.S. Swing Line Loans and to refinance U.S. Swing Line Loans as provided in this Agreement.</w:t>
      </w:r>
    </w:p>
    <w:p>
      <w:pPr>
        <w:spacing w:after="0" w:line="180" w:lineRule="exact"/>
        <w:rPr>
          <w:rFonts w:ascii="Times New Roman" w:cs="Times New Roman" w:eastAsia="Times New Roman" w:hAnsi="Times New Roman"/>
          <w:sz w:val="21"/>
          <w:szCs w:val="21"/>
          <w:color w:val="auto"/>
        </w:rPr>
      </w:pPr>
    </w:p>
    <w:p>
      <w:pPr>
        <w:jc w:val="both"/>
        <w:ind w:firstLine="1246"/>
        <w:spacing w:after="0" w:line="253" w:lineRule="auto"/>
        <w:tabs>
          <w:tab w:leader="none" w:pos="1798"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Canadian Swing Line</w:t>
      </w:r>
      <w:r>
        <w:rPr>
          <w:rFonts w:ascii="Times New Roman" w:cs="Times New Roman" w:eastAsia="Times New Roman" w:hAnsi="Times New Roman"/>
          <w:sz w:val="21"/>
          <w:szCs w:val="21"/>
          <w:color w:val="auto"/>
        </w:rPr>
        <w:t>. Subject to the terms and conditions set forth herein, and if an AutoBorrow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is in effect, subject to the terms and conditions of such AutoBorrow Agreement, the Canadian Swing Line Lender may in its sole and absolute discretion, in reliance upon the agreements of the other Canadian Revolving Lenders set forth in this Section 2.23, make loans in Canadian dollars or U.S. dollars (each such loan, a “</w:t>
      </w:r>
      <w:r>
        <w:rPr>
          <w:rFonts w:ascii="Times New Roman" w:cs="Times New Roman" w:eastAsia="Times New Roman" w:hAnsi="Times New Roman"/>
          <w:sz w:val="21"/>
          <w:szCs w:val="21"/>
          <w:i w:val="1"/>
          <w:iCs w:val="1"/>
          <w:color w:val="auto"/>
        </w:rPr>
        <w:t>Canadian Swing Line Loan</w:t>
      </w:r>
      <w:r>
        <w:rPr>
          <w:rFonts w:ascii="Times New Roman" w:cs="Times New Roman" w:eastAsia="Times New Roman" w:hAnsi="Times New Roman"/>
          <w:sz w:val="21"/>
          <w:szCs w:val="21"/>
          <w:color w:val="auto"/>
        </w:rPr>
        <w:t xml:space="preserve">”) to the Parent Borrower from time to time on or after the Closing Date until the earlier of the Maturity Date and the termination of the Total Canadian Revolving Commitments in an aggregate amount not to exceed at any time outstanding the amount of the Canadian Swing Line Sublimit, notwithstanding the fact that such Canadian Swing Line Loans, when aggregated with the Canadian Revolving Credit Exposure of the Lender acting as Canadian Swing Line Lender, may exceed the amount of such Lender’s Canadian Revolving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after giving effect to any Canadian Swing Line Loan, (i) the</w:t>
      </w:r>
    </w:p>
    <w:p>
      <w:pPr>
        <w:sectPr>
          <w:pgSz w:w="11900" w:h="16838" w:orient="portrait"/>
          <w:cols w:equalWidth="0" w:num="1">
            <w:col w:w="10600"/>
          </w:cols>
          <w:pgMar w:left="960" w:top="1376" w:right="339" w:bottom="1440" w:gutter="0" w:footer="0" w:header="0"/>
        </w:sectPr>
      </w:pPr>
    </w:p>
    <w:bookmarkStart w:id="153" w:name="page154"/>
    <w:bookmarkEnd w:id="153"/>
    <w:p>
      <w:pPr>
        <w:jc w:val="both"/>
        <w:ind w:left="635"/>
        <w:spacing w:after="0" w:line="252" w:lineRule="auto"/>
        <w:rPr>
          <w:sz w:val="20"/>
          <w:szCs w:val="20"/>
          <w:color w:val="auto"/>
        </w:rPr>
      </w:pPr>
      <w:r>
        <w:rPr>
          <w:rFonts w:ascii="Times New Roman" w:cs="Times New Roman" w:eastAsia="Times New Roman" w:hAnsi="Times New Roman"/>
          <w:sz w:val="21"/>
          <w:szCs w:val="21"/>
          <w:color w:val="auto"/>
        </w:rPr>
        <w:t xml:space="preserve">aggregate Canadian Revolving Credit Exposure of all Canadian Revolving Lenders shall not exceed the Total Canadian Revolving Commitments at such time, and (ii) the Canadian Revolving Credit Exposure of each Canadian Revolving Lender at such time shall not exceed such Lender’s Canadian Revolving Commitment,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Parent Borrower shall not use the proceeds of any Canadian Swing Line Loan to refinance any outstanding Canadian Swing Line Loan. Within the foregoing limits, the Parent Borrower may borrow under this Section 2.23(a)(ii), prepay under Section 2.11, and reborrow under this Section 2.23(a)(ii). Immediately upon the making of a Canadian Swing Line Loan, each Canadian Revolving Lender shall be deemed to, and hereby irrevocably and unconditionally agrees to, purchase from the Canadian Swing Line Lender a risk participation in such Canadian Swing Line Loan in an amount equal to the product of such Canadian Revolving Lender’s Canadian Revolving Pro Rata Percentage (expressed as a decimal) times the amount of such Canadian Swing Line Loan. Each Canadian Revolving Lender shall have the obligation to purchase and fund risk participations in the Canadian Swing Line Loans and to refinance Canadian Swing Line Loans as provided in this Agreement.</w:t>
      </w:r>
    </w:p>
    <w:p>
      <w:pPr>
        <w:spacing w:after="0" w:line="175" w:lineRule="exact"/>
        <w:rPr>
          <w:sz w:val="20"/>
          <w:szCs w:val="20"/>
          <w:color w:val="auto"/>
        </w:rPr>
      </w:pPr>
    </w:p>
    <w:p>
      <w:pPr>
        <w:jc w:val="both"/>
        <w:ind w:left="-5" w:firstLine="1259"/>
        <w:spacing w:after="0" w:line="265" w:lineRule="auto"/>
        <w:tabs>
          <w:tab w:leader="none" w:pos="1742"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Borrowing Procedures</w:t>
      </w:r>
      <w:r>
        <w:rPr>
          <w:rFonts w:ascii="Times New Roman" w:cs="Times New Roman" w:eastAsia="Times New Roman" w:hAnsi="Times New Roman"/>
          <w:sz w:val="20"/>
          <w:szCs w:val="20"/>
          <w:color w:val="auto"/>
        </w:rPr>
        <w:t>. If an AutoBorrow Agreement is in effect, each Swing Line Borrowing shall be made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provided in such AutoBorrow 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w:t>
      </w:r>
    </w:p>
    <w:p>
      <w:pPr>
        <w:spacing w:after="0" w:line="5" w:lineRule="exact"/>
        <w:rPr>
          <w:rFonts w:ascii="Times New Roman" w:cs="Times New Roman" w:eastAsia="Times New Roman" w:hAnsi="Times New Roman"/>
          <w:sz w:val="20"/>
          <w:szCs w:val="20"/>
          <w:color w:val="auto"/>
        </w:rPr>
      </w:pPr>
    </w:p>
    <w:p>
      <w:pPr>
        <w:jc w:val="both"/>
        <w:ind w:left="-5" w:firstLine="5"/>
        <w:spacing w:after="0" w:line="250" w:lineRule="auto"/>
        <w:tabs>
          <w:tab w:leader="none" w:pos="262"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such Swing Line Borrowing (which shall be a Business Day); (ii) in the case of a Canadian Swing Line Borrowing, whether such Canadian Swing Line Borrowing is to be denominated in Canadian dollars or U.S. dollars; and (iii) the amount of such Swing Line 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 (ii),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w:t>
      </w:r>
    </w:p>
    <w:p>
      <w:pPr>
        <w:sectPr>
          <w:pgSz w:w="11900" w:h="16838" w:orient="portrait"/>
          <w:cols w:equalWidth="0" w:num="1">
            <w:col w:w="11235"/>
          </w:cols>
          <w:pgMar w:left="325" w:top="1380" w:right="339" w:bottom="1440" w:gutter="0" w:footer="0" w:header="0"/>
        </w:sectPr>
      </w:pPr>
    </w:p>
    <w:bookmarkStart w:id="154" w:name="page155"/>
    <w:bookmarkEnd w:id="154"/>
    <w:p>
      <w:pPr>
        <w:jc w:val="both"/>
        <w:spacing w:after="0" w:line="257" w:lineRule="auto"/>
        <w:rPr>
          <w:sz w:val="20"/>
          <w:szCs w:val="20"/>
          <w:color w:val="auto"/>
        </w:rPr>
      </w:pPr>
      <w:r>
        <w:rPr>
          <w:rFonts w:ascii="Times New Roman" w:cs="Times New Roman" w:eastAsia="Times New Roman" w:hAnsi="Times New Roman"/>
          <w:sz w:val="21"/>
          <w:szCs w:val="21"/>
          <w:color w:val="auto"/>
        </w:rPr>
        <w:t>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 but each Applicable Lender shall have the obligation to purchase and fund risk participations in the Swing Line Loans and to refinance Swing Line Loan as provided herein.</w:t>
      </w:r>
    </w:p>
    <w:p>
      <w:pPr>
        <w:spacing w:after="0" w:line="169" w:lineRule="exact"/>
        <w:rPr>
          <w:sz w:val="20"/>
          <w:szCs w:val="20"/>
          <w:color w:val="auto"/>
        </w:rPr>
      </w:pPr>
    </w:p>
    <w:p>
      <w:pPr>
        <w:jc w:val="both"/>
        <w:ind w:firstLine="1259"/>
        <w:spacing w:after="0" w:line="251" w:lineRule="auto"/>
        <w:tabs>
          <w:tab w:leader="none" w:pos="1787"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Refinancing of Swing Line Loans</w:t>
      </w:r>
      <w:r>
        <w:rPr>
          <w:rFonts w:ascii="Times New Roman" w:cs="Times New Roman" w:eastAsia="Times New Roman" w:hAnsi="Times New Roman"/>
          <w:sz w:val="21"/>
          <w:szCs w:val="21"/>
          <w:color w:val="auto"/>
        </w:rPr>
        <w:t>. (i) The Applicable Swing Line Lender at any time in its sole and absolute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discretion may request, on behalf of the Applicable Borrower (which 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dollars, a U.S. Base Rate Loan, in each case in an amount equal to such Lender’s Canadian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w:t>
      </w:r>
    </w:p>
    <w:p>
      <w:pPr>
        <w:spacing w:after="0" w:line="178" w:lineRule="exact"/>
        <w:rPr>
          <w:rFonts w:ascii="Times New Roman" w:cs="Times New Roman" w:eastAsia="Times New Roman" w:hAnsi="Times New Roman"/>
          <w:sz w:val="21"/>
          <w:szCs w:val="21"/>
          <w:color w:val="auto"/>
        </w:rPr>
      </w:pPr>
    </w:p>
    <w:p>
      <w:pPr>
        <w:jc w:val="both"/>
        <w:ind w:left="640" w:firstLine="1246"/>
        <w:spacing w:after="0" w:line="255" w:lineRule="auto"/>
        <w:tabs>
          <w:tab w:leader="none" w:pos="2504"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for any reason any Swing Line Loan cannot be refinanced by a U.S. Revolving Borrowing or a Canadian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w:t>
      </w:r>
    </w:p>
    <w:p>
      <w:pPr>
        <w:sectPr>
          <w:pgSz w:w="11900" w:h="16838" w:orient="portrait"/>
          <w:cols w:equalWidth="0" w:num="1">
            <w:col w:w="11240"/>
          </w:cols>
          <w:pgMar w:left="320" w:top="1380" w:right="339" w:bottom="1440" w:gutter="0" w:footer="0" w:header="0"/>
        </w:sectPr>
      </w:pPr>
    </w:p>
    <w:bookmarkStart w:id="155" w:name="page156"/>
    <w:bookmarkEnd w:id="155"/>
    <w:p>
      <w:pPr>
        <w:ind w:left="8"/>
        <w:spacing w:after="0"/>
        <w:rPr>
          <w:sz w:val="20"/>
          <w:szCs w:val="20"/>
          <w:color w:val="auto"/>
        </w:rPr>
      </w:pPr>
      <w:r>
        <w:rPr>
          <w:rFonts w:ascii="Times New Roman" w:cs="Times New Roman" w:eastAsia="Times New Roman" w:hAnsi="Times New Roman"/>
          <w:sz w:val="21"/>
          <w:szCs w:val="21"/>
          <w:color w:val="auto"/>
        </w:rPr>
        <w:t>Lender pursuant to Section 2.23(c)(i) shall be deemed payment in respect of such participation.</w:t>
      </w:r>
    </w:p>
    <w:p>
      <w:pPr>
        <w:spacing w:after="0" w:line="216" w:lineRule="exact"/>
        <w:rPr>
          <w:sz w:val="20"/>
          <w:szCs w:val="20"/>
          <w:color w:val="auto"/>
        </w:rPr>
      </w:pPr>
    </w:p>
    <w:p>
      <w:pPr>
        <w:jc w:val="both"/>
        <w:ind w:left="8" w:firstLine="1246"/>
        <w:spacing w:after="0" w:line="252" w:lineRule="auto"/>
        <w:tabs>
          <w:tab w:leader="none" w:pos="1810" w:val="left"/>
        </w:tabs>
        <w:numPr>
          <w:ilvl w:val="2"/>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 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177" w:lineRule="exact"/>
        <w:rPr>
          <w:rFonts w:ascii="Times New Roman" w:cs="Times New Roman" w:eastAsia="Times New Roman" w:hAnsi="Times New Roman"/>
          <w:sz w:val="21"/>
          <w:szCs w:val="21"/>
          <w:color w:val="auto"/>
        </w:rPr>
      </w:pPr>
    </w:p>
    <w:p>
      <w:pPr>
        <w:jc w:val="both"/>
        <w:ind w:left="8" w:firstLine="1246"/>
        <w:spacing w:after="0" w:line="268" w:lineRule="auto"/>
        <w:tabs>
          <w:tab w:leader="none" w:pos="1904" w:val="left"/>
        </w:tabs>
        <w:numPr>
          <w:ilvl w:val="2"/>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w:t>
      </w:r>
    </w:p>
    <w:p>
      <w:pPr>
        <w:spacing w:after="0" w:line="3" w:lineRule="exact"/>
        <w:rPr>
          <w:rFonts w:ascii="Times New Roman" w:cs="Times New Roman" w:eastAsia="Times New Roman" w:hAnsi="Times New Roman"/>
          <w:sz w:val="20"/>
          <w:szCs w:val="20"/>
          <w:color w:val="auto"/>
        </w:rPr>
      </w:pPr>
    </w:p>
    <w:p>
      <w:pPr>
        <w:jc w:val="both"/>
        <w:ind w:left="8" w:hanging="8"/>
        <w:spacing w:after="0" w:line="251" w:lineRule="auto"/>
        <w:tabs>
          <w:tab w:leader="none" w:pos="37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occurrence or continuance of a Default or an Event of Default, or (C) any other occurrence, event or condition, whether or not similar to any of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174" w:lineRule="exact"/>
        <w:rPr>
          <w:rFonts w:ascii="Times New Roman" w:cs="Times New Roman" w:eastAsia="Times New Roman" w:hAnsi="Times New Roman"/>
          <w:sz w:val="21"/>
          <w:szCs w:val="21"/>
          <w:color w:val="auto"/>
        </w:rPr>
      </w:pPr>
    </w:p>
    <w:p>
      <w:pPr>
        <w:jc w:val="both"/>
        <w:ind w:left="-632" w:firstLine="1259"/>
        <w:spacing w:after="0" w:line="261" w:lineRule="auto"/>
        <w:tabs>
          <w:tab w:leader="none" w:pos="1206"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Repayment of Participations</w:t>
      </w:r>
      <w:r>
        <w:rPr>
          <w:rFonts w:ascii="Times New Roman" w:cs="Times New Roman" w:eastAsia="Times New Roman" w:hAnsi="Times New Roman"/>
          <w:sz w:val="21"/>
          <w:szCs w:val="21"/>
          <w:color w:val="auto"/>
        </w:rPr>
        <w:t>. (i) At any time after any Applicable Lender has purchased and funded a risk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participation in a Swing Line Loan, 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66" w:lineRule="exact"/>
        <w:rPr>
          <w:rFonts w:ascii="Times New Roman" w:cs="Times New Roman" w:eastAsia="Times New Roman" w:hAnsi="Times New Roman"/>
          <w:sz w:val="21"/>
          <w:szCs w:val="21"/>
          <w:color w:val="auto"/>
        </w:rPr>
      </w:pPr>
    </w:p>
    <w:p>
      <w:pPr>
        <w:jc w:val="both"/>
        <w:ind w:left="8" w:firstLine="1246"/>
        <w:spacing w:after="0" w:line="254" w:lineRule="auto"/>
        <w:tabs>
          <w:tab w:leader="none" w:pos="1777" w:val="left"/>
        </w:tabs>
        <w:numPr>
          <w:ilvl w:val="2"/>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Pro Rata Percentage thereof on demand of the Applicable Administrative</w:t>
      </w:r>
    </w:p>
    <w:p>
      <w:pPr>
        <w:sectPr>
          <w:pgSz w:w="11900" w:h="16838" w:orient="portrait"/>
          <w:cols w:equalWidth="0" w:num="1">
            <w:col w:w="10608"/>
          </w:cols>
          <w:pgMar w:left="952" w:top="1380" w:right="339" w:bottom="1440" w:gutter="0" w:footer="0" w:header="0"/>
        </w:sectPr>
      </w:pPr>
    </w:p>
    <w:bookmarkStart w:id="156" w:name="page157"/>
    <w:bookmarkEnd w:id="156"/>
    <w:p>
      <w:pPr>
        <w:jc w:val="both"/>
        <w:spacing w:after="0" w:line="261" w:lineRule="auto"/>
        <w:rPr>
          <w:sz w:val="20"/>
          <w:szCs w:val="20"/>
          <w:color w:val="auto"/>
        </w:rPr>
      </w:pPr>
      <w:r>
        <w:rPr>
          <w:rFonts w:ascii="Times New Roman" w:cs="Times New Roman" w:eastAsia="Times New Roman" w:hAnsi="Times New Roman"/>
          <w:sz w:val="21"/>
          <w:szCs w:val="21"/>
          <w:color w:val="auto"/>
        </w:rPr>
        <w:t>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163" w:lineRule="exact"/>
        <w:rPr>
          <w:sz w:val="20"/>
          <w:szCs w:val="20"/>
          <w:color w:val="auto"/>
        </w:rPr>
      </w:pPr>
    </w:p>
    <w:p>
      <w:pPr>
        <w:jc w:val="both"/>
        <w:ind w:left="-640" w:firstLine="1259"/>
        <w:spacing w:after="0" w:line="257" w:lineRule="auto"/>
        <w:tabs>
          <w:tab w:leader="none" w:pos="1069"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 for Account of Swing Line Lender</w:t>
      </w:r>
      <w:r>
        <w:rPr>
          <w:rFonts w:ascii="Times New Roman" w:cs="Times New Roman" w:eastAsia="Times New Roman" w:hAnsi="Times New Roman"/>
          <w:sz w:val="21"/>
          <w:szCs w:val="21"/>
          <w:color w:val="auto"/>
        </w:rPr>
        <w:t>. The Applicable Swing Line Lender shall be responsible for invoicing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Applicable Borrower for interest on the Swing Line Loans. Until each Applicable Lender funds its Loan or risk participation pursuant to this Section 2.23 to refinance such Applicable Lender’s Applicable Pro Rata Percentage of any Swing Line Loan, interest in respect of such Applicable Pro Rata Percentage shall be solely for the account of the Applicable Swing Line Lender.</w:t>
      </w:r>
    </w:p>
    <w:p>
      <w:pPr>
        <w:spacing w:after="0" w:line="181" w:lineRule="exact"/>
        <w:rPr>
          <w:rFonts w:ascii="Times New Roman" w:cs="Times New Roman" w:eastAsia="Times New Roman" w:hAnsi="Times New Roman"/>
          <w:sz w:val="21"/>
          <w:szCs w:val="21"/>
          <w:color w:val="auto"/>
        </w:rPr>
      </w:pPr>
    </w:p>
    <w:p>
      <w:pPr>
        <w:jc w:val="both"/>
        <w:ind w:left="-640" w:firstLine="1259"/>
        <w:spacing w:after="0" w:line="263" w:lineRule="auto"/>
        <w:tabs>
          <w:tab w:leader="none" w:pos="1124"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Payments Directly to Swing Line Lender</w:t>
      </w:r>
      <w:r>
        <w:rPr>
          <w:rFonts w:ascii="Times New Roman" w:cs="Times New Roman" w:eastAsia="Times New Roman" w:hAnsi="Times New Roman"/>
          <w:sz w:val="21"/>
          <w:szCs w:val="21"/>
          <w:color w:val="auto"/>
        </w:rPr>
        <w:t>. The Applicable Borrower shall make all payments of principal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in respect of the Swing Line Loans directly to the Applicable Swing Line Lender, and, if an AutoBorrow Agreement is in effect, in accordance with the terms of such AutoBorrow Agreement.</w:t>
      </w:r>
    </w:p>
    <w:p>
      <w:pPr>
        <w:spacing w:after="0" w:line="160" w:lineRule="exact"/>
        <w:rPr>
          <w:rFonts w:ascii="Times New Roman" w:cs="Times New Roman" w:eastAsia="Times New Roman" w:hAnsi="Times New Roman"/>
          <w:sz w:val="21"/>
          <w:szCs w:val="21"/>
          <w:color w:val="auto"/>
        </w:rPr>
      </w:pPr>
    </w:p>
    <w:p>
      <w:pPr>
        <w:jc w:val="both"/>
        <w:ind w:left="-640" w:firstLine="1259"/>
        <w:spacing w:after="0" w:line="261" w:lineRule="auto"/>
        <w:tabs>
          <w:tab w:leader="none" w:pos="10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Discretionary Nature of the Swing Line Facility</w:t>
      </w:r>
      <w:r>
        <w:rPr>
          <w:rFonts w:ascii="Times New Roman" w:cs="Times New Roman" w:eastAsia="Times New Roman" w:hAnsi="Times New Roman"/>
          <w:sz w:val="21"/>
          <w:szCs w:val="21"/>
          <w:color w:val="auto"/>
        </w:rPr>
        <w:t>. Notwithstanding any terms to the contrary contained herein,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swing line facilities provided 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16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1"/>
          <w:szCs w:val="21"/>
          <w:b w:val="1"/>
          <w:bCs w:val="1"/>
          <w:color w:val="auto"/>
        </w:rPr>
        <w:t>SECTION 2.24</w:t>
      </w:r>
      <w:r>
        <w:rPr>
          <w:sz w:val="20"/>
          <w:szCs w:val="20"/>
          <w:color w:val="auto"/>
        </w:rPr>
        <w:tab/>
      </w:r>
      <w:r>
        <w:rPr>
          <w:rFonts w:ascii="Times New Roman" w:cs="Times New Roman" w:eastAsia="Times New Roman" w:hAnsi="Times New Roman"/>
          <w:sz w:val="21"/>
          <w:szCs w:val="21"/>
          <w:b w:val="1"/>
          <w:bCs w:val="1"/>
          <w:i w:val="1"/>
          <w:iCs w:val="1"/>
          <w:color w:val="auto"/>
        </w:rPr>
        <w:t>Defaulting Lenders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40" w:firstLine="1259"/>
        <w:spacing w:after="0" w:line="263" w:lineRule="auto"/>
        <w:tabs>
          <w:tab w:leader="none" w:pos="1147"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Adjustments</w:t>
      </w:r>
      <w:r>
        <w:rPr>
          <w:rFonts w:ascii="Times New Roman" w:cs="Times New Roman" w:eastAsia="Times New Roman" w:hAnsi="Times New Roman"/>
          <w:sz w:val="21"/>
          <w:szCs w:val="21"/>
          <w:color w:val="auto"/>
        </w:rPr>
        <w:t>. Notwithstanding anything to the contrary contained in this Agreement, if any Revolving Lender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becomes a Defaulting Lender, then, until such time as that Lender is no longer a Defaulting Lender, to the extent permitted by applicable law:</w:t>
      </w:r>
    </w:p>
    <w:p>
      <w:pPr>
        <w:spacing w:after="0" w:line="175" w:lineRule="exact"/>
        <w:rPr>
          <w:rFonts w:ascii="Times New Roman" w:cs="Times New Roman" w:eastAsia="Times New Roman" w:hAnsi="Times New Roman"/>
          <w:sz w:val="21"/>
          <w:szCs w:val="21"/>
          <w:color w:val="auto"/>
        </w:rPr>
      </w:pPr>
    </w:p>
    <w:p>
      <w:pPr>
        <w:ind w:firstLine="1246"/>
        <w:spacing w:after="0" w:line="277" w:lineRule="auto"/>
        <w:tabs>
          <w:tab w:leader="none" w:pos="1705"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Defaulting Lender’s right to approve or disapprove any amendment, waiver or consent with respect to this Agreement or any other Loan Document shall be restricted as set forth in Section 9.08(b); and</w:t>
      </w:r>
    </w:p>
    <w:p>
      <w:pPr>
        <w:spacing w:after="0" w:line="148" w:lineRule="exact"/>
        <w:rPr>
          <w:rFonts w:ascii="Times New Roman" w:cs="Times New Roman" w:eastAsia="Times New Roman" w:hAnsi="Times New Roman"/>
          <w:sz w:val="21"/>
          <w:szCs w:val="21"/>
          <w:color w:val="auto"/>
        </w:rPr>
      </w:pPr>
    </w:p>
    <w:p>
      <w:pPr>
        <w:jc w:val="both"/>
        <w:ind w:firstLine="1246"/>
        <w:spacing w:after="0" w:line="261" w:lineRule="auto"/>
        <w:tabs>
          <w:tab w:leader="none" w:pos="1848"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62" w:lineRule="exact"/>
        <w:rPr>
          <w:rFonts w:ascii="Times New Roman" w:cs="Times New Roman" w:eastAsia="Times New Roman" w:hAnsi="Times New Roman"/>
          <w:sz w:val="21"/>
          <w:szCs w:val="21"/>
          <w:color w:val="auto"/>
        </w:rPr>
      </w:pPr>
    </w:p>
    <w:p>
      <w:pPr>
        <w:ind w:left="620" w:firstLine="1254"/>
        <w:spacing w:after="0" w:line="279" w:lineRule="auto"/>
        <w:tabs>
          <w:tab w:leader="none" w:pos="2532"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the payment of any amounts owing by such Defaulting Lender to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hereunder;</w:t>
      </w:r>
    </w:p>
    <w:p>
      <w:pPr>
        <w:sectPr>
          <w:pgSz w:w="11900" w:h="16838" w:orient="portrait"/>
          <w:cols w:equalWidth="0" w:num="1">
            <w:col w:w="10600"/>
          </w:cols>
          <w:pgMar w:left="960" w:top="1380" w:right="339" w:bottom="1440" w:gutter="0" w:footer="0" w:header="0"/>
        </w:sectPr>
      </w:pPr>
    </w:p>
    <w:bookmarkStart w:id="157" w:name="page158"/>
    <w:bookmarkEnd w:id="157"/>
    <w:p>
      <w:pPr>
        <w:ind w:left="140" w:firstLine="1254"/>
        <w:spacing w:after="0" w:line="292" w:lineRule="auto"/>
        <w:tabs>
          <w:tab w:leader="none" w:pos="1859"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 the payment on a pro rata basis of any amounts owing by such Defaulting Lender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Issuing Banks and the Swing Line Lenders hereunder;</w:t>
      </w:r>
    </w:p>
    <w:p>
      <w:pPr>
        <w:spacing w:after="0" w:line="131" w:lineRule="exact"/>
        <w:rPr>
          <w:rFonts w:ascii="Times New Roman" w:cs="Times New Roman" w:eastAsia="Times New Roman" w:hAnsi="Times New Roman"/>
          <w:sz w:val="19"/>
          <w:szCs w:val="19"/>
          <w:color w:val="auto"/>
        </w:rPr>
      </w:pPr>
    </w:p>
    <w:p>
      <w:pPr>
        <w:ind w:left="140" w:firstLine="1254"/>
        <w:spacing w:after="0" w:line="279" w:lineRule="auto"/>
        <w:tabs>
          <w:tab w:leader="none" w:pos="188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to Cash Collateralize the Issuing Banks’ Fronting Exposure with respect to such Defaulting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in accordance with </w:t>
      </w:r>
      <w:r>
        <w:rPr>
          <w:rFonts w:ascii="Times New Roman" w:cs="Times New Roman" w:eastAsia="Times New Roman" w:hAnsi="Times New Roman"/>
          <w:sz w:val="21"/>
          <w:szCs w:val="21"/>
          <w:b w:val="1"/>
          <w:bCs w:val="1"/>
          <w:u w:val="single" w:color="auto"/>
          <w:color w:val="auto"/>
        </w:rPr>
        <w:t>Section 2.21(k)</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19"/>
          <w:szCs w:val="19"/>
          <w:color w:val="auto"/>
        </w:rPr>
      </w:pPr>
    </w:p>
    <w:p>
      <w:pPr>
        <w:jc w:val="both"/>
        <w:ind w:left="140" w:firstLine="1254"/>
        <w:spacing w:after="0" w:line="263" w:lineRule="auto"/>
        <w:tabs>
          <w:tab w:leader="none" w:pos="1869"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as the Applicable Borrower may request (so long as no Default or Event of Default exists),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the funding of any Loan in respect of which such Defaulting Lender has failed to fund its portion thereof as required by this Agreement, as determined by the Applicable Administrative Agent;</w:t>
      </w:r>
    </w:p>
    <w:p>
      <w:pPr>
        <w:spacing w:after="0" w:line="173" w:lineRule="exact"/>
        <w:rPr>
          <w:rFonts w:ascii="Times New Roman" w:cs="Times New Roman" w:eastAsia="Times New Roman" w:hAnsi="Times New Roman"/>
          <w:sz w:val="19"/>
          <w:szCs w:val="19"/>
          <w:color w:val="auto"/>
        </w:rPr>
      </w:pPr>
    </w:p>
    <w:p>
      <w:pPr>
        <w:jc w:val="both"/>
        <w:ind w:left="140" w:firstLine="1254"/>
        <w:spacing w:after="0" w:line="258" w:lineRule="auto"/>
        <w:tabs>
          <w:tab w:leader="none" w:pos="1913"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if so determined by the Administrative Agent and the applicable Borrower, to be held in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w:t>
      </w:r>
      <w:r>
        <w:rPr>
          <w:rFonts w:ascii="Times New Roman" w:cs="Times New Roman" w:eastAsia="Times New Roman" w:hAnsi="Times New Roman"/>
          <w:sz w:val="21"/>
          <w:szCs w:val="21"/>
          <w:b w:val="1"/>
          <w:bCs w:val="1"/>
          <w:u w:val="single" w:color="auto"/>
          <w:color w:val="auto"/>
        </w:rPr>
        <w:t>Section 2.21(k)</w:t>
      </w:r>
      <w:r>
        <w:rPr>
          <w:rFonts w:ascii="Times New Roman" w:cs="Times New Roman" w:eastAsia="Times New Roman" w:hAnsi="Times New Roman"/>
          <w:sz w:val="21"/>
          <w:szCs w:val="21"/>
          <w:color w:val="auto"/>
        </w:rPr>
        <w:t>;</w:t>
      </w:r>
    </w:p>
    <w:p>
      <w:pPr>
        <w:spacing w:after="0" w:line="165" w:lineRule="exact"/>
        <w:rPr>
          <w:rFonts w:ascii="Times New Roman" w:cs="Times New Roman" w:eastAsia="Times New Roman" w:hAnsi="Times New Roman"/>
          <w:sz w:val="19"/>
          <w:szCs w:val="19"/>
          <w:color w:val="auto"/>
        </w:rPr>
      </w:pPr>
    </w:p>
    <w:p>
      <w:pPr>
        <w:jc w:val="both"/>
        <w:ind w:left="140" w:firstLine="1254"/>
        <w:spacing w:after="0" w:line="261" w:lineRule="auto"/>
        <w:tabs>
          <w:tab w:leader="none" w:pos="1929"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to the payment of any amounts owing to the Revolving Lenders, the Applicable Issuing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Bank or the Applicable Swing Line Lender as a result of any judgment of a court of competent jurisdiction obtained by any Revolving Lender or an Applicable Issuing Bank against such Defaulting Lender as a result of such Defaulting Lender’s breach of its obligations under this Agreement;</w:t>
      </w:r>
    </w:p>
    <w:p>
      <w:pPr>
        <w:spacing w:after="0" w:line="164" w:lineRule="exact"/>
        <w:rPr>
          <w:rFonts w:ascii="Times New Roman" w:cs="Times New Roman" w:eastAsia="Times New Roman" w:hAnsi="Times New Roman"/>
          <w:sz w:val="19"/>
          <w:szCs w:val="19"/>
          <w:color w:val="auto"/>
        </w:rPr>
      </w:pPr>
    </w:p>
    <w:p>
      <w:pPr>
        <w:jc w:val="both"/>
        <w:ind w:left="140" w:firstLine="1254"/>
        <w:spacing w:after="0" w:line="261" w:lineRule="auto"/>
        <w:tabs>
          <w:tab w:leader="none" w:pos="1869"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so long as no Default or Event of Default exists, to the payment of any amounts owing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Applicable Borrower as a result of any judgment of a court of competent jurisdiction obtained by the Applicable Borrower against such Defaulting Lender as a result of such Defaulting Lender’s breach of its obligations under this Agreement; and</w:t>
      </w:r>
    </w:p>
    <w:p>
      <w:pPr>
        <w:spacing w:after="0" w:line="164" w:lineRule="exact"/>
        <w:rPr>
          <w:rFonts w:ascii="Times New Roman" w:cs="Times New Roman" w:eastAsia="Times New Roman" w:hAnsi="Times New Roman"/>
          <w:sz w:val="19"/>
          <w:szCs w:val="19"/>
          <w:color w:val="auto"/>
        </w:rPr>
      </w:pPr>
    </w:p>
    <w:p>
      <w:pPr>
        <w:jc w:val="both"/>
        <w:ind w:left="140" w:firstLine="1254"/>
        <w:spacing w:after="0" w:line="255" w:lineRule="auto"/>
        <w:tabs>
          <w:tab w:leader="none" w:pos="193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to such Defaulting Lender or as otherwise directed by a court of competent jurisdiction;</w:t>
      </w:r>
      <w:r>
        <w:rPr>
          <w:rFonts w:ascii="Times New Roman" w:cs="Times New Roman" w:eastAsia="Times New Roman" w:hAnsi="Times New Roman"/>
          <w:sz w:val="21"/>
          <w:szCs w:val="21"/>
          <w:i w:val="1"/>
          <w:iCs w:val="1"/>
          <w:color w:val="auto"/>
        </w:rPr>
        <w:t xml:space="preserve"> provided </w:t>
      </w:r>
      <w:r>
        <w:rPr>
          <w:rFonts w:ascii="Times New Roman" w:cs="Times New Roman" w:eastAsia="Times New Roman" w:hAnsi="Times New Roman"/>
          <w:sz w:val="21"/>
          <w:szCs w:val="21"/>
          <w:color w:val="auto"/>
        </w:rPr>
        <w:t>that if (x) such payment is a payment of the principal amount of any Revolving Credit Loans or L/C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Disbursements in respect of which that Defaulting Lender has not fully funded its appropriate share and (y) such Revolving Credit Loans were made or the related Letters of Credit were issued at a time when the conditions set forth in Section 4.01 were satisfied or waived, such payment shall be applied solely to pay the Revolving Credit Loans of, and L/C Disbursements owed to, all Non-Defaulting Lenders on a pro rata basis prior to being applied to the payment of any Revolving Credit Loans of, or L/C Disbursements owed to, such Defaulting Lender until such time as all Loans and funded and unfunded participations in Letters of Credit and Swing Line Loans are held by the Lenders pro rata in</w:t>
      </w:r>
    </w:p>
    <w:p>
      <w:pPr>
        <w:sectPr>
          <w:pgSz w:w="11900" w:h="16838" w:orient="portrait"/>
          <w:cols w:equalWidth="0" w:num="1">
            <w:col w:w="10120"/>
          </w:cols>
          <w:pgMar w:left="1440" w:top="1378" w:right="339" w:bottom="1440" w:gutter="0" w:footer="0" w:header="0"/>
        </w:sectPr>
      </w:pPr>
    </w:p>
    <w:bookmarkStart w:id="158" w:name="page159"/>
    <w:bookmarkEnd w:id="158"/>
    <w:p>
      <w:pPr>
        <w:jc w:val="both"/>
        <w:ind w:left="1255"/>
        <w:spacing w:after="0" w:line="261" w:lineRule="auto"/>
        <w:rPr>
          <w:sz w:val="20"/>
          <w:szCs w:val="20"/>
          <w:color w:val="auto"/>
        </w:rPr>
      </w:pPr>
      <w:r>
        <w:rPr>
          <w:rFonts w:ascii="Times New Roman" w:cs="Times New Roman" w:eastAsia="Times New Roman" w:hAnsi="Times New Roman"/>
          <w:sz w:val="21"/>
          <w:szCs w:val="21"/>
          <w:color w:val="auto"/>
        </w:rPr>
        <w:t>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65" w:lineRule="exact"/>
        <w:rPr>
          <w:sz w:val="20"/>
          <w:szCs w:val="20"/>
          <w:color w:val="auto"/>
        </w:rPr>
      </w:pPr>
    </w:p>
    <w:p>
      <w:pPr>
        <w:ind w:left="635" w:right="60"/>
        <w:spacing w:after="0" w:line="262" w:lineRule="auto"/>
        <w:rPr>
          <w:sz w:val="20"/>
          <w:szCs w:val="20"/>
          <w:color w:val="auto"/>
        </w:rPr>
      </w:pPr>
      <w:r>
        <w:rPr>
          <w:rFonts w:ascii="Times New Roman" w:cs="Times New Roman" w:eastAsia="Times New Roman" w:hAnsi="Times New Roman"/>
          <w:sz w:val="21"/>
          <w:szCs w:val="21"/>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161" w:lineRule="exact"/>
        <w:rPr>
          <w:sz w:val="20"/>
          <w:szCs w:val="20"/>
          <w:color w:val="auto"/>
        </w:rPr>
      </w:pPr>
    </w:p>
    <w:p>
      <w:pPr>
        <w:jc w:val="both"/>
        <w:ind w:left="-5" w:firstLine="1259"/>
        <w:spacing w:after="0" w:line="261" w:lineRule="auto"/>
        <w:tabs>
          <w:tab w:leader="none" w:pos="1794"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Fees</w:t>
      </w:r>
      <w:r>
        <w:rPr>
          <w:rFonts w:ascii="Times New Roman" w:cs="Times New Roman" w:eastAsia="Times New Roman" w:hAnsi="Times New Roman"/>
          <w:sz w:val="21"/>
          <w:szCs w:val="21"/>
          <w:color w:val="auto"/>
        </w:rPr>
        <w:t>. (i) No Defaulting Lender shall be entitled to receive any Commitment Fee pursuant to 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2.05(a) for any period during which such Lender is a Defaulting Lender (and, except as otherwise provided in Section 2.05(a), the Applicable Borrower shall not be required to pay any such fee that otherwise would have been required to have been paid to such Defaulting Lender).</w:t>
      </w:r>
    </w:p>
    <w:p>
      <w:pPr>
        <w:spacing w:after="0" w:line="162" w:lineRule="exact"/>
        <w:rPr>
          <w:rFonts w:ascii="Times New Roman" w:cs="Times New Roman" w:eastAsia="Times New Roman" w:hAnsi="Times New Roman"/>
          <w:sz w:val="21"/>
          <w:szCs w:val="21"/>
          <w:color w:val="auto"/>
        </w:rPr>
      </w:pPr>
    </w:p>
    <w:p>
      <w:pPr>
        <w:jc w:val="both"/>
        <w:ind w:left="635" w:firstLine="1246"/>
        <w:spacing w:after="0" w:line="264" w:lineRule="auto"/>
        <w:tabs>
          <w:tab w:leader="none" w:pos="2420"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Each Defaulting Lender shall be entitled to receive L/C Participation Fees for any period during which that Lender is a Defaulting Lender only to the extent allocable to its Applicable Pro Rata Percentage of the stated amount of Letters of Credit for which it has provided cash collateral pursuant to Section 2.21(k).</w:t>
      </w:r>
    </w:p>
    <w:p>
      <w:pPr>
        <w:spacing w:after="0" w:line="170" w:lineRule="exact"/>
        <w:rPr>
          <w:rFonts w:ascii="Times New Roman" w:cs="Times New Roman" w:eastAsia="Times New Roman" w:hAnsi="Times New Roman"/>
          <w:sz w:val="21"/>
          <w:szCs w:val="21"/>
          <w:color w:val="auto"/>
        </w:rPr>
      </w:pPr>
    </w:p>
    <w:p>
      <w:pPr>
        <w:jc w:val="both"/>
        <w:ind w:left="635" w:firstLine="1246"/>
        <w:spacing w:after="0" w:line="254" w:lineRule="auto"/>
        <w:tabs>
          <w:tab w:leader="none" w:pos="2556"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 respect to any L/C Participation Fee not required to be paid to any Defaulting Lender pursuant to clause (i) or (ii) above, the 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Bank and Swing Line Lender, as applicable, the amount of any such fee otherwise payable to such Defaulting Lender to the extent allocable to such Issuing Bank’s or Swing Line Lender’s Fronting Exposure to such Defaulting Lender, and (z) not be required to pay the remaining amount of any such fee.</w:t>
      </w:r>
    </w:p>
    <w:p>
      <w:pPr>
        <w:spacing w:after="0" w:line="173" w:lineRule="exact"/>
        <w:rPr>
          <w:rFonts w:ascii="Times New Roman" w:cs="Times New Roman" w:eastAsia="Times New Roman" w:hAnsi="Times New Roman"/>
          <w:sz w:val="21"/>
          <w:szCs w:val="21"/>
          <w:color w:val="auto"/>
        </w:rPr>
      </w:pPr>
    </w:p>
    <w:p>
      <w:pPr>
        <w:jc w:val="both"/>
        <w:ind w:left="-5" w:firstLine="1259"/>
        <w:spacing w:after="0" w:line="254" w:lineRule="auto"/>
        <w:tabs>
          <w:tab w:leader="none" w:pos="1704"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Reallocation of Ratable Portions to Reduce Fronting Exposure</w:t>
      </w:r>
      <w:r>
        <w:rPr>
          <w:rFonts w:ascii="Times New Roman" w:cs="Times New Roman" w:eastAsia="Times New Roman" w:hAnsi="Times New Roman"/>
          <w:sz w:val="21"/>
          <w:szCs w:val="21"/>
          <w:color w:val="auto"/>
        </w:rPr>
        <w:t>. During any period in which there is a Defaulting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solely for purposes of computing the amount of the obligation of each non-Defaulting Lender to acquire, refinance or fund participations in Letters of Credit and Swing Line Loans pursuant to Sections 2.21 and 2.23, the “U.S. Revolving Pro Rata Percentage”, “Canadian Revolving Pro Rata Percentage” or “Australian Revolving Pro Rata Percentage”, as applicable, of each non-Defaulting Lender shall be computed without giving effect to the Revolving Commitment of such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w:t>
      </w:r>
    </w:p>
    <w:p>
      <w:pPr>
        <w:spacing w:after="0" w:line="2" w:lineRule="exact"/>
        <w:rPr>
          <w:rFonts w:ascii="Times New Roman" w:cs="Times New Roman" w:eastAsia="Times New Roman" w:hAnsi="Times New Roman"/>
          <w:sz w:val="21"/>
          <w:szCs w:val="21"/>
          <w:color w:val="auto"/>
        </w:rPr>
      </w:pPr>
    </w:p>
    <w:p>
      <w:pPr>
        <w:jc w:val="both"/>
        <w:ind w:left="-5" w:firstLine="5"/>
        <w:spacing w:after="0" w:line="250" w:lineRule="auto"/>
        <w:tabs>
          <w:tab w:leader="none" w:pos="344"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w:t>
      </w:r>
    </w:p>
    <w:p>
      <w:pPr>
        <w:sectPr>
          <w:pgSz w:w="11900" w:h="16838" w:orient="portrait"/>
          <w:cols w:equalWidth="0" w:num="1">
            <w:col w:w="11235"/>
          </w:cols>
          <w:pgMar w:left="325" w:top="138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1"/>
          <w:szCs w:val="21"/>
          <w:color w:val="auto"/>
        </w:rPr>
        <w:t>such non-Defaulting Lender minus (2) the aggregate Revolving Credit Loans of such non-Defaulting Lender.</w:t>
      </w:r>
    </w:p>
    <w:p>
      <w:pPr>
        <w:spacing w:after="0" w:line="214" w:lineRule="exact"/>
        <w:rPr>
          <w:sz w:val="20"/>
          <w:szCs w:val="20"/>
          <w:color w:val="auto"/>
        </w:rPr>
      </w:pPr>
    </w:p>
    <w:p>
      <w:pPr>
        <w:jc w:val="both"/>
        <w:ind w:firstLine="1259"/>
        <w:spacing w:after="0" w:line="261" w:lineRule="auto"/>
        <w:tabs>
          <w:tab w:leader="none" w:pos="172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Cash Collateral, Repayment of Swing Line Loans</w:t>
      </w:r>
      <w:r>
        <w:rPr>
          <w:rFonts w:ascii="Times New Roman" w:cs="Times New Roman" w:eastAsia="Times New Roman" w:hAnsi="Times New Roman"/>
          <w:sz w:val="21"/>
          <w:szCs w:val="21"/>
          <w:color w:val="auto"/>
        </w:rPr>
        <w:t>. If the reallocation described in clause (c) above cannot, or can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only partially, be effected, the applicable Borrower shall, without prejudice to any right or remedy available to it hereunder or under law, (x) first, prepay Swing Line Loans in an amount equal to the applicable Swing Line Lender’s Fronting Exposure and (y) second, cash collateralize the applicable </w:t>
      </w:r>
      <w:r>
        <w:rPr>
          <w:rFonts w:ascii="Times New Roman" w:cs="Times New Roman" w:eastAsia="Times New Roman" w:hAnsi="Times New Roman"/>
          <w:sz w:val="21"/>
          <w:szCs w:val="21"/>
          <w:b w:val="1"/>
          <w:bCs w:val="1"/>
          <w:u w:val="single" w:color="auto"/>
          <w:color w:val="auto"/>
        </w:rPr>
        <w:t>Issuing Bank</w:t>
      </w:r>
      <w:r>
        <w:rPr>
          <w:rFonts w:ascii="Times New Roman" w:cs="Times New Roman" w:eastAsia="Times New Roman" w:hAnsi="Times New Roman"/>
          <w:sz w:val="21"/>
          <w:szCs w:val="21"/>
          <w:color w:val="auto"/>
        </w:rPr>
        <w:t>s’ Fronting Exposure in accordance with the procedures set forth in Section 2.21(k).</w:t>
      </w:r>
    </w:p>
    <w:p>
      <w:pPr>
        <w:spacing w:after="0" w:line="164" w:lineRule="exact"/>
        <w:rPr>
          <w:rFonts w:ascii="Times New Roman" w:cs="Times New Roman" w:eastAsia="Times New Roman" w:hAnsi="Times New Roman"/>
          <w:sz w:val="21"/>
          <w:szCs w:val="21"/>
          <w:color w:val="auto"/>
        </w:rPr>
      </w:pPr>
    </w:p>
    <w:p>
      <w:pPr>
        <w:jc w:val="both"/>
        <w:ind w:firstLine="1259"/>
        <w:spacing w:after="0" w:line="251" w:lineRule="auto"/>
        <w:tabs>
          <w:tab w:leader="none" w:pos="1709"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Defaulting Lender Cure</w:t>
      </w:r>
      <w:r>
        <w:rPr>
          <w:rFonts w:ascii="Times New Roman" w:cs="Times New Roman" w:eastAsia="Times New Roman" w:hAnsi="Times New Roman"/>
          <w:sz w:val="21"/>
          <w:szCs w:val="21"/>
          <w:color w:val="auto"/>
        </w:rPr>
        <w:t>. If the Applicable Borrower, the Applicable Administrative Agent, the Applicable Swing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Line Lenders and the 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Revolving Pro Rata Percentage” or “Australian Revolving Pro Rata Percentage”, as applicable, (without giving effect to clause (a)(ii) above), whereupon such Lender will cease to be a Defaulting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Applicable Borrower while such Lender was a Defaulting Lender;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rFonts w:ascii="Times New Roman" w:cs="Times New Roman" w:eastAsia="Times New Roman" w:hAnsi="Times New Roman"/>
          <w:sz w:val="21"/>
          <w:szCs w:val="21"/>
          <w:color w:val="auto"/>
        </w:rPr>
      </w:pPr>
    </w:p>
    <w:p>
      <w:pPr>
        <w:jc w:val="both"/>
        <w:ind w:firstLine="1259"/>
        <w:spacing w:after="0" w:line="257" w:lineRule="auto"/>
        <w:tabs>
          <w:tab w:leader="none" w:pos="1699"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New Swing Line Loans/Letters of Credit</w:t>
      </w:r>
      <w:r>
        <w:rPr>
          <w:rFonts w:ascii="Times New Roman" w:cs="Times New Roman" w:eastAsia="Times New Roman" w:hAnsi="Times New Roman"/>
          <w:sz w:val="21"/>
          <w:szCs w:val="21"/>
          <w:color w:val="auto"/>
        </w:rPr>
        <w:t>. So long as any Lender is a Defaulting Lender, (i) the Applicable Swing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Line Lender shall not be 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167" w:lineRule="exact"/>
        <w:rPr>
          <w:rFonts w:ascii="Times New Roman" w:cs="Times New Roman" w:eastAsia="Times New Roman" w:hAnsi="Times New Roman"/>
          <w:sz w:val="21"/>
          <w:szCs w:val="21"/>
          <w:color w:val="auto"/>
        </w:rPr>
      </w:pPr>
    </w:p>
    <w:p>
      <w:pPr>
        <w:jc w:val="both"/>
        <w:ind w:firstLine="1259"/>
        <w:spacing w:after="0" w:line="258" w:lineRule="auto"/>
        <w:tabs>
          <w:tab w:leader="none" w:pos="1734"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of Defaulting Lender Revolving Commitment</w:t>
      </w:r>
      <w:r>
        <w:rPr>
          <w:rFonts w:ascii="Times New Roman" w:cs="Times New Roman" w:eastAsia="Times New Roman" w:hAnsi="Times New Roman"/>
          <w:sz w:val="21"/>
          <w:szCs w:val="21"/>
          <w:color w:val="auto"/>
        </w:rPr>
        <w:t>. A Borrower may terminate the unused amount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Revolving Commitment of a Defaulting Lender upon not less than three (3) Business Days’ prior notice to the Applicable Administrative Agent (which will promptly notify the Revolving Lenders of the same Class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termination will not be deemed to be a waiver or release of any claim a Borrower, an Administrative Agent, an Issuing Bank or any Lender may have against such Defaulting Lender.</w:t>
      </w:r>
    </w:p>
    <w:p>
      <w:pPr>
        <w:spacing w:after="0" w:line="16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2.25</w:t>
      </w:r>
      <w:r>
        <w:rPr>
          <w:sz w:val="20"/>
          <w:szCs w:val="20"/>
          <w:color w:val="auto"/>
        </w:rPr>
        <w:tab/>
      </w:r>
      <w:r>
        <w:rPr>
          <w:rFonts w:ascii="Times New Roman" w:cs="Times New Roman" w:eastAsia="Times New Roman" w:hAnsi="Times New Roman"/>
          <w:sz w:val="20"/>
          <w:szCs w:val="20"/>
          <w:b w:val="1"/>
          <w:bCs w:val="1"/>
          <w:i w:val="1"/>
          <w:iCs w:val="1"/>
          <w:color w:val="auto"/>
        </w:rPr>
        <w:t>Incremental Revolving Credit Increase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80" w:right="339" w:bottom="1440" w:gutter="0" w:footer="0" w:header="0"/>
        </w:sectPr>
      </w:pPr>
    </w:p>
    <w:bookmarkStart w:id="160" w:name="page161"/>
    <w:bookmarkEnd w:id="160"/>
    <w:p>
      <w:pPr>
        <w:jc w:val="both"/>
        <w:ind w:left="-1120" w:firstLine="1259"/>
        <w:spacing w:after="0" w:line="251" w:lineRule="auto"/>
        <w:tabs>
          <w:tab w:leader="none" w:pos="597"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the Closing Date, any Borrower may by written notice to the Applicable Administrative Agent elect to request the establishment of one or more increases in one or more of the Revolving Commitments (an “</w:t>
      </w:r>
      <w:r>
        <w:rPr>
          <w:rFonts w:ascii="Times New Roman" w:cs="Times New Roman" w:eastAsia="Times New Roman" w:hAnsi="Times New Roman"/>
          <w:sz w:val="21"/>
          <w:szCs w:val="21"/>
          <w:i w:val="1"/>
          <w:iCs w:val="1"/>
          <w:color w:val="auto"/>
        </w:rPr>
        <w:t>Incremental Revolving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Commitment</w:t>
      </w:r>
      <w:r>
        <w:rPr>
          <w:rFonts w:ascii="Times New Roman" w:cs="Times New Roman" w:eastAsia="Times New Roman" w:hAnsi="Times New Roman"/>
          <w:sz w:val="21"/>
          <w:szCs w:val="21"/>
          <w:color w:val="auto"/>
        </w:rPr>
        <w:t>”) to make incremental Revolving Credit Loans (any Revolving Credit Loans made pursuant to such Incremental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Revolving Commitments, the “</w:t>
      </w:r>
      <w:r>
        <w:rPr>
          <w:rFonts w:ascii="Times New Roman" w:cs="Times New Roman" w:eastAsia="Times New Roman" w:hAnsi="Times New Roman"/>
          <w:sz w:val="21"/>
          <w:szCs w:val="21"/>
          <w:i w:val="1"/>
          <w:iCs w:val="1"/>
          <w:color w:val="auto"/>
        </w:rPr>
        <w:t>Incremental Revolving Credit Increase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(1) the aggregate amount for all such Incremental Revolving Commitments shall not exceed $50,000,000 and (2) the aggregate amount for each Incremental Revolving Commitment shall not be less than a minimum principal amount of $10,000,000 or, if less, the remaining amount permitted pursuant to the foregoing clause (1). Each such notice shall specify the date (each, an “</w:t>
      </w:r>
      <w:r>
        <w:rPr>
          <w:rFonts w:ascii="Times New Roman" w:cs="Times New Roman" w:eastAsia="Times New Roman" w:hAnsi="Times New Roman"/>
          <w:sz w:val="21"/>
          <w:szCs w:val="21"/>
          <w:i w:val="1"/>
          <w:iCs w:val="1"/>
          <w:color w:val="auto"/>
        </w:rPr>
        <w:t>Increased Amount Date</w:t>
      </w:r>
      <w:r>
        <w:rPr>
          <w:rFonts w:ascii="Times New Roman" w:cs="Times New Roman" w:eastAsia="Times New Roman" w:hAnsi="Times New Roman"/>
          <w:sz w:val="21"/>
          <w:szCs w:val="21"/>
          <w:color w:val="auto"/>
        </w:rPr>
        <w:t>”) on which the Applicable Borrower proposes that any Incremental Revolving Commitment shall be effective, which shall be a date not less than twenty (20) Business Days after the date on which such notice is delivered to Administrative Agent. The Applicable Borrower may invite any Lender, any Affiliate of any Lender and/or any Approved Fund, and/or any other person reasonably satisfactory to the Applicable Administrative Agent, the Applicable Issuing Bank and the Applicable Swing Line Lender, if any, to provide an Incremental Revolving Commitment (any such person that provides an Incremental Revolving Commitment, an “</w:t>
      </w:r>
      <w:r>
        <w:rPr>
          <w:rFonts w:ascii="Times New Roman" w:cs="Times New Roman" w:eastAsia="Times New Roman" w:hAnsi="Times New Roman"/>
          <w:sz w:val="21"/>
          <w:szCs w:val="21"/>
          <w:i w:val="1"/>
          <w:iCs w:val="1"/>
          <w:color w:val="auto"/>
        </w:rPr>
        <w:t>Incremental Lender</w:t>
      </w:r>
      <w:r>
        <w:rPr>
          <w:rFonts w:ascii="Times New Roman" w:cs="Times New Roman" w:eastAsia="Times New Roman" w:hAnsi="Times New Roman"/>
          <w:sz w:val="21"/>
          <w:szCs w:val="21"/>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84" w:lineRule="exact"/>
        <w:rPr>
          <w:rFonts w:ascii="Times New Roman" w:cs="Times New Roman" w:eastAsia="Times New Roman" w:hAnsi="Times New Roman"/>
          <w:sz w:val="21"/>
          <w:szCs w:val="21"/>
          <w:color w:val="auto"/>
        </w:rPr>
      </w:pPr>
    </w:p>
    <w:p>
      <w:pPr>
        <w:jc w:val="both"/>
        <w:ind w:left="140" w:firstLine="1254"/>
        <w:spacing w:after="0" w:line="268" w:lineRule="auto"/>
        <w:tabs>
          <w:tab w:leader="none" w:pos="1914"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158" w:lineRule="exact"/>
        <w:rPr>
          <w:rFonts w:ascii="Times New Roman" w:cs="Times New Roman" w:eastAsia="Times New Roman" w:hAnsi="Times New Roman"/>
          <w:sz w:val="19"/>
          <w:szCs w:val="19"/>
          <w:color w:val="auto"/>
        </w:rPr>
      </w:pPr>
    </w:p>
    <w:p>
      <w:pPr>
        <w:jc w:val="both"/>
        <w:ind w:left="140" w:firstLine="1254"/>
        <w:spacing w:after="0" w:line="254" w:lineRule="auto"/>
        <w:tabs>
          <w:tab w:leader="none" w:pos="1901"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Applicable Borrower shall have delivered to the Administrative Agent (which shall promptly make such information available to the Lenders in accordance with its customary practice) a Compliance Certificate demonstrating that the Parent Borrower will be in compliance on a pro forma basis (using the criteria therefor described in Section 6.04(i)) with the Financial Covenants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184" w:lineRule="exact"/>
        <w:rPr>
          <w:rFonts w:ascii="Times New Roman" w:cs="Times New Roman" w:eastAsia="Times New Roman" w:hAnsi="Times New Roman"/>
          <w:sz w:val="19"/>
          <w:szCs w:val="19"/>
          <w:color w:val="auto"/>
        </w:rPr>
      </w:pPr>
    </w:p>
    <w:p>
      <w:pPr>
        <w:jc w:val="both"/>
        <w:ind w:left="140" w:firstLine="1254"/>
        <w:spacing w:after="0" w:line="262" w:lineRule="auto"/>
        <w:tabs>
          <w:tab w:leader="none" w:pos="1957"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163" w:lineRule="exact"/>
        <w:rPr>
          <w:rFonts w:ascii="Times New Roman" w:cs="Times New Roman" w:eastAsia="Times New Roman" w:hAnsi="Times New Roman"/>
          <w:sz w:val="19"/>
          <w:szCs w:val="19"/>
          <w:color w:val="auto"/>
        </w:rPr>
      </w:pPr>
    </w:p>
    <w:p>
      <w:pPr>
        <w:ind w:left="140" w:firstLine="1254"/>
        <w:spacing w:after="0" w:line="290" w:lineRule="auto"/>
        <w:tabs>
          <w:tab w:leader="none" w:pos="1925"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each Incremental Revolving Commitment (and the Incremental Revolving Credit Increase made thereunder) shall constitute</w:t>
      </w:r>
    </w:p>
    <w:p>
      <w:pPr>
        <w:sectPr>
          <w:pgSz w:w="11900" w:h="16838" w:orient="portrait"/>
          <w:cols w:equalWidth="0" w:num="1">
            <w:col w:w="10120"/>
          </w:cols>
          <w:pgMar w:left="1440" w:top="1380" w:right="339" w:bottom="1440" w:gutter="0" w:footer="0" w:header="0"/>
        </w:sectPr>
      </w:pPr>
    </w:p>
    <w:bookmarkStart w:id="161" w:name="page162"/>
    <w:bookmarkEnd w:id="161"/>
    <w:p>
      <w:pPr>
        <w:ind w:left="140"/>
        <w:spacing w:after="0" w:line="277" w:lineRule="auto"/>
        <w:rPr>
          <w:sz w:val="20"/>
          <w:szCs w:val="20"/>
          <w:color w:val="auto"/>
        </w:rPr>
      </w:pPr>
      <w:r>
        <w:rPr>
          <w:rFonts w:ascii="Times New Roman" w:cs="Times New Roman" w:eastAsia="Times New Roman" w:hAnsi="Times New Roman"/>
          <w:sz w:val="21"/>
          <w:szCs w:val="21"/>
          <w:color w:val="auto"/>
        </w:rPr>
        <w:t>Obligations of the Applicable Borrower and shall be secured and guaranteed with the other Revolving Credit Loans of such Class on a pari passu basis;</w:t>
      </w:r>
    </w:p>
    <w:p>
      <w:pPr>
        <w:spacing w:after="0" w:line="148" w:lineRule="exact"/>
        <w:rPr>
          <w:sz w:val="20"/>
          <w:szCs w:val="20"/>
          <w:color w:val="auto"/>
        </w:rPr>
      </w:pPr>
    </w:p>
    <w:p>
      <w:pPr>
        <w:ind w:left="140" w:firstLine="1254"/>
        <w:spacing w:after="0" w:line="290" w:lineRule="auto"/>
        <w:tabs>
          <w:tab w:leader="none" w:pos="188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each Incremental Revolving Commitment (the terms of which shall be set forth the relevant Lender Joinder Agreement):</w:t>
      </w:r>
    </w:p>
    <w:p>
      <w:pPr>
        <w:spacing w:after="0" w:line="135" w:lineRule="exact"/>
        <w:rPr>
          <w:rFonts w:ascii="Times New Roman" w:cs="Times New Roman" w:eastAsia="Times New Roman" w:hAnsi="Times New Roman"/>
          <w:sz w:val="19"/>
          <w:szCs w:val="19"/>
          <w:color w:val="auto"/>
        </w:rPr>
      </w:pPr>
    </w:p>
    <w:p>
      <w:pPr>
        <w:jc w:val="both"/>
        <w:ind w:left="760" w:firstLine="1261"/>
        <w:spacing w:after="0" w:line="258" w:lineRule="auto"/>
        <w:tabs>
          <w:tab w:leader="none" w:pos="2492"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167" w:lineRule="exact"/>
        <w:rPr>
          <w:rFonts w:ascii="Times New Roman" w:cs="Times New Roman" w:eastAsia="Times New Roman" w:hAnsi="Times New Roman"/>
          <w:sz w:val="19"/>
          <w:szCs w:val="19"/>
          <w:color w:val="auto"/>
        </w:rPr>
      </w:pPr>
    </w:p>
    <w:p>
      <w:pPr>
        <w:jc w:val="both"/>
        <w:ind w:left="760" w:firstLine="1261"/>
        <w:spacing w:after="0" w:line="253" w:lineRule="auto"/>
        <w:tabs>
          <w:tab w:leader="none" w:pos="2541"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outstanding Revolving Credit Loans and Applicable Pro Rata Percentages of Swing Line Loans and the aggregate amount available to be drawn under all applicable Letters of Credit of the applicable Class 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178" w:lineRule="exact"/>
        <w:rPr>
          <w:rFonts w:ascii="Times New Roman" w:cs="Times New Roman" w:eastAsia="Times New Roman" w:hAnsi="Times New Roman"/>
          <w:sz w:val="19"/>
          <w:szCs w:val="19"/>
          <w:color w:val="auto"/>
        </w:rPr>
      </w:pPr>
    </w:p>
    <w:p>
      <w:pPr>
        <w:jc w:val="both"/>
        <w:ind w:left="760" w:firstLine="1261"/>
        <w:spacing w:after="0" w:line="261" w:lineRule="auto"/>
        <w:tabs>
          <w:tab w:leader="none" w:pos="2743"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all of the other terms and conditions applicable to such Incremental Revolving Commitment shall, except to the extent otherwise provided in this Section 2.25, be identical to the terms and conditions applicable to the U.S. Revolving Credit Facility, the Canadian Revolving Credit Facility or the Australian Revolving Credit Facility, as the case may be;</w:t>
      </w:r>
    </w:p>
    <w:p>
      <w:pPr>
        <w:spacing w:after="0" w:line="164" w:lineRule="exact"/>
        <w:rPr>
          <w:rFonts w:ascii="Times New Roman" w:cs="Times New Roman" w:eastAsia="Times New Roman" w:hAnsi="Times New Roman"/>
          <w:sz w:val="19"/>
          <w:szCs w:val="19"/>
          <w:color w:val="auto"/>
        </w:rPr>
      </w:pPr>
    </w:p>
    <w:p>
      <w:pPr>
        <w:jc w:val="both"/>
        <w:ind w:left="140" w:firstLine="1254"/>
        <w:spacing w:after="0" w:line="257" w:lineRule="auto"/>
        <w:tabs>
          <w:tab w:leader="none" w:pos="1974"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any Incremental Lender shall be entitled to the same voting rights as the existing Revolving Lenders under the U.S. Revolving Credit Facility, the Canadian Revolving Credit Facility or the Australian Revolving Credit Facility, as the case may be, and any Loans or issuances of Letters of Credit </w:t>
      </w:r>
      <w:r>
        <w:rPr>
          <w:rFonts w:ascii="Times New Roman" w:cs="Times New Roman" w:eastAsia="Times New Roman" w:hAnsi="Times New Roman"/>
          <w:sz w:val="21"/>
          <w:szCs w:val="21"/>
          <w:color w:val="FF0000"/>
          <w:strike w:val="1"/>
        </w:rPr>
        <w:t>or Bankers’ Acceptances</w:t>
      </w:r>
      <w:r>
        <w:rPr>
          <w:rFonts w:ascii="Times New Roman" w:cs="Times New Roman" w:eastAsia="Times New Roman" w:hAnsi="Times New Roman"/>
          <w:sz w:val="21"/>
          <w:szCs w:val="21"/>
          <w:color w:val="auto"/>
        </w:rPr>
        <w:t xml:space="preserve"> made in connection with each Incremental Revolving Credit Increase shall receive proceeds of prepayments on the same basis as the other Revolving Credit Loans made hereunder;</w:t>
      </w:r>
    </w:p>
    <w:p>
      <w:pPr>
        <w:spacing w:after="0" w:line="170" w:lineRule="exact"/>
        <w:rPr>
          <w:rFonts w:ascii="Times New Roman" w:cs="Times New Roman" w:eastAsia="Times New Roman" w:hAnsi="Times New Roman"/>
          <w:sz w:val="19"/>
          <w:szCs w:val="19"/>
          <w:color w:val="auto"/>
        </w:rPr>
      </w:pPr>
    </w:p>
    <w:p>
      <w:pPr>
        <w:ind w:left="140" w:firstLine="1254"/>
        <w:spacing w:after="0" w:line="290" w:lineRule="auto"/>
        <w:tabs>
          <w:tab w:leader="none" w:pos="2003"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such Incremental Revolving Commitments shall be effected pursuant to one or more Lender Joinder Agreements executed and delivered by</w:t>
      </w:r>
    </w:p>
    <w:p>
      <w:pPr>
        <w:sectPr>
          <w:pgSz w:w="11900" w:h="16838" w:orient="portrait"/>
          <w:cols w:equalWidth="0" w:num="1">
            <w:col w:w="10120"/>
          </w:cols>
          <w:pgMar w:left="1440" w:top="1380" w:right="339" w:bottom="1440" w:gutter="0" w:footer="0" w:header="0"/>
        </w:sectPr>
      </w:pPr>
    </w:p>
    <w:bookmarkStart w:id="162" w:name="page163"/>
    <w:bookmarkEnd w:id="162"/>
    <w:p>
      <w:pPr>
        <w:jc w:val="both"/>
        <w:ind w:left="620"/>
        <w:spacing w:after="0" w:line="261" w:lineRule="auto"/>
        <w:rPr>
          <w:sz w:val="20"/>
          <w:szCs w:val="20"/>
          <w:color w:val="auto"/>
        </w:rPr>
      </w:pPr>
      <w:r>
        <w:rPr>
          <w:rFonts w:ascii="Times New Roman" w:cs="Times New Roman" w:eastAsia="Times New Roman" w:hAnsi="Times New Roman"/>
          <w:sz w:val="21"/>
          <w:szCs w:val="21"/>
          <w:color w:val="auto"/>
        </w:rPr>
        <w:t>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 Applicable Administrative Agent, to effect the provisions of this Section 2.25); and</w:t>
      </w:r>
    </w:p>
    <w:p>
      <w:pPr>
        <w:spacing w:after="0" w:line="165" w:lineRule="exact"/>
        <w:rPr>
          <w:sz w:val="20"/>
          <w:szCs w:val="20"/>
          <w:color w:val="auto"/>
        </w:rPr>
      </w:pPr>
    </w:p>
    <w:p>
      <w:pPr>
        <w:jc w:val="both"/>
        <w:ind w:left="620" w:firstLine="1254"/>
        <w:spacing w:after="0" w:line="261" w:lineRule="auto"/>
        <w:tabs>
          <w:tab w:leader="none" w:pos="2419"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64" w:lineRule="exact"/>
        <w:rPr>
          <w:rFonts w:ascii="Times New Roman" w:cs="Times New Roman" w:eastAsia="Times New Roman" w:hAnsi="Times New Roman"/>
          <w:sz w:val="19"/>
          <w:szCs w:val="19"/>
          <w:color w:val="auto"/>
        </w:rPr>
      </w:pPr>
    </w:p>
    <w:p>
      <w:pPr>
        <w:jc w:val="both"/>
        <w:ind w:left="-640" w:firstLine="1259"/>
        <w:spacing w:after="0" w:line="256" w:lineRule="auto"/>
        <w:tabs>
          <w:tab w:leader="none" w:pos="1241"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Incremental Lenders shall be included in any determination of the Required U.S. Lenders, Required Canadian Revolving Lenders, the Required Canadian Lenders, the Required Canadian Revolving Lenders or the Required Australian Lenders, as the case may be, and the Incremental Lenders will not constitute a separate voting class for any purposes under this Agreement.</w:t>
      </w:r>
    </w:p>
    <w:p>
      <w:pPr>
        <w:spacing w:after="0" w:line="185" w:lineRule="exact"/>
        <w:rPr>
          <w:rFonts w:ascii="Times New Roman" w:cs="Times New Roman" w:eastAsia="Times New Roman" w:hAnsi="Times New Roman"/>
          <w:sz w:val="21"/>
          <w:szCs w:val="21"/>
          <w:color w:val="auto"/>
        </w:rPr>
      </w:pPr>
    </w:p>
    <w:p>
      <w:pPr>
        <w:jc w:val="both"/>
        <w:ind w:left="-640" w:firstLine="1259"/>
        <w:spacing w:after="0" w:line="262" w:lineRule="auto"/>
        <w:tabs>
          <w:tab w:leader="none" w:pos="1091"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63" w:lineRule="exact"/>
        <w:rPr>
          <w:rFonts w:ascii="Times New Roman" w:cs="Times New Roman" w:eastAsia="Times New Roman" w:hAnsi="Times New Roman"/>
          <w:sz w:val="21"/>
          <w:szCs w:val="21"/>
          <w:color w:val="auto"/>
        </w:rPr>
      </w:pPr>
    </w:p>
    <w:p>
      <w:pPr>
        <w:jc w:val="both"/>
        <w:ind w:left="-640" w:firstLine="1259"/>
        <w:spacing w:after="0" w:line="268" w:lineRule="auto"/>
        <w:tabs>
          <w:tab w:leader="none" w:pos="1143"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15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1"/>
          <w:szCs w:val="21"/>
          <w:b w:val="1"/>
          <w:bCs w:val="1"/>
          <w:color w:val="auto"/>
        </w:rPr>
        <w:t>SECTION 2.26</w:t>
      </w:r>
      <w:r>
        <w:rPr>
          <w:sz w:val="20"/>
          <w:szCs w:val="20"/>
          <w:color w:val="auto"/>
        </w:rPr>
        <w:tab/>
      </w:r>
      <w:r>
        <w:rPr>
          <w:rFonts w:ascii="Times New Roman" w:cs="Times New Roman" w:eastAsia="Times New Roman" w:hAnsi="Times New Roman"/>
          <w:sz w:val="20"/>
          <w:szCs w:val="20"/>
          <w:b w:val="1"/>
          <w:bCs w:val="1"/>
          <w:i w:val="1"/>
          <w:iCs w:val="1"/>
          <w:color w:val="auto"/>
        </w:rPr>
        <w:t>Benchmark Replacement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1020" w:hanging="401"/>
        <w:spacing w:after="0"/>
        <w:tabs>
          <w:tab w:leader="none" w:pos="1020" w:val="left"/>
        </w:tabs>
        <w:numPr>
          <w:ilvl w:val="0"/>
          <w:numId w:val="179"/>
        </w:numPr>
        <w:rPr>
          <w:rFonts w:ascii="Times New Roman" w:cs="Times New Roman" w:eastAsia="Times New Roman" w:hAnsi="Times New Roman"/>
          <w:sz w:val="19"/>
          <w:szCs w:val="19"/>
          <w:color w:val="auto"/>
        </w:rPr>
      </w:pPr>
      <w:r>
        <w:rPr>
          <w:rFonts w:ascii="Calibri" w:cs="Calibri" w:eastAsia="Calibri" w:hAnsi="Calibri"/>
          <w:sz w:val="21"/>
          <w:szCs w:val="21"/>
          <w:i w:val="1"/>
          <w:iCs w:val="1"/>
          <w:color w:val="auto"/>
        </w:rPr>
        <w:t>Benchmark Replacement</w:t>
      </w:r>
      <w:r>
        <w:rPr>
          <w:rFonts w:ascii="Calibri" w:cs="Calibri" w:eastAsia="Calibri" w:hAnsi="Calibri"/>
          <w:sz w:val="21"/>
          <w:szCs w:val="21"/>
          <w:color w:val="auto"/>
        </w:rPr>
        <w:t>.</w:t>
      </w:r>
    </w:p>
    <w:p>
      <w:pPr>
        <w:spacing w:after="0" w:line="247" w:lineRule="exact"/>
        <w:rPr>
          <w:rFonts w:ascii="Times New Roman" w:cs="Times New Roman" w:eastAsia="Times New Roman" w:hAnsi="Times New Roman"/>
          <w:sz w:val="19"/>
          <w:szCs w:val="19"/>
          <w:color w:val="auto"/>
        </w:rPr>
      </w:pPr>
    </w:p>
    <w:p>
      <w:pPr>
        <w:jc w:val="both"/>
        <w:ind w:firstLine="1246"/>
        <w:spacing w:after="0" w:line="242" w:lineRule="auto"/>
        <w:tabs>
          <w:tab w:leader="none" w:pos="1657" w:val="left"/>
        </w:tabs>
        <w:numPr>
          <w:ilvl w:val="1"/>
          <w:numId w:val="179"/>
        </w:numPr>
        <w:rPr>
          <w:rFonts w:ascii="Calibri" w:cs="Calibri" w:eastAsia="Calibri" w:hAnsi="Calibri"/>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after the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Section 2.26(a) will occur prior to the applicable Benchmark Transition Start Date</w:t>
      </w:r>
      <w:r>
        <w:rPr>
          <w:rFonts w:ascii="Calibri" w:cs="Calibri" w:eastAsia="Calibri" w:hAnsi="Calibri"/>
          <w:sz w:val="21"/>
          <w:szCs w:val="21"/>
          <w:color w:val="auto"/>
        </w:rPr>
        <w:t>.</w:t>
      </w:r>
    </w:p>
    <w:p>
      <w:pPr>
        <w:sectPr>
          <w:pgSz w:w="11900" w:h="16838" w:orient="portrait"/>
          <w:cols w:equalWidth="0" w:num="1">
            <w:col w:w="10600"/>
          </w:cols>
          <w:pgMar w:left="960" w:top="1380" w:right="339" w:bottom="1440" w:gutter="0" w:footer="0" w:header="0"/>
        </w:sectPr>
      </w:pPr>
    </w:p>
    <w:bookmarkStart w:id="163" w:name="page164"/>
    <w:bookmarkEnd w:id="163"/>
    <w:p>
      <w:pPr>
        <w:ind w:left="1200" w:hanging="434"/>
        <w:spacing w:after="0"/>
        <w:tabs>
          <w:tab w:leader="none" w:pos="1200" w:val="left"/>
        </w:tabs>
        <w:numPr>
          <w:ilvl w:val="1"/>
          <w:numId w:val="180"/>
        </w:numPr>
        <w:rPr>
          <w:rFonts w:ascii="Calibri" w:cs="Calibri" w:eastAsia="Calibri" w:hAnsi="Calibri"/>
          <w:sz w:val="21"/>
          <w:szCs w:val="21"/>
          <w:color w:val="auto"/>
        </w:rPr>
      </w:pPr>
      <w:r>
        <w:rPr>
          <w:rFonts w:ascii="Calibri" w:cs="Calibri" w:eastAsia="Calibri" w:hAnsi="Calibri"/>
          <w:sz w:val="21"/>
          <w:szCs w:val="21"/>
          <w:color w:val="auto"/>
        </w:rPr>
        <w:t>No Hedging Agreement shall be deemed to be a “Loan Document” for purposes of this Secton 2.26.</w:t>
      </w:r>
    </w:p>
    <w:p>
      <w:pPr>
        <w:spacing w:after="0" w:line="208" w:lineRule="exact"/>
        <w:rPr>
          <w:rFonts w:ascii="Calibri" w:cs="Calibri" w:eastAsia="Calibri" w:hAnsi="Calibri"/>
          <w:sz w:val="21"/>
          <w:szCs w:val="21"/>
          <w:color w:val="auto"/>
        </w:rPr>
      </w:pPr>
    </w:p>
    <w:p>
      <w:pPr>
        <w:jc w:val="both"/>
        <w:ind w:left="-1120" w:right="160" w:firstLine="1259"/>
        <w:spacing w:after="0" w:line="243" w:lineRule="auto"/>
        <w:tabs>
          <w:tab w:leader="none" w:pos="654" w:val="left"/>
        </w:tabs>
        <w:numPr>
          <w:ilvl w:val="0"/>
          <w:numId w:val="181"/>
        </w:numPr>
        <w:rPr>
          <w:rFonts w:ascii="Times New Roman" w:cs="Times New Roman" w:eastAsia="Times New Roman" w:hAnsi="Times New Roman"/>
          <w:sz w:val="19"/>
          <w:szCs w:val="19"/>
          <w:color w:val="auto"/>
        </w:rPr>
      </w:pPr>
      <w:r>
        <w:rPr>
          <w:rFonts w:ascii="Calibri" w:cs="Calibri" w:eastAsia="Calibri" w:hAnsi="Calibri"/>
          <w:sz w:val="21"/>
          <w:szCs w:val="21"/>
          <w:i w:val="1"/>
          <w:iCs w:val="1"/>
          <w:color w:val="auto"/>
        </w:rPr>
        <w:t>Benchmark Replacement Conforming Changes</w:t>
      </w:r>
      <w:r>
        <w:rPr>
          <w:rFonts w:ascii="Calibri" w:cs="Calibri" w:eastAsia="Calibri" w:hAnsi="Calibri"/>
          <w:sz w:val="21"/>
          <w:szCs w:val="21"/>
          <w:color w:val="auto"/>
        </w:rPr>
        <w:t>.</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In connection with the use, administration, adoption or</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r>
        <w:rPr>
          <w:rFonts w:ascii="Calibri" w:cs="Calibri" w:eastAsia="Calibri" w:hAnsi="Calibri"/>
          <w:sz w:val="21"/>
          <w:szCs w:val="21"/>
          <w:color w:val="auto"/>
        </w:rPr>
        <w:t>.</w:t>
      </w:r>
    </w:p>
    <w:p>
      <w:pPr>
        <w:spacing w:after="0" w:line="235" w:lineRule="exact"/>
        <w:rPr>
          <w:rFonts w:ascii="Times New Roman" w:cs="Times New Roman" w:eastAsia="Times New Roman" w:hAnsi="Times New Roman"/>
          <w:sz w:val="19"/>
          <w:szCs w:val="19"/>
          <w:color w:val="auto"/>
        </w:rPr>
      </w:pPr>
    </w:p>
    <w:p>
      <w:pPr>
        <w:jc w:val="both"/>
        <w:ind w:left="-1120" w:right="20" w:firstLine="1259"/>
        <w:spacing w:after="0" w:line="251" w:lineRule="auto"/>
        <w:tabs>
          <w:tab w:leader="none" w:pos="643" w:val="left"/>
        </w:tabs>
        <w:numPr>
          <w:ilvl w:val="0"/>
          <w:numId w:val="181"/>
        </w:numPr>
        <w:rPr>
          <w:rFonts w:ascii="Times New Roman" w:cs="Times New Roman" w:eastAsia="Times New Roman" w:hAnsi="Times New Roman"/>
          <w:sz w:val="19"/>
          <w:szCs w:val="19"/>
          <w:color w:val="auto"/>
        </w:rPr>
      </w:pPr>
      <w:r>
        <w:rPr>
          <w:rFonts w:ascii="Calibri" w:cs="Calibri" w:eastAsia="Calibri" w:hAnsi="Calibri"/>
          <w:sz w:val="21"/>
          <w:szCs w:val="21"/>
          <w:i w:val="1"/>
          <w:iCs w:val="1"/>
          <w:color w:val="auto"/>
        </w:rPr>
        <w:t>Notces; Standards for Decisions and Determinatons</w:t>
      </w:r>
      <w:r>
        <w:rPr>
          <w:rFonts w:ascii="Calibri" w:cs="Calibri" w:eastAsia="Calibri" w:hAnsi="Calibri"/>
          <w:sz w:val="21"/>
          <w:szCs w:val="21"/>
          <w:color w:val="auto"/>
        </w:rPr>
        <w:t>. The Administratve Agent</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will promptly notify the</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Parent Borrower and the Lenders of (i) the implementation of any Benchmark Replacement and (ii) the effectiveness of any Benchmark Replacement Conforming Changes in connection with the use, administration, adoption or implementation of a Benchmark Replacement. The Administrative Agent will promptly notify the Parent Borrower of (x) the removal or reinstatement of any tenor of a Benchmark pursuant to Section 2.26(d) and (y) the commencement of any Benchmark Unavailability Period. Any determination, decision or election that may be made by the Administrative Agent or, if applicable, any Lender (or group of Lenders) pursuant to this Section 2.26,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2.26.</w:t>
      </w:r>
    </w:p>
    <w:p>
      <w:pPr>
        <w:spacing w:after="0" w:line="209" w:lineRule="exact"/>
        <w:rPr>
          <w:rFonts w:ascii="Times New Roman" w:cs="Times New Roman" w:eastAsia="Times New Roman" w:hAnsi="Times New Roman"/>
          <w:sz w:val="19"/>
          <w:szCs w:val="19"/>
          <w:color w:val="auto"/>
        </w:rPr>
      </w:pPr>
    </w:p>
    <w:p>
      <w:pPr>
        <w:jc w:val="both"/>
        <w:ind w:left="-1120" w:firstLine="1259"/>
        <w:spacing w:after="0" w:line="250" w:lineRule="auto"/>
        <w:tabs>
          <w:tab w:leader="none" w:pos="575" w:val="left"/>
        </w:tabs>
        <w:numPr>
          <w:ilvl w:val="0"/>
          <w:numId w:val="181"/>
        </w:numPr>
        <w:rPr>
          <w:rFonts w:ascii="Times New Roman" w:cs="Times New Roman" w:eastAsia="Times New Roman" w:hAnsi="Times New Roman"/>
          <w:sz w:val="19"/>
          <w:szCs w:val="19"/>
          <w:color w:val="auto"/>
        </w:rPr>
      </w:pPr>
      <w:r>
        <w:rPr>
          <w:rFonts w:ascii="Calibri" w:cs="Calibri" w:eastAsia="Calibri" w:hAnsi="Calibri"/>
          <w:sz w:val="21"/>
          <w:szCs w:val="21"/>
          <w:i w:val="1"/>
          <w:iCs w:val="1"/>
          <w:color w:val="auto"/>
        </w:rPr>
        <w:t>Unavailability of Tenor of Benchmark</w:t>
      </w:r>
      <w:r>
        <w:rPr>
          <w:rFonts w:ascii="Calibri" w:cs="Calibri" w:eastAsia="Calibri" w:hAnsi="Calibri"/>
          <w:sz w:val="21"/>
          <w:szCs w:val="21"/>
          <w:color w:val="auto"/>
        </w:rPr>
        <w:t>.</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Notwithstanding anything to the contrary herein or in any other Loan</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such previously removed tenor</w:t>
      </w:r>
      <w:r>
        <w:rPr>
          <w:rFonts w:ascii="Calibri" w:cs="Calibri" w:eastAsia="Calibri" w:hAnsi="Calibri"/>
          <w:sz w:val="21"/>
          <w:szCs w:val="21"/>
          <w:color w:val="auto"/>
        </w:rPr>
        <w:t>.</w:t>
      </w:r>
    </w:p>
    <w:p>
      <w:pPr>
        <w:sectPr>
          <w:pgSz w:w="11900" w:h="16838" w:orient="portrait"/>
          <w:cols w:equalWidth="0" w:num="1">
            <w:col w:w="9720"/>
          </w:cols>
          <w:pgMar w:left="1440" w:top="1386" w:right="739" w:bottom="1440" w:gutter="0" w:footer="0" w:header="0"/>
        </w:sectPr>
      </w:pPr>
    </w:p>
    <w:bookmarkStart w:id="164" w:name="page165"/>
    <w:bookmarkEnd w:id="164"/>
    <w:p>
      <w:pPr>
        <w:jc w:val="both"/>
        <w:ind w:left="-640" w:right="400" w:firstLine="1259"/>
        <w:spacing w:after="0" w:line="250" w:lineRule="auto"/>
        <w:tabs>
          <w:tab w:leader="none" w:pos="1215" w:val="left"/>
        </w:tabs>
        <w:numPr>
          <w:ilvl w:val="0"/>
          <w:numId w:val="182"/>
        </w:numPr>
        <w:rPr>
          <w:rFonts w:ascii="Times New Roman" w:cs="Times New Roman" w:eastAsia="Times New Roman" w:hAnsi="Times New Roman"/>
          <w:sz w:val="19"/>
          <w:szCs w:val="19"/>
          <w:color w:val="auto"/>
        </w:rPr>
      </w:pPr>
      <w:r>
        <w:rPr>
          <w:rFonts w:ascii="Calibri" w:cs="Calibri" w:eastAsia="Calibri" w:hAnsi="Calibri"/>
          <w:sz w:val="21"/>
          <w:szCs w:val="21"/>
          <w:i w:val="1"/>
          <w:iCs w:val="1"/>
          <w:color w:val="auto"/>
        </w:rPr>
        <w:t>Benchmark Unavailability Period</w:t>
      </w:r>
      <w:r>
        <w:rPr>
          <w:rFonts w:ascii="Calibri" w:cs="Calibri" w:eastAsia="Calibri" w:hAnsi="Calibri"/>
          <w:sz w:val="21"/>
          <w:szCs w:val="21"/>
          <w:color w:val="auto"/>
        </w:rPr>
        <w:t>. Upon</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the Borrowers’ receipt of notice of the commencement of a</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Benchmark Unavailability Period, the Borrowers may revoke any request for a SOFR Loan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Alternate Base Rate or U.S. Base Rate, respectively, based upon the then-current Benchmark or such tenor for such Benchmark, as applicable, will not be used in any determination of Alternate Base Rate or U.S. Base Rate, respectively</w:t>
      </w:r>
      <w:r>
        <w:rPr>
          <w:rFonts w:ascii="Calibri" w:cs="Calibri" w:eastAsia="Calibri" w:hAnsi="Calibri"/>
          <w:sz w:val="21"/>
          <w:szCs w:val="21"/>
          <w:color w:val="auto"/>
        </w:rPr>
        <w:t>.</w:t>
      </w:r>
    </w:p>
    <w:p>
      <w:pPr>
        <w:spacing w:after="0" w:line="22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1"/>
          <w:szCs w:val="21"/>
          <w:b w:val="1"/>
          <w:bCs w:val="1"/>
          <w:color w:val="auto"/>
        </w:rPr>
        <w:t>SECTION 2.27</w:t>
      </w:r>
      <w:r>
        <w:rPr>
          <w:sz w:val="20"/>
          <w:szCs w:val="20"/>
          <w:color w:val="auto"/>
        </w:rPr>
        <w:tab/>
      </w:r>
      <w:r>
        <w:rPr>
          <w:rFonts w:ascii="Times New Roman" w:cs="Times New Roman" w:eastAsia="Times New Roman" w:hAnsi="Times New Roman"/>
          <w:sz w:val="20"/>
          <w:szCs w:val="20"/>
          <w:b w:val="1"/>
          <w:bCs w:val="1"/>
          <w:i w:val="1"/>
          <w:iCs w:val="1"/>
          <w:color w:val="auto"/>
        </w:rPr>
        <w:t>Canadian Benchmark Replacement</w:t>
      </w:r>
      <w:r>
        <w:rPr>
          <w:rFonts w:ascii="Times New Roman" w:cs="Times New Roman" w:eastAsia="Times New Roman" w:hAnsi="Times New Roman"/>
          <w:sz w:val="20"/>
          <w:szCs w:val="20"/>
          <w:u w:val="single" w:color="auto"/>
          <w:color w:val="0000FF"/>
          <w:highlight w:val="lightGray"/>
        </w:rPr>
        <w:t>.</w:t>
      </w:r>
    </w:p>
    <w:p>
      <w:pPr>
        <w:spacing w:after="0" w:line="213" w:lineRule="exact"/>
        <w:rPr>
          <w:sz w:val="20"/>
          <w:szCs w:val="20"/>
          <w:color w:val="auto"/>
        </w:rPr>
      </w:pPr>
    </w:p>
    <w:p>
      <w:pPr>
        <w:ind w:left="1020" w:hanging="401"/>
        <w:spacing w:after="0"/>
        <w:tabs>
          <w:tab w:leader="none" w:pos="1020" w:val="left"/>
        </w:tabs>
        <w:numPr>
          <w:ilvl w:val="0"/>
          <w:numId w:val="183"/>
        </w:numPr>
        <w:rPr>
          <w:rFonts w:ascii="Times New Roman" w:cs="Times New Roman" w:eastAsia="Times New Roman" w:hAnsi="Times New Roman"/>
          <w:sz w:val="19"/>
          <w:szCs w:val="19"/>
          <w:u w:val="single" w:color="auto"/>
          <w:color w:val="0000FF"/>
          <w:highlight w:val="lightGray"/>
        </w:rPr>
      </w:pPr>
      <w:r>
        <w:rPr>
          <w:rFonts w:ascii="Calibri" w:cs="Calibri" w:eastAsia="Calibri" w:hAnsi="Calibri"/>
          <w:sz w:val="21"/>
          <w:szCs w:val="21"/>
          <w:i w:val="1"/>
          <w:iCs w:val="1"/>
          <w:u w:val="single" w:color="auto"/>
          <w:color w:val="0000FF"/>
          <w:highlight w:val="lightGray"/>
        </w:rPr>
        <w:t>Canadian Benchmark Replacement</w:t>
      </w:r>
      <w:r>
        <w:rPr>
          <w:rFonts w:ascii="Calibri" w:cs="Calibri" w:eastAsia="Calibri" w:hAnsi="Calibri"/>
          <w:sz w:val="21"/>
          <w:szCs w:val="21"/>
          <w:u w:val="single" w:color="auto"/>
          <w:color w:val="0000FF"/>
          <w:highlight w:val="lightGray"/>
        </w:rPr>
        <w:t>.</w:t>
      </w:r>
    </w:p>
    <w:p>
      <w:pPr>
        <w:spacing w:after="0" w:line="12" w:lineRule="exact"/>
        <w:rPr>
          <w:sz w:val="20"/>
          <w:szCs w:val="20"/>
          <w:color w:val="auto"/>
        </w:rPr>
      </w:pPr>
    </w:p>
    <w:p>
      <w:pPr>
        <w:ind w:left="720" w:hanging="101"/>
        <w:spacing w:after="0"/>
        <w:tabs>
          <w:tab w:leader="none" w:pos="720" w:val="left"/>
        </w:tabs>
        <w:numPr>
          <w:ilvl w:val="0"/>
          <w:numId w:val="184"/>
        </w:numPr>
        <w:rPr>
          <w:rFonts w:ascii="Times New Roman" w:cs="Times New Roman" w:eastAsia="Times New Roman" w:hAnsi="Times New Roman"/>
          <w:sz w:val="21"/>
          <w:szCs w:val="21"/>
          <w:color w:val="FF0000"/>
          <w:strike w:val="1"/>
        </w:rPr>
      </w:pPr>
      <w:r>
        <w:rPr>
          <w:rFonts w:ascii="Calibri" w:cs="Calibri" w:eastAsia="Calibri" w:hAnsi="Calibri"/>
          <w:sz w:val="21"/>
          <w:szCs w:val="21"/>
          <w:u w:val="single" w:color="auto"/>
          <w:color w:val="0000FF"/>
          <w:highlight w:val="lightGray"/>
        </w:rPr>
        <w:t>(i)</w:t>
      </w:r>
      <w:r>
        <w:rPr>
          <w:rFonts w:ascii="Calibri" w:cs="Calibri" w:eastAsia="Calibri" w:hAnsi="Calibri"/>
          <w:sz w:val="21"/>
          <w:szCs w:val="21"/>
          <w:color w:val="0000FF"/>
          <w:highlight w:val="lightGray"/>
        </w:rPr>
        <w:t xml:space="preserve">  </w:t>
      </w:r>
      <w:r>
        <w:rPr>
          <w:rFonts w:ascii="Calibri" w:cs="Calibri" w:eastAsia="Calibri" w:hAnsi="Calibri"/>
          <w:sz w:val="21"/>
          <w:szCs w:val="21"/>
          <w:color w:val="000000"/>
        </w:rPr>
        <w:t>Notwithstanding</w:t>
      </w:r>
      <w:r>
        <w:rPr>
          <w:rFonts w:ascii="Calibri" w:cs="Calibri" w:eastAsia="Calibri" w:hAnsi="Calibri"/>
          <w:sz w:val="21"/>
          <w:szCs w:val="21"/>
          <w:color w:val="0000FF"/>
          <w:highlight w:val="lightGray"/>
        </w:rPr>
        <w:t xml:space="preserve"> </w:t>
      </w:r>
      <w:r>
        <w:rPr>
          <w:rFonts w:ascii="Times New Roman" w:cs="Times New Roman" w:eastAsia="Times New Roman" w:hAnsi="Times New Roman"/>
          <w:sz w:val="21"/>
          <w:szCs w:val="21"/>
          <w:color w:val="000000"/>
        </w:rPr>
        <w:t>anything to the contrary herein or in any other Loan Document</w:t>
      </w:r>
      <w:r>
        <w:rPr>
          <w:rFonts w:ascii="Times New Roman" w:cs="Times New Roman" w:eastAsia="Times New Roman" w:hAnsi="Times New Roman"/>
          <w:sz w:val="21"/>
          <w:szCs w:val="21"/>
          <w:color w:val="FF0000"/>
          <w:strike w:val="1"/>
        </w:rPr>
        <w:t>:</w:t>
      </w:r>
    </w:p>
    <w:p>
      <w:pPr>
        <w:spacing w:after="0" w:line="223" w:lineRule="exact"/>
        <w:rPr>
          <w:sz w:val="20"/>
          <w:szCs w:val="20"/>
          <w:color w:val="auto"/>
        </w:rPr>
      </w:pPr>
    </w:p>
    <w:p>
      <w:pPr>
        <w:jc w:val="both"/>
        <w:ind w:left="-640" w:right="380" w:firstLine="1259"/>
        <w:spacing w:after="0" w:line="250" w:lineRule="auto"/>
        <w:tabs>
          <w:tab w:leader="none" w:pos="1032" w:val="left"/>
        </w:tabs>
        <w:numPr>
          <w:ilvl w:val="0"/>
          <w:numId w:val="185"/>
        </w:numPr>
        <w:rPr>
          <w:rFonts w:ascii="Times New Roman" w:cs="Times New Roman" w:eastAsia="Times New Roman" w:hAnsi="Times New Roman"/>
          <w:sz w:val="19"/>
          <w:szCs w:val="19"/>
          <w:color w:val="FF0000"/>
          <w:strike w:val="1"/>
        </w:rPr>
      </w:pPr>
      <w:r>
        <w:rPr>
          <w:rFonts w:ascii="Calibri" w:cs="Calibri" w:eastAsia="Calibri" w:hAnsi="Calibri"/>
          <w:sz w:val="21"/>
          <w:szCs w:val="21"/>
          <w:i w:val="1"/>
          <w:iCs w:val="1"/>
          <w:color w:val="FF0000"/>
          <w:strike w:val="1"/>
        </w:rPr>
        <w:t>Replacing CDOR</w:t>
      </w:r>
      <w:r>
        <w:rPr>
          <w:rFonts w:ascii="Calibri" w:cs="Calibri" w:eastAsia="Calibri" w:hAnsi="Calibri"/>
          <w:sz w:val="21"/>
          <w:szCs w:val="21"/>
          <w:color w:val="FF0000"/>
          <w:strike w:val="1"/>
        </w:rPr>
        <w:t>. On</w:t>
      </w:r>
      <w:r>
        <w:rPr>
          <w:rFonts w:ascii="Calibri" w:cs="Calibri" w:eastAsia="Calibri" w:hAnsi="Calibri"/>
          <w:sz w:val="21"/>
          <w:szCs w:val="21"/>
          <w:i w:val="1"/>
          <w:iCs w:val="1"/>
          <w:color w:val="FF0000"/>
          <w:strike w:val="1"/>
        </w:rPr>
        <w:t xml:space="preserve"> </w:t>
      </w:r>
      <w:r>
        <w:rPr>
          <w:rFonts w:ascii="Times New Roman" w:cs="Times New Roman" w:eastAsia="Times New Roman" w:hAnsi="Times New Roman"/>
          <w:sz w:val="21"/>
          <w:szCs w:val="21"/>
          <w:color w:val="FF0000"/>
          <w:strike w:val="1"/>
        </w:rPr>
        <w:t>May 16, 2022 Refinitiv Benchmark Services (UK) Limited (“</w:t>
      </w:r>
      <w:r>
        <w:rPr>
          <w:rFonts w:ascii="Times New Roman" w:cs="Times New Roman" w:eastAsia="Times New Roman" w:hAnsi="Times New Roman"/>
          <w:sz w:val="21"/>
          <w:szCs w:val="21"/>
          <w:b w:val="1"/>
          <w:bCs w:val="1"/>
          <w:i w:val="1"/>
          <w:iCs w:val="1"/>
          <w:color w:val="FF0000"/>
          <w:strike w:val="1"/>
        </w:rPr>
        <w:t>RBSL</w:t>
      </w:r>
      <w:r>
        <w:rPr>
          <w:rFonts w:ascii="Times New Roman" w:cs="Times New Roman" w:eastAsia="Times New Roman" w:hAnsi="Times New Roman"/>
          <w:sz w:val="21"/>
          <w:szCs w:val="21"/>
          <w:color w:val="FF0000"/>
          <w:strike w:val="1"/>
        </w:rPr>
        <w:t>”), the administrator</w:t>
      </w:r>
      <w:r>
        <w:rPr>
          <w:rFonts w:ascii="Calibri" w:cs="Calibri" w:eastAsia="Calibri" w:hAnsi="Calibri"/>
          <w:sz w:val="21"/>
          <w:szCs w:val="21"/>
          <w:i w:val="1"/>
          <w:iCs w:val="1"/>
          <w:color w:val="FF0000"/>
          <w:strike w:val="1"/>
        </w:rPr>
        <w:t xml:space="preserve"> </w:t>
      </w:r>
      <w:r>
        <w:rPr>
          <w:rFonts w:ascii="Times New Roman" w:cs="Times New Roman" w:eastAsia="Times New Roman" w:hAnsi="Times New Roman"/>
          <w:sz w:val="21"/>
          <w:szCs w:val="21"/>
          <w:color w:val="FF0000"/>
          <w:strike w:val="1"/>
        </w:rPr>
        <w:t>of CDOR, announced in a public statement that the calculation and publication of all tenors of CDOR will permanently cease immediately following a final publication on Friday, June 28, 2024. On the date that all Canadian Available Tenors of CDOR have either permanently or indefinitely ceased to be provided by RBSL (the “</w:t>
      </w:r>
      <w:r>
        <w:rPr>
          <w:rFonts w:ascii="Times New Roman" w:cs="Times New Roman" w:eastAsia="Times New Roman" w:hAnsi="Times New Roman"/>
          <w:sz w:val="21"/>
          <w:szCs w:val="21"/>
          <w:b w:val="1"/>
          <w:bCs w:val="1"/>
          <w:color w:val="FF0000"/>
          <w:strike w:val="1"/>
        </w:rPr>
        <w:t>CDOR Cessation Date</w:t>
      </w:r>
      <w:r>
        <w:rPr>
          <w:rFonts w:ascii="Times New Roman" w:cs="Times New Roman" w:eastAsia="Times New Roman" w:hAnsi="Times New Roman"/>
          <w:sz w:val="21"/>
          <w:szCs w:val="21"/>
          <w:color w:val="FF0000"/>
          <w:strike w:val="1"/>
        </w:rPr>
        <w:t>”), if</w:t>
      </w:r>
      <w:r>
        <w:rPr>
          <w:rFonts w:ascii="Times New Roman" w:cs="Times New Roman" w:eastAsia="Times New Roman" w:hAnsi="Times New Roman"/>
          <w:sz w:val="21"/>
          <w:szCs w:val="21"/>
          <w:u w:val="single" w:color="auto"/>
          <w:color w:val="0000FF"/>
          <w:highlight w:val="lightGray"/>
          <w:strike w:val="1"/>
        </w:rPr>
        <w:t>, if a Canadian</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highlight w:val="lightGray"/>
          <w:strike w:val="1"/>
        </w:rPr>
        <w:t>Benchmark Transition Event and its related Canadian Benchmark Replacement Date have occurred prior to any setting of</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color w:val="000000"/>
          <w:strike w:val="1"/>
        </w:rPr>
        <w:t>the</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color w:val="000000"/>
          <w:strike w:val="1"/>
        </w:rPr>
        <w:t xml:space="preserve">then-current Canadian Benchmark </w:t>
      </w:r>
      <w:r>
        <w:rPr>
          <w:rFonts w:ascii="Times New Roman" w:cs="Times New Roman" w:eastAsia="Times New Roman" w:hAnsi="Times New Roman"/>
          <w:sz w:val="21"/>
          <w:szCs w:val="21"/>
          <w:color w:val="FF0000"/>
          <w:strike w:val="1"/>
        </w:rPr>
        <w:t>is CDOR</w:t>
      </w:r>
      <w:r>
        <w:rPr>
          <w:rFonts w:ascii="Times New Roman" w:cs="Times New Roman" w:eastAsia="Times New Roman" w:hAnsi="Times New Roman"/>
          <w:sz w:val="21"/>
          <w:szCs w:val="21"/>
          <w:color w:val="000000"/>
          <w:strike w:val="1"/>
        </w:rPr>
        <w:t>, the</w:t>
      </w:r>
      <w:r>
        <w:rPr>
          <w:rFonts w:ascii="Times New Roman" w:cs="Times New Roman" w:eastAsia="Times New Roman" w:hAnsi="Times New Roman"/>
          <w:sz w:val="21"/>
          <w:szCs w:val="21"/>
          <w:u w:val="single" w:color="auto"/>
          <w:color w:val="0000FF"/>
          <w:highlight w:val="lightGray"/>
          <w:strike w:val="1"/>
        </w:rPr>
        <w:t>n (x) if a</w:t>
      </w:r>
      <w:r>
        <w:rPr>
          <w:rFonts w:ascii="Times New Roman" w:cs="Times New Roman" w:eastAsia="Times New Roman" w:hAnsi="Times New Roman"/>
          <w:sz w:val="21"/>
          <w:szCs w:val="21"/>
          <w:color w:val="000000"/>
          <w:strike w:val="1"/>
        </w:rPr>
        <w:t xml:space="preserve"> Canadian Benchmark </w:t>
      </w:r>
      <w:r>
        <w:rPr>
          <w:rFonts w:ascii="Times New Roman" w:cs="Times New Roman" w:eastAsia="Times New Roman" w:hAnsi="Times New Roman"/>
          <w:sz w:val="21"/>
          <w:szCs w:val="21"/>
          <w:u w:val="single" w:color="auto"/>
          <w:color w:val="0000FF"/>
          <w:highlight w:val="lightGray"/>
          <w:strike w:val="1"/>
        </w:rPr>
        <w:t>Replacement is determined in accordance with</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highlight w:val="lightGray"/>
          <w:strike w:val="1"/>
        </w:rPr>
        <w:t>clause (a) of the definition of “Canadian Benchmark Replacement” for such Canadian Benchmark Replacement Date, such Canadian Benchmark</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color w:val="000000"/>
          <w:strike w:val="1"/>
        </w:rPr>
        <w:t>Replacement will replace such Canadian Benchmark for all purposes hereunder and under any Loan</w:t>
      </w:r>
      <w:r>
        <w:rPr>
          <w:rFonts w:ascii="Times New Roman" w:cs="Times New Roman" w:eastAsia="Times New Roman" w:hAnsi="Times New Roman"/>
          <w:sz w:val="21"/>
          <w:szCs w:val="21"/>
          <w:color w:val="0000FF"/>
          <w:highlight w:val="lightGray"/>
          <w:strike w:val="1"/>
        </w:rPr>
        <w:t xml:space="preserve"> </w:t>
      </w:r>
      <w:r>
        <w:rPr>
          <w:rFonts w:ascii="Times New Roman" w:cs="Times New Roman" w:eastAsia="Times New Roman" w:hAnsi="Times New Roman"/>
          <w:sz w:val="21"/>
          <w:szCs w:val="21"/>
          <w:color w:val="000000"/>
          <w:strike w:val="1"/>
        </w:rPr>
        <w:t xml:space="preserve">Document in respect of </w:t>
      </w:r>
      <w:r>
        <w:rPr>
          <w:rFonts w:ascii="Times New Roman" w:cs="Times New Roman" w:eastAsia="Times New Roman" w:hAnsi="Times New Roman"/>
          <w:sz w:val="21"/>
          <w:szCs w:val="21"/>
          <w:color w:val="FF0000"/>
          <w:strike w:val="1"/>
        </w:rPr>
        <w:t>any setting of</w:t>
      </w:r>
      <w:r>
        <w:rPr>
          <w:rFonts w:ascii="Times New Roman" w:cs="Times New Roman" w:eastAsia="Times New Roman" w:hAnsi="Times New Roman"/>
          <w:sz w:val="21"/>
          <w:szCs w:val="21"/>
          <w:color w:val="000000"/>
          <w:strike w:val="1"/>
        </w:rPr>
        <w:t xml:space="preserve"> such Canadian Benchmark </w:t>
      </w:r>
      <w:r>
        <w:rPr>
          <w:rFonts w:ascii="Times New Roman" w:cs="Times New Roman" w:eastAsia="Times New Roman" w:hAnsi="Times New Roman"/>
          <w:sz w:val="21"/>
          <w:szCs w:val="21"/>
          <w:color w:val="FF0000"/>
          <w:strike w:val="1"/>
        </w:rPr>
        <w:t>on such day and all</w:t>
      </w:r>
      <w:r>
        <w:rPr>
          <w:rFonts w:ascii="Times New Roman" w:cs="Times New Roman" w:eastAsia="Times New Roman" w:hAnsi="Times New Roman"/>
          <w:sz w:val="21"/>
          <w:szCs w:val="21"/>
          <w:u w:val="single" w:color="auto"/>
          <w:color w:val="0000FF"/>
          <w:highlight w:val="lightGray"/>
          <w:strike w:val="1"/>
        </w:rPr>
        <w:t>setting and</w:t>
      </w:r>
      <w:r>
        <w:rPr>
          <w:rFonts w:ascii="Times New Roman" w:cs="Times New Roman" w:eastAsia="Times New Roman" w:hAnsi="Times New Roman"/>
          <w:sz w:val="21"/>
          <w:szCs w:val="21"/>
          <w:color w:val="000000"/>
          <w:strike w:val="1"/>
        </w:rPr>
        <w:t xml:space="preserve"> subsequent </w:t>
      </w:r>
      <w:r>
        <w:rPr>
          <w:rFonts w:ascii="Times New Roman" w:cs="Times New Roman" w:eastAsia="Times New Roman" w:hAnsi="Times New Roman"/>
          <w:sz w:val="21"/>
          <w:szCs w:val="21"/>
          <w:u w:val="single" w:color="auto"/>
          <w:color w:val="0000FF"/>
          <w:highlight w:val="lightGray"/>
          <w:strike w:val="1"/>
        </w:rPr>
        <w:t>Canadian Benchmark</w:t>
      </w:r>
      <w:r>
        <w:rPr>
          <w:rFonts w:ascii="Times New Roman" w:cs="Times New Roman" w:eastAsia="Times New Roman" w:hAnsi="Times New Roman"/>
          <w:sz w:val="21"/>
          <w:szCs w:val="21"/>
          <w:color w:val="000000"/>
          <w:strike w:val="1"/>
        </w:rPr>
        <w:t xml:space="preserve"> settings without any amendment to, or further action or consent of any other party to</w:t>
      </w:r>
      <w:r>
        <w:rPr>
          <w:rFonts w:ascii="Times New Roman" w:cs="Times New Roman" w:eastAsia="Times New Roman" w:hAnsi="Times New Roman"/>
          <w:sz w:val="21"/>
          <w:szCs w:val="21"/>
          <w:u w:val="single" w:color="auto"/>
          <w:color w:val="0000FF"/>
          <w:highlight w:val="lightGray"/>
          <w:strike w:val="1"/>
        </w:rPr>
        <w:t>,</w:t>
      </w:r>
      <w:r>
        <w:rPr>
          <w:rFonts w:ascii="Times New Roman" w:cs="Times New Roman" w:eastAsia="Times New Roman" w:hAnsi="Times New Roman"/>
          <w:sz w:val="21"/>
          <w:szCs w:val="21"/>
          <w:color w:val="000000"/>
          <w:strike w:val="1"/>
        </w:rPr>
        <w:t xml:space="preserve"> this Agreement or any other Loan Document</w:t>
      </w:r>
      <w:r>
        <w:rPr>
          <w:rFonts w:ascii="Times New Roman" w:cs="Times New Roman" w:eastAsia="Times New Roman" w:hAnsi="Times New Roman"/>
          <w:sz w:val="21"/>
          <w:szCs w:val="21"/>
          <w:color w:val="FF0000"/>
          <w:strike w:val="1"/>
        </w:rPr>
        <w:t>. If the</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highlight w:val="lightGray"/>
          <w:strike w:val="1"/>
        </w:rPr>
        <w:t>and (y) if a</w:t>
      </w:r>
      <w:r>
        <w:rPr>
          <w:rFonts w:ascii="Times New Roman" w:cs="Times New Roman" w:eastAsia="Times New Roman" w:hAnsi="Times New Roman"/>
          <w:sz w:val="21"/>
          <w:szCs w:val="21"/>
          <w:color w:val="000000"/>
          <w:strike w:val="1"/>
        </w:rPr>
        <w:t xml:space="preserve"> Canadian Benchmark Replacement is </w:t>
      </w:r>
      <w:r>
        <w:rPr>
          <w:rFonts w:ascii="Times New Roman" w:cs="Times New Roman" w:eastAsia="Times New Roman" w:hAnsi="Times New Roman"/>
          <w:sz w:val="21"/>
          <w:szCs w:val="21"/>
          <w:color w:val="FF0000"/>
          <w:strike w:val="1"/>
        </w:rPr>
        <w:t>Daily Compounded CORRA, all interest payments will be</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payable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-1028065</wp:posOffset>
            </wp:positionV>
            <wp:extent cx="5403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jc w:val="both"/>
        <w:ind w:left="440" w:firstLine="801"/>
        <w:spacing w:after="0" w:line="252" w:lineRule="auto"/>
        <w:rPr>
          <w:sz w:val="20"/>
          <w:szCs w:val="20"/>
          <w:color w:val="auto"/>
        </w:rPr>
      </w:pPr>
      <w:r>
        <w:rPr>
          <w:rFonts w:ascii="Times New Roman" w:cs="Times New Roman" w:eastAsia="Times New Roman" w:hAnsi="Times New Roman"/>
          <w:sz w:val="21"/>
          <w:szCs w:val="21"/>
          <w:u w:val="single" w:color="auto"/>
          <w:color w:val="0000FF"/>
          <w:highlight w:val="lightGray"/>
        </w:rPr>
        <w:t xml:space="preserve">determined in accordance with clause (b) of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21"/>
          <w:szCs w:val="21"/>
          <w:u w:val="single" w:color="auto"/>
          <w:color w:val="0000FF"/>
          <w:highlight w:val="lightGray"/>
        </w:rPr>
        <w:t xml:space="preserve"> </w:t>
      </w:r>
      <w:r>
        <w:rPr>
          <w:rFonts w:ascii="Calibri" w:cs="Calibri" w:eastAsia="Calibri" w:hAnsi="Calibri"/>
          <w:sz w:val="21"/>
          <w:szCs w:val="21"/>
          <w:i w:val="1"/>
          <w:iCs w:val="1"/>
          <w:color w:val="FF0000"/>
          <w:strike w:val="1"/>
        </w:rPr>
        <w:t>Replacing Future Canadian Benchmarks</w:t>
      </w:r>
      <w:r>
        <w:rPr>
          <w:rFonts w:ascii="Calibri" w:cs="Calibri" w:eastAsia="Calibri" w:hAnsi="Calibri"/>
          <w:sz w:val="21"/>
          <w:szCs w:val="21"/>
          <w:color w:val="FF0000"/>
          <w:strike w:val="1"/>
        </w:rPr>
        <w:t>.</w:t>
      </w:r>
      <w:r>
        <w:rPr>
          <w:rFonts w:ascii="Times New Roman" w:cs="Times New Roman" w:eastAsia="Times New Roman" w:hAnsi="Times New Roman"/>
          <w:sz w:val="21"/>
          <w:szCs w:val="21"/>
          <w:u w:val="single" w:color="auto"/>
          <w:color w:val="0000FF"/>
          <w:highlight w:val="lightGray"/>
        </w:rPr>
        <w:t xml:space="preserve"> </w:t>
      </w:r>
      <w:r>
        <w:rPr>
          <w:rFonts w:ascii="Times New Roman" w:cs="Times New Roman" w:eastAsia="Times New Roman" w:hAnsi="Times New Roman"/>
          <w:sz w:val="21"/>
          <w:szCs w:val="21"/>
          <w:color w:val="FF0000"/>
          <w:strike w:val="1"/>
        </w:rPr>
        <w:t>Upon the occurrence</w:t>
      </w:r>
      <w:r>
        <w:rPr>
          <w:rFonts w:ascii="Times New Roman" w:cs="Times New Roman" w:eastAsia="Times New Roman" w:hAnsi="Times New Roman"/>
          <w:sz w:val="21"/>
          <w:szCs w:val="21"/>
          <w:u w:val="single" w:color="auto"/>
          <w:color w:val="0000FF"/>
          <w:highlight w:val="lightGray"/>
        </w:rPr>
        <w:t xml:space="preserve"> </w:t>
      </w:r>
      <w:r>
        <w:rPr>
          <w:rFonts w:ascii="Times New Roman" w:cs="Times New Roman" w:eastAsia="Times New Roman" w:hAnsi="Times New Roman"/>
          <w:sz w:val="21"/>
          <w:szCs w:val="21"/>
          <w:color w:val="FF0000"/>
          <w:strike w:val="1"/>
        </w:rPr>
        <w:t>of a Canadian Benchmark Transition Event,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the definition of “</w:t>
      </w:r>
      <w:r>
        <w:rPr>
          <w:rFonts w:ascii="Times New Roman" w:cs="Times New Roman" w:eastAsia="Times New Roman" w:hAnsi="Times New Roman"/>
          <w:sz w:val="21"/>
          <w:szCs w:val="21"/>
          <w:color w:val="000000"/>
        </w:rPr>
        <w:t>Canadian Benchmark Replacement</w:t>
      </w:r>
      <w:r>
        <w:rPr>
          <w:rFonts w:ascii="Times New Roman" w:cs="Times New Roman" w:eastAsia="Times New Roman" w:hAnsi="Times New Roman"/>
          <w:sz w:val="21"/>
          <w:szCs w:val="21"/>
          <w:u w:val="single" w:color="auto"/>
          <w:color w:val="0000FF"/>
          <w:highlight w:val="lightGray"/>
        </w:rPr>
        <w:t>” for such Canadian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Benchmark Replacement Date, such Canadian Benchmark Replacement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will replace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the then-current</w:t>
      </w:r>
      <w:r>
        <w:rPr>
          <w:rFonts w:ascii="Times New Roman" w:cs="Times New Roman" w:eastAsia="Times New Roman" w:hAnsi="Times New Roman"/>
          <w:sz w:val="21"/>
          <w:szCs w:val="21"/>
          <w:u w:val="single" w:color="auto"/>
          <w:color w:val="0000FF"/>
          <w:highlight w:val="lightGray"/>
        </w:rPr>
        <w:t>such</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Canadian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Benchmark for all purposes hereunder and under any Loan Document in respect of any Canadian Benchmark setting at or after 5:00 p.m. (Toronto time) on the fifth (5th) Business Day after the date notice of such Canadian Benchmark Replacement is provided to the </w:t>
      </w:r>
      <w:r>
        <w:rPr>
          <w:rFonts w:ascii="Times New Roman" w:cs="Times New Roman" w:eastAsia="Times New Roman" w:hAnsi="Times New Roman"/>
          <w:sz w:val="21"/>
          <w:szCs w:val="21"/>
          <w:color w:val="FF0000"/>
          <w:strike w:val="1"/>
        </w:rPr>
        <w:t>Canadian</w:t>
      </w:r>
      <w:r>
        <w:rPr>
          <w:rFonts w:ascii="Times New Roman" w:cs="Times New Roman" w:eastAsia="Times New Roman" w:hAnsi="Times New Roman"/>
          <w:sz w:val="21"/>
          <w:szCs w:val="21"/>
          <w:color w:val="000000"/>
        </w:rPr>
        <w:t xml:space="preserve"> Lenders without any amendment to, or further action or consent of any other party to, this Agreement or any other Loan Document so long as the </w:t>
      </w:r>
      <w:r>
        <w:rPr>
          <w:rFonts w:ascii="Times New Roman" w:cs="Times New Roman" w:eastAsia="Times New Roman" w:hAnsi="Times New Roman"/>
          <w:sz w:val="21"/>
          <w:szCs w:val="21"/>
          <w:u w:val="single" w:color="auto"/>
          <w:color w:val="0000FF"/>
          <w:highlight w:val="lightGray"/>
        </w:rPr>
        <w:t>Canadian</w:t>
      </w:r>
      <w:r>
        <w:rPr>
          <w:rFonts w:ascii="Times New Roman" w:cs="Times New Roman" w:eastAsia="Times New Roman" w:hAnsi="Times New Roman"/>
          <w:sz w:val="21"/>
          <w:szCs w:val="21"/>
          <w:color w:val="000000"/>
        </w:rPr>
        <w:t xml:space="preserve"> Administrative Agent has not received, by such time, written notice of objection to such Canadian Benchmark</w:t>
      </w:r>
    </w:p>
    <w:p>
      <w:pPr>
        <w:sectPr>
          <w:pgSz w:w="11900" w:h="16838" w:orient="portrait"/>
          <w:cols w:equalWidth="0" w:num="1">
            <w:col w:w="10600"/>
          </w:cols>
          <w:pgMar w:left="960" w:top="1380" w:right="339" w:bottom="1440" w:gutter="0" w:footer="0" w:header="0"/>
        </w:sectPr>
      </w:pPr>
    </w:p>
    <w:bookmarkStart w:id="165" w:name="page166"/>
    <w:bookmarkEnd w:id="165"/>
    <w:p>
      <w:pPr>
        <w:jc w:val="both"/>
        <w:ind w:left="1080"/>
        <w:spacing w:after="0" w:line="251" w:lineRule="auto"/>
        <w:rPr>
          <w:sz w:val="20"/>
          <w:szCs w:val="20"/>
          <w:color w:val="auto"/>
        </w:rPr>
      </w:pPr>
      <w:r>
        <w:rPr>
          <w:rFonts w:ascii="Times New Roman" w:cs="Times New Roman" w:eastAsia="Times New Roman" w:hAnsi="Times New Roman"/>
          <w:sz w:val="21"/>
          <w:szCs w:val="21"/>
          <w:color w:val="auto"/>
        </w:rPr>
        <w:t xml:space="preserve">Replacement from </w:t>
      </w:r>
      <w:r>
        <w:rPr>
          <w:rFonts w:ascii="Times New Roman" w:cs="Times New Roman" w:eastAsia="Times New Roman" w:hAnsi="Times New Roman"/>
          <w:sz w:val="21"/>
          <w:szCs w:val="21"/>
          <w:color w:val="FF0000"/>
          <w:strike w:val="1"/>
        </w:rPr>
        <w:t>Canadian</w:t>
      </w:r>
      <w:r>
        <w:rPr>
          <w:rFonts w:ascii="Times New Roman" w:cs="Times New Roman" w:eastAsia="Times New Roman" w:hAnsi="Times New Roman"/>
          <w:sz w:val="21"/>
          <w:szCs w:val="21"/>
          <w:color w:val="auto"/>
        </w:rPr>
        <w:t xml:space="preserve"> Lenders comprising the </w:t>
      </w:r>
      <w:r>
        <w:rPr>
          <w:rFonts w:ascii="Times New Roman" w:cs="Times New Roman" w:eastAsia="Times New Roman" w:hAnsi="Times New Roman"/>
          <w:sz w:val="21"/>
          <w:szCs w:val="21"/>
          <w:color w:val="FF0000"/>
          <w:strike w:val="1"/>
        </w:rPr>
        <w:t>Required Canadian Lenders. At any time that the administrator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the then-current Canadian Benchmark has permanently or indefinitely ceased to provide such Canadian Benchmark or such Canadian Benchmark has been announced by the administrator or the regulatory supervisor for the administrator of such Canadian Benchmark pursuant to public statement or publication of information to be no longer representative of the underlying market and economic reality that such Canadian Benchmark is intended to measure and that representativeness will not be restored, the Parent Borrower may revoke any request for a borrowing of, conversion to or continuation of Canadian Loans to be made, converted or continued that would bear interest by reference to such Canadian Benchmark until the Parent Borrower’s receipt of notice from the Canadian Administrative Agent that a Canadian Benchmark Replacement has replaced such Canadian Benchmark, and, failing that, the Parent Borrower will be deemed to have converted any such request into a request for a borrowing of or conversion to Canadian Prime Loans</w:t>
      </w:r>
      <w:r>
        <w:rPr>
          <w:rFonts w:ascii="Calibri" w:cs="Calibri" w:eastAsia="Calibri" w:hAnsi="Calibri"/>
          <w:sz w:val="21"/>
          <w:szCs w:val="21"/>
          <w:color w:val="FF0000"/>
          <w:strike w:val="1"/>
        </w:rPr>
        <w:t>.</w:t>
      </w:r>
      <w:r>
        <w:rPr>
          <w:rFonts w:ascii="Times New Roman" w:cs="Times New Roman" w:eastAsia="Times New Roman" w:hAnsi="Times New Roman"/>
          <w:sz w:val="21"/>
          <w:szCs w:val="21"/>
          <w:color w:val="FF0000"/>
          <w:strike w:val="1"/>
        </w:rPr>
        <w:t xml:space="preserve"> During the period referenced in the foregoing sentence, the component of the Canadian Prime Rate based upon the Canadian Benchmark will not be used in any determination of the Canadian Prime Rate.</w:t>
      </w:r>
      <w:r>
        <w:rPr>
          <w:rFonts w:ascii="Times New Roman" w:cs="Times New Roman" w:eastAsia="Times New Roman" w:hAnsi="Times New Roman"/>
          <w:sz w:val="21"/>
          <w:szCs w:val="21"/>
          <w:u w:val="single" w:color="auto"/>
          <w:color w:val="0000FF"/>
          <w:highlight w:val="lightGray"/>
          <w:strike w:val="1"/>
        </w:rPr>
        <w:t>Applicable Required Lenders. If</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highlight w:val="lightGray"/>
          <w:strike w:val="1"/>
        </w:rPr>
        <w:t>the Canadian Benchmark Replacement is Daily Compounded CORRA, all interest payments will be payable on the last day of each Interest Period.</w:t>
      </w:r>
    </w:p>
    <w:p>
      <w:pPr>
        <w:spacing w:after="0" w:line="226" w:lineRule="exact"/>
        <w:rPr>
          <w:sz w:val="20"/>
          <w:szCs w:val="20"/>
          <w:color w:val="auto"/>
        </w:rPr>
      </w:pPr>
    </w:p>
    <w:p>
      <w:pPr>
        <w:ind w:left="1880"/>
        <w:spacing w:after="0"/>
        <w:tabs>
          <w:tab w:leader="none" w:pos="2340" w:val="left"/>
        </w:tabs>
        <w:rPr>
          <w:sz w:val="20"/>
          <w:szCs w:val="20"/>
          <w:color w:val="auto"/>
        </w:rPr>
      </w:pPr>
      <w:r>
        <w:rPr>
          <w:rFonts w:ascii="Times New Roman" w:cs="Times New Roman" w:eastAsia="Times New Roman" w:hAnsi="Times New Roman"/>
          <w:sz w:val="21"/>
          <w:szCs w:val="21"/>
          <w:u w:val="single" w:color="auto"/>
          <w:color w:val="0000FF"/>
          <w:highlight w:val="lightGray"/>
        </w:rPr>
        <w:t>(ii)</w:t>
      </w:r>
      <w:r>
        <w:rPr>
          <w:sz w:val="20"/>
          <w:szCs w:val="20"/>
          <w:color w:val="auto"/>
        </w:rPr>
        <w:tab/>
      </w:r>
      <w:r>
        <w:rPr>
          <w:rFonts w:ascii="Times New Roman" w:cs="Times New Roman" w:eastAsia="Times New Roman" w:hAnsi="Times New Roman"/>
          <w:sz w:val="20"/>
          <w:szCs w:val="20"/>
          <w:u w:val="single" w:color="auto"/>
          <w:color w:val="0000FF"/>
          <w:highlight w:val="lightGray"/>
        </w:rPr>
        <w:t>No Hedging Agreement shall be deemed to be a “Loan Document” for purposes of this Section 2.27.</w:t>
      </w:r>
    </w:p>
    <w:p>
      <w:pPr>
        <w:spacing w:after="0" w:line="229" w:lineRule="exact"/>
        <w:rPr>
          <w:sz w:val="20"/>
          <w:szCs w:val="20"/>
          <w:color w:val="auto"/>
        </w:rPr>
      </w:pPr>
    </w:p>
    <w:p>
      <w:pPr>
        <w:ind w:left="1260"/>
        <w:spacing w:after="0"/>
        <w:tabs>
          <w:tab w:leader="none" w:pos="1940" w:val="left"/>
        </w:tabs>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c</w:t>
      </w:r>
      <w:r>
        <w:rPr>
          <w:rFonts w:ascii="Times New Roman" w:cs="Times New Roman" w:eastAsia="Times New Roman" w:hAnsi="Times New Roman"/>
          <w:sz w:val="19"/>
          <w:szCs w:val="19"/>
          <w:u w:val="single" w:color="auto"/>
          <w:color w:val="0000FF"/>
          <w:highlight w:val="lightGray"/>
        </w:rPr>
        <w:t>b</w:t>
      </w:r>
      <w:r>
        <w:rPr>
          <w:rFonts w:ascii="Times New Roman" w:cs="Times New Roman" w:eastAsia="Times New Roman" w:hAnsi="Times New Roman"/>
          <w:sz w:val="19"/>
          <w:szCs w:val="19"/>
          <w:color w:val="auto"/>
        </w:rPr>
        <w:t>)</w:t>
      </w:r>
      <w:r>
        <w:rPr>
          <w:sz w:val="20"/>
          <w:szCs w:val="20"/>
          <w:color w:val="auto"/>
        </w:rPr>
        <w:tab/>
      </w:r>
      <w:r>
        <w:rPr>
          <w:rFonts w:ascii="Calibri" w:cs="Calibri" w:eastAsia="Calibri" w:hAnsi="Calibri"/>
          <w:sz w:val="21"/>
          <w:szCs w:val="21"/>
          <w:i w:val="1"/>
          <w:iCs w:val="1"/>
          <w:color w:val="auto"/>
        </w:rPr>
        <w:t xml:space="preserve">Canadian </w:t>
      </w:r>
      <w:r>
        <w:rPr>
          <w:rFonts w:ascii="Calibri" w:cs="Calibri" w:eastAsia="Calibri" w:hAnsi="Calibri"/>
          <w:sz w:val="21"/>
          <w:szCs w:val="21"/>
          <w:i w:val="1"/>
          <w:iCs w:val="1"/>
          <w:color w:val="FF0000"/>
          <w:strike w:val="1"/>
        </w:rPr>
        <w:t>Benchmark Replacement</w:t>
      </w:r>
      <w:r>
        <w:rPr>
          <w:rFonts w:ascii="Calibri" w:cs="Calibri" w:eastAsia="Calibri" w:hAnsi="Calibri"/>
          <w:sz w:val="21"/>
          <w:szCs w:val="21"/>
          <w:i w:val="1"/>
          <w:iCs w:val="1"/>
          <w:color w:val="auto"/>
        </w:rPr>
        <w:t xml:space="preserve"> Conforming Changes</w:t>
      </w:r>
      <w:r>
        <w:rPr>
          <w:rFonts w:ascii="Calibri" w:cs="Calibri" w:eastAsia="Calibri" w:hAnsi="Calibri"/>
          <w:sz w:val="21"/>
          <w:szCs w:val="21"/>
          <w:color w:val="auto"/>
        </w:rPr>
        <w:t>.</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auto"/>
        </w:rPr>
        <w:t>In connection with the</w:t>
      </w:r>
      <w:r>
        <w:rPr>
          <w:rFonts w:ascii="Calibri" w:cs="Calibri" w:eastAsia="Calibri" w:hAnsi="Calibri"/>
          <w:sz w:val="21"/>
          <w:szCs w:val="21"/>
          <w:i w:val="1"/>
          <w:iCs w:val="1"/>
          <w:color w:val="auto"/>
        </w:rPr>
        <w:t xml:space="preserve"> </w:t>
      </w:r>
      <w:r>
        <w:rPr>
          <w:rFonts w:ascii="Times New Roman" w:cs="Times New Roman" w:eastAsia="Times New Roman" w:hAnsi="Times New Roman"/>
          <w:sz w:val="21"/>
          <w:szCs w:val="21"/>
          <w:color w:val="FF0000"/>
          <w:strike w:val="1"/>
        </w:rPr>
        <w:t>implementation and</w:t>
      </w:r>
      <w:r>
        <w:rPr>
          <w:rFonts w:ascii="Times New Roman" w:cs="Times New Roman" w:eastAsia="Times New Roman" w:hAnsi="Times New Roman"/>
          <w:sz w:val="21"/>
          <w:szCs w:val="21"/>
          <w:u w:val="single" w:color="auto"/>
          <w:color w:val="0000FF"/>
          <w:highlight w:val="lightGray"/>
        </w:rPr>
        <w:t>use,</w:t>
      </w:r>
    </w:p>
    <w:p>
      <w:pPr>
        <w:spacing w:after="0" w:line="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administration</w:t>
      </w:r>
      <w:r>
        <w:rPr>
          <w:rFonts w:ascii="Times New Roman" w:cs="Times New Roman" w:eastAsia="Times New Roman" w:hAnsi="Times New Roman"/>
          <w:sz w:val="21"/>
          <w:szCs w:val="21"/>
          <w:u w:val="single" w:color="auto"/>
          <w:color w:val="0000FF"/>
          <w:highlight w:val="lightGray"/>
        </w:rPr>
        <w:t>, adoption or implementation</w:t>
      </w:r>
      <w:r>
        <w:rPr>
          <w:rFonts w:ascii="Times New Roman" w:cs="Times New Roman" w:eastAsia="Times New Roman" w:hAnsi="Times New Roman"/>
          <w:sz w:val="21"/>
          <w:szCs w:val="21"/>
          <w:color w:val="auto"/>
        </w:rPr>
        <w:t xml:space="preserve"> of a Canadian Benchmark Replacement, the Canadian Administrative Agent will have the right to make </w:t>
      </w:r>
      <w:r>
        <w:rPr>
          <w:rFonts w:ascii="Times New Roman" w:cs="Times New Roman" w:eastAsia="Times New Roman" w:hAnsi="Times New Roman"/>
          <w:sz w:val="21"/>
          <w:szCs w:val="21"/>
          <w:u w:val="single" w:color="auto"/>
          <w:color w:val="0000FF"/>
          <w:highlight w:val="lightGray"/>
        </w:rPr>
        <w:t>such</w:t>
      </w:r>
      <w:r>
        <w:rPr>
          <w:rFonts w:ascii="Times New Roman" w:cs="Times New Roman" w:eastAsia="Times New Roman" w:hAnsi="Times New Roman"/>
          <w:sz w:val="21"/>
          <w:szCs w:val="21"/>
          <w:color w:val="auto"/>
        </w:rPr>
        <w:t xml:space="preserve"> Canadian </w:t>
      </w:r>
      <w:r>
        <w:rPr>
          <w:rFonts w:ascii="Times New Roman" w:cs="Times New Roman" w:eastAsia="Times New Roman" w:hAnsi="Times New Roman"/>
          <w:sz w:val="21"/>
          <w:szCs w:val="21"/>
          <w:color w:val="FF0000"/>
          <w:strike w:val="1"/>
        </w:rPr>
        <w:t>Benchmark Replacement</w:t>
      </w:r>
      <w:r>
        <w:rPr>
          <w:rFonts w:ascii="Times New Roman" w:cs="Times New Roman" w:eastAsia="Times New Roman" w:hAnsi="Times New Roman"/>
          <w:sz w:val="21"/>
          <w:szCs w:val="21"/>
          <w:color w:val="auto"/>
        </w:rPr>
        <w:t xml:space="preserve"> Conforming Changes from time to time </w:t>
      </w:r>
      <w:r>
        <w:rPr>
          <w:rFonts w:ascii="Times New Roman" w:cs="Times New Roman" w:eastAsia="Times New Roman" w:hAnsi="Times New Roman"/>
          <w:sz w:val="21"/>
          <w:szCs w:val="21"/>
          <w:u w:val="single" w:color="auto"/>
          <w:color w:val="0000FF"/>
          <w:highlight w:val="lightGray"/>
        </w:rPr>
        <w:t>in consultation with the Borrowers</w:t>
      </w:r>
      <w:r>
        <w:rPr>
          <w:rFonts w:ascii="Times New Roman" w:cs="Times New Roman" w:eastAsia="Times New Roman" w:hAnsi="Times New Roman"/>
          <w:sz w:val="21"/>
          <w:szCs w:val="21"/>
          <w:color w:val="auto"/>
        </w:rPr>
        <w:t xml:space="preserve"> and, notwithstanding anything to the contrary herein or in any other Loan Document, any amendments implementing such Canadian </w:t>
      </w:r>
      <w:r>
        <w:rPr>
          <w:rFonts w:ascii="Times New Roman" w:cs="Times New Roman" w:eastAsia="Times New Roman" w:hAnsi="Times New Roman"/>
          <w:sz w:val="21"/>
          <w:szCs w:val="21"/>
          <w:color w:val="FF0000"/>
          <w:strike w:val="1"/>
        </w:rPr>
        <w:t>Benchmark Replacement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Conforming Changes will become effective without any further action or consent of any other party to this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Agreement </w:t>
      </w:r>
      <w:r>
        <w:rPr>
          <w:rFonts w:ascii="Times New Roman" w:cs="Times New Roman" w:eastAsia="Times New Roman" w:hAnsi="Times New Roman"/>
          <w:sz w:val="21"/>
          <w:szCs w:val="21"/>
          <w:color w:val="0000FF"/>
        </w:rPr>
        <w:t>or any other Loan Document</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wp:posOffset>
            </wp:positionH>
            <wp:positionV relativeFrom="paragraph">
              <wp:posOffset>-157480</wp:posOffset>
            </wp:positionV>
            <wp:extent cx="1568450" cy="140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68450" cy="140970"/>
                    </a:xfrm>
                    <a:prstGeom prst="rect">
                      <a:avLst/>
                    </a:prstGeom>
                    <a:noFill/>
                  </pic:spPr>
                </pic:pic>
              </a:graphicData>
            </a:graphic>
          </wp:anchor>
        </w:drawing>
      </w:r>
    </w:p>
    <w:p>
      <w:pPr>
        <w:spacing w:after="0" w:line="200" w:lineRule="exact"/>
        <w:rPr>
          <w:sz w:val="20"/>
          <w:szCs w:val="20"/>
          <w:color w:val="auto"/>
        </w:rPr>
      </w:pPr>
    </w:p>
    <w:p>
      <w:pPr>
        <w:jc w:val="both"/>
        <w:ind w:firstLine="1255"/>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d</w:t>
      </w:r>
      <w:r>
        <w:rPr>
          <w:rFonts w:ascii="Times New Roman" w:cs="Times New Roman" w:eastAsia="Times New Roman" w:hAnsi="Times New Roman"/>
          <w:sz w:val="19"/>
          <w:szCs w:val="19"/>
          <w:u w:val="single" w:color="auto"/>
          <w:color w:val="0000FF"/>
          <w:highlight w:val="lightGray"/>
        </w:rPr>
        <w:t>c</w:t>
      </w:r>
      <w:r>
        <w:rPr>
          <w:rFonts w:ascii="Times New Roman" w:cs="Times New Roman" w:eastAsia="Times New Roman" w:hAnsi="Times New Roman"/>
          <w:sz w:val="19"/>
          <w:szCs w:val="19"/>
          <w:color w:val="auto"/>
        </w:rPr>
        <w:t xml:space="preserve">) </w:t>
      </w:r>
      <w:r>
        <w:rPr>
          <w:rFonts w:ascii="Calibri" w:cs="Calibri" w:eastAsia="Calibri" w:hAnsi="Calibri"/>
          <w:sz w:val="20"/>
          <w:szCs w:val="20"/>
          <w:i w:val="1"/>
          <w:iCs w:val="1"/>
          <w:color w:val="auto"/>
        </w:rPr>
        <w:t>Notces; Standards for Decisions and Determinatons</w:t>
      </w:r>
      <w:r>
        <w:rPr>
          <w:rFonts w:ascii="Calibri" w:cs="Calibri" w:eastAsia="Calibri" w:hAnsi="Calibri"/>
          <w:sz w:val="20"/>
          <w:szCs w:val="20"/>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 Canadian Administrative Agent will promptly notify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color w:val="FF0000"/>
          <w:strike w:val="1"/>
        </w:rPr>
        <w:t>Parent</w:t>
      </w:r>
      <w:r>
        <w:rPr>
          <w:rFonts w:ascii="Times New Roman" w:cs="Times New Roman" w:eastAsia="Times New Roman" w:hAnsi="Times New Roman"/>
          <w:sz w:val="20"/>
          <w:szCs w:val="20"/>
          <w:color w:val="auto"/>
        </w:rPr>
        <w:t xml:space="preserve"> Borrower</w:t>
      </w:r>
      <w:r>
        <w:rPr>
          <w:rFonts w:ascii="Times New Roman" w:cs="Times New Roman" w:eastAsia="Times New Roman" w:hAnsi="Times New Roman"/>
          <w:sz w:val="20"/>
          <w:szCs w:val="20"/>
          <w:u w:val="single" w:color="auto"/>
          <w:color w:val="0000FF"/>
          <w:highlight w:val="lightGray"/>
        </w:rPr>
        <w:t>s</w:t>
      </w:r>
      <w:r>
        <w:rPr>
          <w:rFonts w:ascii="Times New Roman" w:cs="Times New Roman" w:eastAsia="Times New Roman" w:hAnsi="Times New Roman"/>
          <w:sz w:val="20"/>
          <w:szCs w:val="20"/>
          <w:color w:val="auto"/>
        </w:rPr>
        <w:t xml:space="preserve"> and the </w:t>
      </w:r>
      <w:r>
        <w:rPr>
          <w:rFonts w:ascii="Times New Roman" w:cs="Times New Roman" w:eastAsia="Times New Roman" w:hAnsi="Times New Roman"/>
          <w:sz w:val="20"/>
          <w:szCs w:val="20"/>
          <w:color w:val="FF0000"/>
          <w:strike w:val="1"/>
        </w:rPr>
        <w:t>Canadian</w:t>
      </w:r>
      <w:r>
        <w:rPr>
          <w:rFonts w:ascii="Times New Roman" w:cs="Times New Roman" w:eastAsia="Times New Roman" w:hAnsi="Times New Roman"/>
          <w:sz w:val="20"/>
          <w:szCs w:val="20"/>
          <w:color w:val="auto"/>
        </w:rPr>
        <w:t xml:space="preserve"> Lenders of (i) the implementation of any Canadian Benchmark Replacement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highlight w:val="lightGray"/>
        </w:rPr>
        <w:t>and</w:t>
      </w:r>
      <w:r>
        <w:rPr>
          <w:rFonts w:ascii="Times New Roman" w:cs="Times New Roman" w:eastAsia="Times New Roman" w:hAnsi="Times New Roman"/>
          <w:sz w:val="20"/>
          <w:szCs w:val="20"/>
          <w:color w:val="auto"/>
        </w:rPr>
        <w:t xml:space="preserve"> (ii) </w:t>
      </w:r>
      <w:r>
        <w:rPr>
          <w:rFonts w:ascii="Times New Roman" w:cs="Times New Roman" w:eastAsia="Times New Roman" w:hAnsi="Times New Roman"/>
          <w:sz w:val="20"/>
          <w:szCs w:val="20"/>
          <w:color w:val="FF0000"/>
          <w:strike w:val="1"/>
        </w:rPr>
        <w:t>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occurrence of a Term CORRA Transition Event, (iii)</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effectiveness of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Benchmark Replacement</w:t>
      </w:r>
      <w:r>
        <w:rPr>
          <w:rFonts w:ascii="Times New Roman" w:cs="Times New Roman" w:eastAsia="Times New Roman" w:hAnsi="Times New Roman"/>
          <w:sz w:val="20"/>
          <w:szCs w:val="20"/>
          <w:u w:val="single" w:color="auto"/>
          <w:color w:val="0000FF"/>
          <w:highlight w:val="lightGray"/>
        </w:rPr>
        <w:t>such Canadian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Conforming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Changes</w:t>
      </w:r>
      <w:r>
        <w:rPr>
          <w:rFonts w:ascii="Times New Roman" w:cs="Times New Roman" w:eastAsia="Times New Roman" w:hAnsi="Times New Roman"/>
          <w:sz w:val="20"/>
          <w:szCs w:val="20"/>
          <w:b w:val="1"/>
          <w:bCs w:val="1"/>
          <w:color w:val="FF0000"/>
          <w:strike w:val="1"/>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and (iv) by delivering a BA Cessation Notice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highlight w:val="lightGray"/>
        </w:rPr>
        <w:t>in connection with the use, administration, adoption or implementation of 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highlight w:val="lightGray"/>
        </w:rPr>
        <w:t>Canadian Benchmark Replacement. The Canadian Administrative Agent will notify the Borrowers of (x) the removal or reinstatement of any tenor of a Canadian Benchmark</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pursuant to</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clause (g) of this</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Section</w:t>
      </w:r>
      <w:r>
        <w:rPr>
          <w:rFonts w:ascii="Times New Roman" w:cs="Times New Roman" w:eastAsia="Times New Roman" w:hAnsi="Times New Roman"/>
          <w:sz w:val="20"/>
          <w:szCs w:val="20"/>
          <w:color w:val="FF0000"/>
          <w:strike w:val="1"/>
        </w:rPr>
        <w:t>, its intention to terminate the obligation of the</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2.27(d)</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and (y) the commencement of any</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Canadian</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Lenders to make or maintain Bankers’ Acceptances</w:t>
      </w:r>
      <w:r>
        <w:rPr>
          <w:rFonts w:ascii="Times New Roman" w:cs="Times New Roman" w:eastAsia="Times New Roman" w:hAnsi="Times New Roman"/>
          <w:sz w:val="20"/>
          <w:szCs w:val="20"/>
          <w:u w:val="single" w:color="auto"/>
          <w:color w:val="0000FF"/>
          <w:highlight w:val="lightGray"/>
        </w:rPr>
        <w:t>Benchmark Unavailability Period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 xml:space="preserve">Any determination, decision or election that may be made by the Canadian Administrative Agent or, if applicable, any </w:t>
      </w:r>
      <w:r>
        <w:rPr>
          <w:rFonts w:ascii="Times New Roman" w:cs="Times New Roman" w:eastAsia="Times New Roman" w:hAnsi="Times New Roman"/>
          <w:sz w:val="20"/>
          <w:szCs w:val="20"/>
          <w:color w:val="FF0000"/>
          <w:strike w:val="1"/>
        </w:rPr>
        <w:t>Canadian</w:t>
      </w:r>
      <w:r>
        <w:rPr>
          <w:rFonts w:ascii="Times New Roman" w:cs="Times New Roman" w:eastAsia="Times New Roman" w:hAnsi="Times New Roman"/>
          <w:sz w:val="20"/>
          <w:szCs w:val="20"/>
          <w:color w:val="000000"/>
        </w:rPr>
        <w:t xml:space="preserve"> Lender (or group of </w:t>
      </w:r>
      <w:r>
        <w:rPr>
          <w:rFonts w:ascii="Times New Roman" w:cs="Times New Roman" w:eastAsia="Times New Roman" w:hAnsi="Times New Roman"/>
          <w:sz w:val="20"/>
          <w:szCs w:val="20"/>
          <w:color w:val="FF0000"/>
          <w:strike w:val="1"/>
        </w:rPr>
        <w:t>Canadian</w:t>
      </w:r>
      <w:r>
        <w:rPr>
          <w:rFonts w:ascii="Times New Roman" w:cs="Times New Roman" w:eastAsia="Times New Roman" w:hAnsi="Times New Roman"/>
          <w:sz w:val="20"/>
          <w:szCs w:val="20"/>
          <w:color w:val="000000"/>
        </w:rPr>
        <w:t xml:space="preserve"> Lenders) pursuant to this Section 2.27</w:t>
      </w:r>
      <w:r>
        <w:rPr>
          <w:rFonts w:ascii="Times New Roman" w:cs="Times New Roman" w:eastAsia="Times New Roman" w:hAnsi="Times New Roman"/>
          <w:sz w:val="20"/>
          <w:szCs w:val="20"/>
          <w:color w:val="FF0000"/>
          <w:strike w:val="1"/>
        </w:rPr>
        <w:t>(d),</w:t>
      </w:r>
      <w:r>
        <w:rPr>
          <w:rFonts w:ascii="Times New Roman" w:cs="Times New Roman" w:eastAsia="Times New Roman" w:hAnsi="Times New Roman"/>
          <w:sz w:val="20"/>
          <w:szCs w:val="20"/>
          <w:color w:val="000000"/>
        </w:rPr>
        <w:t xml:space="preserve"> including</w:t>
      </w:r>
    </w:p>
    <w:p>
      <w:pPr>
        <w:sectPr>
          <w:pgSz w:w="11900" w:h="16838" w:orient="portrait"/>
          <w:cols w:equalWidth="0" w:num="1">
            <w:col w:w="11240"/>
          </w:cols>
          <w:pgMar w:left="320" w:top="1380" w:right="339" w:bottom="1440" w:gutter="0" w:footer="0" w:header="0"/>
        </w:sectPr>
      </w:pPr>
    </w:p>
    <w:bookmarkStart w:id="166" w:name="page167"/>
    <w:bookmarkEnd w:id="166"/>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any determination with respect to a tenor, rate or adjustment or of the occurrence or non-occurrence of an event, circumstance or date and any decision to take or refrain from taking any action </w:t>
      </w:r>
      <w:r>
        <w:rPr>
          <w:rFonts w:ascii="Times New Roman" w:cs="Times New Roman" w:eastAsia="Times New Roman" w:hAnsi="Times New Roman"/>
          <w:sz w:val="21"/>
          <w:szCs w:val="21"/>
          <w:color w:val="0000FF"/>
        </w:rPr>
        <w:t>or any selection</w:t>
      </w:r>
      <w:r>
        <w:rPr>
          <w:rFonts w:ascii="Times New Roman" w:cs="Times New Roman" w:eastAsia="Times New Roman" w:hAnsi="Times New Roman"/>
          <w:sz w:val="21"/>
          <w:szCs w:val="21"/>
          <w:color w:val="auto"/>
        </w:rPr>
        <w:t xml:space="preserve">, will be conclusive and binding absent manifest error and may be made in its or their sole discretion and without consent from any other party </w:t>
      </w:r>
      <w:r>
        <w:rPr>
          <w:rFonts w:ascii="Times New Roman" w:cs="Times New Roman" w:eastAsia="Times New Roman" w:hAnsi="Times New Roman"/>
          <w:sz w:val="21"/>
          <w:szCs w:val="21"/>
          <w:color w:val="FF0000"/>
          <w:strike w:val="1"/>
        </w:rPr>
        <w:t>hereto</w:t>
      </w:r>
      <w:r>
        <w:rPr>
          <w:rFonts w:ascii="Times New Roman" w:cs="Times New Roman" w:eastAsia="Times New Roman" w:hAnsi="Times New Roman"/>
          <w:sz w:val="21"/>
          <w:szCs w:val="21"/>
          <w:u w:val="single" w:color="auto"/>
          <w:color w:val="0000FF"/>
          <w:highlight w:val="lightGray"/>
        </w:rPr>
        <w:t>to this Agreement or any other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Document</w:t>
      </w:r>
      <w:r>
        <w:rPr>
          <w:rFonts w:ascii="Times New Roman" w:cs="Times New Roman" w:eastAsia="Times New Roman" w:hAnsi="Times New Roman"/>
          <w:sz w:val="21"/>
          <w:szCs w:val="21"/>
          <w:color w:val="000000"/>
        </w:rPr>
        <w:t>, except, in each case, as expressly required pursuant to this Section 2.27</w:t>
      </w:r>
      <w:r>
        <w:rPr>
          <w:rFonts w:ascii="Times New Roman" w:cs="Times New Roman" w:eastAsia="Times New Roman" w:hAnsi="Times New Roman"/>
          <w:sz w:val="21"/>
          <w:szCs w:val="21"/>
          <w:color w:val="FF0000"/>
          <w:strike w:val="1"/>
        </w:rPr>
        <w:t>(d)</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-491490</wp:posOffset>
            </wp:positionV>
            <wp:extent cx="890270" cy="140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90270" cy="140970"/>
                    </a:xfrm>
                    <a:prstGeom prst="rect">
                      <a:avLst/>
                    </a:prstGeom>
                    <a:noFill/>
                  </pic:spPr>
                </pic:pic>
              </a:graphicData>
            </a:graphic>
          </wp:anchor>
        </w:drawing>
      </w:r>
    </w:p>
    <w:p>
      <w:pPr>
        <w:spacing w:after="0" w:line="171" w:lineRule="exact"/>
        <w:rPr>
          <w:sz w:val="20"/>
          <w:szCs w:val="20"/>
          <w:color w:val="auto"/>
        </w:rPr>
      </w:pPr>
    </w:p>
    <w:p>
      <w:pPr>
        <w:jc w:val="both"/>
        <w:ind w:firstLine="1255"/>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e</w:t>
      </w:r>
      <w:r>
        <w:rPr>
          <w:rFonts w:ascii="Times New Roman" w:cs="Times New Roman" w:eastAsia="Times New Roman" w:hAnsi="Times New Roman"/>
          <w:sz w:val="19"/>
          <w:szCs w:val="19"/>
          <w:u w:val="single" w:color="auto"/>
          <w:color w:val="0000FF"/>
          <w:highlight w:val="lightGray"/>
        </w:rPr>
        <w:t>d</w:t>
      </w:r>
      <w:r>
        <w:rPr>
          <w:rFonts w:ascii="Times New Roman" w:cs="Times New Roman" w:eastAsia="Times New Roman" w:hAnsi="Times New Roman"/>
          <w:sz w:val="19"/>
          <w:szCs w:val="19"/>
          <w:color w:val="auto"/>
        </w:rPr>
        <w:t xml:space="preserve">) </w:t>
      </w:r>
      <w:r>
        <w:rPr>
          <w:rFonts w:ascii="Calibri" w:cs="Calibri" w:eastAsia="Calibri" w:hAnsi="Calibri"/>
          <w:sz w:val="20"/>
          <w:szCs w:val="20"/>
          <w:i w:val="1"/>
          <w:iCs w:val="1"/>
          <w:color w:val="auto"/>
        </w:rPr>
        <w:t>Unavailability of Tenor Canadian Benchmark</w:t>
      </w:r>
      <w:r>
        <w:rPr>
          <w:rFonts w:ascii="Calibri" w:cs="Calibri" w:eastAsia="Calibri" w:hAnsi="Calibri"/>
          <w:sz w:val="20"/>
          <w:szCs w:val="20"/>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FF0000"/>
          <w:strike w:val="1"/>
        </w:rPr>
        <w:t>At</w:t>
      </w:r>
      <w:r>
        <w:rPr>
          <w:rFonts w:ascii="Times New Roman" w:cs="Times New Roman" w:eastAsia="Times New Roman" w:hAnsi="Times New Roman"/>
          <w:sz w:val="20"/>
          <w:szCs w:val="20"/>
          <w:u w:val="single" w:color="auto"/>
          <w:color w:val="0000FF"/>
          <w:highlight w:val="lightGray"/>
        </w:rPr>
        <w:t>Notwithstanding anything to the contrary herein or in any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u w:val="single" w:color="auto"/>
          <w:color w:val="0000FF"/>
          <w:highlight w:val="lightGray"/>
        </w:rPr>
        <w:t>Loan Document, at</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any time (including in connection with the implementation of a Canadian Benchmark Replacement),</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(i)</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if the</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 xml:space="preserve">then-current Canadian Benchmark is a term rate (including Term CORRA </w:t>
      </w:r>
      <w:r>
        <w:rPr>
          <w:rFonts w:ascii="Times New Roman" w:cs="Times New Roman" w:eastAsia="Times New Roman" w:hAnsi="Times New Roman"/>
          <w:sz w:val="20"/>
          <w:szCs w:val="20"/>
          <w:color w:val="FF0000"/>
        </w:rPr>
        <w:t>or CDOR)</w:t>
      </w:r>
      <w:r>
        <w:rPr>
          <w:rFonts w:ascii="Times New Roman" w:cs="Times New Roman" w:eastAsia="Times New Roman" w:hAnsi="Times New Roman"/>
          <w:sz w:val="20"/>
          <w:szCs w:val="20"/>
          <w:u w:val="single" w:color="auto"/>
          <w:color w:val="0000FF"/>
          <w:highlight w:val="lightGray"/>
        </w:rPr>
        <w:t>) and either (A) any tenor for such Canadian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highlight w:val="lightGray"/>
        </w:rPr>
        <w:t>Benchmark is not displayed on a screen or other information service that publishes such rate from time to time as selected by the Canadian Administrative Agent in its reasonable discretion or (B) the regulatory supervisor for the administrator of such Canadian Benchmark has provided a public statement or publication of information announcing that any tenor for such Canadian Benchmark is not or will not be representative</w:t>
      </w:r>
      <w:r>
        <w:rPr>
          <w:rFonts w:ascii="Times New Roman" w:cs="Times New Roman" w:eastAsia="Times New Roman" w:hAnsi="Times New Roman"/>
          <w:sz w:val="20"/>
          <w:szCs w:val="20"/>
          <w:color w:val="000000"/>
        </w:rPr>
        <w:t>, then</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the Canadian Administrative Agent may</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remove any tenor of such</w:t>
      </w:r>
      <w:r>
        <w:rPr>
          <w:rFonts w:ascii="Times New Roman" w:cs="Times New Roman" w:eastAsia="Times New Roman" w:hAnsi="Times New Roman"/>
          <w:sz w:val="20"/>
          <w:szCs w:val="20"/>
          <w:u w:val="single" w:color="auto"/>
          <w:color w:val="0000FF"/>
          <w:highlight w:val="lightGray"/>
        </w:rPr>
        <w:t>modify the definition of</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“Interest Period” (or any similar or analogous definition) for any</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Canadian Benchmark</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that is</w:t>
      </w:r>
      <w:r>
        <w:rPr>
          <w:rFonts w:ascii="Times New Roman" w:cs="Times New Roman" w:eastAsia="Times New Roman" w:hAnsi="Times New Roman"/>
          <w:sz w:val="20"/>
          <w:szCs w:val="20"/>
          <w:u w:val="single" w:color="auto"/>
          <w:color w:val="0000FF"/>
          <w:highlight w:val="lightGray"/>
        </w:rPr>
        <w:t>settings at or after such time to remove</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such</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unavailable or non-representative</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for Canadian Benchmark (including Canadian Benchmark Replacement) settings and (ii)</w:t>
      </w:r>
      <w:r>
        <w:rPr>
          <w:rFonts w:ascii="Times New Roman" w:cs="Times New Roman" w:eastAsia="Times New Roman" w:hAnsi="Times New Roman"/>
          <w:sz w:val="20"/>
          <w:szCs w:val="20"/>
          <w:u w:val="single" w:color="auto"/>
          <w:color w:val="0000FF"/>
          <w:highlight w:val="lightGray"/>
        </w:rPr>
        <w:t>tenor</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and (ii) if a tenor that was removed pursuant to clause (i) above either (A) is subsequently displayed on a screen or information service for a Canadian Benchmark (including a Canadian Benchmark Replacement) or (B) is not, or is no longer, subject to an announcement that it is not or will not be representative for a Canadian Benchmark (including a Canadian Benchmark Replacement), then</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the Canadian Administrative Agent may</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modify the definition of “Interest Period” (or any similar or analogous definition) for all</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u w:val="single" w:color="auto"/>
          <w:color w:val="0000FF"/>
          <w:highlight w:val="lightGray"/>
        </w:rPr>
        <w:t>Canadian Benchmark settings at or after such time to</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reinstate</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any</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000000"/>
        </w:rPr>
        <w:t>such previously removed tenor</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rPr>
        <w:t>for Canadian Benchmark</w:t>
      </w:r>
      <w:r>
        <w:rPr>
          <w:rFonts w:ascii="Times New Roman" w:cs="Times New Roman" w:eastAsia="Times New Roman" w:hAnsi="Times New Roman"/>
          <w:sz w:val="20"/>
          <w:szCs w:val="20"/>
          <w:color w:val="0000FF"/>
          <w:highlight w:val="lightGray"/>
        </w:rPr>
        <w:t xml:space="preserve"> </w:t>
      </w:r>
      <w:r>
        <w:rPr>
          <w:rFonts w:ascii="Times New Roman" w:cs="Times New Roman" w:eastAsia="Times New Roman" w:hAnsi="Times New Roman"/>
          <w:sz w:val="20"/>
          <w:szCs w:val="20"/>
          <w:color w:val="FF0000"/>
          <w:strike w:val="1"/>
        </w:rPr>
        <w:t>(including Canadian Benchmark Replacement) settings</w:t>
      </w:r>
      <w:r>
        <w:rPr>
          <w:rFonts w:ascii="Calibri" w:cs="Calibri" w:eastAsia="Calibri" w:hAnsi="Calibri"/>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-1844040</wp:posOffset>
            </wp:positionV>
            <wp:extent cx="6146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14680" cy="825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-93345</wp:posOffset>
            </wp:positionV>
            <wp:extent cx="14674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firstLine="1259"/>
        <w:spacing w:after="0" w:line="245" w:lineRule="auto"/>
        <w:tabs>
          <w:tab w:leader="none" w:pos="1703" w:val="left"/>
        </w:tabs>
        <w:numPr>
          <w:ilvl w:val="0"/>
          <w:numId w:val="186"/>
        </w:numPr>
        <w:rPr>
          <w:rFonts w:ascii="Times New Roman" w:cs="Times New Roman" w:eastAsia="Times New Roman" w:hAnsi="Times New Roman"/>
          <w:sz w:val="19"/>
          <w:szCs w:val="19"/>
          <w:color w:val="FF0000"/>
          <w:strike w:val="1"/>
        </w:rPr>
      </w:pPr>
      <w:r>
        <w:rPr>
          <w:rFonts w:ascii="Calibri" w:cs="Calibri" w:eastAsia="Calibri" w:hAnsi="Calibri"/>
          <w:sz w:val="21"/>
          <w:szCs w:val="21"/>
          <w:i w:val="1"/>
          <w:iCs w:val="1"/>
          <w:color w:val="FF0000"/>
          <w:strike w:val="1"/>
        </w:rPr>
        <w:t>Secondary Term CORRA Conversion</w:t>
      </w:r>
      <w:r>
        <w:rPr>
          <w:rFonts w:ascii="Calibri" w:cs="Calibri" w:eastAsia="Calibri" w:hAnsi="Calibri"/>
          <w:sz w:val="21"/>
          <w:szCs w:val="21"/>
          <w:color w:val="FF0000"/>
          <w:strike w:val="1"/>
        </w:rPr>
        <w:t>. Notwithstanding</w:t>
      </w:r>
      <w:r>
        <w:rPr>
          <w:rFonts w:ascii="Calibri" w:cs="Calibri" w:eastAsia="Calibri" w:hAnsi="Calibri"/>
          <w:sz w:val="21"/>
          <w:szCs w:val="21"/>
          <w:i w:val="1"/>
          <w:iCs w:val="1"/>
          <w:color w:val="FF0000"/>
          <w:strike w:val="1"/>
        </w:rPr>
        <w:t xml:space="preserve"> </w:t>
      </w:r>
      <w:r>
        <w:rPr>
          <w:rFonts w:ascii="Times New Roman" w:cs="Times New Roman" w:eastAsia="Times New Roman" w:hAnsi="Times New Roman"/>
          <w:sz w:val="21"/>
          <w:szCs w:val="21"/>
          <w:color w:val="FF0000"/>
          <w:strike w:val="1"/>
        </w:rPr>
        <w:t>anything to the contrary herein or in any Loan Document</w:t>
      </w:r>
      <w:r>
        <w:rPr>
          <w:rFonts w:ascii="Calibri" w:cs="Calibri" w:eastAsia="Calibri" w:hAnsi="Calibri"/>
          <w:sz w:val="21"/>
          <w:szCs w:val="21"/>
          <w:i w:val="1"/>
          <w:iCs w:val="1"/>
          <w:color w:val="FF0000"/>
          <w:strike w:val="1"/>
        </w:rPr>
        <w:t xml:space="preserve"> </w:t>
      </w:r>
      <w:r>
        <w:rPr>
          <w:rFonts w:ascii="Times New Roman" w:cs="Times New Roman" w:eastAsia="Times New Roman" w:hAnsi="Times New Roman"/>
          <w:sz w:val="21"/>
          <w:szCs w:val="21"/>
          <w:color w:val="FF0000"/>
          <w:strike w:val="1"/>
        </w:rPr>
        <w:t xml:space="preserve">and subject to the proviso below in this clause, if a Term CORRA Transition Event and its related Term CORRA Transition Date have occurred, then on and after such Term CORRA Transition Date (i) the Canadian Benchmark Replacement described in clause (1)(a) of such definition will replace the then-current Canadian Benchmark for all purposes hereunder or under any Loan Document in respect of any setting of such Canadian Benchmark on such day and all subsequent settings, without any amendment to, or further action or consent of any other party to, this Agreement or any other Loan Document; and (ii) each Canadian Loan outstanding on the Term CORRA Transition Date bearing interest based on the then-current Benchmark shall convert, at the start of the next interest payment period, into a Canadian Loan bearing interest at the Canadian Benchmark Replacement described in clause (1)(a) of such definition for the respective Canadian Available Tenor as selected by the Parent Borrower as is available for the then-current Canadian Benchmark; </w:t>
      </w:r>
      <w:r>
        <w:rPr>
          <w:rFonts w:ascii="Times New Roman" w:cs="Times New Roman" w:eastAsia="Times New Roman" w:hAnsi="Times New Roman"/>
          <w:sz w:val="21"/>
          <w:szCs w:val="21"/>
          <w:i w:val="1"/>
          <w:iCs w:val="1"/>
          <w:color w:val="FF0000"/>
          <w:strike w:val="1"/>
        </w:rPr>
        <w:t>provided</w:t>
      </w:r>
      <w:r>
        <w:rPr>
          <w:rFonts w:ascii="Times New Roman" w:cs="Times New Roman" w:eastAsia="Times New Roman" w:hAnsi="Times New Roman"/>
          <w:sz w:val="21"/>
          <w:szCs w:val="21"/>
          <w:color w:val="FF0000"/>
          <w:strike w:val="1"/>
        </w:rPr>
        <w:t xml:space="preserve"> that, this clause (f) shall not be effective unless the Canadian Administrative Agent has delivered to the Canadian Lenders and the Parent Borrower a Term CORRA Notice</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color w:val="FF0000"/>
          <w:strike w:val="1"/>
        </w:rPr>
        <w:t xml:space="preserve"> and so long as the Canadian Administrative Agent has not received, by 5:00 p.m. (Toronto time) on the fifth (5</w:t>
      </w:r>
      <w:r>
        <w:rPr>
          <w:rFonts w:ascii="Times New Roman" w:cs="Times New Roman" w:eastAsia="Times New Roman" w:hAnsi="Times New Roman"/>
          <w:sz w:val="27"/>
          <w:szCs w:val="27"/>
          <w:color w:val="FF0000"/>
          <w:strike w:val="1"/>
          <w:vertAlign w:val="superscript"/>
        </w:rPr>
        <w:t>th</w:t>
      </w:r>
      <w:r>
        <w:rPr>
          <w:rFonts w:ascii="Times New Roman" w:cs="Times New Roman" w:eastAsia="Times New Roman" w:hAnsi="Times New Roman"/>
          <w:sz w:val="21"/>
          <w:szCs w:val="21"/>
          <w:color w:val="FF0000"/>
          <w:strike w:val="1"/>
        </w:rPr>
        <w:t>) Business Day after the date of the Term CORRA Notice, written notice of objection to such conversion to</w:t>
      </w:r>
    </w:p>
    <w:p>
      <w:pPr>
        <w:sectPr>
          <w:pgSz w:w="11900" w:h="16838" w:orient="portrait"/>
          <w:cols w:equalWidth="0" w:num="1">
            <w:col w:w="11240"/>
          </w:cols>
          <w:pgMar w:left="320" w:top="138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1"/>
          <w:szCs w:val="21"/>
          <w:color w:val="FF0000"/>
          <w:strike w:val="1"/>
        </w:rPr>
        <w:t>Term CORRA from Canadian Lenders comprising the Required Canadian Lenders or the Parent Borrower.</w:t>
      </w:r>
    </w:p>
    <w:p>
      <w:pPr>
        <w:spacing w:after="0" w:line="31" w:lineRule="exact"/>
        <w:rPr>
          <w:sz w:val="20"/>
          <w:szCs w:val="20"/>
          <w:color w:val="auto"/>
        </w:rPr>
      </w:pPr>
    </w:p>
    <w:p>
      <w:pPr>
        <w:jc w:val="both"/>
        <w:ind w:firstLine="1259"/>
        <w:spacing w:after="0" w:line="249" w:lineRule="auto"/>
        <w:tabs>
          <w:tab w:leader="none" w:pos="1737" w:val="left"/>
        </w:tabs>
        <w:numPr>
          <w:ilvl w:val="0"/>
          <w:numId w:val="187"/>
        </w:numPr>
        <w:rPr>
          <w:rFonts w:ascii="Times New Roman" w:cs="Times New Roman" w:eastAsia="Times New Roman" w:hAnsi="Times New Roman"/>
          <w:sz w:val="19"/>
          <w:szCs w:val="19"/>
          <w:u w:val="single" w:color="auto"/>
          <w:color w:val="0000FF"/>
          <w:highlight w:val="lightGray"/>
        </w:rPr>
      </w:pPr>
      <w:r>
        <w:rPr>
          <w:rFonts w:ascii="Calibri" w:cs="Calibri" w:eastAsia="Calibri" w:hAnsi="Calibri"/>
          <w:sz w:val="21"/>
          <w:szCs w:val="21"/>
          <w:i w:val="1"/>
          <w:iCs w:val="1"/>
          <w:u w:val="single" w:color="auto"/>
          <w:color w:val="0000FF"/>
          <w:highlight w:val="lightGray"/>
        </w:rPr>
        <w:t>Canadian Benchmark Unavailability Period</w:t>
      </w:r>
      <w:r>
        <w:rPr>
          <w:rFonts w:ascii="Calibri" w:cs="Calibri" w:eastAsia="Calibri" w:hAnsi="Calibri"/>
          <w:sz w:val="21"/>
          <w:szCs w:val="21"/>
          <w:u w:val="single" w:color="auto"/>
          <w:color w:val="0000FF"/>
          <w:highlight w:val="lightGray"/>
        </w:rPr>
        <w:t>.</w:t>
      </w:r>
      <w:r>
        <w:rPr>
          <w:rFonts w:ascii="Calibri" w:cs="Calibri" w:eastAsia="Calibri" w:hAnsi="Calibri"/>
          <w:sz w:val="21"/>
          <w:szCs w:val="21"/>
          <w:i w:val="1"/>
          <w:iCs w:val="1"/>
          <w:u w:val="single" w:color="auto"/>
          <w:color w:val="0000FF"/>
          <w:highlight w:val="lightGray"/>
        </w:rPr>
        <w:t xml:space="preserve"> </w:t>
      </w:r>
      <w:r>
        <w:rPr>
          <w:rFonts w:ascii="Times New Roman" w:cs="Times New Roman" w:eastAsia="Times New Roman" w:hAnsi="Times New Roman"/>
          <w:sz w:val="21"/>
          <w:szCs w:val="21"/>
          <w:u w:val="single" w:color="auto"/>
          <w:color w:val="0000FF"/>
          <w:highlight w:val="lightGray"/>
        </w:rPr>
        <w:t>Upon the Borrowers’ receipt of notice of the commencement of a</w:t>
      </w:r>
      <w:r>
        <w:rPr>
          <w:rFonts w:ascii="Calibri" w:cs="Calibri" w:eastAsia="Calibri" w:hAnsi="Calibri"/>
          <w:sz w:val="21"/>
          <w:szCs w:val="21"/>
          <w:i w:val="1"/>
          <w:iCs w:val="1"/>
          <w:u w:val="single" w:color="auto"/>
          <w:color w:val="0000FF"/>
          <w:highlight w:val="lightGray"/>
        </w:rPr>
        <w:t xml:space="preserve"> </w:t>
      </w:r>
      <w:r>
        <w:rPr>
          <w:rFonts w:ascii="Times New Roman" w:cs="Times New Roman" w:eastAsia="Times New Roman" w:hAnsi="Times New Roman"/>
          <w:sz w:val="21"/>
          <w:szCs w:val="21"/>
          <w:u w:val="single" w:color="auto"/>
          <w:color w:val="0000FF"/>
          <w:highlight w:val="lightGray"/>
        </w:rPr>
        <w:t>Canadian Benchmark Unavailability Period, the Borrowers may revoke any pending request for a Borrowing of, conversion to or continuation of Loans, which are of the Type that have a rate of interest determined by reference to the then-current Canadian Benchmark, to be made, converted or continued during any Canadian Benchmark Unavailability Period and, failing that, the Borrowers will be deemed to have converted any such request into a request for a Borrowing of or conversion to, (i) for a Canadian Benchmark Unavailability Period in respect of Term CORRA, Daily Compounded CORRA Loans, and (ii) for a Canadian Benchmark Unavailability Period in respect of a Canadian Benchmark other than Term CORRA, Canadian Prime Rate Loans.</w:t>
      </w:r>
    </w:p>
    <w:p>
      <w:pPr>
        <w:spacing w:after="0" w:line="108" w:lineRule="exact"/>
        <w:rPr>
          <w:sz w:val="20"/>
          <w:szCs w:val="20"/>
          <w:color w:val="auto"/>
        </w:rPr>
      </w:pPr>
    </w:p>
    <w:p>
      <w:pPr>
        <w:jc w:val="both"/>
        <w:ind w:left="100" w:right="160" w:firstLine="626"/>
        <w:spacing w:after="0" w:line="266" w:lineRule="auto"/>
        <w:rPr>
          <w:sz w:val="20"/>
          <w:szCs w:val="20"/>
          <w:color w:val="auto"/>
        </w:rPr>
      </w:pP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b w:val="1"/>
          <w:bCs w:val="1"/>
          <w:i w:val="1"/>
          <w:iCs w:val="1"/>
          <w:u w:val="single" w:color="auto"/>
          <w:color w:val="0000FF"/>
          <w:highlight w:val="lightGray"/>
        </w:rPr>
        <w:t>Adjusted Daily Compounded CORRA</w:t>
      </w:r>
      <w:r>
        <w:rPr>
          <w:rFonts w:ascii="Times New Roman" w:cs="Times New Roman" w:eastAsia="Times New Roman" w:hAnsi="Times New Roman"/>
          <w:sz w:val="21"/>
          <w:szCs w:val="21"/>
          <w:u w:val="single" w:color="auto"/>
          <w:color w:val="0000FF"/>
          <w:highlight w:val="lightGray"/>
        </w:rPr>
        <w:t>” means, for purposes of any calculation, the rate per annum equal to (a) Daily Compounded CORRA for such calculation plus (b) the Daily Compounded CORRA Adjustment; provided, that to the extent if Adjusted Daily Compounded CORRA as so determined shall be less than the Floor, then Adjusted Daily Compounded CORRA shall be deemed to be the Floor.</w:t>
      </w:r>
    </w:p>
    <w:p>
      <w:pPr>
        <w:spacing w:after="0" w:line="3" w:lineRule="exact"/>
        <w:rPr>
          <w:sz w:val="20"/>
          <w:szCs w:val="20"/>
          <w:color w:val="auto"/>
        </w:rPr>
      </w:pPr>
    </w:p>
    <w:p>
      <w:pPr>
        <w:jc w:val="both"/>
        <w:ind w:firstLine="1259"/>
        <w:spacing w:after="0" w:line="250" w:lineRule="auto"/>
        <w:tabs>
          <w:tab w:leader="none" w:pos="1669" w:val="left"/>
        </w:tabs>
        <w:numPr>
          <w:ilvl w:val="0"/>
          <w:numId w:val="188"/>
        </w:numPr>
        <w:rPr>
          <w:rFonts w:ascii="Times New Roman" w:cs="Times New Roman" w:eastAsia="Times New Roman" w:hAnsi="Times New Roman"/>
          <w:sz w:val="19"/>
          <w:szCs w:val="19"/>
          <w:color w:val="FF0000"/>
          <w:strike w:val="1"/>
        </w:rPr>
      </w:pPr>
      <w:r>
        <w:rPr>
          <w:rFonts w:ascii="Calibri" w:cs="Calibri" w:eastAsia="Calibri" w:hAnsi="Calibri"/>
          <w:sz w:val="21"/>
          <w:szCs w:val="21"/>
          <w:i w:val="1"/>
          <w:iCs w:val="1"/>
          <w:color w:val="FF0000"/>
          <w:strike w:val="1"/>
        </w:rPr>
        <w:t>Bankers’ Acceptances</w:t>
      </w:r>
      <w:r>
        <w:rPr>
          <w:rFonts w:ascii="Calibri" w:cs="Calibri" w:eastAsia="Calibri" w:hAnsi="Calibri"/>
          <w:sz w:val="21"/>
          <w:szCs w:val="21"/>
          <w:color w:val="FF0000"/>
          <w:strike w:val="1"/>
        </w:rPr>
        <w:t>. The Canadian</w:t>
      </w:r>
      <w:r>
        <w:rPr>
          <w:rFonts w:ascii="Calibri" w:cs="Calibri" w:eastAsia="Calibri" w:hAnsi="Calibri"/>
          <w:sz w:val="21"/>
          <w:szCs w:val="21"/>
          <w:i w:val="1"/>
          <w:iCs w:val="1"/>
          <w:color w:val="FF0000"/>
          <w:strike w:val="1"/>
        </w:rPr>
        <w:t xml:space="preserve"> </w:t>
      </w:r>
      <w:r>
        <w:rPr>
          <w:rFonts w:ascii="Times New Roman" w:cs="Times New Roman" w:eastAsia="Times New Roman" w:hAnsi="Times New Roman"/>
          <w:sz w:val="21"/>
          <w:szCs w:val="21"/>
          <w:color w:val="FF0000"/>
          <w:strike w:val="1"/>
        </w:rPr>
        <w:t>Administrative Agent shall have the option to, effective as of the date set out</w:t>
      </w:r>
      <w:r>
        <w:rPr>
          <w:rFonts w:ascii="Calibri" w:cs="Calibri" w:eastAsia="Calibri" w:hAnsi="Calibri"/>
          <w:sz w:val="21"/>
          <w:szCs w:val="21"/>
          <w:i w:val="1"/>
          <w:iCs w:val="1"/>
          <w:color w:val="FF0000"/>
          <w:strike w:val="1"/>
        </w:rPr>
        <w:t xml:space="preserve"> </w:t>
      </w:r>
      <w:r>
        <w:rPr>
          <w:rFonts w:ascii="Times New Roman" w:cs="Times New Roman" w:eastAsia="Times New Roman" w:hAnsi="Times New Roman"/>
          <w:sz w:val="21"/>
          <w:szCs w:val="21"/>
          <w:color w:val="FF0000"/>
          <w:strike w:val="1"/>
        </w:rPr>
        <w:t xml:space="preserve">in the BA Cessation Notice, which shall be a date on or after the CDOR Cessation Date (the “BA Cessation Effective Date”), terminate the obligation of the </w:t>
      </w:r>
      <w:r>
        <w:rPr>
          <w:rFonts w:ascii="Calibri" w:cs="Calibri" w:eastAsia="Calibri" w:hAnsi="Calibri"/>
          <w:sz w:val="21"/>
          <w:szCs w:val="21"/>
          <w:color w:val="FF0000"/>
          <w:strike w:val="1"/>
        </w:rPr>
        <w:t>Canadian</w:t>
      </w:r>
      <w:r>
        <w:rPr>
          <w:rFonts w:ascii="Times New Roman" w:cs="Times New Roman" w:eastAsia="Times New Roman" w:hAnsi="Times New Roman"/>
          <w:sz w:val="21"/>
          <w:szCs w:val="21"/>
          <w:color w:val="FF0000"/>
          <w:strike w:val="1"/>
        </w:rPr>
        <w:t xml:space="preserve"> Lenders to make or maintain Bankers’ Acceptances, provided that the </w:t>
      </w:r>
      <w:r>
        <w:rPr>
          <w:rFonts w:ascii="Calibri" w:cs="Calibri" w:eastAsia="Calibri" w:hAnsi="Calibri"/>
          <w:sz w:val="21"/>
          <w:szCs w:val="21"/>
          <w:color w:val="FF0000"/>
          <w:strike w:val="1"/>
        </w:rPr>
        <w:t>Canadian</w:t>
      </w:r>
      <w:r>
        <w:rPr>
          <w:rFonts w:ascii="Times New Roman" w:cs="Times New Roman" w:eastAsia="Times New Roman" w:hAnsi="Times New Roman"/>
          <w:sz w:val="21"/>
          <w:szCs w:val="21"/>
          <w:color w:val="FF0000"/>
          <w:strike w:val="1"/>
        </w:rPr>
        <w:t xml:space="preserve"> Administrative Agent shall give notice to the Parent Borrower and the </w:t>
      </w:r>
      <w:r>
        <w:rPr>
          <w:rFonts w:ascii="Calibri" w:cs="Calibri" w:eastAsia="Calibri" w:hAnsi="Calibri"/>
          <w:sz w:val="21"/>
          <w:szCs w:val="21"/>
          <w:color w:val="FF0000"/>
          <w:strike w:val="1"/>
        </w:rPr>
        <w:t>Canadian</w:t>
      </w:r>
      <w:r>
        <w:rPr>
          <w:rFonts w:ascii="Times New Roman" w:cs="Times New Roman" w:eastAsia="Times New Roman" w:hAnsi="Times New Roman"/>
          <w:sz w:val="21"/>
          <w:szCs w:val="21"/>
          <w:color w:val="FF0000"/>
          <w:strike w:val="1"/>
        </w:rPr>
        <w:t xml:space="preserve"> Lenders at least thirty (30) Business Days prior to the BA Cessation Effective Date (“BA Cessation Notice”). If the BA Cessation Notice is provided, then as of the BA Cessation Effective Date, so long as the </w:t>
      </w:r>
      <w:r>
        <w:rPr>
          <w:rFonts w:ascii="Calibri" w:cs="Calibri" w:eastAsia="Calibri" w:hAnsi="Calibri"/>
          <w:sz w:val="21"/>
          <w:szCs w:val="21"/>
          <w:color w:val="FF0000"/>
          <w:strike w:val="1"/>
        </w:rPr>
        <w:t>Canadian</w:t>
      </w:r>
      <w:r>
        <w:rPr>
          <w:rFonts w:ascii="Times New Roman" w:cs="Times New Roman" w:eastAsia="Times New Roman" w:hAnsi="Times New Roman"/>
          <w:sz w:val="21"/>
          <w:szCs w:val="21"/>
          <w:color w:val="FF0000"/>
          <w:strike w:val="1"/>
        </w:rPr>
        <w:t xml:space="preserve"> Administrative Agent has not received, by 5:00 p.m. (Toronto time) on the fifth (5</w:t>
      </w:r>
      <w:r>
        <w:rPr>
          <w:rFonts w:ascii="Times New Roman" w:cs="Times New Roman" w:eastAsia="Times New Roman" w:hAnsi="Times New Roman"/>
          <w:sz w:val="27"/>
          <w:szCs w:val="27"/>
          <w:color w:val="FF0000"/>
          <w:strike w:val="1"/>
          <w:vertAlign w:val="superscript"/>
        </w:rPr>
        <w:t>th</w:t>
      </w:r>
      <w:r>
        <w:rPr>
          <w:rFonts w:ascii="Times New Roman" w:cs="Times New Roman" w:eastAsia="Times New Roman" w:hAnsi="Times New Roman"/>
          <w:sz w:val="21"/>
          <w:szCs w:val="21"/>
          <w:color w:val="FF0000"/>
          <w:strike w:val="1"/>
        </w:rPr>
        <w:t xml:space="preserve">) Business Day after the date of the BA Cessation Notice, written notice of objection to the termination of the obligation to make or maintain Bankers’ Acceptances from Lenders comprising the Required </w:t>
      </w:r>
      <w:r>
        <w:rPr>
          <w:rFonts w:ascii="Calibri" w:cs="Calibri" w:eastAsia="Calibri" w:hAnsi="Calibri"/>
          <w:sz w:val="21"/>
          <w:szCs w:val="21"/>
          <w:color w:val="FF0000"/>
          <w:strike w:val="1"/>
        </w:rPr>
        <w:t>Canadian</w:t>
      </w:r>
      <w:r>
        <w:rPr>
          <w:rFonts w:ascii="Times New Roman" w:cs="Times New Roman" w:eastAsia="Times New Roman" w:hAnsi="Times New Roman"/>
          <w:sz w:val="21"/>
          <w:szCs w:val="21"/>
          <w:color w:val="FF0000"/>
          <w:strike w:val="1"/>
        </w:rPr>
        <w:t xml:space="preserve"> Lenders, (i) any </w:t>
      </w:r>
      <w:r>
        <w:rPr>
          <w:rFonts w:ascii="Calibri" w:cs="Calibri" w:eastAsia="Calibri" w:hAnsi="Calibri"/>
          <w:sz w:val="21"/>
          <w:szCs w:val="21"/>
          <w:color w:val="FF0000"/>
          <w:strike w:val="1"/>
        </w:rPr>
        <w:t>Borrowing</w:t>
      </w:r>
      <w:r>
        <w:rPr>
          <w:rFonts w:ascii="Times New Roman" w:cs="Times New Roman" w:eastAsia="Times New Roman" w:hAnsi="Times New Roman"/>
          <w:sz w:val="21"/>
          <w:szCs w:val="21"/>
          <w:color w:val="FF0000"/>
          <w:strike w:val="1"/>
        </w:rPr>
        <w:t xml:space="preserve"> Request that requests the conversion of any </w:t>
      </w:r>
      <w:r>
        <w:rPr>
          <w:rFonts w:ascii="Calibri" w:cs="Calibri" w:eastAsia="Calibri" w:hAnsi="Calibri"/>
          <w:sz w:val="21"/>
          <w:szCs w:val="21"/>
          <w:color w:val="FF0000"/>
          <w:strike w:val="1"/>
        </w:rPr>
        <w:t xml:space="preserve">Canadian </w:t>
      </w:r>
      <w:r>
        <w:rPr>
          <w:rFonts w:ascii="Times New Roman" w:cs="Times New Roman" w:eastAsia="Times New Roman" w:hAnsi="Times New Roman"/>
          <w:sz w:val="21"/>
          <w:szCs w:val="21"/>
          <w:color w:val="FF0000"/>
          <w:strike w:val="1"/>
        </w:rPr>
        <w:t>Loan to, or rollover of any</w:t>
      </w:r>
      <w:r>
        <w:rPr>
          <w:rFonts w:ascii="Calibri" w:cs="Calibri" w:eastAsia="Calibri" w:hAnsi="Calibri"/>
          <w:sz w:val="21"/>
          <w:szCs w:val="21"/>
          <w:color w:val="FF0000"/>
          <w:strike w:val="1"/>
        </w:rPr>
        <w:t xml:space="preserve"> Canadian </w:t>
      </w:r>
      <w:r>
        <w:rPr>
          <w:rFonts w:ascii="Times New Roman" w:cs="Times New Roman" w:eastAsia="Times New Roman" w:hAnsi="Times New Roman"/>
          <w:sz w:val="21"/>
          <w:szCs w:val="21"/>
          <w:color w:val="FF0000"/>
          <w:strike w:val="1"/>
        </w:rPr>
        <w:t>Loans as, a Bankers’ Acceptance shall be ineffective, and (ii) if any</w:t>
      </w:r>
      <w:r>
        <w:rPr>
          <w:rFonts w:ascii="Calibri" w:cs="Calibri" w:eastAsia="Calibri" w:hAnsi="Calibri"/>
          <w:sz w:val="21"/>
          <w:szCs w:val="21"/>
          <w:color w:val="FF0000"/>
          <w:strike w:val="1"/>
        </w:rPr>
        <w:t xml:space="preserve"> Borrowing </w:t>
      </w:r>
      <w:r>
        <w:rPr>
          <w:rFonts w:ascii="Times New Roman" w:cs="Times New Roman" w:eastAsia="Times New Roman" w:hAnsi="Times New Roman"/>
          <w:sz w:val="21"/>
          <w:szCs w:val="21"/>
          <w:color w:val="FF0000"/>
          <w:strike w:val="1"/>
        </w:rPr>
        <w:t xml:space="preserve">Request requests a Bankers’ Acceptance such </w:t>
      </w:r>
      <w:r>
        <w:rPr>
          <w:rFonts w:ascii="Calibri" w:cs="Calibri" w:eastAsia="Calibri" w:hAnsi="Calibri"/>
          <w:sz w:val="21"/>
          <w:szCs w:val="21"/>
          <w:color w:val="FF0000"/>
          <w:strike w:val="1"/>
        </w:rPr>
        <w:t>Canadian</w:t>
      </w:r>
      <w:r>
        <w:rPr>
          <w:rFonts w:ascii="Times New Roman" w:cs="Times New Roman" w:eastAsia="Times New Roman" w:hAnsi="Times New Roman"/>
          <w:sz w:val="21"/>
          <w:szCs w:val="21"/>
          <w:color w:val="FF0000"/>
          <w:strike w:val="1"/>
        </w:rPr>
        <w:t xml:space="preserve"> Loan shall be made as a CORRA Loan of the same tenor. For the avoidance of doubt, any outstanding Bankers’ Acceptance shall remain in effect following the CDOR Cessation Date until such Bankers’ Acceptance’s stated maturity.</w:t>
      </w:r>
    </w:p>
    <w:p>
      <w:pPr>
        <w:spacing w:after="0" w:line="2" w:lineRule="exact"/>
        <w:rPr>
          <w:rFonts w:ascii="Times New Roman" w:cs="Times New Roman" w:eastAsia="Times New Roman" w:hAnsi="Times New Roman"/>
          <w:sz w:val="19"/>
          <w:szCs w:val="19"/>
          <w:color w:val="FF0000"/>
          <w:strike w:val="1"/>
        </w:rPr>
      </w:pPr>
    </w:p>
    <w:p>
      <w:pPr>
        <w:ind w:left="1680" w:hanging="421"/>
        <w:spacing w:after="0" w:line="198" w:lineRule="auto"/>
        <w:tabs>
          <w:tab w:leader="none" w:pos="1680" w:val="left"/>
        </w:tabs>
        <w:numPr>
          <w:ilvl w:val="0"/>
          <w:numId w:val="188"/>
        </w:numPr>
        <w:rPr>
          <w:rFonts w:ascii="Times New Roman" w:cs="Times New Roman" w:eastAsia="Times New Roman" w:hAnsi="Times New Roman"/>
          <w:sz w:val="19"/>
          <w:szCs w:val="19"/>
          <w:color w:val="FF0000"/>
          <w:strike w:val="1"/>
        </w:rPr>
      </w:pPr>
      <w:r>
        <w:rPr>
          <w:rFonts w:ascii="Calibri" w:cs="Calibri" w:eastAsia="Calibri" w:hAnsi="Calibri"/>
          <w:sz w:val="21"/>
          <w:szCs w:val="21"/>
          <w:i w:val="1"/>
          <w:iCs w:val="1"/>
          <w:color w:val="FF0000"/>
          <w:strike w:val="1"/>
        </w:rPr>
        <w:t>Defnitons</w:t>
      </w:r>
      <w:r>
        <w:rPr>
          <w:rFonts w:ascii="Calibri" w:cs="Calibri" w:eastAsia="Calibri" w:hAnsi="Calibri"/>
          <w:sz w:val="21"/>
          <w:szCs w:val="21"/>
          <w:color w:val="FF0000"/>
          <w:strike w:val="1"/>
        </w:rPr>
        <w:t>.</w:t>
      </w:r>
    </w:p>
    <w:p>
      <w:pPr>
        <w:spacing w:after="0" w:line="153" w:lineRule="exact"/>
        <w:rPr>
          <w:sz w:val="20"/>
          <w:szCs w:val="20"/>
          <w:color w:val="auto"/>
        </w:rPr>
      </w:pPr>
    </w:p>
    <w:p>
      <w:pPr>
        <w:jc w:val="both"/>
        <w:ind w:left="100" w:right="160" w:firstLine="62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Available Tenor</w:t>
      </w:r>
      <w:r>
        <w:rPr>
          <w:rFonts w:ascii="Times New Roman" w:cs="Times New Roman" w:eastAsia="Times New Roman" w:hAnsi="Times New Roman"/>
          <w:sz w:val="21"/>
          <w:szCs w:val="21"/>
          <w:color w:val="auto"/>
        </w:rPr>
        <w:t xml:space="preserve">” means, as of any date of determination and with respect to the then-current Canadian Benchmark, as applicable, (x) if </w:t>
      </w:r>
      <w:r>
        <w:rPr>
          <w:rFonts w:ascii="Times New Roman" w:cs="Times New Roman" w:eastAsia="Times New Roman" w:hAnsi="Times New Roman"/>
          <w:sz w:val="21"/>
          <w:szCs w:val="21"/>
          <w:color w:val="FF0000"/>
          <w:strike w:val="1"/>
        </w:rPr>
        <w:t>the then-current</w:t>
      </w:r>
      <w:r>
        <w:rPr>
          <w:rFonts w:ascii="Times New Roman" w:cs="Times New Roman" w:eastAsia="Times New Roman" w:hAnsi="Times New Roman"/>
          <w:sz w:val="21"/>
          <w:szCs w:val="21"/>
          <w:u w:val="single" w:color="auto"/>
          <w:color w:val="0000FF"/>
          <w:highlight w:val="lightGray"/>
        </w:rPr>
        <w:t>such</w:t>
      </w:r>
      <w:r>
        <w:rPr>
          <w:rFonts w:ascii="Times New Roman" w:cs="Times New Roman" w:eastAsia="Times New Roman" w:hAnsi="Times New Roman"/>
          <w:sz w:val="21"/>
          <w:szCs w:val="21"/>
          <w:color w:val="auto"/>
        </w:rPr>
        <w:t xml:space="preserve"> Canadian Benchmark is a term rate, any tenor for such Canadian Benchmark </w:t>
      </w:r>
      <w:r>
        <w:rPr>
          <w:rFonts w:ascii="Times New Roman" w:cs="Times New Roman" w:eastAsia="Times New Roman" w:hAnsi="Times New Roman"/>
          <w:sz w:val="21"/>
          <w:szCs w:val="21"/>
          <w:u w:val="single" w:color="auto"/>
          <w:color w:val="0000FF"/>
          <w:highlight w:val="lightGray"/>
        </w:rPr>
        <w:t>(or component thereof)</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that is or may be used for determining the length of an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I</w:t>
      </w:r>
      <w:r>
        <w:rPr>
          <w:rFonts w:ascii="Times New Roman" w:cs="Times New Roman" w:eastAsia="Times New Roman" w:hAnsi="Times New Roman"/>
          <w:sz w:val="21"/>
          <w:szCs w:val="21"/>
          <w:u w:val="single" w:color="auto"/>
          <w:color w:val="0000FF"/>
          <w:highlight w:val="lightGray"/>
        </w:rPr>
        <w:t>i</w:t>
      </w:r>
      <w:r>
        <w:rPr>
          <w:rFonts w:ascii="Times New Roman" w:cs="Times New Roman" w:eastAsia="Times New Roman" w:hAnsi="Times New Roman"/>
          <w:sz w:val="21"/>
          <w:szCs w:val="21"/>
          <w:color w:val="000000"/>
        </w:rPr>
        <w:t>nterest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P</w:t>
      </w:r>
      <w:r>
        <w:rPr>
          <w:rFonts w:ascii="Times New Roman" w:cs="Times New Roman" w:eastAsia="Times New Roman" w:hAnsi="Times New Roman"/>
          <w:sz w:val="21"/>
          <w:szCs w:val="21"/>
          <w:u w:val="single" w:color="auto"/>
          <w:color w:val="0000FF"/>
          <w:highlight w:val="lightGray"/>
        </w:rPr>
        <w:t>p</w:t>
      </w:r>
      <w:r>
        <w:rPr>
          <w:rFonts w:ascii="Times New Roman" w:cs="Times New Roman" w:eastAsia="Times New Roman" w:hAnsi="Times New Roman"/>
          <w:sz w:val="21"/>
          <w:szCs w:val="21"/>
          <w:color w:val="000000"/>
        </w:rPr>
        <w:t>eriod</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u w:val="single" w:color="auto"/>
          <w:color w:val="0000FF"/>
          <w:highlight w:val="lightGray"/>
        </w:rPr>
        <w:t>pursuant to this Agreement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or (y)</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otherwise, any payment period for interest calculated with reference to such Canadian Benchmark</w:t>
      </w:r>
      <w:r>
        <w:rPr>
          <w:rFonts w:ascii="Times New Roman" w:cs="Times New Roman" w:eastAsia="Times New Roman" w:hAnsi="Times New Roman"/>
          <w:sz w:val="21"/>
          <w:szCs w:val="21"/>
          <w:color w:val="FF0000"/>
          <w:strike w:val="1"/>
        </w:rPr>
        <w:t>, as applicable,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(or component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thereof) that is or may be used for determining any frequency of making payments of interest calculated with reference to such Canadian Benchmark</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pursuant to this Agreement</w:t>
      </w:r>
      <w:r>
        <w:rPr>
          <w:rFonts w:ascii="Times New Roman" w:cs="Times New Roman" w:eastAsia="Times New Roman" w:hAnsi="Times New Roman"/>
          <w:sz w:val="21"/>
          <w:szCs w:val="21"/>
          <w:u w:val="single" w:color="auto"/>
          <w:color w:val="0000FF"/>
          <w:highlight w:val="lightGray"/>
        </w:rPr>
        <w:t>, in each case,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as of such date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FF"/>
        </w:rPr>
        <w:t>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-172720</wp:posOffset>
            </wp:positionV>
            <wp:extent cx="427990" cy="140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427990" cy="14097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68" w:name="page169"/>
    <w:bookmarkEnd w:id="168"/>
    <w:p>
      <w:pPr>
        <w:spacing w:after="0" w:line="84" w:lineRule="exact"/>
        <w:rPr>
          <w:sz w:val="20"/>
          <w:szCs w:val="20"/>
          <w:color w:val="auto"/>
        </w:rPr>
      </w:pPr>
    </w:p>
    <w:p>
      <w:pPr>
        <w:jc w:val="both"/>
        <w:ind w:right="160"/>
        <w:spacing w:after="0" w:line="290" w:lineRule="auto"/>
        <w:rPr>
          <w:sz w:val="20"/>
          <w:szCs w:val="20"/>
          <w:color w:val="auto"/>
        </w:rPr>
      </w:pPr>
      <w:r>
        <w:rPr>
          <w:rFonts w:ascii="Times New Roman" w:cs="Times New Roman" w:eastAsia="Times New Roman" w:hAnsi="Times New Roman"/>
          <w:sz w:val="21"/>
          <w:szCs w:val="21"/>
          <w:u w:val="single" w:color="auto"/>
          <w:color w:val="0000FF"/>
          <w:highlight w:val="lightGray"/>
        </w:rPr>
        <w:t>including, for the avoidance of doubt, any tenor for such Canadian Benchmark that is then-removed from the definition of “Interest Period” pursuant to Section 2.27(d)</w:t>
      </w:r>
      <w:r>
        <w:rPr>
          <w:rFonts w:ascii="Times New Roman" w:cs="Times New Roman" w:eastAsia="Times New Roman" w:hAnsi="Times New Roman"/>
          <w:sz w:val="21"/>
          <w:szCs w:val="21"/>
          <w:color w:val="000000"/>
        </w:rPr>
        <w:t>.</w:t>
      </w:r>
    </w:p>
    <w:p>
      <w:pPr>
        <w:spacing w:after="0" w:line="66" w:lineRule="exact"/>
        <w:rPr>
          <w:sz w:val="20"/>
          <w:szCs w:val="20"/>
          <w:color w:val="auto"/>
        </w:rPr>
      </w:pPr>
    </w:p>
    <w:p>
      <w:pPr>
        <w:jc w:val="both"/>
        <w:ind w:right="160" w:firstLine="627"/>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w:t>
      </w:r>
      <w:r>
        <w:rPr>
          <w:rFonts w:ascii="Times New Roman" w:cs="Times New Roman" w:eastAsia="Times New Roman" w:hAnsi="Times New Roman"/>
          <w:sz w:val="21"/>
          <w:szCs w:val="21"/>
          <w:color w:val="auto"/>
        </w:rPr>
        <w:t xml:space="preserve">” means, initially,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u w:val="single" w:color="auto"/>
          <w:color w:val="0000FF"/>
          <w:highlight w:val="lightGray"/>
        </w:rPr>
        <w:t>the Term CORRA Reference Rate</w:t>
      </w:r>
      <w:r>
        <w:rPr>
          <w:rFonts w:ascii="Times New Roman" w:cs="Times New Roman" w:eastAsia="Times New Roman" w:hAnsi="Times New Roman"/>
          <w:sz w:val="21"/>
          <w:szCs w:val="21"/>
          <w:color w:val="auto"/>
        </w:rPr>
        <w:t xml:space="preserve">; provided that if a </w:t>
      </w:r>
      <w:r>
        <w:rPr>
          <w:rFonts w:ascii="Times New Roman" w:cs="Times New Roman" w:eastAsia="Times New Roman" w:hAnsi="Times New Roman"/>
          <w:sz w:val="21"/>
          <w:szCs w:val="21"/>
          <w:color w:val="FF0000"/>
          <w:strike w:val="1"/>
        </w:rPr>
        <w:t>replacement of the</w:t>
      </w:r>
      <w:r>
        <w:rPr>
          <w:rFonts w:ascii="Times New Roman" w:cs="Times New Roman" w:eastAsia="Times New Roman" w:hAnsi="Times New Roman"/>
          <w:sz w:val="21"/>
          <w:szCs w:val="21"/>
          <w:color w:val="auto"/>
        </w:rPr>
        <w:t xml:space="preserve"> Canadian Benchmark </w:t>
      </w:r>
      <w:r>
        <w:rPr>
          <w:rFonts w:ascii="Times New Roman" w:cs="Times New Roman" w:eastAsia="Times New Roman" w:hAnsi="Times New Roman"/>
          <w:sz w:val="21"/>
          <w:szCs w:val="21"/>
          <w:u w:val="single" w:color="auto"/>
          <w:color w:val="0000FF"/>
          <w:highlight w:val="lightGray"/>
        </w:rPr>
        <w:t>Transition Event</w:t>
      </w:r>
      <w:r>
        <w:rPr>
          <w:rFonts w:ascii="Times New Roman" w:cs="Times New Roman" w:eastAsia="Times New Roman" w:hAnsi="Times New Roman"/>
          <w:sz w:val="21"/>
          <w:szCs w:val="21"/>
          <w:color w:val="auto"/>
        </w:rPr>
        <w:t xml:space="preserve"> has occurred </w:t>
      </w:r>
      <w:r>
        <w:rPr>
          <w:rFonts w:ascii="Times New Roman" w:cs="Times New Roman" w:eastAsia="Times New Roman" w:hAnsi="Times New Roman"/>
          <w:sz w:val="21"/>
          <w:szCs w:val="21"/>
          <w:color w:val="FF0000"/>
          <w:strike w:val="1"/>
        </w:rPr>
        <w:t>pursuant to this Section titled “</w:t>
      </w:r>
      <w:r>
        <w:rPr>
          <w:rFonts w:ascii="Times New Roman" w:cs="Times New Roman" w:eastAsia="Times New Roman" w:hAnsi="Times New Roman"/>
          <w:sz w:val="21"/>
          <w:szCs w:val="21"/>
          <w:u w:val="single" w:color="auto"/>
          <w:color w:val="0000FF"/>
          <w:highlight w:val="lightGray"/>
        </w:rPr>
        <w:t>with respect to the Term CORRA Reference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Rate, Daily Compounded CORRA, or the then-current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Canadian Benchmark</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Replacement Setting”</w:t>
      </w:r>
      <w:r>
        <w:rPr>
          <w:rFonts w:ascii="Times New Roman" w:cs="Times New Roman" w:eastAsia="Times New Roman" w:hAnsi="Times New Roman"/>
          <w:sz w:val="21"/>
          <w:szCs w:val="21"/>
          <w:color w:val="000000"/>
        </w:rPr>
        <w:t>, then “Canadian Benchmark”</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means the applicable Canadian Benchmark Replacement to the extent that such Canadian Benchmark Replacement has replaced such prior benchmark rate</w:t>
      </w:r>
      <w:r>
        <w:rPr>
          <w:rFonts w:ascii="Times New Roman" w:cs="Times New Roman" w:eastAsia="Times New Roman" w:hAnsi="Times New Roman"/>
          <w:sz w:val="21"/>
          <w:szCs w:val="21"/>
          <w:color w:val="FF0000"/>
          <w:strike w:val="1"/>
        </w:rPr>
        <w:t>. Any reference to “Canadian Benchmark” shall include, as applicable, the published component used in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the calculation thereof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pursuant to Section 2.27(a)</w:t>
      </w:r>
      <w:r>
        <w:rPr>
          <w:rFonts w:ascii="Times New Roman" w:cs="Times New Roman" w:eastAsia="Times New Roman" w:hAnsi="Times New Roman"/>
          <w:sz w:val="21"/>
          <w:szCs w:val="21"/>
          <w:color w:val="000000"/>
        </w:rPr>
        <w:t>.</w:t>
      </w:r>
    </w:p>
    <w:p>
      <w:pPr>
        <w:spacing w:after="0" w:line="93"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 Replacement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color w:val="FF0000"/>
          <w:strike w:val="1"/>
        </w:rPr>
        <w:t>for</w:t>
      </w:r>
      <w:r>
        <w:rPr>
          <w:rFonts w:ascii="Times New Roman" w:cs="Times New Roman" w:eastAsia="Times New Roman" w:hAnsi="Times New Roman"/>
          <w:sz w:val="21"/>
          <w:szCs w:val="21"/>
          <w:u w:val="single" w:color="auto"/>
          <w:color w:val="0000FF"/>
          <w:highlight w:val="lightGray"/>
        </w:rPr>
        <w:t>with respect to</w:t>
      </w:r>
      <w:r>
        <w:rPr>
          <w:rFonts w:ascii="Times New Roman" w:cs="Times New Roman" w:eastAsia="Times New Roman" w:hAnsi="Times New Roman"/>
          <w:sz w:val="21"/>
          <w:szCs w:val="21"/>
          <w:color w:val="auto"/>
        </w:rPr>
        <w:t xml:space="preserve"> any Canadian </w:t>
      </w:r>
      <w:r>
        <w:rPr>
          <w:rFonts w:ascii="Times New Roman" w:cs="Times New Roman" w:eastAsia="Times New Roman" w:hAnsi="Times New Roman"/>
          <w:sz w:val="21"/>
          <w:szCs w:val="21"/>
          <w:color w:val="FF0000"/>
          <w:strike w:val="1"/>
        </w:rPr>
        <w:t>Available Tenor</w:t>
      </w:r>
      <w:r>
        <w:rPr>
          <w:rFonts w:ascii="Times New Roman" w:cs="Times New Roman" w:eastAsia="Times New Roman" w:hAnsi="Times New Roman"/>
          <w:sz w:val="21"/>
          <w:szCs w:val="21"/>
          <w:u w:val="single" w:color="auto"/>
          <w:color w:val="0000FF"/>
          <w:highlight w:val="lightGray"/>
        </w:rPr>
        <w:t>Benchmark Transition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Event</w:t>
      </w:r>
      <w:r>
        <w:rPr>
          <w:rFonts w:ascii="Times New Roman" w:cs="Times New Roman" w:eastAsia="Times New Roman" w:hAnsi="Times New Roman"/>
          <w:sz w:val="21"/>
          <w:szCs w:val="21"/>
          <w:color w:val="000000"/>
        </w:rPr>
        <w:t>:</w:t>
      </w:r>
    </w:p>
    <w:p>
      <w:pPr>
        <w:spacing w:after="0" w:line="55" w:lineRule="exact"/>
        <w:rPr>
          <w:sz w:val="20"/>
          <w:szCs w:val="20"/>
          <w:color w:val="auto"/>
        </w:rPr>
      </w:pPr>
    </w:p>
    <w:p>
      <w:pPr>
        <w:ind w:left="1580" w:right="180" w:hanging="318"/>
        <w:spacing w:after="0" w:line="290" w:lineRule="auto"/>
        <w:tabs>
          <w:tab w:leader="none" w:pos="1772" w:val="left"/>
        </w:tabs>
        <w:numPr>
          <w:ilvl w:val="1"/>
          <w:numId w:val="189"/>
        </w:numPr>
        <w:rPr>
          <w:rFonts w:ascii="Times New Roman" w:cs="Times New Roman" w:eastAsia="Times New Roman" w:hAnsi="Times New Roman"/>
          <w:sz w:val="19"/>
          <w:szCs w:val="19"/>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where a Canadian Benchmark Transition Event has occurred with respect to the Term CORRA Reference Rate, Daily Compounded CORRA; and</w:t>
      </w:r>
    </w:p>
    <w:p>
      <w:pPr>
        <w:spacing w:after="0" w:line="95" w:lineRule="exact"/>
        <w:rPr>
          <w:rFonts w:ascii="Times New Roman" w:cs="Times New Roman" w:eastAsia="Times New Roman" w:hAnsi="Times New Roman"/>
          <w:sz w:val="19"/>
          <w:szCs w:val="19"/>
          <w:u w:val="single" w:color="auto"/>
          <w:color w:val="0000FF"/>
          <w:highlight w:val="lightGray"/>
        </w:rPr>
      </w:pPr>
    </w:p>
    <w:p>
      <w:pPr>
        <w:ind w:left="980" w:right="160" w:hanging="344"/>
        <w:spacing w:after="0" w:line="290" w:lineRule="auto"/>
        <w:tabs>
          <w:tab w:leader="none" w:pos="1097" w:val="left"/>
        </w:tabs>
        <w:numPr>
          <w:ilvl w:val="0"/>
          <w:numId w:val="19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For purposes of clause (a) of this Section, the first alternative set forth below that can be determined by the Canadian Administrative Agent:</w:t>
      </w:r>
    </w:p>
    <w:p>
      <w:pPr>
        <w:spacing w:after="0" w:line="17" w:lineRule="exact"/>
        <w:rPr>
          <w:rFonts w:ascii="Times New Roman" w:cs="Times New Roman" w:eastAsia="Times New Roman" w:hAnsi="Times New Roman"/>
          <w:sz w:val="21"/>
          <w:szCs w:val="21"/>
          <w:color w:val="FF0000"/>
          <w:strike w:val="1"/>
        </w:rPr>
      </w:pPr>
    </w:p>
    <w:p>
      <w:pPr>
        <w:jc w:val="both"/>
        <w:ind w:left="1580" w:right="160" w:hanging="318"/>
        <w:spacing w:after="0" w:line="268" w:lineRule="auto"/>
        <w:tabs>
          <w:tab w:leader="none" w:pos="1713" w:val="left"/>
        </w:tabs>
        <w:numPr>
          <w:ilvl w:val="1"/>
          <w:numId w:val="19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the sum of: (i) Term CORRA and (ii) 0.29547% (29.547 basis points) for a Canadian Available Tenor of one-month’s duration, and 0.32138% (32.138 basis points) for a Canadian Available Tenor of three-months’ duration, or</w:t>
      </w:r>
    </w:p>
    <w:p>
      <w:pPr>
        <w:spacing w:after="0" w:line="105" w:lineRule="exact"/>
        <w:rPr>
          <w:rFonts w:ascii="Times New Roman" w:cs="Times New Roman" w:eastAsia="Times New Roman" w:hAnsi="Times New Roman"/>
          <w:sz w:val="21"/>
          <w:szCs w:val="21"/>
          <w:color w:val="FF0000"/>
          <w:strike w:val="1"/>
        </w:rPr>
      </w:pPr>
    </w:p>
    <w:p>
      <w:pPr>
        <w:jc w:val="both"/>
        <w:ind w:left="1580" w:right="160" w:hanging="317"/>
        <w:spacing w:after="0" w:line="275" w:lineRule="auto"/>
        <w:tabs>
          <w:tab w:leader="none" w:pos="1725" w:val="left"/>
        </w:tabs>
        <w:numPr>
          <w:ilvl w:val="1"/>
          <w:numId w:val="19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the sum of: (i) Daily Compounded CORRA and (ii) 0.29547% (29.547 basis points) for a Canadian Available Tenor of one-month’s duration, and 0.32138% (32.138 basis points) for a Canadian Available Tenor of three-months’ duration;</w:t>
      </w:r>
    </w:p>
    <w:p>
      <w:pPr>
        <w:spacing w:after="0" w:line="85" w:lineRule="exact"/>
        <w:rPr>
          <w:sz w:val="20"/>
          <w:szCs w:val="20"/>
          <w:color w:val="auto"/>
        </w:rPr>
      </w:pPr>
    </w:p>
    <w:p>
      <w:pPr>
        <w:ind w:left="1260"/>
        <w:spacing w:after="0"/>
        <w:tabs>
          <w:tab w:leader="none" w:pos="1820" w:val="left"/>
          <w:tab w:leader="none" w:pos="6460" w:val="left"/>
        </w:tabs>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FF0000"/>
          <w:strike w:val="1"/>
        </w:rPr>
        <w:t>2)</w:t>
      </w:r>
      <w:r>
        <w:rPr>
          <w:sz w:val="20"/>
          <w:szCs w:val="20"/>
          <w:color w:val="auto"/>
        </w:rPr>
        <w:tab/>
      </w:r>
      <w:r>
        <w:rPr>
          <w:rFonts w:ascii="Times New Roman" w:cs="Times New Roman" w:eastAsia="Times New Roman" w:hAnsi="Times New Roman"/>
          <w:sz w:val="21"/>
          <w:szCs w:val="21"/>
          <w:color w:val="FF0000"/>
          <w:strike w:val="1"/>
        </w:rPr>
        <w:t>For purposes of clause (b) of this Section 2.27</w:t>
      </w:r>
      <w:r>
        <w:rPr>
          <w:rFonts w:ascii="Times New Roman" w:cs="Times New Roman" w:eastAsia="Times New Roman" w:hAnsi="Times New Roman"/>
          <w:sz w:val="19"/>
          <w:szCs w:val="19"/>
          <w:u w:val="single" w:color="auto"/>
          <w:color w:val="0000FF"/>
          <w:highlight w:val="lightGray"/>
          <w:strike w:val="1"/>
        </w:rPr>
        <w:t>b)</w:t>
      </w:r>
      <w:r>
        <w:rPr>
          <w:sz w:val="20"/>
          <w:szCs w:val="20"/>
          <w:color w:val="auto"/>
        </w:rPr>
        <w:tab/>
      </w:r>
      <w:r>
        <w:rPr>
          <w:rFonts w:ascii="Times New Roman" w:cs="Times New Roman" w:eastAsia="Times New Roman" w:hAnsi="Times New Roman"/>
          <w:sz w:val="21"/>
          <w:szCs w:val="21"/>
          <w:u w:val="single" w:color="auto"/>
          <w:color w:val="0000FF"/>
          <w:highlight w:val="lightGray"/>
        </w:rPr>
        <w:t>where a Canadian Benchmark Transition Event has</w:t>
      </w:r>
    </w:p>
    <w:p>
      <w:pPr>
        <w:spacing w:after="0" w:line="31" w:lineRule="exact"/>
        <w:rPr>
          <w:sz w:val="20"/>
          <w:szCs w:val="20"/>
          <w:color w:val="auto"/>
        </w:rPr>
      </w:pPr>
    </w:p>
    <w:p>
      <w:pPr>
        <w:jc w:val="both"/>
        <w:ind w:left="1580" w:right="160"/>
        <w:spacing w:after="0" w:line="260" w:lineRule="auto"/>
        <w:rPr>
          <w:sz w:val="20"/>
          <w:szCs w:val="20"/>
          <w:color w:val="auto"/>
        </w:rPr>
      </w:pPr>
      <w:r>
        <w:rPr>
          <w:rFonts w:ascii="Times New Roman" w:cs="Times New Roman" w:eastAsia="Times New Roman" w:hAnsi="Times New Roman"/>
          <w:sz w:val="21"/>
          <w:szCs w:val="21"/>
          <w:u w:val="single" w:color="auto"/>
          <w:color w:val="0000FF"/>
          <w:highlight w:val="lightGray"/>
        </w:rPr>
        <w:t>occurred with respect to a Canadian Benchmark other than the Term CORRA Reference Rate</w:t>
      </w:r>
      <w:r>
        <w:rPr>
          <w:rFonts w:ascii="Times New Roman" w:cs="Times New Roman" w:eastAsia="Times New Roman" w:hAnsi="Times New Roman"/>
          <w:sz w:val="21"/>
          <w:szCs w:val="21"/>
          <w:color w:val="000000"/>
        </w:rPr>
        <w:t>, the sum of</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u w:val="single" w:color="auto"/>
          <w:color w:val="0000FF"/>
          <w:highlight w:val="lightGray"/>
        </w:rPr>
        <w:t>i</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the alternate benchmark rate </w:t>
      </w:r>
      <w:r>
        <w:rPr>
          <w:rFonts w:ascii="Times New Roman" w:cs="Times New Roman" w:eastAsia="Times New Roman" w:hAnsi="Times New Roman"/>
          <w:sz w:val="21"/>
          <w:szCs w:val="21"/>
          <w:color w:val="FF0000"/>
          <w:strike w:val="1"/>
        </w:rPr>
        <w:t>and (b) an adjustment (which may be a positive or negative value or zero), in each</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case,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that has been selected by the Canadian Administrative Agent and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Parent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Borrower</w:t>
      </w:r>
      <w:r>
        <w:rPr>
          <w:rFonts w:ascii="Times New Roman" w:cs="Times New Roman" w:eastAsia="Times New Roman" w:hAnsi="Times New Roman"/>
          <w:sz w:val="21"/>
          <w:szCs w:val="21"/>
          <w:u w:val="single" w:color="auto"/>
          <w:color w:val="0000FF"/>
          <w:highlight w:val="lightGray"/>
        </w:rPr>
        <w:t>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as the replacement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for such Canadian Available Tenor of such Canadian Benchmark</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giving due consideration to</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evolving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or then-prevailing market convention, including any applicable</w:t>
      </w:r>
      <w:r>
        <w:rPr>
          <w:rFonts w:ascii="Times New Roman" w:cs="Times New Roman" w:eastAsia="Times New Roman" w:hAnsi="Times New Roman"/>
          <w:sz w:val="21"/>
          <w:szCs w:val="21"/>
          <w:u w:val="single" w:color="auto"/>
          <w:color w:val="0000FF"/>
          <w:highlight w:val="lightGray"/>
        </w:rPr>
        <w:t>selection 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recommendation</w:t>
      </w:r>
      <w:r>
        <w:rPr>
          <w:rFonts w:ascii="Times New Roman" w:cs="Times New Roman" w:eastAsia="Times New Roman" w:hAnsi="Times New Roman"/>
          <w:sz w:val="21"/>
          <w:szCs w:val="21"/>
          <w:color w:val="FF0000"/>
          <w:strike w:val="1"/>
        </w:rPr>
        <w:t>s made</w:t>
      </w:r>
      <w:r>
        <w:rPr>
          <w:rFonts w:ascii="Times New Roman" w:cs="Times New Roman" w:eastAsia="Times New Roman" w:hAnsi="Times New Roman"/>
          <w:sz w:val="21"/>
          <w:szCs w:val="21"/>
          <w:u w:val="single" w:color="auto"/>
          <w:color w:val="0000FF"/>
          <w:highlight w:val="lightGray"/>
        </w:rPr>
        <w:t>of 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replacement benchmark rate or the mechanism for determining such a rate</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by the Relevant Canadian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Governmental Body</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or (B) any evolving or then-prevailing market convention for determining a benchmark</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rate as a replacement to the then-current Canadian Benchmark</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for Canadian</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d</w:t>
      </w:r>
      <w:r>
        <w:rPr>
          <w:rFonts w:ascii="Times New Roman" w:cs="Times New Roman" w:eastAsia="Times New Roman" w:hAnsi="Times New Roman"/>
          <w:sz w:val="21"/>
          <w:szCs w:val="21"/>
          <w:u w:val="single" w:color="auto"/>
          <w:color w:val="0000FF"/>
          <w:highlight w:val="lightGray"/>
        </w:rPr>
        <w:t>D</w:t>
      </w:r>
      <w:r>
        <w:rPr>
          <w:rFonts w:ascii="Times New Roman" w:cs="Times New Roman" w:eastAsia="Times New Roman" w:hAnsi="Times New Roman"/>
          <w:sz w:val="21"/>
          <w:szCs w:val="21"/>
          <w:color w:val="000000"/>
        </w:rPr>
        <w:t>ollar-denominated syndicated</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credit facilities </w:t>
      </w:r>
      <w:r>
        <w:rPr>
          <w:rFonts w:ascii="Times New Roman" w:cs="Times New Roman" w:eastAsia="Times New Roman" w:hAnsi="Times New Roman"/>
          <w:sz w:val="21"/>
          <w:szCs w:val="21"/>
          <w:color w:val="FF0000"/>
          <w:strike w:val="1"/>
        </w:rPr>
        <w:t>at such time</w:t>
      </w:r>
      <w:r>
        <w:rPr>
          <w:rFonts w:ascii="Times New Roman" w:cs="Times New Roman" w:eastAsia="Times New Roman" w:hAnsi="Times New Roman"/>
          <w:sz w:val="21"/>
          <w:szCs w:val="21"/>
          <w:u w:val="single" w:color="auto"/>
          <w:color w:val="0000FF"/>
          <w:highlight w:val="lightGray"/>
        </w:rPr>
        <w:t>and (ii) the related Canadian Benchmark Replacement Adjustment</w:t>
      </w:r>
      <w:r>
        <w:rPr>
          <w:rFonts w:ascii="Times New Roman" w:cs="Times New Roman" w:eastAsia="Times New Roman" w:hAnsi="Times New Roman"/>
          <w:sz w:val="21"/>
          <w:szCs w:val="21"/>
          <w:color w:val="000000"/>
        </w:rPr>
        <w:t>;</w:t>
      </w:r>
    </w:p>
    <w:p>
      <w:pPr>
        <w:sectPr>
          <w:pgSz w:w="11900" w:h="16838" w:orient="portrait"/>
          <w:cols w:equalWidth="0" w:num="1">
            <w:col w:w="11140"/>
          </w:cols>
          <w:pgMar w:left="420" w:top="1440" w:right="339" w:bottom="1440" w:gutter="0" w:footer="0" w:header="0"/>
        </w:sectPr>
      </w:pPr>
    </w:p>
    <w:bookmarkStart w:id="169" w:name="page170"/>
    <w:bookmarkEnd w:id="169"/>
    <w:p>
      <w:pPr>
        <w:spacing w:after="0" w:line="71" w:lineRule="exact"/>
        <w:rPr>
          <w:sz w:val="20"/>
          <w:szCs w:val="20"/>
          <w:color w:val="auto"/>
        </w:rPr>
      </w:pPr>
    </w:p>
    <w:p>
      <w:pPr>
        <w:jc w:val="both"/>
        <w:ind w:left="540"/>
        <w:spacing w:after="0" w:line="268"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Canadian Benchmark Replacement as determined pursuant to clause (</w:t>
      </w:r>
      <w:r>
        <w:rPr>
          <w:rFonts w:ascii="Times New Roman" w:cs="Times New Roman" w:eastAsia="Times New Roman" w:hAnsi="Times New Roman"/>
          <w:sz w:val="21"/>
          <w:szCs w:val="21"/>
          <w:color w:val="FF0000"/>
          <w:strike w:val="1"/>
        </w:rPr>
        <w:t>1</w:t>
      </w:r>
      <w:r>
        <w:rPr>
          <w:rFonts w:ascii="Times New Roman" w:cs="Times New Roman" w:eastAsia="Times New Roman" w:hAnsi="Times New Roman"/>
          <w:sz w:val="21"/>
          <w:szCs w:val="21"/>
          <w:u w:val="single" w:color="auto"/>
          <w:color w:val="0000FF"/>
          <w:highlight w:val="lightGray"/>
        </w:rPr>
        <w:t>a</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color w:val="FF0000"/>
          <w:strike w:val="1"/>
        </w:rPr>
        <w:t>2</w:t>
      </w:r>
      <w:r>
        <w:rPr>
          <w:rFonts w:ascii="Times New Roman" w:cs="Times New Roman" w:eastAsia="Times New Roman" w:hAnsi="Times New Roman"/>
          <w:sz w:val="21"/>
          <w:szCs w:val="21"/>
          <w:u w:val="single" w:color="auto"/>
          <w:color w:val="0000FF"/>
          <w:highlight w:val="lightGray"/>
        </w:rPr>
        <w:t>b</w:t>
      </w:r>
      <w:r>
        <w:rPr>
          <w:rFonts w:ascii="Times New Roman" w:cs="Times New Roman" w:eastAsia="Times New Roman" w:hAnsi="Times New Roman"/>
          <w:sz w:val="21"/>
          <w:szCs w:val="21"/>
          <w:color w:val="auto"/>
        </w:rPr>
        <w:t>) above would be less than the Floor, the Canadian Benchmark Replacement will be deemed to be the Floor for the purposes of this Agreement and the other Loan Documents.</w:t>
      </w:r>
    </w:p>
    <w:p>
      <w:pPr>
        <w:spacing w:after="0" w:line="63" w:lineRule="exact"/>
        <w:rPr>
          <w:sz w:val="20"/>
          <w:szCs w:val="20"/>
          <w:color w:val="auto"/>
        </w:rPr>
      </w:pPr>
    </w:p>
    <w:p>
      <w:pPr>
        <w:jc w:val="both"/>
        <w:ind w:firstLine="626"/>
        <w:spacing w:after="0" w:line="265" w:lineRule="auto"/>
        <w:rPr>
          <w:sz w:val="20"/>
          <w:szCs w:val="20"/>
          <w:color w:val="auto"/>
        </w:rPr>
      </w:pP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b w:val="1"/>
          <w:bCs w:val="1"/>
          <w:i w:val="1"/>
          <w:iCs w:val="1"/>
          <w:u w:val="single" w:color="auto"/>
          <w:color w:val="0000FF"/>
          <w:highlight w:val="lightGray"/>
        </w:rPr>
        <w:t>Canadian Benchmark Replacement Adjustment</w:t>
      </w:r>
      <w:r>
        <w:rPr>
          <w:rFonts w:ascii="Times New Roman" w:cs="Times New Roman" w:eastAsia="Times New Roman" w:hAnsi="Times New Roman"/>
          <w:sz w:val="21"/>
          <w:szCs w:val="21"/>
          <w:u w:val="single" w:color="auto"/>
          <w:color w:val="0000FF"/>
          <w:highlight w:val="lightGray"/>
        </w:rPr>
        <w:t>” means, with respect to any replacement of the then-current Canadian Benchmark with an Unadjusted Canadian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Canadian Benchmark with the applicable Unadjusted Canadian Benchmark Replacement by the Relevant Canadian Governmental Body or (b) any evolving or then-prevailing market convention for determining a spread adjustment, or method for calculating or determining such spread adjustment, for the replacement of such Canadian Benchmark with the applicable Unadjusted Canadian Benchmark Replacement for Canadian Dollar-denominated syndicated credit facilities at such time.</w:t>
      </w:r>
    </w:p>
    <w:p>
      <w:pPr>
        <w:spacing w:after="0" w:line="96" w:lineRule="exact"/>
        <w:rPr>
          <w:sz w:val="20"/>
          <w:szCs w:val="20"/>
          <w:color w:val="auto"/>
        </w:rPr>
      </w:pPr>
    </w:p>
    <w:p>
      <w:pPr>
        <w:jc w:val="both"/>
        <w:ind w:firstLine="626"/>
        <w:spacing w:after="0" w:line="280" w:lineRule="auto"/>
        <w:rPr>
          <w:sz w:val="20"/>
          <w:szCs w:val="20"/>
          <w:color w:val="auto"/>
        </w:rPr>
      </w:pPr>
      <w:r>
        <w:rPr>
          <w:rFonts w:ascii="Times New Roman" w:cs="Times New Roman" w:eastAsia="Times New Roman" w:hAnsi="Times New Roman"/>
          <w:sz w:val="20"/>
          <w:szCs w:val="20"/>
          <w:u w:val="single" w:color="auto"/>
          <w:color w:val="0000FF"/>
          <w:highlight w:val="lightGray"/>
        </w:rPr>
        <w:t>“</w:t>
      </w:r>
      <w:r>
        <w:rPr>
          <w:rFonts w:ascii="Times New Roman" w:cs="Times New Roman" w:eastAsia="Times New Roman" w:hAnsi="Times New Roman"/>
          <w:sz w:val="20"/>
          <w:szCs w:val="20"/>
          <w:b w:val="1"/>
          <w:bCs w:val="1"/>
          <w:i w:val="1"/>
          <w:iCs w:val="1"/>
          <w:u w:val="single" w:color="auto"/>
          <w:color w:val="0000FF"/>
          <w:highlight w:val="lightGray"/>
        </w:rPr>
        <w:t>Canadian Benchmark Replacement Date</w:t>
      </w:r>
      <w:r>
        <w:rPr>
          <w:rFonts w:ascii="Times New Roman" w:cs="Times New Roman" w:eastAsia="Times New Roman" w:hAnsi="Times New Roman"/>
          <w:sz w:val="20"/>
          <w:szCs w:val="20"/>
          <w:u w:val="single" w:color="auto"/>
          <w:color w:val="0000FF"/>
          <w:highlight w:val="lightGray"/>
        </w:rPr>
        <w:t>” means a date and time determined by the Canadian Administrative Agent, which date shall be no later than the earliest to occur of the following events with respect to the then-current Canadian Benchmark:</w:t>
      </w:r>
    </w:p>
    <w:p>
      <w:pPr>
        <w:spacing w:after="0" w:line="1" w:lineRule="exact"/>
        <w:rPr>
          <w:sz w:val="20"/>
          <w:szCs w:val="20"/>
          <w:color w:val="auto"/>
        </w:rPr>
      </w:pPr>
    </w:p>
    <w:p>
      <w:pPr>
        <w:jc w:val="both"/>
        <w:ind w:firstLine="9"/>
        <w:spacing w:after="0" w:line="263" w:lineRule="auto"/>
        <w:tabs>
          <w:tab w:leader="none" w:pos="284" w:val="left"/>
        </w:tabs>
        <w:numPr>
          <w:ilvl w:val="0"/>
          <w:numId w:val="191"/>
        </w:numPr>
        <w:rPr>
          <w:rFonts w:ascii="Times New Roman" w:cs="Times New Roman" w:eastAsia="Times New Roman" w:hAnsi="Times New Roman"/>
          <w:sz w:val="21"/>
          <w:szCs w:val="21"/>
          <w:u w:val="single" w:color="auto"/>
          <w:color w:val="0000FF"/>
          <w:highlight w:val="lightGray"/>
        </w:rPr>
      </w:pPr>
      <w:r>
        <w:rPr>
          <w:rFonts w:ascii="Times New Roman" w:cs="Times New Roman" w:eastAsia="Times New Roman" w:hAnsi="Times New Roman"/>
          <w:sz w:val="21"/>
          <w:szCs w:val="21"/>
          <w:u w:val="single" w:color="auto"/>
          <w:color w:val="0000FF"/>
          <w:highlight w:val="lightGray"/>
        </w:rPr>
        <w:t>in the case of clause (a) or (b) of the definition of “Canadian Benchmark Transition Event,” the later of (i) the date of the public statement or publication of information referenced therein and (ii) the date on which the administrator of such Canadian Benchmark (or the published component used in the calculation thereof) permanently or indefinitely ceases to provide all Canadian Available Tenors of such Canadian Benchmark (or such component thereof) or (b) in the case of clause (c) of the definition of “Canadian Benchmark Transition Event,” the first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Available Tenor of such Canadian Benchmark (or such component thereof) continues to be provided on such date. For the avoidance of doubt, the “Canadian Benchmark Replacement Date” will be deemed to have occurred in the case of clause (a) or (b) above with respect to any Canadian Benchmark upon the occurrence of the applicable event or events set forth therein with respect to all then-current Canadian Available Tenors of such Canadian Benchmark (or the published component used in the calculation thereof).</w:t>
      </w:r>
    </w:p>
    <w:p>
      <w:pPr>
        <w:spacing w:after="0" w:line="87" w:lineRule="exact"/>
        <w:rPr>
          <w:sz w:val="20"/>
          <w:szCs w:val="20"/>
          <w:color w:val="auto"/>
        </w:rPr>
      </w:pPr>
    </w:p>
    <w:p>
      <w:pPr>
        <w:jc w:val="both"/>
        <w:ind w:firstLine="711"/>
        <w:spacing w:after="0" w:line="277" w:lineRule="auto"/>
        <w:rPr>
          <w:sz w:val="20"/>
          <w:szCs w:val="20"/>
          <w:color w:val="auto"/>
        </w:rPr>
      </w:pP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b w:val="1"/>
          <w:bCs w:val="1"/>
          <w:i w:val="1"/>
          <w:iCs w:val="1"/>
          <w:u w:val="single" w:color="auto"/>
          <w:color w:val="0000FF"/>
          <w:highlight w:val="lightGray"/>
        </w:rPr>
        <w:t>Canadian Benchmark Transition Event</w:t>
      </w:r>
      <w:r>
        <w:rPr>
          <w:rFonts w:ascii="Times New Roman" w:cs="Times New Roman" w:eastAsia="Times New Roman" w:hAnsi="Times New Roman"/>
          <w:sz w:val="21"/>
          <w:szCs w:val="21"/>
          <w:u w:val="single" w:color="auto"/>
          <w:color w:val="0000FF"/>
          <w:highlight w:val="lightGray"/>
        </w:rPr>
        <w:t>” the occurrence of one or more of the following events with respect to the then-current Canadian Benchmark: (a) a public statement or publication of information by or on behalf of the administrator of such Canadian Benchmark (or the published component used in the calculation thereof) announcing that such</w:t>
      </w:r>
    </w:p>
    <w:p>
      <w:pPr>
        <w:sectPr>
          <w:pgSz w:w="11900" w:h="16838" w:orient="portrait"/>
          <w:cols w:equalWidth="0" w:num="1">
            <w:col w:w="10980"/>
          </w:cols>
          <w:pgMar w:left="420" w:top="1440" w:right="499" w:bottom="1440" w:gutter="0" w:footer="0" w:header="0"/>
        </w:sectPr>
      </w:pPr>
    </w:p>
    <w:bookmarkStart w:id="170" w:name="page171"/>
    <w:bookmarkEnd w:id="170"/>
    <w:p>
      <w:pPr>
        <w:spacing w:after="0" w:line="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u w:val="single" w:color="auto"/>
          <w:color w:val="0000FF"/>
          <w:highlight w:val="lightGray"/>
        </w:rPr>
        <w:t>administrator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(b) a public statement or publication of information by the regulatory supervisor for the administrator of such Canadian Benchmark (or the published component used in the calculation thereof), the Bank of Canada, an insolvency official with jurisdiction over the administrator for such Canadian Benchmark (or such component), a resolution authority with jurisdiction over the administrator for such Canadian Benchmark (or such component) or a court or an entity with similar insolvency or resolution authority over the administrator for such Canadian Benchmark (or such component), which states that the administrator of such Canadian Benchmark (or such component)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or (c) a public statement or publication of information by the regulatory supervisor for the administrator of such Canadian Benchmark (or the published component used in the calculation thereof) announcing that all Canadian Available Tenors of such Canadian Benchmark (or such component thereof) are not, or as of a specified future date will not be, representative. For the avoidance of doubt, a “Canadian Benchmark Transition Event” will be deemed to have occurred with respect to any Canadian Benchmark if a public statement or publication of information set forth above has occurred with respect to each then-current Canadian Available Tenor of such Canadian Benchmark (or the published component used in the calculation thereof).</w:t>
      </w:r>
    </w:p>
    <w:p>
      <w:pPr>
        <w:spacing w:after="0" w:line="42"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b w:val="1"/>
          <w:bCs w:val="1"/>
          <w:i w:val="1"/>
          <w:iCs w:val="1"/>
          <w:u w:val="single" w:color="auto"/>
          <w:color w:val="0000FF"/>
          <w:highlight w:val="lightGray"/>
        </w:rPr>
        <w:t>Canadian Benchmark Unavailability Period</w:t>
      </w:r>
      <w:r>
        <w:rPr>
          <w:rFonts w:ascii="Times New Roman" w:cs="Times New Roman" w:eastAsia="Times New Roman" w:hAnsi="Times New Roman"/>
          <w:sz w:val="21"/>
          <w:szCs w:val="21"/>
          <w:u w:val="single" w:color="auto"/>
          <w:color w:val="0000FF"/>
          <w:highlight w:val="lightGray"/>
        </w:rPr>
        <w:t>” means, the period (if any) (a) beginning at the time that a Canadian Benchmark Replacement Date has occurred if, at such time, no Canadian Benchmark Replacement has replaced the then-current Canadian Benchmark for all purposes hereunder and under any Loan Document in accordance with Section 2.27 and (b) ending at the time that a Canadian Benchmark Replacement has replaced the then-current Canadian Benchmark for all purposes hereunder and under any Loan Document in accordance with Section 2.27.</w:t>
      </w:r>
    </w:p>
    <w:p>
      <w:pPr>
        <w:spacing w:after="0" w:line="24" w:lineRule="exact"/>
        <w:rPr>
          <w:sz w:val="20"/>
          <w:szCs w:val="20"/>
          <w:color w:val="auto"/>
        </w:rPr>
      </w:pPr>
    </w:p>
    <w:p>
      <w:pPr>
        <w:jc w:val="both"/>
        <w:ind w:firstLine="62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FF0000"/>
          <w:strike w:val="1"/>
        </w:rPr>
        <w:t>Benchmark Replacement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Conforming Changes</w:t>
      </w:r>
      <w:r>
        <w:rPr>
          <w:rFonts w:ascii="Times New Roman" w:cs="Times New Roman" w:eastAsia="Times New Roman" w:hAnsi="Times New Roman"/>
          <w:sz w:val="21"/>
          <w:szCs w:val="21"/>
          <w:color w:val="auto"/>
        </w:rPr>
        <w:t xml:space="preserve">” means, with respect to </w:t>
      </w:r>
      <w:r>
        <w:rPr>
          <w:rFonts w:ascii="Times New Roman" w:cs="Times New Roman" w:eastAsia="Times New Roman" w:hAnsi="Times New Roman"/>
          <w:sz w:val="21"/>
          <w:szCs w:val="21"/>
          <w:u w:val="single" w:color="auto"/>
          <w:color w:val="0000FF"/>
          <w:highlight w:val="lightGray"/>
        </w:rPr>
        <w:t>the use or administration of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Canadian Benchmark or the use, administration, adoption or implementation of</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any Canadian Benchmark Replacement, any</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technical, administrative or operational changes (including changes to the definition of “Canadian Prime Rate,” the definition of “Business Day,” the definition of “Interest Period</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the</w:t>
      </w:r>
      <w:r>
        <w:rPr>
          <w:rFonts w:ascii="Times New Roman" w:cs="Times New Roman" w:eastAsia="Times New Roman" w:hAnsi="Times New Roman"/>
          <w:sz w:val="21"/>
          <w:szCs w:val="21"/>
          <w:u w:val="single" w:color="auto"/>
          <w:color w:val="0000FF"/>
          <w:highlight w:val="lightGray"/>
        </w:rPr>
        <w:t>or any similar or analogous</w:t>
      </w:r>
      <w:r>
        <w:rPr>
          <w:rFonts w:ascii="Times New Roman" w:cs="Times New Roman" w:eastAsia="Times New Roman" w:hAnsi="Times New Roman"/>
          <w:sz w:val="21"/>
          <w:szCs w:val="21"/>
          <w:color w:val="000000"/>
        </w:rPr>
        <w:t xml:space="preserve"> definition </w:t>
      </w:r>
      <w:r>
        <w:rPr>
          <w:rFonts w:ascii="Times New Roman" w:cs="Times New Roman" w:eastAsia="Times New Roman" w:hAnsi="Times New Roman"/>
          <w:sz w:val="21"/>
          <w:szCs w:val="21"/>
          <w:color w:val="FF0000"/>
          <w:strike w:val="1"/>
        </w:rPr>
        <w:t>of “Bankers’ Acceptance,”</w:t>
      </w:r>
      <w:r>
        <w:rPr>
          <w:rFonts w:ascii="Times New Roman" w:cs="Times New Roman" w:eastAsia="Times New Roman" w:hAnsi="Times New Roman"/>
          <w:sz w:val="21"/>
          <w:szCs w:val="21"/>
          <w:u w:val="single" w:color="auto"/>
          <w:color w:val="0000FF"/>
          <w:highlight w:val="lightGray"/>
        </w:rPr>
        <w:t>(or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addition of a concept of “interest period”),</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timing and frequency of determining rates and making payments of interest, timing of</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b</w:t>
      </w:r>
      <w:r>
        <w:rPr>
          <w:rFonts w:ascii="Times New Roman" w:cs="Times New Roman" w:eastAsia="Times New Roman" w:hAnsi="Times New Roman"/>
          <w:sz w:val="21"/>
          <w:szCs w:val="21"/>
          <w:u w:val="single" w:color="auto"/>
          <w:color w:val="0000FF"/>
          <w:highlight w:val="lightGray"/>
        </w:rPr>
        <w:t>B</w:t>
      </w:r>
      <w:r>
        <w:rPr>
          <w:rFonts w:ascii="Times New Roman" w:cs="Times New Roman" w:eastAsia="Times New Roman" w:hAnsi="Times New Roman"/>
          <w:sz w:val="21"/>
          <w:szCs w:val="21"/>
          <w:color w:val="000000"/>
        </w:rPr>
        <w:t>orrowing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r</w:t>
      </w:r>
      <w:r>
        <w:rPr>
          <w:rFonts w:ascii="Times New Roman" w:cs="Times New Roman" w:eastAsia="Times New Roman" w:hAnsi="Times New Roman"/>
          <w:sz w:val="21"/>
          <w:szCs w:val="21"/>
          <w:u w:val="single" w:color="auto"/>
          <w:color w:val="0000FF"/>
          <w:highlight w:val="lightGray"/>
        </w:rPr>
        <w:t>R</w:t>
      </w:r>
      <w:r>
        <w:rPr>
          <w:rFonts w:ascii="Times New Roman" w:cs="Times New Roman" w:eastAsia="Times New Roman" w:hAnsi="Times New Roman"/>
          <w:sz w:val="21"/>
          <w:szCs w:val="21"/>
          <w:color w:val="000000"/>
        </w:rPr>
        <w:t>equests or prepayment, conversion or continuation notices, the applicability and length of lookback periods,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applicability of </w:t>
      </w:r>
      <w:r>
        <w:rPr>
          <w:rFonts w:ascii="Times New Roman" w:cs="Times New Roman" w:eastAsia="Times New Roman" w:hAnsi="Times New Roman"/>
          <w:sz w:val="21"/>
          <w:szCs w:val="21"/>
          <w:color w:val="FF0000"/>
          <w:strike w:val="1"/>
        </w:rPr>
        <w:t>breakage provisions,</w:t>
      </w:r>
      <w:r>
        <w:rPr>
          <w:rFonts w:ascii="Times New Roman" w:cs="Times New Roman" w:eastAsia="Times New Roman" w:hAnsi="Times New Roman"/>
          <w:sz w:val="21"/>
          <w:szCs w:val="21"/>
          <w:u w:val="single" w:color="auto"/>
          <w:color w:val="0000FF"/>
          <w:highlight w:val="lightGray"/>
        </w:rPr>
        <w:t>Section 2.15</w:t>
      </w:r>
      <w:r>
        <w:rPr>
          <w:rFonts w:ascii="Times New Roman" w:cs="Times New Roman" w:eastAsia="Times New Roman" w:hAnsi="Times New Roman"/>
          <w:sz w:val="21"/>
          <w:szCs w:val="21"/>
          <w:color w:val="000000"/>
        </w:rPr>
        <w:t xml:space="preserve"> and other technical, administrative or operational matters</w:t>
      </w:r>
      <w:r>
        <w:rPr>
          <w:rFonts w:ascii="Times New Roman" w:cs="Times New Roman" w:eastAsia="Times New Roman" w:hAnsi="Times New Roman"/>
          <w:sz w:val="21"/>
          <w:szCs w:val="21"/>
          <w:color w:val="FF0000"/>
          <w:strike w:val="1"/>
        </w:rPr>
        <w:t>, including with respect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to the obligation</w:t>
      </w:r>
    </w:p>
    <w:p>
      <w:pPr>
        <w:sectPr>
          <w:pgSz w:w="11900" w:h="16838" w:orient="portrait"/>
          <w:cols w:equalWidth="0" w:num="1">
            <w:col w:w="10980"/>
          </w:cols>
          <w:pgMar w:left="420" w:top="1440" w:right="499" w:bottom="1440" w:gutter="0" w:footer="0" w:header="0"/>
        </w:sectPr>
      </w:pPr>
    </w:p>
    <w:bookmarkStart w:id="171" w:name="page172"/>
    <w:bookmarkEnd w:id="171"/>
    <w:p>
      <w:pPr>
        <w:jc w:val="both"/>
        <w:spacing w:after="0" w:line="265" w:lineRule="auto"/>
        <w:rPr>
          <w:sz w:val="20"/>
          <w:szCs w:val="20"/>
          <w:color w:val="auto"/>
        </w:rPr>
      </w:pPr>
      <w:r>
        <w:rPr>
          <w:rFonts w:ascii="Times New Roman" w:cs="Times New Roman" w:eastAsia="Times New Roman" w:hAnsi="Times New Roman"/>
          <w:sz w:val="21"/>
          <w:szCs w:val="21"/>
          <w:color w:val="FF0000"/>
          <w:strike w:val="1"/>
        </w:rPr>
        <w:t>of the Canadian Administrative Agent and the Canadian Lenders to create, maintain or issue Bankers’ Acceptances</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that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Canadian Administrative Agent decides may be appropriate to reflect the adoption and implementation of </w:t>
      </w:r>
      <w:r>
        <w:rPr>
          <w:rFonts w:ascii="Times New Roman" w:cs="Times New Roman" w:eastAsia="Times New Roman" w:hAnsi="Times New Roman"/>
          <w:sz w:val="21"/>
          <w:szCs w:val="21"/>
          <w:color w:val="FF0000"/>
          <w:strike w:val="1"/>
        </w:rPr>
        <w:t>such Canadian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Benchmark Replacement and</w:t>
      </w:r>
      <w:r>
        <w:rPr>
          <w:rFonts w:ascii="Times New Roman" w:cs="Times New Roman" w:eastAsia="Times New Roman" w:hAnsi="Times New Roman"/>
          <w:sz w:val="21"/>
          <w:szCs w:val="21"/>
          <w:u w:val="single" w:color="auto"/>
          <w:color w:val="0000FF"/>
          <w:highlight w:val="lightGray"/>
        </w:rPr>
        <w:t>any such rate 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to permit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highlight w:val="lightGray"/>
        </w:rPr>
        <w:t>use 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administration thereof by the Canadian Administrative Agent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in a manner substantially consistent with market practice (or, if the </w:t>
      </w:r>
      <w:r>
        <w:rPr>
          <w:rFonts w:ascii="Times New Roman" w:cs="Times New Roman" w:eastAsia="Times New Roman" w:hAnsi="Times New Roman"/>
          <w:sz w:val="21"/>
          <w:szCs w:val="21"/>
          <w:color w:val="FF0000"/>
          <w:strike w:val="1"/>
        </w:rPr>
        <w:t>Canadian</w:t>
      </w:r>
      <w:r>
        <w:rPr>
          <w:rFonts w:ascii="Times New Roman" w:cs="Times New Roman" w:eastAsia="Times New Roman" w:hAnsi="Times New Roman"/>
          <w:sz w:val="21"/>
          <w:szCs w:val="21"/>
          <w:color w:val="000000"/>
        </w:rPr>
        <w:t xml:space="preserve"> Administrative Agent decides that adoption of any portion of such market practice is not administratively feasible or if the Canadian Administrative Agent determines that no market practice for the administration of </w:t>
      </w:r>
      <w:r>
        <w:rPr>
          <w:rFonts w:ascii="Times New Roman" w:cs="Times New Roman" w:eastAsia="Times New Roman" w:hAnsi="Times New Roman"/>
          <w:sz w:val="21"/>
          <w:szCs w:val="21"/>
          <w:color w:val="FF0000"/>
          <w:strike w:val="1"/>
        </w:rPr>
        <w:t>such Canadian Benchmark Replacement</w:t>
      </w:r>
      <w:r>
        <w:rPr>
          <w:rFonts w:ascii="Times New Roman" w:cs="Times New Roman" w:eastAsia="Times New Roman" w:hAnsi="Times New Roman"/>
          <w:sz w:val="21"/>
          <w:szCs w:val="21"/>
          <w:u w:val="single" w:color="auto"/>
          <w:color w:val="0000FF"/>
          <w:highlight w:val="lightGray"/>
        </w:rPr>
        <w:t>any such rate</w:t>
      </w:r>
      <w:r>
        <w:rPr>
          <w:rFonts w:ascii="Times New Roman" w:cs="Times New Roman" w:eastAsia="Times New Roman" w:hAnsi="Times New Roman"/>
          <w:sz w:val="21"/>
          <w:szCs w:val="21"/>
          <w:color w:val="000000"/>
        </w:rPr>
        <w:t xml:space="preserve"> exists, in such other manner of administration as the Canadian Administrative Agent decides is reasonably necessary in connection with the administration of this Agreement and the other Loan Documents). </w:t>
      </w:r>
      <w:r>
        <w:rPr>
          <w:rFonts w:ascii="Times New Roman" w:cs="Times New Roman" w:eastAsia="Times New Roman" w:hAnsi="Times New Roman"/>
          <w:sz w:val="21"/>
          <w:szCs w:val="21"/>
          <w:color w:val="FF0000"/>
          <w:strike w:val="1"/>
        </w:rPr>
        <w:t>Without limiting the foregoing, Canadian Benchmark Replacement Conforming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Changes made in connection with the replacement of CDOR with a Canadian Benchmark Replacement may include the implementation of mechanics for borrowing loans that bear interest by reference to the Canadian Benchmark Replacement, to replace the creation or purchase of drafts or Bankers’ Acceptances.</w:t>
      </w:r>
    </w:p>
    <w:p>
      <w:pPr>
        <w:spacing w:after="0" w:line="82" w:lineRule="exact"/>
        <w:rPr>
          <w:sz w:val="20"/>
          <w:szCs w:val="20"/>
          <w:color w:val="auto"/>
        </w:rPr>
      </w:pPr>
    </w:p>
    <w:p>
      <w:pPr>
        <w:jc w:val="both"/>
        <w:ind w:firstLine="711"/>
        <w:spacing w:after="0" w:line="264"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i w:val="1"/>
          <w:iCs w:val="1"/>
          <w:color w:val="FF0000"/>
          <w:strike w:val="1"/>
        </w:rPr>
        <w:t>Canadian Benchmark Transition Event</w:t>
      </w:r>
      <w:r>
        <w:rPr>
          <w:rFonts w:ascii="Times New Roman" w:cs="Times New Roman" w:eastAsia="Times New Roman" w:hAnsi="Times New Roman"/>
          <w:sz w:val="21"/>
          <w:szCs w:val="21"/>
          <w:color w:val="FF0000"/>
          <w:strike w:val="1"/>
        </w:rPr>
        <w:t xml:space="preserve">” means, with respect to any then-current Canadian Benchmark other than CDOR, the occurrence of a public statement or publication of information by or on behalf of the administrator of the then-current Canadian Benchmark, the regulatory supervisor for the administrator of such Canadian Benchmark, the Bank of Canada, an insolvency official with jurisdiction over the administrator for such Canadian Benchmark, a resolution authority with jurisdiction over the administrator for such Canadian Benchmark or a court or an entity with similar insolvency or resolution authority over the administrator for such Canadian Benchmark, announcing or stating that (a) such administrator has ceased or will cease on a specified date to provide all Canadian Available Tenors of such Canadian Benchmark, permanently or indefinitely,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FF0000"/>
          <w:strike w:val="1"/>
        </w:rPr>
        <w:t xml:space="preserve"> that, at the time of such statement or publication, there is no successor administrator that will continue to provide any Canadian Available Tenor of such Canadian Benchmark or (b) all Canadian Available Tenors of such Canadian Benchmark are or will no longer be representative of the underlying market and economic reality that such Canadian Benchmark is intended to measure and that representativeness will not be restored.</w:t>
      </w:r>
    </w:p>
    <w:p>
      <w:pPr>
        <w:spacing w:after="0" w:line="32" w:lineRule="exact"/>
        <w:rPr>
          <w:sz w:val="20"/>
          <w:szCs w:val="20"/>
          <w:color w:val="auto"/>
        </w:rPr>
      </w:pPr>
    </w:p>
    <w:p>
      <w:pPr>
        <w:jc w:val="both"/>
        <w:ind w:firstLine="626"/>
        <w:spacing w:after="0" w:line="285"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i w:val="1"/>
          <w:iCs w:val="1"/>
          <w:color w:val="FF0000"/>
          <w:strike w:val="1"/>
        </w:rPr>
        <w:t>CDOR</w:t>
      </w:r>
      <w:r>
        <w:rPr>
          <w:rFonts w:ascii="Times New Roman" w:cs="Times New Roman" w:eastAsia="Times New Roman" w:hAnsi="Times New Roman"/>
          <w:sz w:val="21"/>
          <w:szCs w:val="21"/>
          <w:color w:val="FF0000"/>
          <w:strike w:val="1"/>
        </w:rPr>
        <w:t>” means the Canadian dollar rate for bankers’ acceptance borrowings known as the Canadian Dollar Offered Rate provided by RBSL, as the administrator of the benchmark (or a successor administrator).</w:t>
      </w:r>
    </w:p>
    <w:p>
      <w:pPr>
        <w:spacing w:after="0" w:line="1" w:lineRule="exact"/>
        <w:rPr>
          <w:sz w:val="20"/>
          <w:szCs w:val="20"/>
          <w:color w:val="auto"/>
        </w:rPr>
      </w:pPr>
    </w:p>
    <w:p>
      <w:pPr>
        <w:jc w:val="both"/>
        <w:ind w:firstLine="626"/>
        <w:spacing w:after="0" w:line="292"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i w:val="1"/>
          <w:iCs w:val="1"/>
          <w:color w:val="FF0000"/>
          <w:strike w:val="1"/>
        </w:rPr>
        <w:t>CORRA</w:t>
      </w:r>
      <w:r>
        <w:rPr>
          <w:rFonts w:ascii="Times New Roman" w:cs="Times New Roman" w:eastAsia="Times New Roman" w:hAnsi="Times New Roman"/>
          <w:sz w:val="21"/>
          <w:szCs w:val="21"/>
          <w:color w:val="FF0000"/>
          <w:strike w:val="1"/>
        </w:rPr>
        <w:t>” means the Canadian Overnight Repo Rate Average administered and published by the Bank of Canada (or any successor administrator).</w:t>
      </w:r>
    </w:p>
    <w:p>
      <w:pPr>
        <w:jc w:val="both"/>
        <w:ind w:firstLine="62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Daily Compounded CORRA</w:t>
      </w:r>
      <w:r>
        <w:rPr>
          <w:rFonts w:ascii="Times New Roman" w:cs="Times New Roman" w:eastAsia="Times New Roman" w:hAnsi="Times New Roman"/>
          <w:sz w:val="21"/>
          <w:szCs w:val="21"/>
          <w:color w:val="auto"/>
        </w:rPr>
        <w:t xml:space="preserve">” means, for any </w:t>
      </w:r>
      <w:r>
        <w:rPr>
          <w:rFonts w:ascii="Times New Roman" w:cs="Times New Roman" w:eastAsia="Times New Roman" w:hAnsi="Times New Roman"/>
          <w:sz w:val="21"/>
          <w:szCs w:val="21"/>
          <w:color w:val="FF0000"/>
          <w:strike w:val="1"/>
        </w:rPr>
        <w:t>Business D</w:t>
      </w:r>
      <w:r>
        <w:rPr>
          <w:rFonts w:ascii="Times New Roman" w:cs="Times New Roman" w:eastAsia="Times New Roman" w:hAnsi="Times New Roman"/>
          <w:sz w:val="21"/>
          <w:szCs w:val="21"/>
          <w:u w:val="single" w:color="auto"/>
          <w:color w:val="0000FF"/>
          <w:highlight w:val="lightGray"/>
        </w:rPr>
        <w:t>d</w:t>
      </w:r>
      <w:r>
        <w:rPr>
          <w:rFonts w:ascii="Times New Roman" w:cs="Times New Roman" w:eastAsia="Times New Roman" w:hAnsi="Times New Roman"/>
          <w:sz w:val="21"/>
          <w:szCs w:val="21"/>
          <w:color w:val="auto"/>
        </w:rPr>
        <w:t xml:space="preserve">ay </w:t>
      </w:r>
      <w:r>
        <w:rPr>
          <w:rFonts w:ascii="Times New Roman" w:cs="Times New Roman" w:eastAsia="Times New Roman" w:hAnsi="Times New Roman"/>
          <w:sz w:val="21"/>
          <w:szCs w:val="21"/>
          <w:color w:val="FF0000"/>
        </w:rPr>
        <w:t>in an interest payment period</w:t>
      </w:r>
      <w:r>
        <w:rPr>
          <w:rFonts w:ascii="Times New Roman" w:cs="Times New Roman" w:eastAsia="Times New Roman" w:hAnsi="Times New Roman"/>
          <w:sz w:val="21"/>
          <w:szCs w:val="21"/>
          <w:color w:val="auto"/>
        </w:rPr>
        <w:t xml:space="preserve">, CORRA with interest accruing on a compounded daily basis, with the methodology and conventions for this rate (which will include compounding in arrears with a lookback </w:t>
      </w:r>
      <w:r>
        <w:rPr>
          <w:rFonts w:ascii="Times New Roman" w:cs="Times New Roman" w:eastAsia="Times New Roman" w:hAnsi="Times New Roman"/>
          <w:sz w:val="21"/>
          <w:szCs w:val="21"/>
          <w:color w:val="0000FF"/>
        </w:rPr>
        <w:t>of five Business Days</w:t>
      </w:r>
      <w:r>
        <w:rPr>
          <w:rFonts w:ascii="Times New Roman" w:cs="Times New Roman" w:eastAsia="Times New Roman" w:hAnsi="Times New Roman"/>
          <w:sz w:val="21"/>
          <w:szCs w:val="21"/>
          <w:color w:val="auto"/>
        </w:rPr>
        <w:t>) being established by the Canadian Administrative Agent in accordance with the methodology and conventions for this rate selected or recommended by the Relevant Canadian Governmental Body for determining compounded CORRA for business loans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provided that if the Canadian Administrative Agent decides that any such convention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-935990</wp:posOffset>
            </wp:positionV>
            <wp:extent cx="17392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739265" cy="8255"/>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-678815</wp:posOffset>
            </wp:positionV>
            <wp:extent cx="1247140" cy="140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47140" cy="140970"/>
                    </a:xfrm>
                    <a:prstGeom prst="rect">
                      <a:avLst/>
                    </a:prstGeom>
                    <a:noFill/>
                  </pic:spPr>
                </pic:pic>
              </a:graphicData>
            </a:graphic>
          </wp:anchor>
        </w:drawing>
      </w:r>
    </w:p>
    <w:p>
      <w:pPr>
        <w:sectPr>
          <w:pgSz w:w="11900" w:h="16838" w:orient="portrait"/>
          <w:cols w:equalWidth="0" w:num="1">
            <w:col w:w="10980"/>
          </w:cols>
          <w:pgMar w:left="420" w:top="1432" w:right="499" w:bottom="1440" w:gutter="0" w:footer="0" w:header="0"/>
        </w:sectPr>
      </w:pPr>
    </w:p>
    <w:bookmarkStart w:id="172" w:name="page173"/>
    <w:bookmarkEnd w:id="172"/>
    <w:p>
      <w:pPr>
        <w:jc w:val="both"/>
        <w:spacing w:after="0" w:line="274" w:lineRule="auto"/>
        <w:rPr>
          <w:sz w:val="20"/>
          <w:szCs w:val="20"/>
          <w:color w:val="auto"/>
        </w:rPr>
      </w:pPr>
      <w:r>
        <w:rPr>
          <w:rFonts w:ascii="Times New Roman" w:cs="Times New Roman" w:eastAsia="Times New Roman" w:hAnsi="Times New Roman"/>
          <w:sz w:val="21"/>
          <w:szCs w:val="21"/>
          <w:color w:val="auto"/>
        </w:rPr>
        <w:t xml:space="preserve">administratively feasible for the Canadian Administrative Agent, then the Canadian Administrative Agent may establish another convention in its reasonable discretion; and provided that if the administrator has not provided or published CORRA and a Canadian Benchmark </w:t>
      </w:r>
      <w:r>
        <w:rPr>
          <w:rFonts w:ascii="Times New Roman" w:cs="Times New Roman" w:eastAsia="Times New Roman" w:hAnsi="Times New Roman"/>
          <w:sz w:val="21"/>
          <w:szCs w:val="21"/>
          <w:color w:val="FF0000"/>
          <w:strike w:val="1"/>
        </w:rPr>
        <w:t>Transition Event</w:t>
      </w:r>
      <w:r>
        <w:rPr>
          <w:rFonts w:ascii="Times New Roman" w:cs="Times New Roman" w:eastAsia="Times New Roman" w:hAnsi="Times New Roman"/>
          <w:sz w:val="21"/>
          <w:szCs w:val="21"/>
          <w:u w:val="single" w:color="auto"/>
          <w:color w:val="0000FF"/>
          <w:highlight w:val="lightGray"/>
        </w:rPr>
        <w:t>Replacement Date</w:t>
      </w:r>
      <w:r>
        <w:rPr>
          <w:rFonts w:ascii="Times New Roman" w:cs="Times New Roman" w:eastAsia="Times New Roman" w:hAnsi="Times New Roman"/>
          <w:sz w:val="21"/>
          <w:szCs w:val="21"/>
          <w:color w:val="auto"/>
        </w:rPr>
        <w:t xml:space="preserve"> with respect to CORRA has not occurred, then, in respect of any day for which CORRA is required, references to CORRA will be deemed to be references to the last provided or published CORRA.</w:t>
      </w:r>
    </w:p>
    <w:p>
      <w:pPr>
        <w:spacing w:after="0" w:line="4" w:lineRule="exact"/>
        <w:rPr>
          <w:sz w:val="20"/>
          <w:szCs w:val="20"/>
          <w:color w:val="auto"/>
        </w:rPr>
      </w:pPr>
    </w:p>
    <w:p>
      <w:pPr>
        <w:jc w:val="both"/>
        <w:ind w:firstLine="626"/>
        <w:spacing w:after="0" w:line="281" w:lineRule="auto"/>
        <w:rPr>
          <w:sz w:val="20"/>
          <w:szCs w:val="20"/>
          <w:color w:val="auto"/>
        </w:rPr>
      </w:pP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b w:val="1"/>
          <w:bCs w:val="1"/>
          <w:i w:val="1"/>
          <w:iCs w:val="1"/>
          <w:u w:val="single" w:color="auto"/>
          <w:color w:val="0000FF"/>
          <w:highlight w:val="lightGray"/>
        </w:rPr>
        <w:t>Daily Compounded CORRA Adjustment</w:t>
      </w:r>
      <w:r>
        <w:rPr>
          <w:rFonts w:ascii="Times New Roman" w:cs="Times New Roman" w:eastAsia="Times New Roman" w:hAnsi="Times New Roman"/>
          <w:sz w:val="21"/>
          <w:szCs w:val="21"/>
          <w:u w:val="single" w:color="auto"/>
          <w:color w:val="0000FF"/>
          <w:highlight w:val="lightGray"/>
        </w:rPr>
        <w:t>” means, with respect to Daily Compounded CORRA, for an Interest Period of a duration of (a) one-month, a percentage equal to 0.29547% per annum (29.547 basis points), and (b) three-months, a percentage equal to 0.32138% per annum (32.138 basis points).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b w:val="1"/>
          <w:bCs w:val="1"/>
          <w:i w:val="1"/>
          <w:iCs w:val="1"/>
          <w:u w:val="single" w:color="auto"/>
          <w:color w:val="0000FF"/>
          <w:highlight w:val="lightGray"/>
        </w:rPr>
        <w:t>Daily Compounded CORRA Loan</w:t>
      </w:r>
      <w:r>
        <w:rPr>
          <w:rFonts w:ascii="Times New Roman" w:cs="Times New Roman" w:eastAsia="Times New Roman" w:hAnsi="Times New Roman"/>
          <w:sz w:val="21"/>
          <w:szCs w:val="21"/>
          <w:u w:val="single" w:color="auto"/>
          <w:color w:val="0000FF"/>
          <w:highlight w:val="lightGray"/>
        </w:rPr>
        <w:t>” means a Loan that bears interest at a rate based on Daily Compounded CORRA.</w:t>
      </w:r>
    </w:p>
    <w:p>
      <w:pPr>
        <w:spacing w:after="0" w:line="138"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Relevant Canadian Governmental Body</w:t>
      </w:r>
      <w:r>
        <w:rPr>
          <w:rFonts w:ascii="Times New Roman" w:cs="Times New Roman" w:eastAsia="Times New Roman" w:hAnsi="Times New Roman"/>
          <w:sz w:val="21"/>
          <w:szCs w:val="21"/>
          <w:color w:val="auto"/>
        </w:rPr>
        <w:t>” means the Bank of Canada, or a committee officially endorsed or convened by the Bank of Canada, or any successor thereto.</w:t>
      </w:r>
    </w:p>
    <w:p>
      <w:pPr>
        <w:spacing w:after="0" w:line="62" w:lineRule="exact"/>
        <w:rPr>
          <w:sz w:val="20"/>
          <w:szCs w:val="20"/>
          <w:color w:val="auto"/>
        </w:rPr>
      </w:pPr>
    </w:p>
    <w:p>
      <w:pPr>
        <w:jc w:val="both"/>
        <w:ind w:firstLine="626"/>
        <w:spacing w:after="0" w:line="281" w:lineRule="auto"/>
        <w:rPr>
          <w:sz w:val="20"/>
          <w:szCs w:val="20"/>
          <w:color w:val="auto"/>
        </w:rPr>
      </w:pP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b w:val="1"/>
          <w:bCs w:val="1"/>
          <w:i w:val="1"/>
          <w:iCs w:val="1"/>
          <w:u w:val="single" w:color="auto"/>
          <w:color w:val="0000FF"/>
          <w:highlight w:val="lightGray"/>
        </w:rPr>
        <w:t>Unadjusted Canadian Benchmark Replacement</w:t>
      </w:r>
      <w:r>
        <w:rPr>
          <w:rFonts w:ascii="Times New Roman" w:cs="Times New Roman" w:eastAsia="Times New Roman" w:hAnsi="Times New Roman"/>
          <w:sz w:val="21"/>
          <w:szCs w:val="21"/>
          <w:u w:val="single" w:color="auto"/>
          <w:color w:val="0000FF"/>
          <w:highlight w:val="lightGray"/>
        </w:rPr>
        <w:t>” means the applicable Canadian Benchmark Replacement excluding the related Canadian Benchmark Replacement Adjustment.</w:t>
      </w:r>
    </w:p>
    <w:p>
      <w:pPr>
        <w:spacing w:after="0" w:line="75" w:lineRule="exact"/>
        <w:rPr>
          <w:sz w:val="20"/>
          <w:szCs w:val="20"/>
          <w:color w:val="auto"/>
        </w:rPr>
      </w:pPr>
    </w:p>
    <w:p>
      <w:pPr>
        <w:jc w:val="both"/>
        <w:ind w:firstLine="627"/>
        <w:spacing w:after="0" w:line="282"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i w:val="1"/>
          <w:iCs w:val="1"/>
          <w:color w:val="FF0000"/>
          <w:strike w:val="1"/>
        </w:rPr>
        <w:t>Term CORRA</w:t>
      </w:r>
      <w:r>
        <w:rPr>
          <w:rFonts w:ascii="Times New Roman" w:cs="Times New Roman" w:eastAsia="Times New Roman" w:hAnsi="Times New Roman"/>
          <w:sz w:val="21"/>
          <w:szCs w:val="21"/>
          <w:color w:val="FF0000"/>
          <w:strike w:val="1"/>
        </w:rPr>
        <w:t>” means, for the applicable corresponding tenor, the forward-looking term rate based on CORRA that has been selected or recommended by the Relevant Canadian Governmental Body, and that is published by an authorized benchmark administrator and is displayed on a screen or other information service, as identified or selected by the Canadian Administrative Agent in its reasonable discretion at approximately a time and as of a date prior to the commencement of an Interest Period determined by the Canadian Administrative Agent in its reasonable discretion in a manner substantially consistent with market practice.</w:t>
      </w:r>
    </w:p>
    <w:p>
      <w:pPr>
        <w:spacing w:after="0" w:line="88" w:lineRule="exact"/>
        <w:rPr>
          <w:sz w:val="20"/>
          <w:szCs w:val="20"/>
          <w:color w:val="auto"/>
        </w:rPr>
      </w:pPr>
    </w:p>
    <w:p>
      <w:pPr>
        <w:jc w:val="both"/>
        <w:ind w:firstLine="627"/>
        <w:spacing w:after="0" w:line="307"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i w:val="1"/>
          <w:iCs w:val="1"/>
          <w:color w:val="FF0000"/>
          <w:strike w:val="1"/>
        </w:rPr>
        <w:t>Term CORRA Notice</w:t>
      </w:r>
      <w:r>
        <w:rPr>
          <w:rFonts w:ascii="Times New Roman" w:cs="Times New Roman" w:eastAsia="Times New Roman" w:hAnsi="Times New Roman"/>
          <w:sz w:val="21"/>
          <w:szCs w:val="21"/>
          <w:color w:val="FF0000"/>
          <w:strike w:val="1"/>
        </w:rPr>
        <w:t>” means the notification by the Canadian Administrative Agent to the Canadian Lenders and the Parent Borrower of the occurrence of a Term CORRA Transition Event.</w:t>
      </w:r>
    </w:p>
    <w:p>
      <w:pPr>
        <w:spacing w:after="0" w:line="62" w:lineRule="exact"/>
        <w:rPr>
          <w:sz w:val="20"/>
          <w:szCs w:val="20"/>
          <w:color w:val="auto"/>
        </w:rPr>
      </w:pPr>
    </w:p>
    <w:p>
      <w:pPr>
        <w:jc w:val="both"/>
        <w:ind w:firstLine="627"/>
        <w:spacing w:after="0" w:line="284"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i w:val="1"/>
          <w:iCs w:val="1"/>
          <w:color w:val="FF0000"/>
          <w:strike w:val="1"/>
        </w:rPr>
        <w:t>Term CORRA Transition Date</w:t>
      </w:r>
      <w:r>
        <w:rPr>
          <w:rFonts w:ascii="Times New Roman" w:cs="Times New Roman" w:eastAsia="Times New Roman" w:hAnsi="Times New Roman"/>
          <w:sz w:val="21"/>
          <w:szCs w:val="21"/>
          <w:color w:val="FF0000"/>
          <w:strike w:val="1"/>
        </w:rPr>
        <w:t>” means, in the case of a Term CORRA Transition Event, the date that is set forth in the Term CORRA Notice provided to the Canadian Lenders and the Parent Borrower, for the replacement of the then-current Canadian Benchmark with the Canadian Benchmark Replacement described in clause 1(a) of such definition, which date shall be at least thirty (30) Business Days from the date of the Term CORRA Notice</w:t>
      </w:r>
      <w:r>
        <w:rPr>
          <w:rFonts w:ascii="Times New Roman" w:cs="Times New Roman" w:eastAsia="Times New Roman" w:hAnsi="Times New Roman"/>
          <w:sz w:val="21"/>
          <w:szCs w:val="21"/>
          <w:b w:val="1"/>
          <w:bCs w:val="1"/>
          <w:color w:val="FF0000"/>
          <w:strike w:val="1"/>
        </w:rPr>
        <w:t>.</w:t>
      </w:r>
    </w:p>
    <w:p>
      <w:pPr>
        <w:spacing w:after="0" w:line="85" w:lineRule="exact"/>
        <w:rPr>
          <w:sz w:val="20"/>
          <w:szCs w:val="20"/>
          <w:color w:val="auto"/>
        </w:rPr>
      </w:pPr>
    </w:p>
    <w:p>
      <w:pPr>
        <w:jc w:val="both"/>
        <w:ind w:firstLine="627"/>
        <w:spacing w:after="0" w:line="284"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i w:val="1"/>
          <w:iCs w:val="1"/>
          <w:color w:val="FF0000"/>
          <w:strike w:val="1"/>
        </w:rPr>
        <w:t>Term CORRA Transition Event</w:t>
      </w:r>
      <w:r>
        <w:rPr>
          <w:rFonts w:ascii="Times New Roman" w:cs="Times New Roman" w:eastAsia="Times New Roman" w:hAnsi="Times New Roman"/>
          <w:sz w:val="21"/>
          <w:szCs w:val="21"/>
          <w:color w:val="FF0000"/>
          <w:strike w:val="1"/>
        </w:rPr>
        <w:t>” means the determination by the Canadian Administrative Agent that (a) Term CORRA has been recommended for use by the Relevant Canadian Governmental Body, and is determinable for any Canadian Available Tenor, (b) the administration of Term CORRA is administratively feasible for the Canadian Administrative Agent and (c) a Canadian Benchmark Replacement, other than Term CORRA, has replaced CDOR in accordance with paragraph (a) of the Section titled “Canadian Benchmark Replacement Setting”.</w:t>
      </w:r>
    </w:p>
    <w:p>
      <w:pPr>
        <w:sectPr>
          <w:pgSz w:w="11900" w:h="16838" w:orient="portrait"/>
          <w:cols w:equalWidth="0" w:num="1">
            <w:col w:w="10980"/>
          </w:cols>
          <w:pgMar w:left="420" w:top="1432" w:right="499" w:bottom="1440" w:gutter="0" w:footer="0" w:header="0"/>
        </w:sectPr>
      </w:pPr>
    </w:p>
    <w:bookmarkStart w:id="173" w:name="page174"/>
    <w:bookmarkEnd w:id="173"/>
    <w:p>
      <w:pPr>
        <w:spacing w:after="0" w:line="16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Each Borrower represents and warrants to the Agents, the Issuing Banks and each of the Lenders that:</w:t>
      </w:r>
    </w:p>
    <w:p>
      <w:pPr>
        <w:spacing w:after="0" w:line="212"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3.01 </w:t>
      </w:r>
      <w:r>
        <w:rPr>
          <w:rFonts w:ascii="Times New Roman" w:cs="Times New Roman" w:eastAsia="Times New Roman" w:hAnsi="Times New Roman"/>
          <w:sz w:val="21"/>
          <w:szCs w:val="21"/>
          <w:b w:val="1"/>
          <w:bCs w:val="1"/>
          <w:i w:val="1"/>
          <w:iCs w:val="1"/>
          <w:color w:val="auto"/>
        </w:rPr>
        <w:t>Organization; Powers</w:t>
      </w:r>
      <w:r>
        <w:rPr>
          <w:rFonts w:ascii="Times New Roman" w:cs="Times New Roman" w:eastAsia="Times New Roman" w:hAnsi="Times New Roman"/>
          <w:sz w:val="21"/>
          <w:szCs w:val="21"/>
          <w:color w:val="auto"/>
        </w:rPr>
        <w:t>. Each Borrower and each of its respective Subsidiaries (a) is duly organized, validly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existing and in good 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each other agreement or instrument contemplated hereby or thereby to which it is or will be a party and, in the case of the Borrowers, to borrow hereunder.</w:t>
      </w:r>
    </w:p>
    <w:p>
      <w:pPr>
        <w:spacing w:after="0" w:line="171"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3.02 </w:t>
      </w:r>
      <w:r>
        <w:rPr>
          <w:rFonts w:ascii="Times New Roman" w:cs="Times New Roman" w:eastAsia="Times New Roman" w:hAnsi="Times New Roman"/>
          <w:sz w:val="21"/>
          <w:szCs w:val="21"/>
          <w:b w:val="1"/>
          <w:bCs w:val="1"/>
          <w:i w:val="1"/>
          <w:iCs w:val="1"/>
          <w:color w:val="auto"/>
        </w:rPr>
        <w:t>Authorization</w:t>
      </w:r>
      <w:r>
        <w:rPr>
          <w:rFonts w:ascii="Times New Roman" w:cs="Times New Roman" w:eastAsia="Times New Roman" w:hAnsi="Times New Roman"/>
          <w:sz w:val="21"/>
          <w:szCs w:val="21"/>
          <w:color w:val="auto"/>
        </w:rPr>
        <w:t>. The execution, delivery and performance by each Loan Party of each of the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Documents to which it is a party and the consummation of the Transactions (i) have been (or will have been on, prior to or substantially contemporaneously with the Closing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 (D) 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173"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3.03 </w:t>
      </w:r>
      <w:r>
        <w:rPr>
          <w:rFonts w:ascii="Times New Roman" w:cs="Times New Roman" w:eastAsia="Times New Roman" w:hAnsi="Times New Roman"/>
          <w:sz w:val="21"/>
          <w:szCs w:val="21"/>
          <w:b w:val="1"/>
          <w:bCs w:val="1"/>
          <w:i w:val="1"/>
          <w:iCs w:val="1"/>
          <w:color w:val="auto"/>
        </w:rPr>
        <w:t>Enforceability</w:t>
      </w:r>
      <w:r>
        <w:rPr>
          <w:rFonts w:ascii="Times New Roman" w:cs="Times New Roman" w:eastAsia="Times New Roman" w:hAnsi="Times New Roman"/>
          <w:sz w:val="21"/>
          <w:szCs w:val="21"/>
          <w:color w:val="auto"/>
        </w:rPr>
        <w:t>. This Agreement has been, and each other Loan Document to which any Loan Party is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when executed and delivered by such Loan Party, will have been, duly executed and delivered by the Borrowers and 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w:t>
      </w:r>
    </w:p>
    <w:p>
      <w:pPr>
        <w:sectPr>
          <w:pgSz w:w="11900" w:h="16838" w:orient="portrait"/>
          <w:cols w:equalWidth="0" w:num="1">
            <w:col w:w="11240"/>
          </w:cols>
          <w:pgMar w:left="320" w:top="1440" w:right="339" w:bottom="1440" w:gutter="0" w:footer="0" w:header="0"/>
        </w:sectPr>
      </w:pPr>
    </w:p>
    <w:bookmarkStart w:id="174" w:name="page175"/>
    <w:bookmarkEnd w:id="174"/>
    <w:p>
      <w:pPr>
        <w:jc w:val="both"/>
        <w:spacing w:after="0" w:line="277" w:lineRule="auto"/>
        <w:rPr>
          <w:sz w:val="20"/>
          <w:szCs w:val="20"/>
          <w:color w:val="auto"/>
        </w:rPr>
      </w:pPr>
      <w:r>
        <w:rPr>
          <w:rFonts w:ascii="Times New Roman" w:cs="Times New Roman" w:eastAsia="Times New Roman" w:hAnsi="Times New Roman"/>
          <w:sz w:val="21"/>
          <w:szCs w:val="21"/>
          <w:color w:val="auto"/>
        </w:rPr>
        <w:t>creditors’ rights generally and subject, as to enforceability, to equitable principles of general application (regardless of whether enforcement is sought in a proceeding in equity or at law)).</w:t>
      </w:r>
    </w:p>
    <w:p>
      <w:pPr>
        <w:spacing w:after="0" w:line="144"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3.04 </w:t>
      </w:r>
      <w:r>
        <w:rPr>
          <w:rFonts w:ascii="Times New Roman" w:cs="Times New Roman" w:eastAsia="Times New Roman" w:hAnsi="Times New Roman"/>
          <w:sz w:val="21"/>
          <w:szCs w:val="21"/>
          <w:b w:val="1"/>
          <w:bCs w:val="1"/>
          <w:i w:val="1"/>
          <w:iCs w:val="1"/>
          <w:color w:val="auto"/>
        </w:rPr>
        <w:t>Governmental Approvals</w:t>
      </w:r>
      <w:r>
        <w:rPr>
          <w:rFonts w:ascii="Times New Roman" w:cs="Times New Roman" w:eastAsia="Times New Roman" w:hAnsi="Times New Roman"/>
          <w:sz w:val="21"/>
          <w:szCs w:val="21"/>
          <w:color w:val="auto"/>
        </w:rPr>
        <w:t>. (a) No authorization, action, exemption, consent or approval of, registration,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or filing with or any other action by any Governmental Authority is necessary or will be required in connection with the Loan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made or obtained and be in full force and effect and (iii) actions by, and notices to or filings with, Governmental Authorities (including, without limitation, the 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173"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3.05 </w:t>
      </w:r>
      <w:r>
        <w:rPr>
          <w:rFonts w:ascii="Times New Roman" w:cs="Times New Roman" w:eastAsia="Times New Roman" w:hAnsi="Times New Roman"/>
          <w:sz w:val="21"/>
          <w:szCs w:val="21"/>
          <w:b w:val="1"/>
          <w:bCs w:val="1"/>
          <w:i w:val="1"/>
          <w:iCs w:val="1"/>
          <w:color w:val="auto"/>
        </w:rPr>
        <w:t>Financial Statements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Closing Date, the audited consolidated balance sheets and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consolidated statements of operations, comprehensive income, changes in shareholder equity, and cash flows of the Parent Borrower, as of and for the year ended December 31, 2020 are available on the website of the SEC at http://www.sec.gov or posted on the Internet at http://www.civeo.com. Such financial statements in each case present fairly, in all material respects, the financial condition of the Parent Borrower, as of such date and for such period. Such financial statements and the notes thereto, disclose all material liabilities, direct or contingent, of the Parent Borrower, as applicable, as of the date thereof. Such financial statements were prepared in accordance with GAAP.</w:t>
      </w:r>
    </w:p>
    <w:p>
      <w:pPr>
        <w:spacing w:after="0" w:line="184"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3.06 </w:t>
      </w:r>
      <w:r>
        <w:rPr>
          <w:rFonts w:ascii="Times New Roman" w:cs="Times New Roman" w:eastAsia="Times New Roman" w:hAnsi="Times New Roman"/>
          <w:sz w:val="21"/>
          <w:szCs w:val="21"/>
          <w:b w:val="1"/>
          <w:bCs w:val="1"/>
          <w:i w:val="1"/>
          <w:iCs w:val="1"/>
          <w:color w:val="auto"/>
        </w:rPr>
        <w:t>No Material Adverse Change</w:t>
      </w:r>
      <w:r>
        <w:rPr>
          <w:rFonts w:ascii="Times New Roman" w:cs="Times New Roman" w:eastAsia="Times New Roman" w:hAnsi="Times New Roman"/>
          <w:sz w:val="21"/>
          <w:szCs w:val="21"/>
          <w:color w:val="auto"/>
        </w:rPr>
        <w:t>. Since December 31, 2020, there has been no material adverse effect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assets, operations or condition (financial or otherwise) of the Borrowers and the Subsidiaries, taken as a whole.</w:t>
      </w:r>
    </w:p>
    <w:p>
      <w:pPr>
        <w:spacing w:after="0" w:line="140" w:lineRule="exact"/>
        <w:rPr>
          <w:sz w:val="20"/>
          <w:szCs w:val="20"/>
          <w:color w:val="auto"/>
        </w:rPr>
      </w:pPr>
    </w:p>
    <w:p>
      <w:pPr>
        <w:jc w:val="both"/>
        <w:ind w:firstLine="627"/>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SECTION 3.07 </w:t>
      </w:r>
      <w:r>
        <w:rPr>
          <w:rFonts w:ascii="Times New Roman" w:cs="Times New Roman" w:eastAsia="Times New Roman" w:hAnsi="Times New Roman"/>
          <w:sz w:val="20"/>
          <w:szCs w:val="20"/>
          <w:b w:val="1"/>
          <w:bCs w:val="1"/>
          <w:i w:val="1"/>
          <w:iCs w:val="1"/>
          <w:color w:val="auto"/>
        </w:rPr>
        <w:t>Title to Properties; Possession Under Leases and Licenses</w:t>
      </w:r>
      <w:r>
        <w:rPr>
          <w:rFonts w:ascii="Times New Roman" w:cs="Times New Roman" w:eastAsia="Times New Roman" w:hAnsi="Times New Roman"/>
          <w:sz w:val="20"/>
          <w:szCs w:val="20"/>
          <w:color w:val="auto"/>
        </w:rPr>
        <w:t>. (a) Each of the Borrowers and the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good and 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Section 6.02 or those registered by the Agents on behalf of the Secured Parties.</w:t>
      </w:r>
    </w:p>
    <w:p>
      <w:pPr>
        <w:spacing w:after="0" w:line="155" w:lineRule="exact"/>
        <w:rPr>
          <w:sz w:val="20"/>
          <w:szCs w:val="20"/>
          <w:color w:val="auto"/>
        </w:rPr>
      </w:pPr>
    </w:p>
    <w:p>
      <w:pPr>
        <w:jc w:val="both"/>
        <w:ind w:firstLine="1259"/>
        <w:spacing w:after="0" w:line="262" w:lineRule="auto"/>
        <w:tabs>
          <w:tab w:leader="none" w:pos="1792"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w:t>
      </w:r>
    </w:p>
    <w:p>
      <w:pPr>
        <w:sectPr>
          <w:pgSz w:w="11900" w:h="16838" w:orient="portrait"/>
          <w:cols w:equalWidth="0" w:num="1">
            <w:col w:w="11240"/>
          </w:cols>
          <w:pgMar w:left="320" w:top="1380" w:right="339" w:bottom="1440" w:gutter="0" w:footer="0" w:header="0"/>
        </w:sectPr>
      </w:pPr>
    </w:p>
    <w:bookmarkStart w:id="175" w:name="page176"/>
    <w:bookmarkEnd w:id="175"/>
    <w:p>
      <w:pPr>
        <w:jc w:val="both"/>
        <w:spacing w:after="0" w:line="277" w:lineRule="auto"/>
        <w:rPr>
          <w:sz w:val="20"/>
          <w:szCs w:val="20"/>
          <w:color w:val="auto"/>
        </w:rPr>
      </w:pPr>
      <w:r>
        <w:rPr>
          <w:rFonts w:ascii="Times New Roman" w:cs="Times New Roman" w:eastAsia="Times New Roman" w:hAnsi="Times New Roman"/>
          <w:sz w:val="21"/>
          <w:szCs w:val="21"/>
          <w:color w:val="auto"/>
        </w:rPr>
        <w:t>the Subsidiaries enjoys peaceful and undisturbed possession under all leases and licenses where the failure could not reasonably be expected to have a Material Adverse Effect.</w:t>
      </w:r>
    </w:p>
    <w:p>
      <w:pPr>
        <w:spacing w:after="0" w:line="144"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3.08 </w:t>
      </w:r>
      <w:r>
        <w:rPr>
          <w:rFonts w:ascii="Times New Roman" w:cs="Times New Roman" w:eastAsia="Times New Roman" w:hAnsi="Times New Roman"/>
          <w:sz w:val="21"/>
          <w:szCs w:val="21"/>
          <w:b w:val="1"/>
          <w:bCs w:val="1"/>
          <w:i w:val="1"/>
          <w:iCs w:val="1"/>
          <w:color w:val="auto"/>
        </w:rPr>
        <w:t>Subsidiaries</w:t>
      </w:r>
      <w:r>
        <w:rPr>
          <w:rFonts w:ascii="Times New Roman" w:cs="Times New Roman" w:eastAsia="Times New Roman" w:hAnsi="Times New Roman"/>
          <w:sz w:val="21"/>
          <w:szCs w:val="21"/>
          <w:color w:val="auto"/>
        </w:rPr>
        <w:t>. As of the date such schedule was most recently delivered, Schedule 3.08 sets forth a list of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and Special Purpose Business Entities and, as to each such Subsidiary, the jurisdiction of formation, the outstanding Equity Interests therein and the percentage ownership interest of each class of such Equity Interests owned by the Parent Borrower and its Subsidiaries therein. As of the Closing Date, the Equity Interests indicated as owned by the Parent Borrower and its Subsidiaries on Schedule 3.08 are owned by the Borrowers, directly or indirectly, free and clear of all Liens (other than Liens permitted by Section 6.02).</w:t>
      </w:r>
    </w:p>
    <w:p>
      <w:pPr>
        <w:spacing w:after="0" w:line="180"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3.09 </w:t>
      </w:r>
      <w:r>
        <w:rPr>
          <w:rFonts w:ascii="Times New Roman" w:cs="Times New Roman" w:eastAsia="Times New Roman" w:hAnsi="Times New Roman"/>
          <w:sz w:val="21"/>
          <w:szCs w:val="21"/>
          <w:b w:val="1"/>
          <w:bCs w:val="1"/>
          <w:i w:val="1"/>
          <w:iCs w:val="1"/>
          <w:color w:val="auto"/>
        </w:rPr>
        <w:t>Litigation; Compliance with Laws</w:t>
      </w:r>
      <w:r>
        <w:rPr>
          <w:rFonts w:ascii="Times New Roman" w:cs="Times New Roman" w:eastAsia="Times New Roman" w:hAnsi="Times New Roman"/>
          <w:sz w:val="21"/>
          <w:szCs w:val="21"/>
          <w:color w:val="auto"/>
        </w:rPr>
        <w:t>. (a) Except as set forth on Schedule 3.09, there are no actions, suits,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proceedings, claims or 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89" w:lineRule="exact"/>
        <w:rPr>
          <w:sz w:val="20"/>
          <w:szCs w:val="20"/>
          <w:color w:val="auto"/>
        </w:rPr>
      </w:pPr>
    </w:p>
    <w:p>
      <w:pPr>
        <w:jc w:val="both"/>
        <w:ind w:firstLine="1259"/>
        <w:spacing w:after="0" w:line="262" w:lineRule="auto"/>
        <w:tabs>
          <w:tab w:leader="none" w:pos="184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December 31, 2020, there has been no adverse change in the status or financial effect on the Parent Borrower and the Subsidiaries of the matters disclosed on Schedule 3.09 that, individually or in the aggregate, has resulted in, or materially increased the likelihood of, a Material Adverse Effect.</w:t>
      </w:r>
    </w:p>
    <w:p>
      <w:pPr>
        <w:spacing w:after="0" w:line="163" w:lineRule="exact"/>
        <w:rPr>
          <w:rFonts w:ascii="Times New Roman" w:cs="Times New Roman" w:eastAsia="Times New Roman" w:hAnsi="Times New Roman"/>
          <w:sz w:val="21"/>
          <w:szCs w:val="21"/>
          <w:color w:val="auto"/>
        </w:rPr>
      </w:pPr>
    </w:p>
    <w:p>
      <w:pPr>
        <w:jc w:val="both"/>
        <w:ind w:firstLine="1259"/>
        <w:spacing w:after="0" w:line="255" w:lineRule="auto"/>
        <w:tabs>
          <w:tab w:leader="none" w:pos="1814"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169"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SECTION 3.10 </w:t>
      </w:r>
      <w:r>
        <w:rPr>
          <w:rFonts w:ascii="Times New Roman" w:cs="Times New Roman" w:eastAsia="Times New Roman" w:hAnsi="Times New Roman"/>
          <w:sz w:val="21"/>
          <w:szCs w:val="21"/>
          <w:b w:val="1"/>
          <w:bCs w:val="1"/>
          <w:i w:val="1"/>
          <w:iCs w:val="1"/>
          <w:color w:val="auto"/>
        </w:rPr>
        <w:t>Agreements</w:t>
      </w:r>
      <w:r>
        <w:rPr>
          <w:rFonts w:ascii="Times New Roman" w:cs="Times New Roman" w:eastAsia="Times New Roman" w:hAnsi="Times New Roman"/>
          <w:sz w:val="21"/>
          <w:szCs w:val="21"/>
          <w:color w:val="auto"/>
        </w:rPr>
        <w:t>. None of the Borrowers or any of the Subsidiaries is in default in any manner under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 of any indenture or other agreement or instrument, where such default has resulted in, or could, either individually or in the aggregate, reasonably be expected to result in a Material Adverse Effect.</w:t>
      </w:r>
    </w:p>
    <w:p>
      <w:pPr>
        <w:spacing w:after="0" w:line="152"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3.11 </w:t>
      </w:r>
      <w:r>
        <w:rPr>
          <w:rFonts w:ascii="Times New Roman" w:cs="Times New Roman" w:eastAsia="Times New Roman" w:hAnsi="Times New Roman"/>
          <w:sz w:val="21"/>
          <w:szCs w:val="21"/>
          <w:b w:val="1"/>
          <w:bCs w:val="1"/>
          <w:i w:val="1"/>
          <w:iCs w:val="1"/>
          <w:color w:val="auto"/>
        </w:rPr>
        <w:t>Federal Reserve Regulations</w:t>
      </w:r>
      <w:r>
        <w:rPr>
          <w:rFonts w:ascii="Times New Roman" w:cs="Times New Roman" w:eastAsia="Times New Roman" w:hAnsi="Times New Roman"/>
          <w:sz w:val="21"/>
          <w:szCs w:val="21"/>
          <w:color w:val="auto"/>
        </w:rPr>
        <w:t>. (a) None of the Loan Parties is engaged principally, or as one of its important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activities, in the business of extending credit for the purpose of buying or carrying Margin Stock.</w:t>
      </w:r>
    </w:p>
    <w:p>
      <w:pPr>
        <w:spacing w:after="0" w:line="144" w:lineRule="exact"/>
        <w:rPr>
          <w:sz w:val="20"/>
          <w:szCs w:val="20"/>
          <w:color w:val="auto"/>
        </w:rPr>
      </w:pPr>
    </w:p>
    <w:p>
      <w:pPr>
        <w:jc w:val="both"/>
        <w:ind w:firstLine="1259"/>
        <w:spacing w:after="0" w:line="268" w:lineRule="auto"/>
        <w:tabs>
          <w:tab w:leader="none" w:pos="1801"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part of the proceeds of any Loan or any Letter of Credit will be used, whether directly or indirectly, and whether immediately, incidentally or ultimately, to purchase or carry Margin Stock or to extend credit to others for purpose of purchasing or carrying Margin</w:t>
      </w:r>
    </w:p>
    <w:p>
      <w:pPr>
        <w:sectPr>
          <w:pgSz w:w="11900" w:h="16838" w:orient="portrait"/>
          <w:cols w:equalWidth="0" w:num="1">
            <w:col w:w="11240"/>
          </w:cols>
          <w:pgMar w:left="320" w:top="1380" w:right="339" w:bottom="1440" w:gutter="0" w:footer="0" w:header="0"/>
        </w:sectPr>
      </w:pPr>
    </w:p>
    <w:bookmarkStart w:id="176" w:name="page177"/>
    <w:bookmarkEnd w:id="176"/>
    <w:p>
      <w:pPr>
        <w:jc w:val="both"/>
        <w:spacing w:after="0" w:line="277" w:lineRule="auto"/>
        <w:rPr>
          <w:sz w:val="20"/>
          <w:szCs w:val="20"/>
          <w:color w:val="auto"/>
        </w:rPr>
      </w:pPr>
      <w:r>
        <w:rPr>
          <w:rFonts w:ascii="Times New Roman" w:cs="Times New Roman" w:eastAsia="Times New Roman" w:hAnsi="Times New Roman"/>
          <w:sz w:val="21"/>
          <w:szCs w:val="21"/>
          <w:color w:val="auto"/>
        </w:rPr>
        <w:t>Stock or for any other purpose, in each case to the extent that such use of proceeds would result in a violation of, or be inconsistent with, the provisions of the regulations of the Board, including Regulations T, U or X.</w:t>
      </w:r>
    </w:p>
    <w:p>
      <w:pPr>
        <w:spacing w:after="0" w:line="144" w:lineRule="exact"/>
        <w:rPr>
          <w:sz w:val="20"/>
          <w:szCs w:val="20"/>
          <w:color w:val="auto"/>
        </w:rPr>
      </w:pPr>
    </w:p>
    <w:p>
      <w:pPr>
        <w:jc w:val="both"/>
        <w:ind w:firstLine="627"/>
        <w:spacing w:after="0" w:line="294" w:lineRule="auto"/>
        <w:rPr>
          <w:sz w:val="20"/>
          <w:szCs w:val="20"/>
          <w:color w:val="auto"/>
        </w:rPr>
      </w:pPr>
      <w:r>
        <w:rPr>
          <w:rFonts w:ascii="Times New Roman" w:cs="Times New Roman" w:eastAsia="Times New Roman" w:hAnsi="Times New Roman"/>
          <w:sz w:val="21"/>
          <w:szCs w:val="21"/>
          <w:b w:val="1"/>
          <w:bCs w:val="1"/>
          <w:color w:val="auto"/>
        </w:rPr>
        <w:t xml:space="preserve">SECTION 3.12 </w:t>
      </w:r>
      <w:r>
        <w:rPr>
          <w:rFonts w:ascii="Times New Roman" w:cs="Times New Roman" w:eastAsia="Times New Roman" w:hAnsi="Times New Roman"/>
          <w:sz w:val="21"/>
          <w:szCs w:val="21"/>
          <w:b w:val="1"/>
          <w:bCs w:val="1"/>
          <w:i w:val="1"/>
          <w:iCs w:val="1"/>
          <w:color w:val="auto"/>
        </w:rPr>
        <w:t>Investment Company Act</w:t>
      </w:r>
      <w:r>
        <w:rPr>
          <w:rFonts w:ascii="Times New Roman" w:cs="Times New Roman" w:eastAsia="Times New Roman" w:hAnsi="Times New Roman"/>
          <w:sz w:val="21"/>
          <w:szCs w:val="21"/>
          <w:color w:val="auto"/>
        </w:rPr>
        <w:t>. Neither the Parent Borrower nor any Subsidiary is or is required to be registered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“investment company” as defined in, or subject to regulation under, the Investment Company Act of 1940.</w:t>
      </w:r>
    </w:p>
    <w:p>
      <w:pPr>
        <w:spacing w:after="0" w:line="127"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3.13 </w:t>
      </w:r>
      <w:r>
        <w:rPr>
          <w:rFonts w:ascii="Times New Roman" w:cs="Times New Roman" w:eastAsia="Times New Roman" w:hAnsi="Times New Roman"/>
          <w:sz w:val="21"/>
          <w:szCs w:val="21"/>
          <w:b w:val="1"/>
          <w:bCs w:val="1"/>
          <w:i w:val="1"/>
          <w:iCs w:val="1"/>
          <w:color w:val="auto"/>
        </w:rPr>
        <w:t>Use of Proceeds</w:t>
      </w:r>
      <w:r>
        <w:rPr>
          <w:rFonts w:ascii="Times New Roman" w:cs="Times New Roman" w:eastAsia="Times New Roman" w:hAnsi="Times New Roman"/>
          <w:sz w:val="21"/>
          <w:szCs w:val="21"/>
          <w:color w:val="auto"/>
        </w:rPr>
        <w:t>. The Borrowers will use the proceeds of the Loans and will request the issuance of Letters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Credit for general corporate purposes of the Parent Borrower and its Subsidiaries.</w:t>
      </w:r>
    </w:p>
    <w:p>
      <w:pPr>
        <w:spacing w:after="0" w:line="140"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3.14 </w:t>
      </w:r>
      <w:r>
        <w:rPr>
          <w:rFonts w:ascii="Times New Roman" w:cs="Times New Roman" w:eastAsia="Times New Roman" w:hAnsi="Times New Roman"/>
          <w:sz w:val="21"/>
          <w:szCs w:val="21"/>
          <w:b w:val="1"/>
          <w:bCs w:val="1"/>
          <w:i w:val="1"/>
          <w:iCs w:val="1"/>
          <w:color w:val="auto"/>
        </w:rPr>
        <w:t>Tax Matters</w:t>
      </w:r>
      <w:r>
        <w:rPr>
          <w:rFonts w:ascii="Times New Roman" w:cs="Times New Roman" w:eastAsia="Times New Roman" w:hAnsi="Times New Roman"/>
          <w:sz w:val="21"/>
          <w:szCs w:val="21"/>
          <w:color w:val="auto"/>
        </w:rPr>
        <w:t>. Each of the Borrowers and the Subsidiaries has filed or caused to be filed all federal, 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provincial, local and foreign 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or other applicable accounting principles. There is no proposed tax assessment against any Borrower or any Subsidiary thereof that could reasonably be expected to have a Material Adverse Effect. None of the Material Subsidiaries on the Closing Date will be a U.S. Owned Subsidiary.</w:t>
      </w:r>
    </w:p>
    <w:p>
      <w:pPr>
        <w:spacing w:after="0" w:line="171"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3.15 </w:t>
      </w:r>
      <w:r>
        <w:rPr>
          <w:rFonts w:ascii="Times New Roman" w:cs="Times New Roman" w:eastAsia="Times New Roman" w:hAnsi="Times New Roman"/>
          <w:sz w:val="21"/>
          <w:szCs w:val="21"/>
          <w:b w:val="1"/>
          <w:bCs w:val="1"/>
          <w:i w:val="1"/>
          <w:iCs w:val="1"/>
          <w:color w:val="auto"/>
        </w:rPr>
        <w:t>No Material Misstatements</w:t>
      </w:r>
      <w:r>
        <w:rPr>
          <w:rFonts w:ascii="Times New Roman" w:cs="Times New Roman" w:eastAsia="Times New Roman" w:hAnsi="Times New Roman"/>
          <w:sz w:val="21"/>
          <w:szCs w:val="21"/>
          <w:color w:val="auto"/>
        </w:rPr>
        <w:t>. No information, report, financial statement, exhibit or schedule furnished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on behalf of the Parent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spacing w:after="0" w:line="169"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3.16 </w:t>
      </w:r>
      <w:r>
        <w:rPr>
          <w:rFonts w:ascii="Times New Roman" w:cs="Times New Roman" w:eastAsia="Times New Roman" w:hAnsi="Times New Roman"/>
          <w:sz w:val="21"/>
          <w:szCs w:val="21"/>
          <w:b w:val="1"/>
          <w:bCs w:val="1"/>
          <w:i w:val="1"/>
          <w:iCs w:val="1"/>
          <w:color w:val="auto"/>
        </w:rPr>
        <w:t>Employee Benefit Plans</w:t>
      </w:r>
      <w:r>
        <w:rPr>
          <w:rFonts w:ascii="Times New Roman" w:cs="Times New Roman" w:eastAsia="Times New Roman" w:hAnsi="Times New Roman"/>
          <w:sz w:val="21"/>
          <w:szCs w:val="21"/>
          <w:color w:val="auto"/>
        </w:rPr>
        <w:t>. (a) Each of the Borrowers that is subject to ERISA and such Borrower’s ERISA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is in compliance 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Schedule 3.16(a), the present value of all benefit liabilities under each Plan (based on those assumptions used for purposes of Accounting Standards Codification at 715-20) did not, as of the last annual valuation preceding the Closing Date, exceed the fair market value of the assets of such Plan.</w:t>
      </w:r>
    </w:p>
    <w:p>
      <w:pPr>
        <w:sectPr>
          <w:pgSz w:w="11900" w:h="16838" w:orient="portrait"/>
          <w:cols w:equalWidth="0" w:num="1">
            <w:col w:w="11240"/>
          </w:cols>
          <w:pgMar w:left="320" w:top="1380" w:right="339" w:bottom="1440" w:gutter="0" w:footer="0" w:header="0"/>
        </w:sectPr>
      </w:pPr>
    </w:p>
    <w:bookmarkStart w:id="177" w:name="page178"/>
    <w:bookmarkEnd w:id="177"/>
    <w:p>
      <w:pPr>
        <w:jc w:val="both"/>
        <w:ind w:left="-1120" w:firstLine="1259"/>
        <w:spacing w:after="0" w:line="250" w:lineRule="auto"/>
        <w:tabs>
          <w:tab w:leader="none" w:pos="587"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3.16(b) sets forth all Canadian Benefit Plans (other than, for greater certainty, universal plans created by and to which the Parent Borrower is obligated to contribute by statute) and Canadian Pension Plans and Defined Benefit Plans as of the Closing 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Parent Borrower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Parent Borrower,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Parent Borrower and the Canadian Subsidiaries to the Canadian Pension Plans, the Defined Benefit Plans or the Canadian Benefit Plans have been made on a timely basis in accordance with the terms of such plans and all applicable laws. There have been no improper withdrawals or applications of the assets of the Canadian Pension Plans and there have been no improper withdrawals by the Parent Borrower under the Canadian Benefit Plans. None of the Canadian Pension Plans contains a defined benefit provision (within the meaning of section 147.1(1) of the ITA). The obligations of the Parent Borrower and the Canadian Subsidiaries in respect of the Defined Benefit Plans are limited to making fixed contributions to the Defined Benefit Plans pursuant to the terms of the collective agreements entered into between them and the unions representing their employees and, for greater certainty, the Parent Borrower and the Canadian Subsidiaries have no obligation to administer, or fund any deficit in, any Defined Benefit Plan.</w:t>
      </w:r>
    </w:p>
    <w:p>
      <w:pPr>
        <w:spacing w:after="0" w:line="199" w:lineRule="exact"/>
        <w:rPr>
          <w:rFonts w:ascii="Times New Roman" w:cs="Times New Roman" w:eastAsia="Times New Roman" w:hAnsi="Times New Roman"/>
          <w:sz w:val="21"/>
          <w:szCs w:val="21"/>
          <w:color w:val="auto"/>
        </w:rPr>
      </w:pPr>
    </w:p>
    <w:p>
      <w:pPr>
        <w:jc w:val="both"/>
        <w:ind w:left="-1120" w:firstLine="1259"/>
        <w:spacing w:after="0" w:line="262" w:lineRule="auto"/>
        <w:tabs>
          <w:tab w:leader="none" w:pos="57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scheme or arrangement mandated by a government other than the United States or Canada (a “</w:t>
      </w:r>
      <w:r>
        <w:rPr>
          <w:rFonts w:ascii="Times New Roman" w:cs="Times New Roman" w:eastAsia="Times New Roman" w:hAnsi="Times New Roman"/>
          <w:sz w:val="21"/>
          <w:szCs w:val="21"/>
          <w:i w:val="1"/>
          <w:iCs w:val="1"/>
          <w:color w:val="auto"/>
        </w:rPr>
        <w:t>Foreign Government Scheme or Arrangement</w:t>
      </w:r>
      <w:r>
        <w:rPr>
          <w:rFonts w:ascii="Times New Roman" w:cs="Times New Roman" w:eastAsia="Times New Roman" w:hAnsi="Times New Roman"/>
          <w:sz w:val="21"/>
          <w:szCs w:val="21"/>
          <w:color w:val="auto"/>
        </w:rPr>
        <w:t>”) and with respect to each employee benefit plan maintained or contributed to by any Loan Party or any Subsidiary of any Loan Party that is not subject to United States or Canadian law (a “</w:t>
      </w:r>
      <w:r>
        <w:rPr>
          <w:rFonts w:ascii="Times New Roman" w:cs="Times New Roman" w:eastAsia="Times New Roman" w:hAnsi="Times New Roman"/>
          <w:sz w:val="21"/>
          <w:szCs w:val="21"/>
          <w:i w:val="1"/>
          <w:iCs w:val="1"/>
          <w:color w:val="auto"/>
        </w:rPr>
        <w:t>Foreign Plan</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jc w:val="both"/>
        <w:ind w:left="-480" w:firstLine="1246"/>
        <w:spacing w:after="0" w:line="268" w:lineRule="auto"/>
        <w:tabs>
          <w:tab w:leader="none" w:pos="1258"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58" w:lineRule="exact"/>
        <w:rPr>
          <w:rFonts w:ascii="Times New Roman" w:cs="Times New Roman" w:eastAsia="Times New Roman" w:hAnsi="Times New Roman"/>
          <w:sz w:val="21"/>
          <w:szCs w:val="21"/>
          <w:color w:val="auto"/>
        </w:rPr>
      </w:pPr>
    </w:p>
    <w:p>
      <w:pPr>
        <w:jc w:val="both"/>
        <w:ind w:left="-480" w:firstLine="1246"/>
        <w:spacing w:after="0" w:line="254" w:lineRule="auto"/>
        <w:tabs>
          <w:tab w:leader="none" w:pos="1358"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w:t>
      </w:r>
    </w:p>
    <w:p>
      <w:pPr>
        <w:sectPr>
          <w:pgSz w:w="11900" w:h="16838" w:orient="portrait"/>
          <w:cols w:equalWidth="0" w:num="1">
            <w:col w:w="10120"/>
          </w:cols>
          <w:pgMar w:left="1440" w:top="1380" w:right="339" w:bottom="1440" w:gutter="0" w:footer="0" w:header="0"/>
        </w:sectPr>
      </w:pPr>
    </w:p>
    <w:bookmarkStart w:id="178" w:name="page179"/>
    <w:bookmarkEnd w:id="178"/>
    <w:p>
      <w:pPr>
        <w:ind w:left="640"/>
        <w:spacing w:after="0" w:line="277" w:lineRule="auto"/>
        <w:rPr>
          <w:sz w:val="20"/>
          <w:szCs w:val="20"/>
          <w:color w:val="auto"/>
        </w:rPr>
      </w:pPr>
      <w:r>
        <w:rPr>
          <w:rFonts w:ascii="Times New Roman" w:cs="Times New Roman" w:eastAsia="Times New Roman" w:hAnsi="Times New Roman"/>
          <w:sz w:val="21"/>
          <w:szCs w:val="21"/>
          <w:color w:val="auto"/>
        </w:rPr>
        <w:t>in accordance with applicable generally accepted accounting principles, except where the failure could not reasonably be expected to have a Material Adverse Effect; and</w:t>
      </w:r>
    </w:p>
    <w:p>
      <w:pPr>
        <w:spacing w:after="0" w:line="148" w:lineRule="exact"/>
        <w:rPr>
          <w:sz w:val="20"/>
          <w:szCs w:val="20"/>
          <w:color w:val="auto"/>
        </w:rPr>
      </w:pPr>
    </w:p>
    <w:p>
      <w:pPr>
        <w:jc w:val="both"/>
        <w:ind w:left="640" w:firstLine="1246"/>
        <w:spacing w:after="0" w:line="268" w:lineRule="auto"/>
        <w:tabs>
          <w:tab w:leader="none" w:pos="242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54"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3.17 </w:t>
      </w:r>
      <w:r>
        <w:rPr>
          <w:rFonts w:ascii="Times New Roman" w:cs="Times New Roman" w:eastAsia="Times New Roman" w:hAnsi="Times New Roman"/>
          <w:sz w:val="21"/>
          <w:szCs w:val="21"/>
          <w:b w:val="1"/>
          <w:bCs w:val="1"/>
          <w:i w:val="1"/>
          <w:iCs w:val="1"/>
          <w:color w:val="auto"/>
        </w:rPr>
        <w:t>Environmental Matters</w:t>
      </w:r>
      <w:r>
        <w:rPr>
          <w:rFonts w:ascii="Times New Roman" w:cs="Times New Roman" w:eastAsia="Times New Roman" w:hAnsi="Times New Roman"/>
          <w:sz w:val="21"/>
          <w:szCs w:val="21"/>
          <w:color w:val="auto"/>
        </w:rPr>
        <w:t>. (a) Except as set forth in Schedule 3.17 and except with respect to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matters that, individually or in the aggregate, could not reasonably be expected to result in a 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 (ii) has become subject to any Environmental Liability, (iii) has received notice of any claim with respect to any Environmental Liability or (iv) knows of any basis for any Environmental Liability.</w:t>
      </w:r>
    </w:p>
    <w:p>
      <w:pPr>
        <w:spacing w:after="0" w:line="175" w:lineRule="exact"/>
        <w:rPr>
          <w:sz w:val="20"/>
          <w:szCs w:val="20"/>
          <w:color w:val="auto"/>
        </w:rPr>
      </w:pPr>
    </w:p>
    <w:p>
      <w:pPr>
        <w:ind w:firstLine="1259"/>
        <w:spacing w:after="0" w:line="277" w:lineRule="auto"/>
        <w:tabs>
          <w:tab w:leader="none" w:pos="1776"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Closing Date, there has been no change in the status of the matters disclosed on Schedule 3.17 that, individually or in the aggregate, has resulted in, or materially increased the likelihood of, a Material Adverse Effect.</w:t>
      </w:r>
    </w:p>
    <w:p>
      <w:pPr>
        <w:spacing w:after="0" w:line="157"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3.18 </w:t>
      </w:r>
      <w:r>
        <w:rPr>
          <w:rFonts w:ascii="Times New Roman" w:cs="Times New Roman" w:eastAsia="Times New Roman" w:hAnsi="Times New Roman"/>
          <w:sz w:val="21"/>
          <w:szCs w:val="21"/>
          <w:b w:val="1"/>
          <w:bCs w:val="1"/>
          <w:i w:val="1"/>
          <w:iCs w:val="1"/>
          <w:color w:val="auto"/>
        </w:rPr>
        <w:t>Insurance</w:t>
      </w:r>
      <w:r>
        <w:rPr>
          <w:rFonts w:ascii="Times New Roman" w:cs="Times New Roman" w:eastAsia="Times New Roman" w:hAnsi="Times New Roman"/>
          <w:sz w:val="21"/>
          <w:szCs w:val="21"/>
          <w:color w:val="auto"/>
        </w:rPr>
        <w:t>. Each of the Borrowers and each Subsidiary is insured by insurance providers that it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considers to be financially sound (including captive insurance companies, or through self-insurance), in such amounts, with such deductibles and covering such risks and liabilities as are consistent with past practices and is in compliance with the requirements to Section 5.02.</w:t>
      </w:r>
    </w:p>
    <w:p>
      <w:pPr>
        <w:spacing w:after="0" w:line="164"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3.19 </w:t>
      </w:r>
      <w:r>
        <w:rPr>
          <w:rFonts w:ascii="Times New Roman" w:cs="Times New Roman" w:eastAsia="Times New Roman" w:hAnsi="Times New Roman"/>
          <w:sz w:val="21"/>
          <w:szCs w:val="21"/>
          <w:b w:val="1"/>
          <w:bCs w:val="1"/>
          <w:i w:val="1"/>
          <w:iCs w:val="1"/>
          <w:color w:val="auto"/>
        </w:rPr>
        <w:t>Security Documents</w:t>
      </w:r>
      <w:r>
        <w:rPr>
          <w:rFonts w:ascii="Times New Roman" w:cs="Times New Roman" w:eastAsia="Times New Roman" w:hAnsi="Times New Roman"/>
          <w:sz w:val="21"/>
          <w:szCs w:val="21"/>
          <w:color w:val="auto"/>
        </w:rPr>
        <w:t>. (a) Each Pledge Agreement is effective to create in favor of the Applicable Collateral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for the ratable benefit of the Secured Parties referred to therein, a legal, valid and enforceable security interest in the Collateral (as defined in such Pledge Agreement) and, when such Collateral (to the extent such Collateral constitutes an instrument or investment property, as applicable,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177" w:lineRule="exact"/>
        <w:rPr>
          <w:sz w:val="20"/>
          <w:szCs w:val="20"/>
          <w:color w:val="auto"/>
        </w:rPr>
      </w:pPr>
    </w:p>
    <w:p>
      <w:pPr>
        <w:jc w:val="both"/>
        <w:ind w:firstLine="1259"/>
        <w:spacing w:after="0" w:line="261" w:lineRule="auto"/>
        <w:tabs>
          <w:tab w:leader="none" w:pos="176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w:t>
      </w:r>
    </w:p>
    <w:p>
      <w:pPr>
        <w:sectPr>
          <w:pgSz w:w="11900" w:h="16838" w:orient="portrait"/>
          <w:cols w:equalWidth="0" w:num="1">
            <w:col w:w="11240"/>
          </w:cols>
          <w:pgMar w:left="320" w:top="1380" w:right="339" w:bottom="1440" w:gutter="0" w:footer="0" w:header="0"/>
        </w:sectPr>
      </w:pPr>
    </w:p>
    <w:bookmarkStart w:id="179" w:name="page180"/>
    <w:bookmarkEnd w:id="179"/>
    <w:p>
      <w:pPr>
        <w:jc w:val="both"/>
        <w:spacing w:after="0" w:line="255" w:lineRule="auto"/>
        <w:rPr>
          <w:sz w:val="20"/>
          <w:szCs w:val="20"/>
          <w:color w:val="auto"/>
        </w:rPr>
      </w:pPr>
      <w:r>
        <w:rPr>
          <w:rFonts w:ascii="Times New Roman" w:cs="Times New Roman" w:eastAsia="Times New Roman" w:hAnsi="Times New Roman"/>
          <w:sz w:val="21"/>
          <w:szCs w:val="21"/>
          <w:color w:val="auto"/>
        </w:rPr>
        <w:t>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Liens expressly permitted by Section 6.02.</w:t>
      </w:r>
    </w:p>
    <w:p>
      <w:pPr>
        <w:spacing w:after="0" w:line="169"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3.20 </w:t>
      </w:r>
      <w:r>
        <w:rPr>
          <w:rFonts w:ascii="Times New Roman" w:cs="Times New Roman" w:eastAsia="Times New Roman" w:hAnsi="Times New Roman"/>
          <w:sz w:val="21"/>
          <w:szCs w:val="21"/>
          <w:b w:val="1"/>
          <w:bCs w:val="1"/>
          <w:i w:val="1"/>
          <w:iCs w:val="1"/>
          <w:color w:val="auto"/>
        </w:rPr>
        <w:t>Intellectual Property</w:t>
      </w:r>
      <w:r>
        <w:rPr>
          <w:rFonts w:ascii="Times New Roman" w:cs="Times New Roman" w:eastAsia="Times New Roman" w:hAnsi="Times New Roman"/>
          <w:sz w:val="21"/>
          <w:szCs w:val="21"/>
          <w:color w:val="auto"/>
        </w:rPr>
        <w:t>. The Parent Borrower and each of its Subsidiaries own or are licensed or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the legal right to use 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161"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3.21 </w:t>
      </w:r>
      <w:r>
        <w:rPr>
          <w:rFonts w:ascii="Times New Roman" w:cs="Times New Roman" w:eastAsia="Times New Roman" w:hAnsi="Times New Roman"/>
          <w:sz w:val="21"/>
          <w:szCs w:val="21"/>
          <w:b w:val="1"/>
          <w:bCs w:val="1"/>
          <w:i w:val="1"/>
          <w:iCs w:val="1"/>
          <w:color w:val="auto"/>
        </w:rPr>
        <w:t>Labor Matters</w:t>
      </w:r>
      <w:r>
        <w:rPr>
          <w:rFonts w:ascii="Times New Roman" w:cs="Times New Roman" w:eastAsia="Times New Roman" w:hAnsi="Times New Roman"/>
          <w:sz w:val="21"/>
          <w:szCs w:val="21"/>
          <w:color w:val="auto"/>
        </w:rPr>
        <w:t>. As of the Closing Date, there are no strikes, lockouts or slowdowns against the Parent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 or any Subsidiary pending or, to the knowledge of the Borrowers, threatened. The hours worked by and payments made to employees 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188"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3.22 </w:t>
      </w:r>
      <w:r>
        <w:rPr>
          <w:rFonts w:ascii="Times New Roman" w:cs="Times New Roman" w:eastAsia="Times New Roman" w:hAnsi="Times New Roman"/>
          <w:sz w:val="21"/>
          <w:szCs w:val="21"/>
          <w:b w:val="1"/>
          <w:bCs w:val="1"/>
          <w:i w:val="1"/>
          <w:iCs w:val="1"/>
          <w:color w:val="auto"/>
        </w:rPr>
        <w:t>Solvency</w:t>
      </w:r>
      <w:r>
        <w:rPr>
          <w:rFonts w:ascii="Times New Roman" w:cs="Times New Roman" w:eastAsia="Times New Roman" w:hAnsi="Times New Roman"/>
          <w:sz w:val="21"/>
          <w:szCs w:val="21"/>
          <w:color w:val="auto"/>
        </w:rPr>
        <w:t>. Immediately following the making of each Loan and the giving of each of the Guarantee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Agreements and after giving effect to the application of the proceeds of each Loan, the Parent Borrower and its subsidiaries on a consolidated basis will be Solvent.</w:t>
      </w:r>
    </w:p>
    <w:p>
      <w:pPr>
        <w:spacing w:after="0" w:line="157"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3.23 </w:t>
      </w:r>
      <w:r>
        <w:rPr>
          <w:rFonts w:ascii="Times New Roman" w:cs="Times New Roman" w:eastAsia="Times New Roman" w:hAnsi="Times New Roman"/>
          <w:sz w:val="21"/>
          <w:szCs w:val="21"/>
          <w:b w:val="1"/>
          <w:bCs w:val="1"/>
          <w:i w:val="1"/>
          <w:iCs w:val="1"/>
          <w:color w:val="auto"/>
        </w:rPr>
        <w:t>Anti-Corruption Laws</w:t>
      </w:r>
      <w:r>
        <w:rPr>
          <w:rFonts w:ascii="Times New Roman" w:cs="Times New Roman" w:eastAsia="Times New Roman" w:hAnsi="Times New Roman"/>
          <w:sz w:val="21"/>
          <w:szCs w:val="21"/>
          <w:color w:val="auto"/>
        </w:rPr>
        <w:t>. None of the Parent Borrower and its subsidiaries nor, to the knowledge of the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any director, employee or officer acting on behalf of any the Parent Borrower or any of its subsidiaries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166"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3.24 </w:t>
      </w:r>
      <w:r>
        <w:rPr>
          <w:rFonts w:ascii="Times New Roman" w:cs="Times New Roman" w:eastAsia="Times New Roman" w:hAnsi="Times New Roman"/>
          <w:sz w:val="21"/>
          <w:szCs w:val="21"/>
          <w:b w:val="1"/>
          <w:bCs w:val="1"/>
          <w:i w:val="1"/>
          <w:iCs w:val="1"/>
          <w:color w:val="auto"/>
        </w:rPr>
        <w:t>Anti-Money Laundering Laws</w:t>
      </w:r>
      <w:r>
        <w:rPr>
          <w:rFonts w:ascii="Times New Roman" w:cs="Times New Roman" w:eastAsia="Times New Roman" w:hAnsi="Times New Roman"/>
          <w:sz w:val="21"/>
          <w:szCs w:val="21"/>
          <w:color w:val="auto"/>
        </w:rPr>
        <w:t>. The operations of the Parent Borrower and each subsidiary are and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been conducted at all times in compliance with Anti-Money Laundering Laws in all material respects and no action, suit or proceeding by or before any court or Governmental Agency or any arbitrator involving the Parent Borrower or any of its</w:t>
      </w:r>
    </w:p>
    <w:p>
      <w:pPr>
        <w:sectPr>
          <w:pgSz w:w="11900" w:h="16838" w:orient="portrait"/>
          <w:cols w:equalWidth="0" w:num="1">
            <w:col w:w="11240"/>
          </w:cols>
          <w:pgMar w:left="320" w:top="1380"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1"/>
          <w:szCs w:val="21"/>
          <w:color w:val="auto"/>
        </w:rPr>
        <w:t>subsidiaries with respect to Anti-Money Laundering Laws is pending and no such actions, suits or proceedings have been threatened.</w:t>
      </w:r>
    </w:p>
    <w:p>
      <w:pPr>
        <w:spacing w:after="0" w:line="212"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3.25 </w:t>
      </w:r>
      <w:r>
        <w:rPr>
          <w:rFonts w:ascii="Times New Roman" w:cs="Times New Roman" w:eastAsia="Times New Roman" w:hAnsi="Times New Roman"/>
          <w:sz w:val="21"/>
          <w:szCs w:val="21"/>
          <w:b w:val="1"/>
          <w:bCs w:val="1"/>
          <w:i w:val="1"/>
          <w:iCs w:val="1"/>
          <w:color w:val="auto"/>
        </w:rPr>
        <w:t>Foreign Assets Control Regulations, etc.</w:t>
      </w:r>
      <w:r>
        <w:rPr>
          <w:rFonts w:ascii="Times New Roman" w:cs="Times New Roman" w:eastAsia="Times New Roman" w:hAnsi="Times New Roman"/>
          <w:sz w:val="21"/>
          <w:szCs w:val="21"/>
          <w:color w:val="auto"/>
        </w:rPr>
        <w:t>. (a) The Parent Borrower and its subsidiaries are in compliance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FCPA and the Currency and Foreign Transactions Reporting Act of 1970 and, (b) to the knowledge of the Loan Parties, no director, officer or employee of any Loan Party or any of their subsidiaries is the target of any Sanctions Laws and Regulations, in each case where such violation or sanctions could, individually or in the aggregate, reasonably be expected to have a Material Adverse Effect.</w:t>
      </w:r>
    </w:p>
    <w:p>
      <w:pPr>
        <w:spacing w:after="0" w:line="15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 TO CLOSING AND FUNDING</w:t>
      </w:r>
    </w:p>
    <w:p>
      <w:pPr>
        <w:spacing w:after="0" w:line="220" w:lineRule="exact"/>
        <w:rPr>
          <w:sz w:val="20"/>
          <w:szCs w:val="20"/>
          <w:color w:val="auto"/>
        </w:rPr>
      </w:pPr>
    </w:p>
    <w:p>
      <w:pPr>
        <w:ind w:right="160" w:firstLine="627"/>
        <w:spacing w:after="0" w:line="277" w:lineRule="auto"/>
        <w:rPr>
          <w:sz w:val="20"/>
          <w:szCs w:val="20"/>
          <w:color w:val="auto"/>
        </w:rPr>
      </w:pPr>
      <w:r>
        <w:rPr>
          <w:rFonts w:ascii="Times New Roman" w:cs="Times New Roman" w:eastAsia="Times New Roman" w:hAnsi="Times New Roman"/>
          <w:sz w:val="21"/>
          <w:szCs w:val="21"/>
          <w:color w:val="auto"/>
        </w:rPr>
        <w:t>The obligations of the Lenders to make Loans and of the Issuing Banks to issue Letters of Credit hereunder are subject to the satisfaction of the following conditions:</w:t>
      </w:r>
    </w:p>
    <w:p>
      <w:pPr>
        <w:spacing w:after="0" w:line="144" w:lineRule="exact"/>
        <w:rPr>
          <w:sz w:val="20"/>
          <w:szCs w:val="20"/>
          <w:color w:val="auto"/>
        </w:rPr>
      </w:pPr>
    </w:p>
    <w:p>
      <w:pPr>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4.01 </w:t>
      </w:r>
      <w:r>
        <w:rPr>
          <w:rFonts w:ascii="Times New Roman" w:cs="Times New Roman" w:eastAsia="Times New Roman" w:hAnsi="Times New Roman"/>
          <w:sz w:val="21"/>
          <w:szCs w:val="21"/>
          <w:b w:val="1"/>
          <w:bCs w:val="1"/>
          <w:i w:val="1"/>
          <w:iCs w:val="1"/>
          <w:color w:val="auto"/>
        </w:rPr>
        <w:t>Conditions to All Credit Events</w:t>
      </w:r>
      <w:r>
        <w:rPr>
          <w:rFonts w:ascii="Times New Roman" w:cs="Times New Roman" w:eastAsia="Times New Roman" w:hAnsi="Times New Roman"/>
          <w:sz w:val="21"/>
          <w:szCs w:val="21"/>
          <w:color w:val="auto"/>
        </w:rPr>
        <w:t>. On the date of each Borrowing and on the date of each issuance,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extension or renewal of a Letter of Credit (each such event being called a “</w:t>
      </w:r>
      <w:r>
        <w:rPr>
          <w:rFonts w:ascii="Times New Roman" w:cs="Times New Roman" w:eastAsia="Times New Roman" w:hAnsi="Times New Roman"/>
          <w:sz w:val="21"/>
          <w:szCs w:val="21"/>
          <w:i w:val="1"/>
          <w:iCs w:val="1"/>
          <w:color w:val="auto"/>
        </w:rPr>
        <w:t>Credit Event</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both"/>
        <w:ind w:firstLine="1259"/>
        <w:spacing w:after="0" w:line="255" w:lineRule="auto"/>
        <w:tabs>
          <w:tab w:leader="none" w:pos="170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172" w:lineRule="exact"/>
        <w:rPr>
          <w:rFonts w:ascii="Times New Roman" w:cs="Times New Roman" w:eastAsia="Times New Roman" w:hAnsi="Times New Roman"/>
          <w:sz w:val="21"/>
          <w:szCs w:val="21"/>
          <w:color w:val="auto"/>
        </w:rPr>
      </w:pPr>
    </w:p>
    <w:p>
      <w:pPr>
        <w:jc w:val="both"/>
        <w:ind w:firstLine="1259"/>
        <w:spacing w:after="0" w:line="254" w:lineRule="auto"/>
        <w:tabs>
          <w:tab w:leader="none" w:pos="174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Article III hereof and in each other Loan Document shall be true and correct in all material respects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71" w:lineRule="exact"/>
        <w:rPr>
          <w:rFonts w:ascii="Times New Roman" w:cs="Times New Roman" w:eastAsia="Times New Roman" w:hAnsi="Times New Roman"/>
          <w:sz w:val="21"/>
          <w:szCs w:val="21"/>
          <w:color w:val="auto"/>
        </w:rPr>
      </w:pPr>
    </w:p>
    <w:p>
      <w:pPr>
        <w:jc w:val="both"/>
        <w:ind w:firstLine="1259"/>
        <w:spacing w:after="0" w:line="262" w:lineRule="auto"/>
        <w:tabs>
          <w:tab w:leader="none" w:pos="1798"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ectPr>
          <w:pgSz w:w="11900" w:h="16838" w:orient="portrait"/>
          <w:cols w:equalWidth="0" w:num="1">
            <w:col w:w="11240"/>
          </w:cols>
          <w:pgMar w:left="320" w:top="1380" w:right="339" w:bottom="1440" w:gutter="0" w:footer="0" w:header="0"/>
        </w:sectPr>
      </w:pPr>
    </w:p>
    <w:bookmarkStart w:id="181" w:name="page182"/>
    <w:bookmarkEnd w:id="181"/>
    <w:p>
      <w:pPr>
        <w:ind w:left="1760" w:hanging="501"/>
        <w:spacing w:after="0"/>
        <w:tabs>
          <w:tab w:leader="none" w:pos="176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giving effect to such Borrowing, no mandatory prepayment would be required under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2.12(d).</w:t>
      </w:r>
    </w:p>
    <w:p>
      <w:pPr>
        <w:spacing w:after="0" w:line="190" w:lineRule="exact"/>
        <w:rPr>
          <w:sz w:val="20"/>
          <w:szCs w:val="20"/>
          <w:color w:val="auto"/>
        </w:rPr>
      </w:pPr>
    </w:p>
    <w:p>
      <w:pPr>
        <w:jc w:val="both"/>
        <w:ind w:firstLine="1259"/>
        <w:spacing w:after="0" w:line="261" w:lineRule="auto"/>
        <w:tabs>
          <w:tab w:leader="none" w:pos="1797"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such Credit Event, the Parent Borrower is in compliance with the financial covenants described in Section 6.11 as of the most recently ended four (4) quarter period for which financial statements are required to be delivered under Section 5.04(a) or 5.04(b) or for which comparable financial statements have been filed with the SEC as if such Credit Event had occurred on the last day of such period.</w:t>
      </w:r>
    </w:p>
    <w:p>
      <w:pPr>
        <w:spacing w:after="0" w:line="167" w:lineRule="exact"/>
        <w:rPr>
          <w:sz w:val="20"/>
          <w:szCs w:val="20"/>
          <w:color w:val="auto"/>
        </w:rPr>
      </w:pPr>
    </w:p>
    <w:p>
      <w:pPr>
        <w:ind w:right="360" w:firstLine="627"/>
        <w:spacing w:after="0" w:line="277" w:lineRule="auto"/>
        <w:rPr>
          <w:sz w:val="20"/>
          <w:szCs w:val="20"/>
          <w:color w:val="auto"/>
        </w:rPr>
      </w:pPr>
      <w:r>
        <w:rPr>
          <w:rFonts w:ascii="Times New Roman" w:cs="Times New Roman" w:eastAsia="Times New Roman" w:hAnsi="Times New Roman"/>
          <w:sz w:val="21"/>
          <w:szCs w:val="21"/>
          <w:color w:val="auto"/>
        </w:rPr>
        <w:t>Each Credit Event shall be deemed to constitute a representation and warranty by the Borrowers on the date of such Credit Event as to the matters specified in paragraphs (b), (c), (d) and (e) of this Section 4.01.</w:t>
      </w:r>
    </w:p>
    <w:p>
      <w:pPr>
        <w:spacing w:after="0" w:line="157"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4.02</w:t>
      </w:r>
      <w:r>
        <w:rPr>
          <w:sz w:val="20"/>
          <w:szCs w:val="20"/>
          <w:color w:val="auto"/>
        </w:rPr>
        <w:tab/>
      </w:r>
      <w:r>
        <w:rPr>
          <w:rFonts w:ascii="Times New Roman" w:cs="Times New Roman" w:eastAsia="Times New Roman" w:hAnsi="Times New Roman"/>
          <w:sz w:val="20"/>
          <w:szCs w:val="20"/>
          <w:b w:val="1"/>
          <w:bCs w:val="1"/>
          <w:i w:val="1"/>
          <w:iCs w:val="1"/>
          <w:color w:val="auto"/>
        </w:rPr>
        <w:t>Conditions to Closing</w:t>
      </w:r>
      <w:r>
        <w:rPr>
          <w:rFonts w:ascii="Times New Roman" w:cs="Times New Roman" w:eastAsia="Times New Roman" w:hAnsi="Times New Roman"/>
          <w:sz w:val="20"/>
          <w:szCs w:val="20"/>
          <w:color w:val="auto"/>
        </w:rPr>
        <w:t>. On or before the Closing Date,</w:t>
      </w:r>
    </w:p>
    <w:p>
      <w:pPr>
        <w:spacing w:after="0" w:line="220" w:lineRule="exact"/>
        <w:rPr>
          <w:sz w:val="20"/>
          <w:szCs w:val="20"/>
          <w:color w:val="auto"/>
        </w:rPr>
      </w:pPr>
    </w:p>
    <w:p>
      <w:pPr>
        <w:ind w:firstLine="1259"/>
        <w:spacing w:after="0" w:line="277" w:lineRule="auto"/>
        <w:tabs>
          <w:tab w:leader="none" w:pos="1764"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Agents shall have received, on behalf of themselves, the Lenders and the Issuing Banks all documents necessary for the occurrence of the Closing Date, including, without limitation:</w:t>
      </w:r>
    </w:p>
    <w:p>
      <w:pPr>
        <w:spacing w:after="0" w:line="148" w:lineRule="exact"/>
        <w:rPr>
          <w:rFonts w:ascii="Times New Roman" w:cs="Times New Roman" w:eastAsia="Times New Roman" w:hAnsi="Times New Roman"/>
          <w:sz w:val="21"/>
          <w:szCs w:val="21"/>
          <w:color w:val="auto"/>
        </w:rPr>
      </w:pPr>
    </w:p>
    <w:p>
      <w:pPr>
        <w:ind w:left="2300" w:hanging="414"/>
        <w:spacing w:after="0"/>
        <w:tabs>
          <w:tab w:leader="none" w:pos="230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executed and delivered by the Agents, the Borrowers, the Lenders, and the Issuing Banks;</w:t>
      </w:r>
    </w:p>
    <w:p>
      <w:pPr>
        <w:spacing w:after="0" w:line="227" w:lineRule="exact"/>
        <w:rPr>
          <w:rFonts w:ascii="Times New Roman" w:cs="Times New Roman" w:eastAsia="Times New Roman" w:hAnsi="Times New Roman"/>
          <w:sz w:val="20"/>
          <w:szCs w:val="20"/>
          <w:color w:val="auto"/>
        </w:rPr>
      </w:pPr>
    </w:p>
    <w:p>
      <w:pPr>
        <w:ind w:left="2420" w:hanging="534"/>
        <w:spacing w:after="0"/>
        <w:tabs>
          <w:tab w:leader="none" w:pos="242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Note requested by a Lender pursuant to Section 2.04 of this Agreement payable to such requesting</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w:t>
      </w:r>
    </w:p>
    <w:p>
      <w:pPr>
        <w:spacing w:after="0" w:line="204" w:lineRule="exact"/>
        <w:rPr>
          <w:rFonts w:ascii="Times New Roman" w:cs="Times New Roman" w:eastAsia="Times New Roman" w:hAnsi="Times New Roman"/>
          <w:sz w:val="21"/>
          <w:szCs w:val="21"/>
          <w:color w:val="auto"/>
        </w:rPr>
      </w:pPr>
    </w:p>
    <w:p>
      <w:pPr>
        <w:jc w:val="both"/>
        <w:ind w:left="640" w:firstLine="1246"/>
        <w:spacing w:after="0" w:line="255" w:lineRule="auto"/>
        <w:tabs>
          <w:tab w:leader="none" w:pos="2574"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favorable written opinion of each of (1) Simpson Thacher &amp; Bartlett LLP, U.S. counsel for the Borrowers, (2) Dentons Canada LLP, Canadian counsel to the Parent Borrower, and (3) Arnold Bloch Leibler, Australian counsel to the Secured Parties, in each case (A) dated as of the Closing Date, (B) addressed to the Administrative Agents, the Collateral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172"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546"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as to the good standing or, if applicable,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163" w:lineRule="exact"/>
        <w:rPr>
          <w:rFonts w:ascii="Times New Roman" w:cs="Times New Roman" w:eastAsia="Times New Roman" w:hAnsi="Times New Roman"/>
          <w:sz w:val="21"/>
          <w:szCs w:val="21"/>
          <w:color w:val="auto"/>
        </w:rPr>
      </w:pPr>
    </w:p>
    <w:p>
      <w:pPr>
        <w:jc w:val="both"/>
        <w:ind w:left="640" w:firstLine="1246"/>
        <w:spacing w:after="0" w:line="257" w:lineRule="auto"/>
        <w:tabs>
          <w:tab w:leader="none" w:pos="2452"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Responsible Officer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w:t>
      </w:r>
    </w:p>
    <w:p>
      <w:pPr>
        <w:sectPr>
          <w:pgSz w:w="11900" w:h="16838" w:orient="portrait"/>
          <w:cols w:equalWidth="0" w:num="1">
            <w:col w:w="11240"/>
          </w:cols>
          <w:pgMar w:left="320" w:top="1380" w:right="339" w:bottom="1440" w:gutter="0" w:footer="0" w:header="0"/>
        </w:sectPr>
      </w:pPr>
    </w:p>
    <w:bookmarkStart w:id="182" w:name="page183"/>
    <w:bookmarkEnd w:id="182"/>
    <w:p>
      <w:pPr>
        <w:jc w:val="both"/>
        <w:ind w:left="8"/>
        <w:spacing w:after="0" w:line="254" w:lineRule="auto"/>
        <w:rPr>
          <w:sz w:val="20"/>
          <w:szCs w:val="20"/>
          <w:color w:val="auto"/>
        </w:rPr>
      </w:pPr>
      <w:r>
        <w:rPr>
          <w:rFonts w:ascii="Times New Roman" w:cs="Times New Roman" w:eastAsia="Times New Roman" w:hAnsi="Times New Roman"/>
          <w:sz w:val="21"/>
          <w:szCs w:val="21"/>
          <w:color w:val="auto"/>
        </w:rPr>
        <w:t>Party other than an Australian Loan Party, attached thereto is a true and complete copy 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spacing w:after="0" w:line="171" w:lineRule="exact"/>
        <w:rPr>
          <w:sz w:val="20"/>
          <w:szCs w:val="20"/>
          <w:color w:val="auto"/>
        </w:rPr>
      </w:pPr>
    </w:p>
    <w:p>
      <w:pPr>
        <w:ind w:left="1788" w:hanging="534"/>
        <w:spacing w:after="0"/>
        <w:tabs>
          <w:tab w:leader="none" w:pos="1788"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dated the Closing Date and signed by a Financial Officer of the Parent Borrower, certifying</w:t>
      </w:r>
    </w:p>
    <w:p>
      <w:pPr>
        <w:spacing w:after="0" w:line="30" w:lineRule="exact"/>
        <w:rPr>
          <w:rFonts w:ascii="Times New Roman" w:cs="Times New Roman" w:eastAsia="Times New Roman" w:hAnsi="Times New Roman"/>
          <w:sz w:val="21"/>
          <w:szCs w:val="21"/>
          <w:color w:val="auto"/>
        </w:rPr>
      </w:pPr>
    </w:p>
    <w:p>
      <w:pPr>
        <w:jc w:val="both"/>
        <w:ind w:left="8" w:hanging="8"/>
        <w:spacing w:after="0" w:line="251" w:lineRule="auto"/>
        <w:tabs>
          <w:tab w:leader="none" w:pos="31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with the conditions precedent set forth in Section 4.01(b) and (c), and (2) in each case after giving pro forma effect (using the criteria therefor described in Section 6.04(i)) to the initial Borrowing contemplated hereunder and the other transactions contemplated hereby, that (A) the Parent Borrower and its Subsidiaries, taken as a whole, will be Solvent on the Closing Date and (B) the Parent Borrower and its subsidiaries will be in pro forma compliance (using the criteria therefor described in Section 6.04(i)) with Sections 6.10 and 6.11 as of Closing Date;</w:t>
      </w:r>
    </w:p>
    <w:p>
      <w:pPr>
        <w:spacing w:after="0" w:line="176" w:lineRule="exact"/>
        <w:rPr>
          <w:rFonts w:ascii="Times New Roman" w:cs="Times New Roman" w:eastAsia="Times New Roman" w:hAnsi="Times New Roman"/>
          <w:sz w:val="21"/>
          <w:szCs w:val="21"/>
          <w:color w:val="auto"/>
        </w:rPr>
      </w:pPr>
    </w:p>
    <w:p>
      <w:pPr>
        <w:jc w:val="both"/>
        <w:ind w:left="8" w:firstLine="1246"/>
        <w:spacing w:after="0" w:line="253" w:lineRule="auto"/>
        <w:tabs>
          <w:tab w:leader="none" w:pos="1912"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Pledge Agreement duly executed by the parties thereto, under which the U.S. Borrower and each Domestic Subsidiary of the U.S. Borrower (other than any Domestic Subsidiary that is a subsidiary of a Foreign Subsidiary) shall pledge to the U.S. Collateral Agent for the ratable benefit of the Secured Parties, (i) all the outstanding Equity Interests of each Material Subsidiary of the U.S. Borrower that is a Domestic Subsidiary (other than any Domestic Subsidiary that is a subsidiary of a Foreign Subsidiary or a Domestic Subsidiary that is a FSHCO) and (ii) 65% (and no more than 65%) of the total outstanding voting Equity Interests and 100% of the total outstanding nonvoting Equity Interests (if any) of each Material Subsidiary that is (A) a Foreign Subsidiary whose Equity Interests are directly owned by the U.S. Borrower or any Domestic Subsidiary of the U.S. Borrower (other than any Domestic Subsidiary that is a subsidiary of a Foreign Subsidiary) or (B) a FSHCO, together with certificates representing such shares, if any, accompanied by instruments of transfer and stock powers endorsed in blank, shall be in the actual possession of the U.S. Collateral Agent, and the delivery of UCC-1 financing statements necessary to create a valid, legal and perfected first-priority Lien on the Collateral described therein (subject to any Lien expressly permitted by Section 6.02);</w:t>
      </w:r>
    </w:p>
    <w:p>
      <w:pPr>
        <w:spacing w:after="0" w:line="173" w:lineRule="exact"/>
        <w:rPr>
          <w:rFonts w:ascii="Times New Roman" w:cs="Times New Roman" w:eastAsia="Times New Roman" w:hAnsi="Times New Roman"/>
          <w:sz w:val="21"/>
          <w:szCs w:val="21"/>
          <w:color w:val="auto"/>
        </w:rPr>
      </w:pPr>
    </w:p>
    <w:p>
      <w:pPr>
        <w:jc w:val="both"/>
        <w:ind w:left="8" w:firstLine="1246"/>
        <w:spacing w:after="0" w:line="254" w:lineRule="auto"/>
        <w:tabs>
          <w:tab w:leader="none" w:pos="1963"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Canadian Pledge Agreement, duly executed by the parties thereto, and all the outstanding Equity Interests of the Canadian Subsidiary Guarantors as of the Closing Date shall have been duly and validly pledged thereunder to the Canadian Collateral Agent for the ratable benefit of the Secured Parties, together with certificates, if any, representing such Equity Interests, accompanied by instruments of transfer and stock powers endorsed in blank, shall be in the actual possession of the Canadian</w:t>
      </w:r>
    </w:p>
    <w:p>
      <w:pPr>
        <w:sectPr>
          <w:pgSz w:w="11900" w:h="16838" w:orient="portrait"/>
          <w:cols w:equalWidth="0" w:num="1">
            <w:col w:w="10608"/>
          </w:cols>
          <w:pgMar w:left="952" w:top="1380" w:right="339" w:bottom="1440" w:gutter="0" w:footer="0" w:header="0"/>
        </w:sectPr>
      </w:pPr>
    </w:p>
    <w:bookmarkStart w:id="183" w:name="page184"/>
    <w:bookmarkEnd w:id="183"/>
    <w:p>
      <w:pPr>
        <w:jc w:val="both"/>
        <w:spacing w:after="0" w:line="262" w:lineRule="auto"/>
        <w:rPr>
          <w:sz w:val="20"/>
          <w:szCs w:val="20"/>
          <w:color w:val="auto"/>
        </w:rPr>
      </w:pPr>
      <w:r>
        <w:rPr>
          <w:rFonts w:ascii="Times New Roman" w:cs="Times New Roman" w:eastAsia="Times New Roman" w:hAnsi="Times New Roman"/>
          <w:sz w:val="21"/>
          <w:szCs w:val="21"/>
          <w:color w:val="auto"/>
        </w:rPr>
        <w:t>Collateral Agent and, if required, the delivery of the applicable financing statements registered at the applicable personal property registry in Canada necessary to create a valid, legal and perfected first-priority Lien on the Collateral described therein (subject to any Lien expressly permitted by Section 6.02);</w:t>
      </w:r>
    </w:p>
    <w:p>
      <w:pPr>
        <w:spacing w:after="0" w:line="176" w:lineRule="exact"/>
        <w:rPr>
          <w:sz w:val="20"/>
          <w:szCs w:val="20"/>
          <w:color w:val="auto"/>
        </w:rPr>
      </w:pPr>
    </w:p>
    <w:p>
      <w:pPr>
        <w:jc w:val="both"/>
        <w:ind w:firstLine="1246"/>
        <w:spacing w:after="0" w:line="254" w:lineRule="auto"/>
        <w:tabs>
          <w:tab w:leader="none" w:pos="179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Security Agreement and Canadian Security Agreement duly executed by the Loan Parties party thereto and in respect of each of the U.S. Security Agreement and Canadian Security Agreement, each document (including each financing statement) required by law or reasonably requested by the Applicable Collateral Agents to be filed, registered or in order to create in favor of the Applicable Collateral Agent for the benefit of the Secured Parties a valid, legal and perfected first-priority Lien on the Collateral (subject to any Lien expressly permitted by Section 6.02) described in such agreement (which, for the avoidance of doubt, shall exclude any property or assets the granting of a Lien on which would result in material adverse tax consequences to the U.S. Borrower or any Subsidiary);</w:t>
      </w:r>
    </w:p>
    <w:p>
      <w:pPr>
        <w:spacing w:after="0" w:line="171" w:lineRule="exact"/>
        <w:rPr>
          <w:rFonts w:ascii="Times New Roman" w:cs="Times New Roman" w:eastAsia="Times New Roman" w:hAnsi="Times New Roman"/>
          <w:sz w:val="21"/>
          <w:szCs w:val="21"/>
          <w:color w:val="auto"/>
        </w:rPr>
      </w:pPr>
    </w:p>
    <w:p>
      <w:pPr>
        <w:jc w:val="both"/>
        <w:ind w:firstLine="1246"/>
        <w:spacing w:after="0" w:line="252" w:lineRule="auto"/>
        <w:tabs>
          <w:tab w:leader="none" w:pos="184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results of (i) a search of the Uniform Commercial Code filings or (ii)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preceding paragraph), together with copies of the financing statements (or similar documents) disclosed by such search, and accompanied by evidence satisfactory to the Collateral Agents that the Liens indicated in any such financing statement (or similar document) would be permitted under Section 6.02 or have been or will be contemporaneously released or terminated on the Closing Date;</w:t>
      </w:r>
    </w:p>
    <w:p>
      <w:pPr>
        <w:spacing w:after="0" w:line="187" w:lineRule="exact"/>
        <w:rPr>
          <w:rFonts w:ascii="Times New Roman" w:cs="Times New Roman" w:eastAsia="Times New Roman" w:hAnsi="Times New Roman"/>
          <w:sz w:val="21"/>
          <w:szCs w:val="21"/>
          <w:color w:val="auto"/>
        </w:rPr>
      </w:pPr>
    </w:p>
    <w:p>
      <w:pPr>
        <w:jc w:val="both"/>
        <w:ind w:firstLine="1246"/>
        <w:spacing w:after="0" w:line="262" w:lineRule="auto"/>
        <w:tabs>
          <w:tab w:leader="none" w:pos="1879"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U.S. Guarantee Agreement, duly executed by the parties thereto, (ii) the Canadian Guarantee Agreement, duly executed by the parties thereto and (iii) the Australian Guarantee Agreement duly executed by the parties thereto;</w:t>
      </w:r>
    </w:p>
    <w:p>
      <w:pPr>
        <w:spacing w:after="0" w:line="163" w:lineRule="exact"/>
        <w:rPr>
          <w:rFonts w:ascii="Times New Roman" w:cs="Times New Roman" w:eastAsia="Times New Roman" w:hAnsi="Times New Roman"/>
          <w:sz w:val="21"/>
          <w:szCs w:val="21"/>
          <w:color w:val="auto"/>
        </w:rPr>
      </w:pPr>
    </w:p>
    <w:p>
      <w:pPr>
        <w:jc w:val="both"/>
        <w:ind w:firstLine="1246"/>
        <w:spacing w:after="0" w:line="254" w:lineRule="auto"/>
        <w:tabs>
          <w:tab w:leader="none" w:pos="187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Australian Security Documents duly executed by the parties thereto, and all the outstanding Equity Interests of the Australian Subsidiary Guarantors as of the Closing Date shall have been duly and validly pledged thereunder to the Australian Collateral Agent for the ratable benefit of the Secured Parties, together with certificates, if any, representing such Equity Interests, accompanied by instruments of transfer and stock powers endorsed in blank, shall be in the actual possession of the Australian Collateral Agent and, if required, the delivery of the applicable financing statements registered at the applicable personal property registry in Australia necessary to create a valid, legal and perfected first-priority Lien on the Collateral described therein (subject to any Lien expressly permitted by Section 6.02);</w:t>
      </w:r>
    </w:p>
    <w:p>
      <w:pPr>
        <w:spacing w:after="0" w:line="171" w:lineRule="exact"/>
        <w:rPr>
          <w:rFonts w:ascii="Times New Roman" w:cs="Times New Roman" w:eastAsia="Times New Roman" w:hAnsi="Times New Roman"/>
          <w:sz w:val="21"/>
          <w:szCs w:val="21"/>
          <w:color w:val="auto"/>
        </w:rPr>
      </w:pPr>
    </w:p>
    <w:p>
      <w:pPr>
        <w:ind w:firstLine="1246"/>
        <w:spacing w:after="0" w:line="290" w:lineRule="auto"/>
        <w:tabs>
          <w:tab w:leader="none" w:pos="2011"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documentation and other information that the Administrative Agents, the Lead Arranger or the Lenders shall have requested in order to comply with</w:t>
      </w:r>
    </w:p>
    <w:p>
      <w:pPr>
        <w:sectPr>
          <w:pgSz w:w="11900" w:h="16838" w:orient="portrait"/>
          <w:cols w:equalWidth="0" w:num="1">
            <w:col w:w="10600"/>
          </w:cols>
          <w:pgMar w:left="960" w:top="1380" w:right="339" w:bottom="1440" w:gutter="0" w:footer="0" w:header="0"/>
        </w:sectPr>
      </w:pPr>
    </w:p>
    <w:bookmarkStart w:id="184" w:name="page185"/>
    <w:bookmarkEnd w:id="184"/>
    <w:p>
      <w:pPr>
        <w:jc w:val="both"/>
        <w:spacing w:after="0" w:line="262" w:lineRule="auto"/>
        <w:rPr>
          <w:sz w:val="20"/>
          <w:szCs w:val="20"/>
          <w:color w:val="auto"/>
        </w:rPr>
      </w:pPr>
      <w:r>
        <w:rPr>
          <w:rFonts w:ascii="Times New Roman" w:cs="Times New Roman" w:eastAsia="Times New Roman" w:hAnsi="Times New Roman"/>
          <w:sz w:val="21"/>
          <w:szCs w:val="21"/>
          <w:color w:val="auto"/>
        </w:rPr>
        <w:t>their respective obligations under applicable “know your customer” and anti-money laundering rules and regulations, including the Patriot Act, in each case to the extent such documentation and other information shall have been reasonably requested not less than five (5) Business Days prior to the Closing Date; and</w:t>
      </w:r>
    </w:p>
    <w:p>
      <w:pPr>
        <w:spacing w:after="0" w:line="176" w:lineRule="exact"/>
        <w:rPr>
          <w:sz w:val="20"/>
          <w:szCs w:val="20"/>
          <w:color w:val="auto"/>
        </w:rPr>
      </w:pPr>
    </w:p>
    <w:p>
      <w:pPr>
        <w:ind w:left="2120" w:hanging="874"/>
        <w:spacing w:after="0"/>
        <w:tabs>
          <w:tab w:leader="none" w:pos="2120" w:val="left"/>
        </w:tabs>
        <w:numPr>
          <w:ilvl w:val="1"/>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documents as Administrative Agent or special counsel to Administrative Agent may</w:t>
      </w:r>
    </w:p>
    <w:p>
      <w:pPr>
        <w:spacing w:after="0" w:line="3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reasonably request;</w:t>
      </w:r>
    </w:p>
    <w:p>
      <w:pPr>
        <w:spacing w:after="0" w:line="191" w:lineRule="exact"/>
        <w:rPr>
          <w:rFonts w:ascii="Times New Roman" w:cs="Times New Roman" w:eastAsia="Times New Roman" w:hAnsi="Times New Roman"/>
          <w:sz w:val="21"/>
          <w:szCs w:val="21"/>
          <w:color w:val="auto"/>
        </w:rPr>
      </w:pPr>
    </w:p>
    <w:p>
      <w:pPr>
        <w:jc w:val="both"/>
        <w:ind w:left="-640" w:firstLine="1259"/>
        <w:spacing w:after="0" w:line="257" w:lineRule="auto"/>
        <w:tabs>
          <w:tab w:leader="none" w:pos="1216"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(i) evidence satisfactory to the Administrative Agent that all Indebtedness under the Existing Credit Agreement shall be simultaneously terminated and all amounts thereunder shall be simultaneously repaid in full and (ii) to the extent requested by the Administrative Agent, evidence that arrangements satisfactory to the Administrative Agent shall have been made for the termination and release of guarantees, Liens and security interests granted in connection with the Existing Credit Agreement in a form reasonably satisfactory to the Administrative Agent;</w:t>
      </w:r>
    </w:p>
    <w:p>
      <w:pPr>
        <w:spacing w:after="0" w:line="170" w:lineRule="exact"/>
        <w:rPr>
          <w:rFonts w:ascii="Times New Roman" w:cs="Times New Roman" w:eastAsia="Times New Roman" w:hAnsi="Times New Roman"/>
          <w:sz w:val="21"/>
          <w:szCs w:val="21"/>
          <w:color w:val="auto"/>
        </w:rPr>
      </w:pPr>
    </w:p>
    <w:p>
      <w:pPr>
        <w:jc w:val="both"/>
        <w:ind w:left="-640" w:firstLine="1259"/>
        <w:spacing w:after="0" w:line="257" w:lineRule="auto"/>
        <w:tabs>
          <w:tab w:leader="none" w:pos="1061"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Agents and the Lead Arranger shall have received all Fees and other amounts due and payable on or prior to the Closing Date, including, without limitation, (i) to the extent invoiced, reimbursement or payment of all out-of-pocket expenses (including, without limitation, the reasonable fees, charges and disbursements of counsel for the Agents) required to be reimbursed or paid by the Borrowers hereunder, under this Agreement or under any other Loan Document and (ii) all Fees and other amounts due and payable under the Fee Letter;</w:t>
      </w:r>
    </w:p>
    <w:p>
      <w:pPr>
        <w:spacing w:after="0" w:line="170" w:lineRule="exact"/>
        <w:rPr>
          <w:rFonts w:ascii="Times New Roman" w:cs="Times New Roman" w:eastAsia="Times New Roman" w:hAnsi="Times New Roman"/>
          <w:sz w:val="21"/>
          <w:szCs w:val="21"/>
          <w:color w:val="auto"/>
        </w:rPr>
      </w:pPr>
    </w:p>
    <w:p>
      <w:pPr>
        <w:jc w:val="both"/>
        <w:ind w:left="-640" w:firstLine="1259"/>
        <w:spacing w:after="0" w:line="254" w:lineRule="auto"/>
        <w:tabs>
          <w:tab w:leader="none" w:pos="1117"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Article III hereof and in each other Loan Document shall be true and correct in all material respects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71" w:lineRule="exact"/>
        <w:rPr>
          <w:rFonts w:ascii="Times New Roman" w:cs="Times New Roman" w:eastAsia="Times New Roman" w:hAnsi="Times New Roman"/>
          <w:sz w:val="21"/>
          <w:szCs w:val="21"/>
          <w:color w:val="auto"/>
        </w:rPr>
      </w:pPr>
    </w:p>
    <w:p>
      <w:pPr>
        <w:jc w:val="both"/>
        <w:ind w:left="-640" w:firstLine="1259"/>
        <w:spacing w:after="0" w:line="268" w:lineRule="auto"/>
        <w:tabs>
          <w:tab w:leader="none" w:pos="106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 and</w:t>
      </w:r>
    </w:p>
    <w:p>
      <w:pPr>
        <w:spacing w:after="0" w:line="158" w:lineRule="exact"/>
        <w:rPr>
          <w:rFonts w:ascii="Times New Roman" w:cs="Times New Roman" w:eastAsia="Times New Roman" w:hAnsi="Times New Roman"/>
          <w:sz w:val="21"/>
          <w:szCs w:val="21"/>
          <w:color w:val="auto"/>
        </w:rPr>
      </w:pPr>
    </w:p>
    <w:p>
      <w:pPr>
        <w:ind w:left="-640" w:firstLine="1259"/>
        <w:spacing w:after="0" w:line="277" w:lineRule="auto"/>
        <w:tabs>
          <w:tab w:leader="none" w:pos="1033"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must be at least U.S.$25,000,000 of the Revolving Commitments unused and available (after giving effect to any Borrowings on the Closing Date).</w:t>
      </w:r>
    </w:p>
    <w:p>
      <w:pPr>
        <w:sectPr>
          <w:pgSz w:w="11900" w:h="16838" w:orient="portrait"/>
          <w:cols w:equalWidth="0" w:num="1">
            <w:col w:w="10600"/>
          </w:cols>
          <w:pgMar w:left="960" w:top="1380" w:right="339" w:bottom="1440" w:gutter="0" w:footer="0" w:header="0"/>
        </w:sectPr>
      </w:pPr>
    </w:p>
    <w:bookmarkStart w:id="185" w:name="page186"/>
    <w:bookmarkEnd w:id="185"/>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AFFIRMATIVE COVENANTS</w:t>
      </w:r>
    </w:p>
    <w:p>
      <w:pPr>
        <w:spacing w:after="0" w:line="220" w:lineRule="exact"/>
        <w:rPr>
          <w:sz w:val="20"/>
          <w:szCs w:val="20"/>
          <w:color w:val="auto"/>
        </w:rPr>
      </w:pPr>
    </w:p>
    <w:p>
      <w:pPr>
        <w:ind w:right="180" w:firstLine="627"/>
        <w:spacing w:after="0" w:line="257" w:lineRule="auto"/>
        <w:rPr>
          <w:sz w:val="20"/>
          <w:szCs w:val="20"/>
          <w:color w:val="auto"/>
        </w:rPr>
      </w:pPr>
      <w:r>
        <w:rPr>
          <w:rFonts w:ascii="Times New Roman" w:cs="Times New Roman" w:eastAsia="Times New Roman" w:hAnsi="Times New Roman"/>
          <w:sz w:val="21"/>
          <w:szCs w:val="21"/>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67"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5.01 </w:t>
      </w:r>
      <w:r>
        <w:rPr>
          <w:rFonts w:ascii="Times New Roman" w:cs="Times New Roman" w:eastAsia="Times New Roman" w:hAnsi="Times New Roman"/>
          <w:sz w:val="21"/>
          <w:szCs w:val="21"/>
          <w:b w:val="1"/>
          <w:bCs w:val="1"/>
          <w:i w:val="1"/>
          <w:iCs w:val="1"/>
          <w:color w:val="auto"/>
        </w:rPr>
        <w:t>Existence; Businesses and Properties</w:t>
      </w:r>
      <w:r>
        <w:rPr>
          <w:rFonts w:ascii="Times New Roman" w:cs="Times New Roman" w:eastAsia="Times New Roman" w:hAnsi="Times New Roman"/>
          <w:sz w:val="21"/>
          <w:szCs w:val="21"/>
          <w:color w:val="auto"/>
        </w:rPr>
        <w:t>. (a) Do or cause to be done all things necessary to preserve, renew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keep in full force and 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68" w:lineRule="exact"/>
        <w:rPr>
          <w:sz w:val="20"/>
          <w:szCs w:val="20"/>
          <w:color w:val="auto"/>
        </w:rPr>
      </w:pPr>
    </w:p>
    <w:p>
      <w:pPr>
        <w:jc w:val="both"/>
        <w:ind w:firstLine="1259"/>
        <w:spacing w:after="0" w:line="268" w:lineRule="auto"/>
        <w:tabs>
          <w:tab w:leader="none" w:pos="1717"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58" w:lineRule="exact"/>
        <w:rPr>
          <w:rFonts w:ascii="Times New Roman" w:cs="Times New Roman" w:eastAsia="Times New Roman" w:hAnsi="Times New Roman"/>
          <w:sz w:val="21"/>
          <w:szCs w:val="21"/>
          <w:color w:val="auto"/>
        </w:rPr>
      </w:pPr>
    </w:p>
    <w:p>
      <w:pPr>
        <w:jc w:val="both"/>
        <w:ind w:firstLine="1259"/>
        <w:spacing w:after="0" w:line="253" w:lineRule="auto"/>
        <w:tabs>
          <w:tab w:leader="none" w:pos="170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169"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5.02 </w:t>
      </w:r>
      <w:r>
        <w:rPr>
          <w:rFonts w:ascii="Times New Roman" w:cs="Times New Roman" w:eastAsia="Times New Roman" w:hAnsi="Times New Roman"/>
          <w:sz w:val="21"/>
          <w:szCs w:val="21"/>
          <w:b w:val="1"/>
          <w:bCs w:val="1"/>
          <w:i w:val="1"/>
          <w:iCs w:val="1"/>
          <w:color w:val="auto"/>
        </w:rPr>
        <w:t>Insurance</w:t>
      </w:r>
      <w:r>
        <w:rPr>
          <w:rFonts w:ascii="Times New Roman" w:cs="Times New Roman" w:eastAsia="Times New Roman" w:hAnsi="Times New Roman"/>
          <w:sz w:val="21"/>
          <w:szCs w:val="21"/>
          <w:color w:val="auto"/>
        </w:rPr>
        <w:t>. (a) Maintain insurance with insurance providers that it reasonably considers to be financially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sound (including captive insurance companies, or through self-insurance), in such amounts, with such deductibles and covering such risks and liabilities as are consistent with its past practices.</w:t>
      </w:r>
    </w:p>
    <w:p>
      <w:pPr>
        <w:spacing w:after="0" w:line="161" w:lineRule="exact"/>
        <w:rPr>
          <w:sz w:val="20"/>
          <w:szCs w:val="20"/>
          <w:color w:val="auto"/>
        </w:rPr>
      </w:pPr>
    </w:p>
    <w:p>
      <w:pPr>
        <w:ind w:firstLine="1259"/>
        <w:spacing w:after="0" w:line="290" w:lineRule="auto"/>
        <w:tabs>
          <w:tab w:leader="none" w:pos="1893"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Cause all such policies (other than policies relating to public liability, third party claims or workers’ compensation) covering any Collateral to be endorsed or otherwise</w:t>
      </w:r>
    </w:p>
    <w:p>
      <w:pPr>
        <w:sectPr>
          <w:pgSz w:w="11900" w:h="16838" w:orient="portrait"/>
          <w:cols w:equalWidth="0" w:num="1">
            <w:col w:w="11240"/>
          </w:cols>
          <w:pgMar w:left="320" w:top="1369" w:right="339" w:bottom="1440" w:gutter="0" w:footer="0" w:header="0"/>
        </w:sectPr>
      </w:pPr>
    </w:p>
    <w:bookmarkStart w:id="186" w:name="page187"/>
    <w:bookmarkEnd w:id="186"/>
    <w:p>
      <w:pPr>
        <w:jc w:val="both"/>
        <w:spacing w:after="0" w:line="250" w:lineRule="auto"/>
        <w:rPr>
          <w:sz w:val="20"/>
          <w:szCs w:val="20"/>
          <w:color w:val="auto"/>
        </w:rPr>
      </w:pPr>
      <w:r>
        <w:rPr>
          <w:rFonts w:ascii="Times New Roman" w:cs="Times New Roman" w:eastAsia="Times New Roman" w:hAnsi="Times New Roman"/>
          <w:sz w:val="21"/>
          <w:szCs w:val="21"/>
          <w:color w:val="auto"/>
        </w:rPr>
        <w:t>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Closing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w:t>
      </w:r>
    </w:p>
    <w:p>
      <w:pPr>
        <w:spacing w:after="0" w:line="190" w:lineRule="exact"/>
        <w:rPr>
          <w:sz w:val="20"/>
          <w:szCs w:val="20"/>
          <w:color w:val="auto"/>
        </w:rPr>
      </w:pPr>
    </w:p>
    <w:p>
      <w:pPr>
        <w:jc w:val="both"/>
        <w:ind w:firstLine="1259"/>
        <w:spacing w:after="0" w:line="268" w:lineRule="auto"/>
        <w:tabs>
          <w:tab w:leader="none" w:pos="1709"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w:t>
      </w:r>
    </w:p>
    <w:p>
      <w:pPr>
        <w:spacing w:after="0" w:line="154"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5.03 </w:t>
      </w:r>
      <w:r>
        <w:rPr>
          <w:rFonts w:ascii="Times New Roman" w:cs="Times New Roman" w:eastAsia="Times New Roman" w:hAnsi="Times New Roman"/>
          <w:sz w:val="21"/>
          <w:szCs w:val="21"/>
          <w:b w:val="1"/>
          <w:bCs w:val="1"/>
          <w:i w:val="1"/>
          <w:iCs w:val="1"/>
          <w:color w:val="auto"/>
        </w:rPr>
        <w:t>Obligations and Taxes</w:t>
      </w:r>
      <w:r>
        <w:rPr>
          <w:rFonts w:ascii="Times New Roman" w:cs="Times New Roman" w:eastAsia="Times New Roman" w:hAnsi="Times New Roman"/>
          <w:sz w:val="21"/>
          <w:szCs w:val="21"/>
          <w:color w:val="auto"/>
        </w:rPr>
        <w:t>. Pay its Indebtedness and other obligations promptly and in accordance with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terms and pay and 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such payment and discharge shall not be required with respect to any such obligation Tax, assessment, charge,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levy or claim so long as the validity or amount thereof shall be contested in good faith by appropriate proceedings and applicable Borrower or Subsidiary shall have set aside on its books adequate reserves with respect thereto in accordance with GAAP or other applicable accounting principles, and such contest operates to suspend collection of the contested obligation, tax, assessment or charge and enforcement of a Lien.</w:t>
      </w:r>
    </w:p>
    <w:p>
      <w:pPr>
        <w:sectPr>
          <w:pgSz w:w="11900" w:h="16838" w:orient="portrait"/>
          <w:cols w:equalWidth="0" w:num="1">
            <w:col w:w="11240"/>
          </w:cols>
          <w:pgMar w:left="320" w:top="1380" w:right="339" w:bottom="1440" w:gutter="0" w:footer="0" w:header="0"/>
        </w:sectPr>
      </w:pPr>
    </w:p>
    <w:bookmarkStart w:id="187" w:name="page188"/>
    <w:bookmarkEnd w:id="187"/>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5.04</w:t>
      </w:r>
      <w:r>
        <w:rPr>
          <w:sz w:val="20"/>
          <w:szCs w:val="20"/>
          <w:color w:val="auto"/>
        </w:rPr>
        <w:tab/>
      </w:r>
      <w:r>
        <w:rPr>
          <w:rFonts w:ascii="Times New Roman" w:cs="Times New Roman" w:eastAsia="Times New Roman" w:hAnsi="Times New Roman"/>
          <w:sz w:val="20"/>
          <w:szCs w:val="20"/>
          <w:b w:val="1"/>
          <w:bCs w:val="1"/>
          <w:i w:val="1"/>
          <w:iCs w:val="1"/>
          <w:color w:val="auto"/>
        </w:rPr>
        <w:t>Financial Statements, Reports, etc.</w:t>
      </w:r>
      <w:r>
        <w:rPr>
          <w:rFonts w:ascii="Times New Roman" w:cs="Times New Roman" w:eastAsia="Times New Roman" w:hAnsi="Times New Roman"/>
          <w:sz w:val="20"/>
          <w:szCs w:val="20"/>
          <w:color w:val="auto"/>
        </w:rPr>
        <w:t>. Furnish to the Administrative Agent and, in the case of Section 5.04(f)</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(g), the applicable Lender:</w:t>
      </w:r>
    </w:p>
    <w:p>
      <w:pPr>
        <w:spacing w:after="0" w:line="192" w:lineRule="exact"/>
        <w:rPr>
          <w:sz w:val="20"/>
          <w:szCs w:val="20"/>
          <w:color w:val="auto"/>
        </w:rPr>
      </w:pPr>
    </w:p>
    <w:p>
      <w:pPr>
        <w:jc w:val="both"/>
        <w:ind w:firstLine="1259"/>
        <w:spacing w:after="0" w:line="252" w:lineRule="auto"/>
        <w:tabs>
          <w:tab w:leader="none" w:pos="175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five Business Days after the date in each fiscal year on which the Parent Borrower is required to file its Annual Report on Form 10-K with the SEC (or would be required if the Parent Borrower is no longer required to file regular and periodic reports with the SEC), in each case without giving effect to any extension thereof, the audited consolidated balance sheet and related consolidated statements of operations, changes in shareholders’ equity, comprehensive income and cash flows of the Parent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 the scope of such audit) to the effect that such consolidated financial statements fairly present in all material respects the financial condition and results of operations of the Parent Borrower and its consolidated subsidiaries on a consolidated basis in accordance with GAAP;</w:t>
      </w:r>
    </w:p>
    <w:p>
      <w:pPr>
        <w:spacing w:after="0" w:line="177" w:lineRule="exact"/>
        <w:rPr>
          <w:rFonts w:ascii="Times New Roman" w:cs="Times New Roman" w:eastAsia="Times New Roman" w:hAnsi="Times New Roman"/>
          <w:sz w:val="21"/>
          <w:szCs w:val="21"/>
          <w:color w:val="auto"/>
        </w:rPr>
      </w:pPr>
    </w:p>
    <w:p>
      <w:pPr>
        <w:jc w:val="both"/>
        <w:ind w:firstLine="1259"/>
        <w:spacing w:after="0" w:line="253" w:lineRule="auto"/>
        <w:tabs>
          <w:tab w:leader="none" w:pos="175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five Business Days after each date in each fiscal year on which the Parent Borrower is required to file a Quarterly Report on Form 10-Q with the SEC (or would be required if the Parent Borrower is no longer required to file regular and periodic reports with the SEC), in each case without giving effect to any extension thereof, the unaudited consolidated balance sheets and related consolidated statements of operations and cash flows of the Parent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Parent Borrower and its consolidated subsidiaries on a consolidated basis in accordance with GAAP, subject to normal year-end audit adjustments and the absence of footnotes;</w:t>
      </w:r>
    </w:p>
    <w:p>
      <w:pPr>
        <w:spacing w:after="0" w:line="178"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31"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any delivery of financial statements under paragraph (a) or (b) above, a certificate in the form of Exhibit F (a “</w:t>
      </w: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 of a Financial Officer (i) certifying that no Event of Default or Default has occurred or, if such an Event of Default or Default has occurred, specifying the nature and extent thereof and any corrective action taken or proposed to be taken with respect thereto and (ii) setting forth computations in detail reasonably satisfactory to the Agents demonstrating compliance with the Financial Covenants;</w:t>
      </w:r>
    </w:p>
    <w:p>
      <w:pPr>
        <w:spacing w:after="0" w:line="170" w:lineRule="exact"/>
        <w:rPr>
          <w:rFonts w:ascii="Times New Roman" w:cs="Times New Roman" w:eastAsia="Times New Roman" w:hAnsi="Times New Roman"/>
          <w:sz w:val="21"/>
          <w:szCs w:val="21"/>
          <w:color w:val="auto"/>
        </w:rPr>
      </w:pPr>
    </w:p>
    <w:p>
      <w:pPr>
        <w:jc w:val="both"/>
        <w:ind w:firstLine="1259"/>
        <w:spacing w:after="0" w:line="261" w:lineRule="auto"/>
        <w:tabs>
          <w:tab w:leader="none" w:pos="181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receipt thereof, copies of any audit or other reports delivered to the board of directors of the Parent Borrower (or the audit committee of such board) by an independent registered public accounting firm in connection with such firm’s audit of the consolidated financial statements of the Parent Borrower if such reports identify material weaknesses in internal controls over financial reporting of the Parent Borrower;</w:t>
      </w:r>
    </w:p>
    <w:p>
      <w:pPr>
        <w:sectPr>
          <w:pgSz w:w="11900" w:h="16838" w:orient="portrait"/>
          <w:cols w:equalWidth="0" w:num="1">
            <w:col w:w="11240"/>
          </w:cols>
          <w:pgMar w:left="320" w:top="1376" w:right="339" w:bottom="1440" w:gutter="0" w:footer="0" w:header="0"/>
        </w:sectPr>
      </w:pPr>
    </w:p>
    <w:bookmarkStart w:id="188" w:name="page189"/>
    <w:bookmarkEnd w:id="188"/>
    <w:p>
      <w:pPr>
        <w:jc w:val="both"/>
        <w:ind w:firstLine="1259"/>
        <w:spacing w:after="0" w:line="261" w:lineRule="auto"/>
        <w:tabs>
          <w:tab w:leader="none" w:pos="1711"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same become publicly available, copies of all periodic and other reports, proxy statements and other materials (other than filings under Section 16 of the Securities Exchange Act of 1934) filed by the Parent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64" w:lineRule="exact"/>
        <w:rPr>
          <w:rFonts w:ascii="Times New Roman" w:cs="Times New Roman" w:eastAsia="Times New Roman" w:hAnsi="Times New Roman"/>
          <w:sz w:val="21"/>
          <w:szCs w:val="21"/>
          <w:color w:val="auto"/>
        </w:rPr>
      </w:pPr>
    </w:p>
    <w:p>
      <w:pPr>
        <w:jc w:val="both"/>
        <w:ind w:firstLine="1259"/>
        <w:spacing w:after="0" w:line="262" w:lineRule="auto"/>
        <w:tabs>
          <w:tab w:leader="none" w:pos="1873"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163" w:lineRule="exact"/>
        <w:rPr>
          <w:rFonts w:ascii="Times New Roman" w:cs="Times New Roman" w:eastAsia="Times New Roman" w:hAnsi="Times New Roman"/>
          <w:sz w:val="21"/>
          <w:szCs w:val="21"/>
          <w:color w:val="auto"/>
        </w:rPr>
      </w:pPr>
    </w:p>
    <w:p>
      <w:pPr>
        <w:ind w:left="1820" w:hanging="561"/>
        <w:spacing w:after="0"/>
        <w:tabs>
          <w:tab w:leader="none" w:pos="182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 request by any Lender, an updated organizational chart of the Parent Borrower and its</w:t>
      </w:r>
    </w:p>
    <w:p>
      <w:pPr>
        <w:spacing w:after="0" w:line="3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subsidiaries; and</w:t>
      </w:r>
    </w:p>
    <w:p>
      <w:pPr>
        <w:spacing w:after="0" w:line="204" w:lineRule="exact"/>
        <w:rPr>
          <w:rFonts w:ascii="Times New Roman" w:cs="Times New Roman" w:eastAsia="Times New Roman" w:hAnsi="Times New Roman"/>
          <w:sz w:val="21"/>
          <w:szCs w:val="21"/>
          <w:color w:val="auto"/>
        </w:rPr>
      </w:pPr>
    </w:p>
    <w:p>
      <w:pPr>
        <w:jc w:val="both"/>
        <w:ind w:firstLine="1259"/>
        <w:spacing w:after="0" w:line="262" w:lineRule="auto"/>
        <w:tabs>
          <w:tab w:leader="none" w:pos="1835"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163" w:lineRule="exact"/>
        <w:rPr>
          <w:sz w:val="20"/>
          <w:szCs w:val="20"/>
          <w:color w:val="auto"/>
        </w:rPr>
      </w:pPr>
    </w:p>
    <w:p>
      <w:pPr>
        <w:ind w:firstLine="627"/>
        <w:spacing w:after="0" w:line="252" w:lineRule="auto"/>
        <w:rPr>
          <w:sz w:val="20"/>
          <w:szCs w:val="20"/>
          <w:color w:val="auto"/>
        </w:rPr>
      </w:pPr>
      <w:r>
        <w:rPr>
          <w:rFonts w:ascii="Times New Roman" w:cs="Times New Roman" w:eastAsia="Times New Roman" w:hAnsi="Times New Roman"/>
          <w:sz w:val="21"/>
          <w:szCs w:val="21"/>
          <w:color w:val="auto"/>
        </w:rPr>
        <w:t>Documents required to be delivered pursuant to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Parent Borrower’s website on the Internet at http://www.civeo.com, (ii) shall be available on the website of the SEC at http://www.sec.gov or (iii) shall have been posted on the Parent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Parent Borrower with any such request for delivery, and each Lender shall be solely responsible for requesting delivery to it or maintaining its copies of such documents.</w:t>
      </w:r>
    </w:p>
    <w:p>
      <w:pPr>
        <w:spacing w:after="0" w:line="177" w:lineRule="exact"/>
        <w:rPr>
          <w:sz w:val="20"/>
          <w:szCs w:val="20"/>
          <w:color w:val="auto"/>
        </w:rPr>
      </w:pPr>
    </w:p>
    <w:p>
      <w:pPr>
        <w:ind w:right="60" w:firstLine="627"/>
        <w:spacing w:after="0" w:line="254" w:lineRule="auto"/>
        <w:rPr>
          <w:sz w:val="20"/>
          <w:szCs w:val="20"/>
          <w:color w:val="auto"/>
        </w:rPr>
      </w:pPr>
      <w:r>
        <w:rPr>
          <w:rFonts w:ascii="Times New Roman" w:cs="Times New Roman" w:eastAsia="Times New Roman" w:hAnsi="Times New Roman"/>
          <w:sz w:val="21"/>
          <w:szCs w:val="21"/>
          <w:color w:val="auto"/>
        </w:rPr>
        <w:t>The Parent Borrower hereby acknowledges that (a) the Agents will make available to the Lenders and the Issuing Banks materials and/or information provided by or on behalf of the Loan Parties hereunder (collectively, the “</w:t>
      </w:r>
      <w:r>
        <w:rPr>
          <w:rFonts w:ascii="Times New Roman" w:cs="Times New Roman" w:eastAsia="Times New Roman" w:hAnsi="Times New Roman"/>
          <w:sz w:val="21"/>
          <w:szCs w:val="21"/>
          <w:i w:val="1"/>
          <w:iCs w:val="1"/>
          <w:color w:val="auto"/>
        </w:rPr>
        <w:t>Borrower Materials</w:t>
      </w:r>
      <w:r>
        <w:rPr>
          <w:rFonts w:ascii="Times New Roman" w:cs="Times New Roman" w:eastAsia="Times New Roman" w:hAnsi="Times New Roman"/>
          <w:sz w:val="21"/>
          <w:szCs w:val="21"/>
          <w:color w:val="auto"/>
        </w:rPr>
        <w:t>”) by posting the Borrower Materials on SyndTrak or another similar electronic system (the “</w:t>
      </w:r>
      <w:r>
        <w:rPr>
          <w:rFonts w:ascii="Times New Roman" w:cs="Times New Roman" w:eastAsia="Times New Roman" w:hAnsi="Times New Roman"/>
          <w:sz w:val="21"/>
          <w:szCs w:val="21"/>
          <w:i w:val="1"/>
          <w:iCs w:val="1"/>
          <w:color w:val="auto"/>
        </w:rPr>
        <w:t>Platform</w:t>
      </w:r>
      <w:r>
        <w:rPr>
          <w:rFonts w:ascii="Times New Roman" w:cs="Times New Roman" w:eastAsia="Times New Roman" w:hAnsi="Times New Roman"/>
          <w:sz w:val="21"/>
          <w:szCs w:val="21"/>
          <w:color w:val="auto"/>
        </w:rPr>
        <w:t>”) and (b) certain of the Lenders may be “public-side” Lenders (i.e., Lenders that do not wish to receive material non-public information with respect to any Loan Party or its securities) (each, a “</w:t>
      </w:r>
      <w:r>
        <w:rPr>
          <w:rFonts w:ascii="Times New Roman" w:cs="Times New Roman" w:eastAsia="Times New Roman" w:hAnsi="Times New Roman"/>
          <w:sz w:val="21"/>
          <w:szCs w:val="21"/>
          <w:i w:val="1"/>
          <w:iCs w:val="1"/>
          <w:color w:val="auto"/>
        </w:rPr>
        <w:t>Public Lender</w:t>
      </w:r>
      <w:r>
        <w:rPr>
          <w:rFonts w:ascii="Times New Roman" w:cs="Times New Roman" w:eastAsia="Times New Roman" w:hAnsi="Times New Roman"/>
          <w:sz w:val="21"/>
          <w:szCs w:val="21"/>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w:t>
      </w:r>
    </w:p>
    <w:p>
      <w:pPr>
        <w:sectPr>
          <w:pgSz w:w="11900" w:h="16838" w:orient="portrait"/>
          <w:cols w:equalWidth="0" w:num="1">
            <w:col w:w="11240"/>
          </w:cols>
          <w:pgMar w:left="320" w:top="1380" w:right="339" w:bottom="1440" w:gutter="0" w:footer="0" w:header="0"/>
        </w:sectPr>
      </w:pPr>
    </w:p>
    <w:bookmarkStart w:id="189" w:name="page190"/>
    <w:bookmarkEnd w:id="189"/>
    <w:p>
      <w:pPr>
        <w:ind w:right="80"/>
        <w:spacing w:after="0" w:line="255" w:lineRule="auto"/>
        <w:rPr>
          <w:sz w:val="20"/>
          <w:szCs w:val="20"/>
          <w:color w:val="auto"/>
        </w:rPr>
      </w:pPr>
      <w:r>
        <w:rPr>
          <w:rFonts w:ascii="Times New Roman" w:cs="Times New Roman" w:eastAsia="Times New Roman" w:hAnsi="Times New Roman"/>
          <w:sz w:val="21"/>
          <w:szCs w:val="21"/>
          <w:color w:val="auto"/>
        </w:rPr>
        <w:t>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to the extent such Borrower Materials constitute Information, they shall be treated as set forth in Section 9.16).</w:t>
      </w:r>
    </w:p>
    <w:p>
      <w:pPr>
        <w:spacing w:after="0" w:line="169" w:lineRule="exact"/>
        <w:rPr>
          <w:sz w:val="20"/>
          <w:szCs w:val="20"/>
          <w:color w:val="auto"/>
        </w:rPr>
      </w:pPr>
    </w:p>
    <w:p>
      <w:pPr>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5.05 </w:t>
      </w:r>
      <w:r>
        <w:rPr>
          <w:rFonts w:ascii="Times New Roman" w:cs="Times New Roman" w:eastAsia="Times New Roman" w:hAnsi="Times New Roman"/>
          <w:sz w:val="21"/>
          <w:szCs w:val="21"/>
          <w:b w:val="1"/>
          <w:bCs w:val="1"/>
          <w:i w:val="1"/>
          <w:iCs w:val="1"/>
          <w:color w:val="auto"/>
        </w:rPr>
        <w:t>Litigation and Other Notices</w:t>
      </w:r>
      <w:r>
        <w:rPr>
          <w:rFonts w:ascii="Times New Roman" w:cs="Times New Roman" w:eastAsia="Times New Roman" w:hAnsi="Times New Roman"/>
          <w:sz w:val="21"/>
          <w:szCs w:val="21"/>
          <w:color w:val="auto"/>
        </w:rPr>
        <w:t>. Upon obtaining knowledge thereof, furnish to the Administrative Agents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prompt written notice of the following:</w:t>
      </w:r>
    </w:p>
    <w:p>
      <w:pPr>
        <w:spacing w:after="0" w:line="157" w:lineRule="exact"/>
        <w:rPr>
          <w:sz w:val="20"/>
          <w:szCs w:val="20"/>
          <w:color w:val="auto"/>
        </w:rPr>
      </w:pPr>
    </w:p>
    <w:p>
      <w:pPr>
        <w:ind w:firstLine="1259"/>
        <w:spacing w:after="0" w:line="277" w:lineRule="auto"/>
        <w:tabs>
          <w:tab w:leader="none" w:pos="1727"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of Default or Default, specifying the nature and extent thereof and the corrective action (if any) taken or proposed to be taken with respect thereto;</w:t>
      </w:r>
    </w:p>
    <w:p>
      <w:pPr>
        <w:spacing w:after="0" w:line="148" w:lineRule="exact"/>
        <w:rPr>
          <w:rFonts w:ascii="Times New Roman" w:cs="Times New Roman" w:eastAsia="Times New Roman" w:hAnsi="Times New Roman"/>
          <w:sz w:val="21"/>
          <w:szCs w:val="21"/>
          <w:color w:val="auto"/>
        </w:rPr>
      </w:pPr>
    </w:p>
    <w:p>
      <w:pPr>
        <w:jc w:val="both"/>
        <w:ind w:firstLine="1259"/>
        <w:spacing w:after="0" w:line="262" w:lineRule="auto"/>
        <w:tabs>
          <w:tab w:leader="none" w:pos="1773"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163" w:lineRule="exact"/>
        <w:rPr>
          <w:rFonts w:ascii="Times New Roman" w:cs="Times New Roman" w:eastAsia="Times New Roman" w:hAnsi="Times New Roman"/>
          <w:sz w:val="21"/>
          <w:szCs w:val="21"/>
          <w:color w:val="auto"/>
        </w:rPr>
      </w:pPr>
    </w:p>
    <w:p>
      <w:pPr>
        <w:jc w:val="both"/>
        <w:ind w:firstLine="1259"/>
        <w:spacing w:after="0" w:line="268" w:lineRule="auto"/>
        <w:tabs>
          <w:tab w:leader="none" w:pos="1706"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ERISA Event or analogous event with respect to a Canadian Pension Plan, Defined Benefit Plan or Canadian Benefit Plan that, alone or together with any other such events that have occurred, could reasonably be expected to result in a Material Adverse Effect;</w:t>
      </w:r>
    </w:p>
    <w:p>
      <w:pPr>
        <w:spacing w:after="0" w:line="158" w:lineRule="exact"/>
        <w:rPr>
          <w:rFonts w:ascii="Times New Roman" w:cs="Times New Roman" w:eastAsia="Times New Roman" w:hAnsi="Times New Roman"/>
          <w:sz w:val="21"/>
          <w:szCs w:val="21"/>
          <w:color w:val="auto"/>
        </w:rPr>
      </w:pPr>
    </w:p>
    <w:p>
      <w:pPr>
        <w:jc w:val="both"/>
        <w:ind w:firstLine="1259"/>
        <w:spacing w:after="0" w:line="253" w:lineRule="auto"/>
        <w:tabs>
          <w:tab w:leader="none" w:pos="1911"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any form of written notice, summons, material correspondence or citation received from any Governmental Authority or any other person, (i) concerning material violations or alleged violations of Environmental Laws, which seeks or threatens to impose liability on the Parent Borrower or its Subsidiaries therefor, (ii) alleging liability for any material action or omission on the part of the Parent Borrower or any of its Subsidiaries in connection with any Release of Hazardous Material, (iii) providing any written notice of potential responsibility or liability under any Environmental Law, or (iv) concerning the filing of a Lien other than a Lien permitted by Section 6.02 upon, against or in connection with the Parent Borrower or any of its Subsidiaries, or any of their leased or owned material property, wherever located, in each of cases (i) through (iv) that, individually or in the aggregate, could reasonably be expected to result in a liability (to the extent not covered by insurance) of the Parent Borrower or any of its Subsidiaries in an aggregate amount exceeding $25,000,000; or</w:t>
      </w:r>
    </w:p>
    <w:p>
      <w:pPr>
        <w:spacing w:after="0" w:line="178" w:lineRule="exact"/>
        <w:rPr>
          <w:rFonts w:ascii="Times New Roman" w:cs="Times New Roman" w:eastAsia="Times New Roman" w:hAnsi="Times New Roman"/>
          <w:sz w:val="21"/>
          <w:szCs w:val="21"/>
          <w:color w:val="auto"/>
        </w:rPr>
      </w:pPr>
    </w:p>
    <w:p>
      <w:pPr>
        <w:ind w:left="1700" w:hanging="441"/>
        <w:spacing w:after="0"/>
        <w:tabs>
          <w:tab w:leader="none" w:pos="170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development that has resulted in, or could reasonably be expected to result in, a Material Adverse Effect.</w:t>
      </w:r>
    </w:p>
    <w:p>
      <w:pPr>
        <w:spacing w:after="0" w:line="212"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5.06 </w:t>
      </w:r>
      <w:r>
        <w:rPr>
          <w:rFonts w:ascii="Times New Roman" w:cs="Times New Roman" w:eastAsia="Times New Roman" w:hAnsi="Times New Roman"/>
          <w:sz w:val="21"/>
          <w:szCs w:val="21"/>
          <w:b w:val="1"/>
          <w:bCs w:val="1"/>
          <w:i w:val="1"/>
          <w:iCs w:val="1"/>
          <w:color w:val="auto"/>
        </w:rPr>
        <w:t>Information Regarding Collateral</w:t>
      </w:r>
      <w:r>
        <w:rPr>
          <w:rFonts w:ascii="Times New Roman" w:cs="Times New Roman" w:eastAsia="Times New Roman" w:hAnsi="Times New Roman"/>
          <w:sz w:val="21"/>
          <w:szCs w:val="21"/>
          <w:color w:val="auto"/>
        </w:rPr>
        <w:t>. Furnish to the Administrative Agent prompt (and in any event within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30 days after the occurrence thereof) written notice (a) of any change in the legal name, corporate structure, jurisdiction of organization or formation or organizational identification number of a Loan Party; and (b) if any material portion of the Collateral is expropriated, damaged or destroyed.</w:t>
      </w:r>
    </w:p>
    <w:p>
      <w:pPr>
        <w:sectPr>
          <w:pgSz w:w="11900" w:h="16838" w:orient="portrait"/>
          <w:cols w:equalWidth="0" w:num="1">
            <w:col w:w="11240"/>
          </w:cols>
          <w:pgMar w:left="320" w:top="1380" w:right="339" w:bottom="1440" w:gutter="0" w:footer="0" w:header="0"/>
        </w:sectPr>
      </w:pPr>
    </w:p>
    <w:bookmarkStart w:id="190" w:name="page191"/>
    <w:bookmarkEnd w:id="190"/>
    <w:p>
      <w:pPr>
        <w:jc w:val="both"/>
        <w:ind w:firstLine="627"/>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SECTION 5.07 </w:t>
      </w:r>
      <w:r>
        <w:rPr>
          <w:rFonts w:ascii="Times New Roman" w:cs="Times New Roman" w:eastAsia="Times New Roman" w:hAnsi="Times New Roman"/>
          <w:sz w:val="20"/>
          <w:szCs w:val="20"/>
          <w:b w:val="1"/>
          <w:bCs w:val="1"/>
          <w:i w:val="1"/>
          <w:iCs w:val="1"/>
          <w:color w:val="auto"/>
        </w:rPr>
        <w:t>Maintaining Records; Access to Properties and Inspections</w:t>
      </w:r>
      <w:r>
        <w:rPr>
          <w:rFonts w:ascii="Times New Roman" w:cs="Times New Roman" w:eastAsia="Times New Roman" w:hAnsi="Times New Roman"/>
          <w:sz w:val="20"/>
          <w:szCs w:val="20"/>
          <w:color w:val="auto"/>
        </w:rPr>
        <w:t>. Keep proper books of record and account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which full, true and correct entries in conformity with GAAP or other applicable accounting principles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Parent Borrower and at such reasonable times during normal business hours and as often as may be reasonably desired, upon reasonable advance notice to the applicable Loan Party or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160"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5.08 </w:t>
      </w:r>
      <w:r>
        <w:rPr>
          <w:rFonts w:ascii="Times New Roman" w:cs="Times New Roman" w:eastAsia="Times New Roman" w:hAnsi="Times New Roman"/>
          <w:sz w:val="21"/>
          <w:szCs w:val="21"/>
          <w:b w:val="1"/>
          <w:bCs w:val="1"/>
          <w:i w:val="1"/>
          <w:iCs w:val="1"/>
          <w:color w:val="auto"/>
        </w:rPr>
        <w:t>Use of Proceeds</w:t>
      </w:r>
      <w:r>
        <w:rPr>
          <w:rFonts w:ascii="Times New Roman" w:cs="Times New Roman" w:eastAsia="Times New Roman" w:hAnsi="Times New Roman"/>
          <w:sz w:val="21"/>
          <w:szCs w:val="21"/>
          <w:color w:val="auto"/>
        </w:rPr>
        <w:t>. Use the proceeds of the Loans and request the issuance of Letters of Credit only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set forth in Section 3.13.</w:t>
      </w:r>
    </w:p>
    <w:p>
      <w:pPr>
        <w:spacing w:after="0" w:line="140"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5.09</w:t>
      </w:r>
      <w:r>
        <w:rPr>
          <w:sz w:val="20"/>
          <w:szCs w:val="20"/>
          <w:color w:val="auto"/>
        </w:rPr>
        <w:tab/>
      </w:r>
      <w:r>
        <w:rPr>
          <w:rFonts w:ascii="Times New Roman" w:cs="Times New Roman" w:eastAsia="Times New Roman" w:hAnsi="Times New Roman"/>
          <w:sz w:val="20"/>
          <w:szCs w:val="20"/>
          <w:b w:val="1"/>
          <w:bCs w:val="1"/>
          <w:i w:val="1"/>
          <w:iCs w:val="1"/>
          <w:color w:val="auto"/>
        </w:rPr>
        <w:t>Further Assurances</w:t>
      </w:r>
      <w:r>
        <w:rPr>
          <w:rFonts w:ascii="Times New Roman" w:cs="Times New Roman" w:eastAsia="Times New Roman" w:hAnsi="Times New Roman"/>
          <w:sz w:val="20"/>
          <w:szCs w:val="20"/>
          <w:color w:val="auto"/>
        </w:rPr>
        <w:t>. At its sole cost and expense,</w:t>
      </w:r>
    </w:p>
    <w:p>
      <w:pPr>
        <w:spacing w:after="0" w:line="220" w:lineRule="exact"/>
        <w:rPr>
          <w:sz w:val="20"/>
          <w:szCs w:val="20"/>
          <w:color w:val="auto"/>
        </w:rPr>
      </w:pPr>
    </w:p>
    <w:p>
      <w:pPr>
        <w:jc w:val="both"/>
        <w:ind w:firstLine="1259"/>
        <w:spacing w:after="0" w:line="255" w:lineRule="auto"/>
        <w:tabs>
          <w:tab w:leader="none" w:pos="1783"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any and all further documents, financing statements, agreements and 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185" w:lineRule="exact"/>
        <w:rPr>
          <w:rFonts w:ascii="Times New Roman" w:cs="Times New Roman" w:eastAsia="Times New Roman" w:hAnsi="Times New Roman"/>
          <w:sz w:val="21"/>
          <w:szCs w:val="21"/>
          <w:color w:val="auto"/>
        </w:rPr>
      </w:pPr>
    </w:p>
    <w:p>
      <w:pPr>
        <w:jc w:val="both"/>
        <w:ind w:firstLine="1259"/>
        <w:spacing w:after="0" w:line="255" w:lineRule="auto"/>
        <w:tabs>
          <w:tab w:leader="none" w:pos="1776"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Domestic Subsidiary that is a Material Subsidiary (other than a Domestic Subsidiary that is (i) a Subsidiary of a U.S. Owned Subsidiary or (ii) a FSHCO) or any Domestic Subsidiary that was not a Material Subsidiary that subsequently becomes a Material Subsidiary (other than a Domestic Subsidiary that is (i) a Subsidiary of a U.S. Owned Subsidiary or (ii) a FSHCO), to execute a supplement making it a party to the U.S.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72"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04"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w:t>
      </w:r>
    </w:p>
    <w:p>
      <w:pPr>
        <w:sectPr>
          <w:pgSz w:w="11900" w:h="16838" w:orient="portrait"/>
          <w:cols w:equalWidth="0" w:num="1">
            <w:col w:w="11240"/>
          </w:cols>
          <w:pgMar w:left="320" w:top="1376" w:right="339" w:bottom="1440" w:gutter="0" w:footer="0" w:header="0"/>
        </w:sectPr>
      </w:pPr>
    </w:p>
    <w:bookmarkStart w:id="191" w:name="page192"/>
    <w:bookmarkEnd w:id="191"/>
    <w:p>
      <w:pPr>
        <w:jc w:val="both"/>
        <w:ind w:left="-5" w:firstLine="1259"/>
        <w:spacing w:after="0" w:line="261" w:lineRule="auto"/>
        <w:tabs>
          <w:tab w:leader="none" w:pos="1877"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Australian Subsidiary that is a Material Subsidiary or any Australian Subsidiary that was not a Material Subsidiary that subsequently becomes a Material Subsidiary to execute a supplement to the Australian Guarantee Agreement and a new Australian Security Document, in each case within thirty (30) days (or such longer period as may be agreed to by the Administrative Agent) after such acquisition, organization or change in status.</w:t>
      </w:r>
    </w:p>
    <w:p>
      <w:pPr>
        <w:spacing w:after="0" w:line="164" w:lineRule="exact"/>
        <w:rPr>
          <w:rFonts w:ascii="Times New Roman" w:cs="Times New Roman" w:eastAsia="Times New Roman" w:hAnsi="Times New Roman"/>
          <w:sz w:val="21"/>
          <w:szCs w:val="21"/>
          <w:color w:val="auto"/>
        </w:rPr>
      </w:pPr>
    </w:p>
    <w:p>
      <w:pPr>
        <w:jc w:val="both"/>
        <w:ind w:left="-5" w:firstLine="1259"/>
        <w:spacing w:after="0" w:line="252" w:lineRule="auto"/>
        <w:tabs>
          <w:tab w:leader="none" w:pos="1717"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the U.S. Borrower and each Domestic Subsidiary (other than any Domestic Subsidiary that is a subsidiary of a U.S. Owned Subsidiary) shall pledge substantially all of its material personal property located in the United States (provided that 100% of the Equity Interests of Material Subsidiaries that are Domestic Subsidiaries (other than a Domestic Subsidiary that is (i) a subsidiary of a U.S. Owned Subsidiary or</w:t>
      </w:r>
    </w:p>
    <w:p>
      <w:pPr>
        <w:spacing w:after="0" w:line="5" w:lineRule="exact"/>
        <w:rPr>
          <w:rFonts w:ascii="Times New Roman" w:cs="Times New Roman" w:eastAsia="Times New Roman" w:hAnsi="Times New Roman"/>
          <w:sz w:val="21"/>
          <w:szCs w:val="21"/>
          <w:color w:val="auto"/>
        </w:rPr>
      </w:pPr>
    </w:p>
    <w:p>
      <w:pPr>
        <w:jc w:val="both"/>
        <w:ind w:left="-5" w:firstLine="5"/>
        <w:spacing w:after="0" w:line="249" w:lineRule="auto"/>
        <w:tabs>
          <w:tab w:leader="none" w:pos="319"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FSHCO) and 65% (and no more than 65%) of the total outstanding voting Equity Interests and 100% of the total outstanding nonvoting Equity Interests (if any) of each Material Subsidiary that is (i) a Foreign Subsidiary whose Equity Interests are directly owned by the U.S. Borrower or any Domestic Subsidiary (other than any Domestic Subsidiary that is a subsidiary of a U.S. Owned Subsidiary) or (ii) a FSHCO shall be pledged in support of the Obligations).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Parent Borrower or any Subsidiary.</w:t>
      </w:r>
    </w:p>
    <w:p>
      <w:pPr>
        <w:spacing w:after="0" w:line="182" w:lineRule="exact"/>
        <w:rPr>
          <w:rFonts w:ascii="Times New Roman" w:cs="Times New Roman" w:eastAsia="Times New Roman" w:hAnsi="Times New Roman"/>
          <w:sz w:val="21"/>
          <w:szCs w:val="21"/>
          <w:color w:val="auto"/>
        </w:rPr>
      </w:pPr>
    </w:p>
    <w:p>
      <w:pPr>
        <w:jc w:val="both"/>
        <w:ind w:left="-5" w:firstLine="1259"/>
        <w:spacing w:after="0" w:line="254" w:lineRule="auto"/>
        <w:tabs>
          <w:tab w:leader="none" w:pos="1817"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Closing Date, without duplication, the Parent Borrower acquires or forms a Subsidiary or any Subsidiary that was not a Material Subsidiary subsequently becomes a Material Subsidiary, such Subsidiary shall provide a guarantee and security with respect to the Obligations of all the Borrowers in form and substance reasonably satisfactory to the Collateral Agents, in each case within thirty (30) days (or such longer period as may be agreed to by the Administrative Agent) after such acquisition or formation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the limitations laid out in connection with the guarantee and security with respect to the Obligations of the U.S. Borrower in the foregoing paragraphs shall apply mutatis mutandis with respect to any relevant Subsidiary acquired or formed by the Parent Borrower after the Closing Date that is not specifically addressed in such foregoing paragraphs).</w:t>
      </w:r>
    </w:p>
    <w:p>
      <w:pPr>
        <w:sectPr>
          <w:pgSz w:w="11900" w:h="16838" w:orient="portrait"/>
          <w:cols w:equalWidth="0" w:num="1">
            <w:col w:w="11235"/>
          </w:cols>
          <w:pgMar w:left="325" w:top="1380" w:right="339" w:bottom="1440" w:gutter="0" w:footer="0" w:header="0"/>
        </w:sectPr>
      </w:pPr>
    </w:p>
    <w:bookmarkStart w:id="192" w:name="page193"/>
    <w:bookmarkEnd w:id="192"/>
    <w:p>
      <w:pPr>
        <w:jc w:val="both"/>
        <w:ind w:firstLine="1259"/>
        <w:spacing w:after="0" w:line="253" w:lineRule="auto"/>
        <w:tabs>
          <w:tab w:leader="none" w:pos="1773"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Closing Date, any of the Australian Borrower, the Canadian Subsidiary Guarantors, the Australian Subsidiary Guarantors or any other U.S. Owned Subsidiary, as applicable, ceases to be a “controlled foreign corporation” within the meaning of Section 957 of the Code which is owned by (i) the U.S. Borrower or (ii) a Subsidiary of the Parent Borrower that is a U.S. Person, or a Domestic Subsidiary that was previously a FSHCO ceases to be a FSHCO owned by a U.S. Owned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the case of a Domestic Subsidiary that was both a FSHCO and owned by a U.S. Owned Subsidiary, such Domestic Subsidiary both ceases to be a FSHCO and ceases to be owned by a U.S. Owned Subsidiary), such person shall provide a guarantee and security with respect to the Obligations in form and substance reasonably satisfactory to the Collateral Agents, in each case within thirty (30) days (or such longer period as may be agreed to by the Administrative Agent) after such cessation.</w:t>
      </w:r>
    </w:p>
    <w:p>
      <w:pPr>
        <w:spacing w:after="0" w:line="185"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41"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this Section 5.09 shall not apply to limit or diminish any guarantee or security provided as of the Closing Date by a Subsidiary with respect to the Obligations (including as a result of a change in the ownership of such Subsidiary pursuant to a reorganization subsequent to the Closing Date or otherwise) without the consent of the Administrative Agent (not to be unreasonably withheld or delayed).</w:t>
      </w:r>
    </w:p>
    <w:p>
      <w:pPr>
        <w:spacing w:after="0" w:line="168"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5.10</w:t>
      </w:r>
      <w:r>
        <w:rPr>
          <w:sz w:val="20"/>
          <w:szCs w:val="20"/>
          <w:color w:val="auto"/>
        </w:rPr>
        <w:tab/>
      </w:r>
      <w:r>
        <w:rPr>
          <w:rFonts w:ascii="Times New Roman" w:cs="Times New Roman" w:eastAsia="Times New Roman" w:hAnsi="Times New Roman"/>
          <w:sz w:val="20"/>
          <w:szCs w:val="20"/>
          <w:b w:val="1"/>
          <w:bCs w:val="1"/>
          <w:i w:val="1"/>
          <w:iCs w:val="1"/>
          <w:color w:val="auto"/>
        </w:rPr>
        <w:t>[Reserved]</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NEGATIVE COVENANTS</w:t>
      </w:r>
    </w:p>
    <w:p>
      <w:pPr>
        <w:spacing w:after="0" w:line="220" w:lineRule="exact"/>
        <w:rPr>
          <w:sz w:val="20"/>
          <w:szCs w:val="20"/>
          <w:color w:val="auto"/>
        </w:rPr>
      </w:pPr>
    </w:p>
    <w:p>
      <w:pPr>
        <w:ind w:right="40" w:firstLine="627"/>
        <w:spacing w:after="0" w:line="257" w:lineRule="auto"/>
        <w:rPr>
          <w:sz w:val="20"/>
          <w:szCs w:val="20"/>
          <w:color w:val="auto"/>
        </w:rPr>
      </w:pPr>
      <w:r>
        <w:rPr>
          <w:rFonts w:ascii="Times New Roman" w:cs="Times New Roman" w:eastAsia="Times New Roman" w:hAnsi="Times New Roman"/>
          <w:sz w:val="21"/>
          <w:szCs w:val="21"/>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67"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21"/>
          <w:szCs w:val="21"/>
          <w:b w:val="1"/>
          <w:bCs w:val="1"/>
          <w:color w:val="auto"/>
        </w:rPr>
        <w:t>SECTION 6.01</w:t>
      </w:r>
      <w:r>
        <w:rPr>
          <w:sz w:val="20"/>
          <w:szCs w:val="20"/>
          <w:color w:val="auto"/>
        </w:rPr>
        <w:tab/>
      </w:r>
      <w:r>
        <w:rPr>
          <w:rFonts w:ascii="Times New Roman" w:cs="Times New Roman" w:eastAsia="Times New Roman" w:hAnsi="Times New Roman"/>
          <w:sz w:val="21"/>
          <w:szCs w:val="21"/>
          <w:b w:val="1"/>
          <w:bCs w:val="1"/>
          <w:i w:val="1"/>
          <w:iCs w:val="1"/>
          <w:color w:val="auto"/>
        </w:rPr>
        <w:t>Indebtedness</w:t>
      </w:r>
      <w:r>
        <w:rPr>
          <w:rFonts w:ascii="Times New Roman" w:cs="Times New Roman" w:eastAsia="Times New Roman" w:hAnsi="Times New Roman"/>
          <w:sz w:val="21"/>
          <w:szCs w:val="21"/>
          <w:color w:val="auto"/>
        </w:rPr>
        <w:t>. On or after the Closing Date, incur, create, assume or permit to exist any Indebtedness,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w:t>
      </w:r>
    </w:p>
    <w:p>
      <w:pPr>
        <w:spacing w:after="0" w:line="205" w:lineRule="exact"/>
        <w:rPr>
          <w:sz w:val="20"/>
          <w:szCs w:val="20"/>
          <w:color w:val="auto"/>
        </w:rPr>
      </w:pPr>
    </w:p>
    <w:p>
      <w:pPr>
        <w:ind w:left="1700" w:hanging="441"/>
        <w:spacing w:after="0"/>
        <w:tabs>
          <w:tab w:leader="none" w:pos="17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set forth in Schedule 6.01, and any Permitted Refinancing Indebtedness thereof;</w:t>
      </w:r>
    </w:p>
    <w:p>
      <w:pPr>
        <w:spacing w:after="0" w:line="215"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including the Indebtedness created hereunder and under the other Loan Documents;</w:t>
      </w:r>
    </w:p>
    <w:p>
      <w:pPr>
        <w:spacing w:after="0" w:line="215"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intercompany Indebtedness of the Borrowers and the Subsidiaries to the extent permitted by Sections 6.04(a), (f),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 (k) and (l);</w:t>
      </w:r>
    </w:p>
    <w:p>
      <w:pPr>
        <w:sectPr>
          <w:pgSz w:w="11900" w:h="16838" w:orient="portrait"/>
          <w:cols w:equalWidth="0" w:num="1">
            <w:col w:w="11240"/>
          </w:cols>
          <w:pgMar w:left="320" w:top="1380" w:right="339" w:bottom="1440" w:gutter="0" w:footer="0" w:header="0"/>
        </w:sectPr>
      </w:pPr>
    </w:p>
    <w:bookmarkStart w:id="193" w:name="page194"/>
    <w:bookmarkEnd w:id="193"/>
    <w:p>
      <w:pPr>
        <w:jc w:val="both"/>
        <w:ind w:firstLine="1259"/>
        <w:spacing w:after="0" w:line="262" w:lineRule="auto"/>
        <w:tabs>
          <w:tab w:leader="none" w:pos="1824"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76" w:lineRule="exact"/>
        <w:rPr>
          <w:rFonts w:ascii="Times New Roman" w:cs="Times New Roman" w:eastAsia="Times New Roman" w:hAnsi="Times New Roman"/>
          <w:sz w:val="21"/>
          <w:szCs w:val="21"/>
          <w:color w:val="auto"/>
        </w:rPr>
      </w:pPr>
    </w:p>
    <w:p>
      <w:pPr>
        <w:ind w:left="1700" w:hanging="441"/>
        <w:spacing w:after="0"/>
        <w:tabs>
          <w:tab w:leader="none" w:pos="170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issued pursuant to a Qualified Offering and any Permitted Refinancing Indebtedness thereof;</w:t>
      </w:r>
    </w:p>
    <w:p>
      <w:pPr>
        <w:spacing w:after="0" w:line="215" w:lineRule="exact"/>
        <w:rPr>
          <w:rFonts w:ascii="Times New Roman" w:cs="Times New Roman" w:eastAsia="Times New Roman" w:hAnsi="Times New Roman"/>
          <w:sz w:val="21"/>
          <w:szCs w:val="21"/>
          <w:color w:val="auto"/>
        </w:rPr>
      </w:pPr>
    </w:p>
    <w:p>
      <w:pPr>
        <w:ind w:left="1700" w:hanging="441"/>
        <w:spacing w:after="0"/>
        <w:tabs>
          <w:tab w:leader="none" w:pos="170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the Australian Borrower and guaranties thereunder by any Subsidiary created under the Bilateral</w:t>
      </w:r>
    </w:p>
    <w:p>
      <w:pPr>
        <w:spacing w:after="0" w:line="3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91" w:lineRule="exact"/>
        <w:rPr>
          <w:rFonts w:ascii="Times New Roman" w:cs="Times New Roman" w:eastAsia="Times New Roman" w:hAnsi="Times New Roman"/>
          <w:sz w:val="21"/>
          <w:szCs w:val="21"/>
          <w:color w:val="auto"/>
        </w:rPr>
      </w:pPr>
    </w:p>
    <w:p>
      <w:pPr>
        <w:jc w:val="both"/>
        <w:ind w:firstLine="1259"/>
        <w:spacing w:after="0" w:line="268" w:lineRule="auto"/>
        <w:tabs>
          <w:tab w:leader="none" w:pos="1771"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secured Indebtedness of a Borrower or any Subsidiary and guarantees thereof by any Subsidiary not otherwise permitted under this Section 6.01;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Liens securing such Indebtedness are permitted under Section 6.02(j) and (ii) the aggregate principal amount of such Indebtedness does not exceed $20,000,000 at any time outstanding;</w:t>
      </w:r>
    </w:p>
    <w:p>
      <w:pPr>
        <w:spacing w:after="0" w:line="158" w:lineRule="exact"/>
        <w:rPr>
          <w:rFonts w:ascii="Times New Roman" w:cs="Times New Roman" w:eastAsia="Times New Roman" w:hAnsi="Times New Roman"/>
          <w:sz w:val="21"/>
          <w:szCs w:val="21"/>
          <w:color w:val="auto"/>
        </w:rPr>
      </w:pPr>
    </w:p>
    <w:p>
      <w:pPr>
        <w:ind w:firstLine="1259"/>
        <w:spacing w:after="0" w:line="277" w:lineRule="auto"/>
        <w:tabs>
          <w:tab w:leader="none" w:pos="1828"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a Borrower or any Subsidiary and guaranties thereunder by any Subsidiary in an aggregate principal amount not to exceed $25,000,000 at any time outstanding; and</w:t>
      </w:r>
    </w:p>
    <w:p>
      <w:pPr>
        <w:spacing w:after="0" w:line="148" w:lineRule="exact"/>
        <w:rPr>
          <w:rFonts w:ascii="Times New Roman" w:cs="Times New Roman" w:eastAsia="Times New Roman" w:hAnsi="Times New Roman"/>
          <w:sz w:val="21"/>
          <w:szCs w:val="21"/>
          <w:color w:val="auto"/>
        </w:rPr>
      </w:pPr>
    </w:p>
    <w:p>
      <w:pPr>
        <w:ind w:left="1660" w:hanging="401"/>
        <w:spacing w:after="0"/>
        <w:tabs>
          <w:tab w:leader="none" w:pos="166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connection with banking services and Hedging Agreements, in each case, permitted hereunder.</w:t>
      </w:r>
    </w:p>
    <w:p>
      <w:pPr>
        <w:spacing w:after="0" w:line="212"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SECTION 6.02 </w:t>
      </w:r>
      <w:r>
        <w:rPr>
          <w:rFonts w:ascii="Times New Roman" w:cs="Times New Roman" w:eastAsia="Times New Roman" w:hAnsi="Times New Roman"/>
          <w:sz w:val="21"/>
          <w:szCs w:val="21"/>
          <w:b w:val="1"/>
          <w:bCs w:val="1"/>
          <w:i w:val="1"/>
          <w:iCs w:val="1"/>
          <w:color w:val="auto"/>
        </w:rPr>
        <w:t>Liens</w:t>
      </w:r>
      <w:r>
        <w:rPr>
          <w:rFonts w:ascii="Times New Roman" w:cs="Times New Roman" w:eastAsia="Times New Roman" w:hAnsi="Times New Roman"/>
          <w:sz w:val="21"/>
          <w:szCs w:val="21"/>
          <w:color w:val="auto"/>
        </w:rPr>
        <w:t>. On or after the Closing Date, create, incur, assume or permit to exist any Lien on any property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assets (including stock or other securities of any person, including any Subsidiary) now owned or hereafter acquired by it or on any income or revenues or rights in respect of any thereof, except:</w:t>
      </w:r>
    </w:p>
    <w:p>
      <w:pPr>
        <w:spacing w:after="0" w:line="154" w:lineRule="exact"/>
        <w:rPr>
          <w:sz w:val="20"/>
          <w:szCs w:val="20"/>
          <w:color w:val="auto"/>
        </w:rPr>
      </w:pPr>
    </w:p>
    <w:p>
      <w:pPr>
        <w:ind w:firstLine="1259"/>
        <w:spacing w:after="0" w:line="279" w:lineRule="auto"/>
        <w:tabs>
          <w:tab w:leader="none" w:pos="1781"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the Closing Date and set forth in Schedule 6.02;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Liens shall secure only those obligations which they secure on the date hereof and extensions, renewals and replacements thereof permitted hereunder;</w:t>
      </w:r>
    </w:p>
    <w:p>
      <w:pPr>
        <w:spacing w:after="0" w:line="146"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created under the Loan Documents;</w:t>
      </w:r>
    </w:p>
    <w:p>
      <w:pPr>
        <w:spacing w:after="0" w:line="215" w:lineRule="exact"/>
        <w:rPr>
          <w:rFonts w:ascii="Times New Roman" w:cs="Times New Roman" w:eastAsia="Times New Roman" w:hAnsi="Times New Roman"/>
          <w:sz w:val="21"/>
          <w:szCs w:val="21"/>
          <w:color w:val="auto"/>
        </w:rPr>
      </w:pPr>
    </w:p>
    <w:p>
      <w:pPr>
        <w:ind w:left="1700" w:hanging="441"/>
        <w:spacing w:after="0"/>
        <w:tabs>
          <w:tab w:leader="none" w:pos="170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not yet due or which are being contested in compliance with Section 5.03;</w:t>
      </w:r>
    </w:p>
    <w:p>
      <w:pPr>
        <w:spacing w:after="0" w:line="228" w:lineRule="exact"/>
        <w:rPr>
          <w:rFonts w:ascii="Times New Roman" w:cs="Times New Roman" w:eastAsia="Times New Roman" w:hAnsi="Times New Roman"/>
          <w:sz w:val="21"/>
          <w:szCs w:val="21"/>
          <w:color w:val="auto"/>
        </w:rPr>
      </w:pPr>
    </w:p>
    <w:p>
      <w:pPr>
        <w:jc w:val="both"/>
        <w:ind w:firstLine="1259"/>
        <w:spacing w:after="0" w:line="262" w:lineRule="auto"/>
        <w:tabs>
          <w:tab w:leader="none" w:pos="1805"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163" w:lineRule="exact"/>
        <w:rPr>
          <w:rFonts w:ascii="Times New Roman" w:cs="Times New Roman" w:eastAsia="Times New Roman" w:hAnsi="Times New Roman"/>
          <w:sz w:val="21"/>
          <w:szCs w:val="21"/>
          <w:color w:val="auto"/>
        </w:rPr>
      </w:pPr>
    </w:p>
    <w:p>
      <w:pPr>
        <w:ind w:firstLine="1259"/>
        <w:spacing w:after="0" w:line="277" w:lineRule="auto"/>
        <w:tabs>
          <w:tab w:leader="none" w:pos="1722"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(other than any Lien imposed by ERISA), pledges and deposits made in the ordinary course of business in compliance with workmen’s compensation, unemployment insurance and other social security laws or regulations;</w:t>
      </w:r>
    </w:p>
    <w:p>
      <w:pPr>
        <w:spacing w:after="0" w:line="161" w:lineRule="exact"/>
        <w:rPr>
          <w:rFonts w:ascii="Times New Roman" w:cs="Times New Roman" w:eastAsia="Times New Roman" w:hAnsi="Times New Roman"/>
          <w:sz w:val="21"/>
          <w:szCs w:val="21"/>
          <w:color w:val="auto"/>
        </w:rPr>
      </w:pPr>
    </w:p>
    <w:p>
      <w:pPr>
        <w:ind w:firstLine="1259"/>
        <w:spacing w:after="0" w:line="277" w:lineRule="auto"/>
        <w:tabs>
          <w:tab w:leader="none" w:pos="1684"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to secure the performance of bids, trade contracts (other than for Indebtedness), leases (including Capital Lease Obligations), statutory obligations, surety and</w:t>
      </w:r>
    </w:p>
    <w:p>
      <w:pPr>
        <w:sectPr>
          <w:pgSz w:w="11900" w:h="16838" w:orient="portrait"/>
          <w:cols w:equalWidth="0" w:num="1">
            <w:col w:w="11240"/>
          </w:cols>
          <w:pgMar w:left="320" w:top="1380"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1"/>
          <w:szCs w:val="21"/>
          <w:color w:val="auto"/>
        </w:rPr>
        <w:t>appeal bonds, performance bonds and other obligations of a like nature incurred in the ordinary course of business;</w:t>
      </w:r>
    </w:p>
    <w:p>
      <w:pPr>
        <w:spacing w:after="0" w:line="216" w:lineRule="exact"/>
        <w:rPr>
          <w:sz w:val="20"/>
          <w:szCs w:val="20"/>
          <w:color w:val="auto"/>
        </w:rPr>
      </w:pPr>
    </w:p>
    <w:p>
      <w:pPr>
        <w:jc w:val="both"/>
        <w:ind w:firstLine="1259"/>
        <w:spacing w:after="0" w:line="261" w:lineRule="auto"/>
        <w:tabs>
          <w:tab w:leader="none" w:pos="1729"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64" w:lineRule="exact"/>
        <w:rPr>
          <w:rFonts w:ascii="Times New Roman" w:cs="Times New Roman" w:eastAsia="Times New Roman" w:hAnsi="Times New Roman"/>
          <w:sz w:val="21"/>
          <w:szCs w:val="21"/>
          <w:color w:val="auto"/>
        </w:rPr>
      </w:pPr>
    </w:p>
    <w:p>
      <w:pPr>
        <w:jc w:val="both"/>
        <w:ind w:firstLine="1259"/>
        <w:spacing w:after="0" w:line="261" w:lineRule="auto"/>
        <w:tabs>
          <w:tab w:leader="none" w:pos="1729"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of all such judgments or awards (and any cash and the fair market value of any property subject to such Liens) does not exceed U.S.$10,000,000 at any time outstanding;</w:t>
      </w:r>
    </w:p>
    <w:p>
      <w:pPr>
        <w:spacing w:after="0" w:line="164" w:lineRule="exact"/>
        <w:rPr>
          <w:rFonts w:ascii="Times New Roman" w:cs="Times New Roman" w:eastAsia="Times New Roman" w:hAnsi="Times New Roman"/>
          <w:sz w:val="21"/>
          <w:szCs w:val="21"/>
          <w:color w:val="auto"/>
        </w:rPr>
      </w:pPr>
    </w:p>
    <w:p>
      <w:pPr>
        <w:ind w:firstLine="1259"/>
        <w:spacing w:after="0" w:line="277" w:lineRule="auto"/>
        <w:tabs>
          <w:tab w:leader="none" w:pos="1661"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Indebtedness permitted under Section 6.01(e) and any Permitted Refinancing Indebtedness thereof;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such Liens are subject to a Customary Junior Lien Intercreditor Agreement;</w:t>
      </w:r>
    </w:p>
    <w:p>
      <w:pPr>
        <w:spacing w:after="0" w:line="148" w:lineRule="exact"/>
        <w:rPr>
          <w:rFonts w:ascii="Times New Roman" w:cs="Times New Roman" w:eastAsia="Times New Roman" w:hAnsi="Times New Roman"/>
          <w:sz w:val="21"/>
          <w:szCs w:val="21"/>
          <w:color w:val="auto"/>
        </w:rPr>
      </w:pPr>
    </w:p>
    <w:p>
      <w:pPr>
        <w:jc w:val="both"/>
        <w:ind w:firstLine="1259"/>
        <w:spacing w:after="0" w:line="254" w:lineRule="auto"/>
        <w:tabs>
          <w:tab w:leader="none" w:pos="1690"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 money security interests in real property, improvements thereto or personal property owned or acquired (or, in the case of improvements, constructed) by the Borrowers or any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such security interests in any of the foregoing types of property acquired after the Closing Date, (i) such security interests secure 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personal property at the time of such acquisition (or construction) and (iv) such security interests do not apply to any other property or assets of the Borrowers or any Subsidiary;</w:t>
      </w:r>
    </w:p>
    <w:p>
      <w:pPr>
        <w:spacing w:after="0" w:line="171" w:lineRule="exact"/>
        <w:rPr>
          <w:rFonts w:ascii="Times New Roman" w:cs="Times New Roman" w:eastAsia="Times New Roman" w:hAnsi="Times New Roman"/>
          <w:sz w:val="21"/>
          <w:szCs w:val="21"/>
          <w:color w:val="auto"/>
        </w:rPr>
      </w:pPr>
    </w:p>
    <w:p>
      <w:pPr>
        <w:jc w:val="both"/>
        <w:ind w:firstLine="1259"/>
        <w:spacing w:after="0" w:line="268" w:lineRule="auto"/>
        <w:tabs>
          <w:tab w:leader="none" w:pos="1723"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Equity Interests in a Special Purpose Business Entity incurred for the purpose of providing independent financing for such Special Purpose Business Entity;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such Liens are non-recourse as to the Parent Borrower or any of its Subsidiaries holding any Equity Interests in such Special Purpose Business Entity;</w:t>
      </w:r>
    </w:p>
    <w:p>
      <w:pPr>
        <w:spacing w:after="0" w:line="156" w:lineRule="exact"/>
        <w:rPr>
          <w:rFonts w:ascii="Times New Roman" w:cs="Times New Roman" w:eastAsia="Times New Roman" w:hAnsi="Times New Roman"/>
          <w:sz w:val="21"/>
          <w:szCs w:val="21"/>
          <w:color w:val="auto"/>
        </w:rPr>
      </w:pPr>
    </w:p>
    <w:p>
      <w:pPr>
        <w:jc w:val="both"/>
        <w:ind w:firstLine="1259"/>
        <w:spacing w:after="0" w:line="263" w:lineRule="auto"/>
        <w:tabs>
          <w:tab w:leader="none" w:pos="1759"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Indebtedness and not otherwise permitted under this Section 6.02;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principal amount of all Indebtedness secured by such Liens does not exceed $20,000,000 at any time outstanding;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no Lien on any Collateral of any Borrower or any of their Subsidiaries shall be permitted by this Section 6.02(l);</w:t>
      </w:r>
    </w:p>
    <w:p>
      <w:pPr>
        <w:spacing w:after="0" w:line="175" w:lineRule="exact"/>
        <w:rPr>
          <w:rFonts w:ascii="Times New Roman" w:cs="Times New Roman" w:eastAsia="Times New Roman" w:hAnsi="Times New Roman"/>
          <w:sz w:val="21"/>
          <w:szCs w:val="21"/>
          <w:color w:val="auto"/>
        </w:rPr>
      </w:pPr>
    </w:p>
    <w:p>
      <w:pPr>
        <w:ind w:firstLine="1259"/>
        <w:spacing w:after="0" w:line="277" w:lineRule="auto"/>
        <w:tabs>
          <w:tab w:leader="none" w:pos="1779"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Australian Borrower or any Australian Subsidiary, Liens arising in connection with a deemed security interest under Section 12(3) of the PPSA (Australia) which do not secure payment or performance of any obligation;</w:t>
      </w:r>
    </w:p>
    <w:p>
      <w:pPr>
        <w:sectPr>
          <w:pgSz w:w="11900" w:h="16838" w:orient="portrait"/>
          <w:cols w:equalWidth="0" w:num="1">
            <w:col w:w="11240"/>
          </w:cols>
          <w:pgMar w:left="320" w:top="1380" w:right="339" w:bottom="1440" w:gutter="0" w:footer="0" w:header="0"/>
        </w:sectPr>
      </w:pPr>
    </w:p>
    <w:bookmarkStart w:id="195" w:name="page196"/>
    <w:bookmarkEnd w:id="195"/>
    <w:p>
      <w:pPr>
        <w:jc w:val="both"/>
        <w:ind w:firstLine="1259"/>
        <w:spacing w:after="0" w:line="261" w:lineRule="auto"/>
        <w:tabs>
          <w:tab w:leader="none" w:pos="1786"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Australian Borrower or any Australian Subsidiary, Liens arising solely by operation of the PPS Law in the proceeds of an asset which is the subject 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w:t>
      </w:r>
    </w:p>
    <w:p>
      <w:pPr>
        <w:spacing w:after="0" w:line="164" w:lineRule="exact"/>
        <w:rPr>
          <w:rFonts w:ascii="Times New Roman" w:cs="Times New Roman" w:eastAsia="Times New Roman" w:hAnsi="Times New Roman"/>
          <w:sz w:val="21"/>
          <w:szCs w:val="21"/>
          <w:color w:val="auto"/>
        </w:rPr>
      </w:pPr>
    </w:p>
    <w:p>
      <w:pPr>
        <w:jc w:val="both"/>
        <w:ind w:firstLine="1259"/>
        <w:spacing w:after="0" w:line="256" w:lineRule="auto"/>
        <w:tabs>
          <w:tab w:leader="none" w:pos="1817"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leasing cost or selling price (and other amounts incidental to those amounts) of such goods and products;</w:t>
      </w:r>
    </w:p>
    <w:p>
      <w:pPr>
        <w:spacing w:after="0" w:line="185" w:lineRule="exact"/>
        <w:rPr>
          <w:rFonts w:ascii="Times New Roman" w:cs="Times New Roman" w:eastAsia="Times New Roman" w:hAnsi="Times New Roman"/>
          <w:sz w:val="21"/>
          <w:szCs w:val="21"/>
          <w:color w:val="auto"/>
        </w:rPr>
      </w:pPr>
    </w:p>
    <w:p>
      <w:pPr>
        <w:ind w:firstLine="1259"/>
        <w:spacing w:after="0" w:line="277" w:lineRule="auto"/>
        <w:tabs>
          <w:tab w:leader="none" w:pos="1738"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Australian Borrower or any Australian Subsidiary, any netting or set-off arrangement entered into by any such entity in the ordinary course of its banking arrangements for the purposes of netting debit and credit balances; and</w:t>
      </w:r>
    </w:p>
    <w:p>
      <w:pPr>
        <w:spacing w:after="0" w:line="148" w:lineRule="exact"/>
        <w:rPr>
          <w:rFonts w:ascii="Times New Roman" w:cs="Times New Roman" w:eastAsia="Times New Roman" w:hAnsi="Times New Roman"/>
          <w:sz w:val="21"/>
          <w:szCs w:val="21"/>
          <w:color w:val="auto"/>
        </w:rPr>
      </w:pPr>
    </w:p>
    <w:p>
      <w:pPr>
        <w:jc w:val="both"/>
        <w:ind w:firstLine="1259"/>
        <w:spacing w:after="0" w:line="262" w:lineRule="auto"/>
        <w:tabs>
          <w:tab w:leader="none" w:pos="173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Australian Borrower or any Australian Subsidiary, any payment or close out netting or set-off arrangement pursuant to any derivative or foreign exchange transaction entered into by any such entity, but excluding any Liens under a credit support arrangement.</w:t>
      </w:r>
    </w:p>
    <w:p>
      <w:pPr>
        <w:spacing w:after="0" w:line="159"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6.03 </w:t>
      </w:r>
      <w:r>
        <w:rPr>
          <w:rFonts w:ascii="Times New Roman" w:cs="Times New Roman" w:eastAsia="Times New Roman" w:hAnsi="Times New Roman"/>
          <w:sz w:val="21"/>
          <w:szCs w:val="21"/>
          <w:b w:val="1"/>
          <w:bCs w:val="1"/>
          <w:i w:val="1"/>
          <w:iCs w:val="1"/>
          <w:color w:val="auto"/>
        </w:rPr>
        <w:t>Sale and Lease-Back Transactions</w:t>
      </w:r>
      <w:r>
        <w:rPr>
          <w:rFonts w:ascii="Times New Roman" w:cs="Times New Roman" w:eastAsia="Times New Roman" w:hAnsi="Times New Roman"/>
          <w:sz w:val="21"/>
          <w:szCs w:val="21"/>
          <w:color w:val="auto"/>
        </w:rPr>
        <w:t>. Enter into any arrangement, directly or indirectly, with any person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 6.01 and 6.02, respectively.</w:t>
      </w:r>
    </w:p>
    <w:p>
      <w:pPr>
        <w:spacing w:after="0" w:line="166"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SECTION 6.04 </w:t>
      </w:r>
      <w:r>
        <w:rPr>
          <w:rFonts w:ascii="Times New Roman" w:cs="Times New Roman" w:eastAsia="Times New Roman" w:hAnsi="Times New Roman"/>
          <w:sz w:val="21"/>
          <w:szCs w:val="21"/>
          <w:b w:val="1"/>
          <w:bCs w:val="1"/>
          <w:i w:val="1"/>
          <w:iCs w:val="1"/>
          <w:color w:val="auto"/>
        </w:rPr>
        <w:t>Investments, Loans and Advances</w:t>
      </w:r>
      <w:r>
        <w:rPr>
          <w:rFonts w:ascii="Times New Roman" w:cs="Times New Roman" w:eastAsia="Times New Roman" w:hAnsi="Times New Roman"/>
          <w:sz w:val="21"/>
          <w:szCs w:val="21"/>
          <w:color w:val="auto"/>
        </w:rPr>
        <w:t>. Purchase, hold or acquire any Equity Interests, evidences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indebtedness or other securities of, make or permit to exist any loans or advances to, or make or permit to exist any investment or any other interest in, any other person (referred to herein as an “</w:t>
      </w:r>
      <w:r>
        <w:rPr>
          <w:rFonts w:ascii="Times New Roman" w:cs="Times New Roman" w:eastAsia="Times New Roman" w:hAnsi="Times New Roman"/>
          <w:sz w:val="21"/>
          <w:szCs w:val="21"/>
          <w:i w:val="1"/>
          <w:iCs w:val="1"/>
          <w:color w:val="auto"/>
        </w:rPr>
        <w:t>Investment</w:t>
      </w:r>
      <w:r>
        <w:rPr>
          <w:rFonts w:ascii="Times New Roman" w:cs="Times New Roman" w:eastAsia="Times New Roman" w:hAnsi="Times New Roman"/>
          <w:sz w:val="21"/>
          <w:szCs w:val="21"/>
          <w:color w:val="auto"/>
        </w:rPr>
        <w:t>”), except:</w:t>
      </w:r>
    </w:p>
    <w:p>
      <w:pPr>
        <w:spacing w:after="0" w:line="156" w:lineRule="exact"/>
        <w:rPr>
          <w:sz w:val="20"/>
          <w:szCs w:val="20"/>
          <w:color w:val="auto"/>
        </w:rPr>
      </w:pPr>
    </w:p>
    <w:p>
      <w:pPr>
        <w:ind w:left="1700" w:hanging="441"/>
        <w:spacing w:after="0"/>
        <w:tabs>
          <w:tab w:leader="none" w:pos="170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set forth on Schedule 6.04;</w:t>
      </w:r>
    </w:p>
    <w:p>
      <w:pPr>
        <w:spacing w:after="0" w:line="215"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Investments;</w:t>
      </w:r>
    </w:p>
    <w:p>
      <w:pPr>
        <w:spacing w:after="0" w:line="215" w:lineRule="exact"/>
        <w:rPr>
          <w:rFonts w:ascii="Times New Roman" w:cs="Times New Roman" w:eastAsia="Times New Roman" w:hAnsi="Times New Roman"/>
          <w:sz w:val="21"/>
          <w:szCs w:val="21"/>
          <w:color w:val="auto"/>
        </w:rPr>
      </w:pPr>
    </w:p>
    <w:p>
      <w:pPr>
        <w:ind w:firstLine="1259"/>
        <w:spacing w:after="0" w:line="290" w:lineRule="auto"/>
        <w:tabs>
          <w:tab w:leader="none" w:pos="1795"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receivable owing to the Borrowers or any of the Subsidiaries arising from sales of inventory or the provision of services in the ordinary course of business;</w:t>
      </w:r>
    </w:p>
    <w:p>
      <w:pPr>
        <w:spacing w:after="0" w:line="135" w:lineRule="exact"/>
        <w:rPr>
          <w:rFonts w:ascii="Times New Roman" w:cs="Times New Roman" w:eastAsia="Times New Roman" w:hAnsi="Times New Roman"/>
          <w:sz w:val="21"/>
          <w:szCs w:val="21"/>
          <w:color w:val="auto"/>
        </w:rPr>
      </w:pPr>
    </w:p>
    <w:p>
      <w:pPr>
        <w:jc w:val="both"/>
        <w:ind w:firstLine="1259"/>
        <w:spacing w:after="0" w:line="262" w:lineRule="auto"/>
        <w:tabs>
          <w:tab w:leader="none" w:pos="1822"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ectPr>
          <w:pgSz w:w="11900" w:h="16838" w:orient="portrait"/>
          <w:cols w:equalWidth="0" w:num="1">
            <w:col w:w="11240"/>
          </w:cols>
          <w:pgMar w:left="320" w:top="1380" w:right="339" w:bottom="1440" w:gutter="0" w:footer="0" w:header="0"/>
        </w:sectPr>
      </w:pPr>
    </w:p>
    <w:bookmarkStart w:id="196" w:name="page197"/>
    <w:bookmarkEnd w:id="196"/>
    <w:p>
      <w:pPr>
        <w:jc w:val="both"/>
        <w:ind w:firstLine="1259"/>
        <w:spacing w:after="0" w:line="261" w:lineRule="auto"/>
        <w:tabs>
          <w:tab w:leader="none" w:pos="1753"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Borrower or such Subsidiary, as the case may be, has paid no new consideration (other than forgiveness of Indebtedness) therefor;</w:t>
      </w:r>
    </w:p>
    <w:p>
      <w:pPr>
        <w:spacing w:after="0" w:line="164" w:lineRule="exact"/>
        <w:rPr>
          <w:rFonts w:ascii="Times New Roman" w:cs="Times New Roman" w:eastAsia="Times New Roman" w:hAnsi="Times New Roman"/>
          <w:sz w:val="21"/>
          <w:szCs w:val="21"/>
          <w:color w:val="auto"/>
        </w:rPr>
      </w:pPr>
    </w:p>
    <w:p>
      <w:pPr>
        <w:ind w:left="1680" w:hanging="421"/>
        <w:spacing w:after="0"/>
        <w:tabs>
          <w:tab w:leader="none" w:pos="168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of a Loan Party in or to another Loan Party;</w:t>
      </w:r>
    </w:p>
    <w:p>
      <w:pPr>
        <w:spacing w:after="0" w:line="213"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of a Loan Party or Subsidiary in or to a Special Purpose Business Entity;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transaction:</w:t>
      </w:r>
    </w:p>
    <w:p>
      <w:pPr>
        <w:spacing w:after="0" w:line="191" w:lineRule="exact"/>
        <w:rPr>
          <w:rFonts w:ascii="Times New Roman" w:cs="Times New Roman" w:eastAsia="Times New Roman" w:hAnsi="Times New Roman"/>
          <w:sz w:val="21"/>
          <w:szCs w:val="21"/>
          <w:color w:val="auto"/>
        </w:rPr>
      </w:pPr>
    </w:p>
    <w:p>
      <w:pPr>
        <w:ind w:left="2400" w:hanging="514"/>
        <w:spacing w:after="0"/>
        <w:tabs>
          <w:tab w:leader="none" w:pos="2400"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before and after giving effect thereto, no Event of Default or Default shall have occurred and be</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w:t>
      </w:r>
    </w:p>
    <w:p>
      <w:pPr>
        <w:spacing w:after="0" w:line="202" w:lineRule="exact"/>
        <w:rPr>
          <w:rFonts w:ascii="Times New Roman" w:cs="Times New Roman" w:eastAsia="Times New Roman" w:hAnsi="Times New Roman"/>
          <w:sz w:val="21"/>
          <w:szCs w:val="21"/>
          <w:color w:val="auto"/>
        </w:rPr>
      </w:pPr>
    </w:p>
    <w:p>
      <w:pPr>
        <w:jc w:val="both"/>
        <w:ind w:left="640" w:firstLine="1246"/>
        <w:spacing w:after="0" w:line="254" w:lineRule="auto"/>
        <w:tabs>
          <w:tab w:leader="none" w:pos="2379"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would be in compliance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(using the criteria therefor described in Section 6.04(i)) to such transaction and to any other event occurring during or after such period as to which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recalculation is appropriate (including any Asset Sale and any other transaction described in Section 6.04(i) or Section 6.04(m) occurring during or after such period) as if such transaction had occurred as of the first day of such period; and</w:t>
      </w:r>
    </w:p>
    <w:p>
      <w:pPr>
        <w:spacing w:after="0" w:line="173" w:lineRule="exact"/>
        <w:rPr>
          <w:rFonts w:ascii="Times New Roman" w:cs="Times New Roman" w:eastAsia="Times New Roman" w:hAnsi="Times New Roman"/>
          <w:sz w:val="21"/>
          <w:szCs w:val="21"/>
          <w:color w:val="auto"/>
        </w:rPr>
      </w:pPr>
    </w:p>
    <w:p>
      <w:pPr>
        <w:ind w:left="640" w:firstLine="1246"/>
        <w:spacing w:after="0" w:line="277" w:lineRule="auto"/>
        <w:tabs>
          <w:tab w:leader="none" w:pos="2621"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acquisition, there must be at least U.S.$25,000,000 of the Revolving Commitments unused and available;</w:t>
      </w:r>
    </w:p>
    <w:p>
      <w:pPr>
        <w:spacing w:after="0" w:line="148"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may enter into Hedging Agreements to the extent permitted by Section 6.12;</w:t>
      </w:r>
    </w:p>
    <w:p>
      <w:pPr>
        <w:spacing w:after="0" w:line="228" w:lineRule="exact"/>
        <w:rPr>
          <w:rFonts w:ascii="Times New Roman" w:cs="Times New Roman" w:eastAsia="Times New Roman" w:hAnsi="Times New Roman"/>
          <w:sz w:val="21"/>
          <w:szCs w:val="21"/>
          <w:color w:val="auto"/>
        </w:rPr>
      </w:pPr>
    </w:p>
    <w:p>
      <w:pPr>
        <w:jc w:val="both"/>
        <w:ind w:firstLine="1259"/>
        <w:spacing w:after="0" w:line="262" w:lineRule="auto"/>
        <w:tabs>
          <w:tab w:leader="none" w:pos="1768"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and its Subsidiaries may acquire all or substantially all the assets of a person or line of business of such person, or Equity Interests of a person that would become a wholly owned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transaction:</w:t>
      </w:r>
    </w:p>
    <w:p>
      <w:pPr>
        <w:spacing w:after="0" w:line="163" w:lineRule="exact"/>
        <w:rPr>
          <w:rFonts w:ascii="Times New Roman" w:cs="Times New Roman" w:eastAsia="Times New Roman" w:hAnsi="Times New Roman"/>
          <w:sz w:val="21"/>
          <w:szCs w:val="21"/>
          <w:color w:val="auto"/>
        </w:rPr>
      </w:pPr>
    </w:p>
    <w:p>
      <w:pPr>
        <w:ind w:left="2400" w:hanging="514"/>
        <w:spacing w:after="0"/>
        <w:tabs>
          <w:tab w:leader="none" w:pos="2400"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before and after giving effect thereto, no Event of Default or Default shall have occurred and be</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w:t>
      </w:r>
    </w:p>
    <w:p>
      <w:pPr>
        <w:spacing w:after="0" w:line="204" w:lineRule="exact"/>
        <w:rPr>
          <w:rFonts w:ascii="Times New Roman" w:cs="Times New Roman" w:eastAsia="Times New Roman" w:hAnsi="Times New Roman"/>
          <w:sz w:val="21"/>
          <w:szCs w:val="21"/>
          <w:color w:val="auto"/>
        </w:rPr>
      </w:pPr>
    </w:p>
    <w:p>
      <w:pPr>
        <w:jc w:val="both"/>
        <w:ind w:left="640" w:firstLine="1246"/>
        <w:spacing w:after="0" w:line="254" w:lineRule="auto"/>
        <w:tabs>
          <w:tab w:leader="none" w:pos="2381"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would be in compliance on a pro forma basis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w:t>
      </w:r>
    </w:p>
    <w:p>
      <w:pPr>
        <w:sectPr>
          <w:pgSz w:w="11900" w:h="16838" w:orient="portrait"/>
          <w:cols w:equalWidth="0" w:num="1">
            <w:col w:w="11240"/>
          </w:cols>
          <w:pgMar w:left="320" w:top="1380" w:right="339" w:bottom="1440" w:gutter="0" w:footer="0" w:header="0"/>
        </w:sectPr>
      </w:pPr>
    </w:p>
    <w:bookmarkStart w:id="197" w:name="page198"/>
    <w:bookmarkEnd w:id="197"/>
    <w:p>
      <w:pPr>
        <w:ind w:left="640"/>
        <w:spacing w:after="0" w:line="277" w:lineRule="auto"/>
        <w:rPr>
          <w:sz w:val="20"/>
          <w:szCs w:val="20"/>
          <w:color w:val="auto"/>
        </w:rPr>
      </w:pPr>
      <w:r>
        <w:rPr>
          <w:rFonts w:ascii="Times New Roman" w:cs="Times New Roman" w:eastAsia="Times New Roman" w:hAnsi="Times New Roman"/>
          <w:sz w:val="21"/>
          <w:szCs w:val="21"/>
          <w:color w:val="auto"/>
        </w:rPr>
        <w:t>transaction described in this Section 6.04(i) or Section 6.04(m) occurring during or after such period) as if such transaction had occurred as of the first day of such period; and</w:t>
      </w:r>
    </w:p>
    <w:p>
      <w:pPr>
        <w:spacing w:after="0" w:line="148" w:lineRule="exact"/>
        <w:rPr>
          <w:sz w:val="20"/>
          <w:szCs w:val="20"/>
          <w:color w:val="auto"/>
        </w:rPr>
      </w:pPr>
    </w:p>
    <w:p>
      <w:pPr>
        <w:ind w:left="640" w:firstLine="1246"/>
        <w:spacing w:after="0" w:line="290" w:lineRule="auto"/>
        <w:tabs>
          <w:tab w:leader="none" w:pos="2621"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acquisition, there must be at least U.S.$25,000,000 of the Revolving Commitments unused and available;</w:t>
      </w:r>
    </w:p>
    <w:p>
      <w:pPr>
        <w:spacing w:after="0" w:line="1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 </w:t>
      </w:r>
      <w:r>
        <w:rPr>
          <w:rFonts w:ascii="Times New Roman" w:cs="Times New Roman" w:eastAsia="Times New Roman" w:hAnsi="Times New Roman"/>
          <w:sz w:val="21"/>
          <w:szCs w:val="21"/>
          <w:color w:val="auto"/>
        </w:rPr>
        <w:t>that all pro forma calculations required to be made pursuant to this Section 6.04(i) shall (A) other than adjustments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183" w:lineRule="exact"/>
        <w:rPr>
          <w:sz w:val="20"/>
          <w:szCs w:val="20"/>
          <w:color w:val="auto"/>
        </w:rPr>
      </w:pPr>
    </w:p>
    <w:p>
      <w:pPr>
        <w:ind w:left="1660" w:hanging="401"/>
        <w:spacing w:after="0"/>
        <w:tabs>
          <w:tab w:leader="none" w:pos="1660"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non-cash proceeds of Asset Sales;</w:t>
      </w:r>
    </w:p>
    <w:p>
      <w:pPr>
        <w:spacing w:after="0" w:line="215" w:lineRule="exact"/>
        <w:rPr>
          <w:rFonts w:ascii="Times New Roman" w:cs="Times New Roman" w:eastAsia="Times New Roman" w:hAnsi="Times New Roman"/>
          <w:sz w:val="21"/>
          <w:szCs w:val="21"/>
          <w:color w:val="auto"/>
        </w:rPr>
      </w:pPr>
    </w:p>
    <w:p>
      <w:pPr>
        <w:jc w:val="both"/>
        <w:ind w:firstLine="1259"/>
        <w:spacing w:after="0" w:line="262" w:lineRule="auto"/>
        <w:tabs>
          <w:tab w:leader="none" w:pos="1854"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by the Parent Borrower or an existing Subsidiary in or to the Parent Borrower or an existing Subsidiary (but excluding, for the avoidance of doubt, Investments in any Person that will become a Subsidiary upon the making of such Investment);</w:t>
      </w:r>
    </w:p>
    <w:p>
      <w:pPr>
        <w:spacing w:after="0" w:line="163" w:lineRule="exact"/>
        <w:rPr>
          <w:rFonts w:ascii="Times New Roman" w:cs="Times New Roman" w:eastAsia="Times New Roman" w:hAnsi="Times New Roman"/>
          <w:sz w:val="21"/>
          <w:szCs w:val="21"/>
          <w:color w:val="auto"/>
        </w:rPr>
      </w:pPr>
    </w:p>
    <w:p>
      <w:pPr>
        <w:jc w:val="both"/>
        <w:ind w:firstLine="1259"/>
        <w:spacing w:after="0" w:line="268" w:lineRule="auto"/>
        <w:tabs>
          <w:tab w:leader="none" w:pos="1661"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Investments, without duplication, in an aggregate amount (valued at cost or outstanding principal amount, as the case may be) not greater than 7.5% of the Parent Borrower’s Consolidated Net Worth calculated on the date of such Investment as of the most recent fiscal quarter for which financial statements are available;</w:t>
      </w:r>
    </w:p>
    <w:p>
      <w:pPr>
        <w:spacing w:after="0" w:line="158" w:lineRule="exact"/>
        <w:rPr>
          <w:rFonts w:ascii="Times New Roman" w:cs="Times New Roman" w:eastAsia="Times New Roman" w:hAnsi="Times New Roman"/>
          <w:sz w:val="21"/>
          <w:szCs w:val="21"/>
          <w:color w:val="auto"/>
        </w:rPr>
      </w:pPr>
    </w:p>
    <w:p>
      <w:pPr>
        <w:ind w:firstLine="1259"/>
        <w:spacing w:after="0" w:line="277" w:lineRule="auto"/>
        <w:tabs>
          <w:tab w:leader="none" w:pos="1848"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and its Subsidiaries may acquire Equity Interests of a person that would become a non-wholly owned Subsidiary (in each case referred to herein as the “</w:t>
      </w:r>
      <w:r>
        <w:rPr>
          <w:rFonts w:ascii="Times New Roman" w:cs="Times New Roman" w:eastAsia="Times New Roman" w:hAnsi="Times New Roman"/>
          <w:sz w:val="21"/>
          <w:szCs w:val="21"/>
          <w:i w:val="1"/>
          <w:iCs w:val="1"/>
          <w:color w:val="auto"/>
        </w:rPr>
        <w:t>Non-Wholly Owned Entity</w:t>
      </w:r>
      <w:r>
        <w:rPr>
          <w:rFonts w:ascii="Times New Roman" w:cs="Times New Roman" w:eastAsia="Times New Roman" w:hAnsi="Times New Roman"/>
          <w:sz w:val="21"/>
          <w:szCs w:val="21"/>
          <w:color w:val="auto"/>
        </w:rPr>
        <w:t>”); provided that:</w:t>
      </w:r>
    </w:p>
    <w:p>
      <w:pPr>
        <w:spacing w:after="0" w:line="148" w:lineRule="exact"/>
        <w:rPr>
          <w:rFonts w:ascii="Times New Roman" w:cs="Times New Roman" w:eastAsia="Times New Roman" w:hAnsi="Times New Roman"/>
          <w:sz w:val="21"/>
          <w:szCs w:val="21"/>
          <w:color w:val="auto"/>
        </w:rPr>
      </w:pPr>
    </w:p>
    <w:p>
      <w:pPr>
        <w:ind w:left="2400" w:hanging="514"/>
        <w:spacing w:after="0"/>
        <w:tabs>
          <w:tab w:leader="none" w:pos="2400"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before and after giving effect thereto, no Event of Default or Default shall have occurred and be</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w:t>
      </w:r>
    </w:p>
    <w:p>
      <w:pPr>
        <w:spacing w:after="0" w:line="204" w:lineRule="exact"/>
        <w:rPr>
          <w:rFonts w:ascii="Times New Roman" w:cs="Times New Roman" w:eastAsia="Times New Roman" w:hAnsi="Times New Roman"/>
          <w:sz w:val="21"/>
          <w:szCs w:val="21"/>
          <w:color w:val="auto"/>
        </w:rPr>
      </w:pPr>
    </w:p>
    <w:p>
      <w:pPr>
        <w:jc w:val="both"/>
        <w:ind w:left="640" w:firstLine="1246"/>
        <w:spacing w:after="0" w:line="253" w:lineRule="auto"/>
        <w:tabs>
          <w:tab w:leader="none" w:pos="2359"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would (A) be in compliance with the covenants set forth in Section 6.10 and (B) after giving effect to such acquisition, have a Total Net Leverage Ratio less than or equal to the Total Net Leverage Ratio immediately prior to such acquisition, in each case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Section 6.04(i) or this Section 6.04(m) occurring during or after such period) as if such transaction had occurred as of the first day of such period;</w:t>
      </w:r>
    </w:p>
    <w:p>
      <w:pPr>
        <w:spacing w:after="0" w:line="172" w:lineRule="exact"/>
        <w:rPr>
          <w:rFonts w:ascii="Times New Roman" w:cs="Times New Roman" w:eastAsia="Times New Roman" w:hAnsi="Times New Roman"/>
          <w:sz w:val="21"/>
          <w:szCs w:val="21"/>
          <w:color w:val="auto"/>
        </w:rPr>
      </w:pPr>
    </w:p>
    <w:p>
      <w:pPr>
        <w:ind w:left="640" w:firstLine="1246"/>
        <w:spacing w:after="0" w:line="277" w:lineRule="auto"/>
        <w:tabs>
          <w:tab w:leader="none" w:pos="2621"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acquisition, there must be at least U.S.$25,000,000 of the Revolving Commitments unused and available;</w:t>
      </w:r>
    </w:p>
    <w:p>
      <w:pPr>
        <w:sectPr>
          <w:pgSz w:w="11900" w:h="16838" w:orient="portrait"/>
          <w:cols w:equalWidth="0" w:num="1">
            <w:col w:w="11240"/>
          </w:cols>
          <w:pgMar w:left="320" w:top="1380" w:right="339" w:bottom="1440" w:gutter="0" w:footer="0" w:header="0"/>
        </w:sectPr>
      </w:pPr>
    </w:p>
    <w:bookmarkStart w:id="198" w:name="page199"/>
    <w:bookmarkEnd w:id="198"/>
    <w:p>
      <w:pPr>
        <w:jc w:val="both"/>
        <w:ind w:left="640" w:firstLine="1246"/>
        <w:spacing w:after="0" w:line="262" w:lineRule="auto"/>
        <w:tabs>
          <w:tab w:leader="none" w:pos="2452"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acquisition, the Parent Borrower shall continue to own, directly or indirectly, beneficially and of record, a majority of the issued and outstanding Equity Interests of such Non-Wholly Owned Entity unless otherwise disposed of in accordance with Section 6.05;</w:t>
      </w:r>
    </w:p>
    <w:p>
      <w:pPr>
        <w:spacing w:after="0" w:line="176"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46"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consummation of such acquisition, the Non-Wholly Owned Entity and any Borrower and/or Subsidiary that holds any Equity Interests in such Non-Wholly Owned Entity shall have each complied with the requirements of Section 5.09 regardless of whether such Non-Wholly Owned Entity is a Material Subsidiary; and</w:t>
      </w:r>
    </w:p>
    <w:p>
      <w:pPr>
        <w:spacing w:after="0" w:line="163" w:lineRule="exact"/>
        <w:rPr>
          <w:rFonts w:ascii="Times New Roman" w:cs="Times New Roman" w:eastAsia="Times New Roman" w:hAnsi="Times New Roman"/>
          <w:sz w:val="21"/>
          <w:szCs w:val="21"/>
          <w:color w:val="auto"/>
        </w:rPr>
      </w:pPr>
    </w:p>
    <w:p>
      <w:pPr>
        <w:jc w:val="both"/>
        <w:ind w:left="640" w:firstLine="1246"/>
        <w:spacing w:after="0" w:line="268" w:lineRule="auto"/>
        <w:tabs>
          <w:tab w:leader="none" w:pos="2414"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the consideration for all such acquisitions made pursuant to this Section 6.04(m) after the Closing Date shall not exceed 10% of the Parent Borrower’s Consolidated Net Worth calculated on the date of such acquisition as of the most recent fiscal quarter for which financial statements are available;</w:t>
      </w:r>
    </w:p>
    <w:p>
      <w:pPr>
        <w:spacing w:after="0" w:line="156" w:lineRule="exact"/>
        <w:rPr>
          <w:sz w:val="20"/>
          <w:szCs w:val="20"/>
          <w:color w:val="auto"/>
        </w:rPr>
      </w:pPr>
    </w:p>
    <w:p>
      <w:pPr>
        <w:ind w:right="360" w:firstLine="627"/>
        <w:spacing w:after="0" w:line="257"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 </w:t>
      </w:r>
      <w:r>
        <w:rPr>
          <w:rFonts w:ascii="Times New Roman" w:cs="Times New Roman" w:eastAsia="Times New Roman" w:hAnsi="Times New Roman"/>
          <w:sz w:val="21"/>
          <w:szCs w:val="21"/>
          <w:color w:val="auto"/>
        </w:rPr>
        <w:t>that all pro forma calculations required to be made pursuant to this Section 6.04(m) shall (A) other than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adjustments 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 and</w:t>
      </w:r>
    </w:p>
    <w:p>
      <w:pPr>
        <w:spacing w:after="0" w:line="170" w:lineRule="exact"/>
        <w:rPr>
          <w:sz w:val="20"/>
          <w:szCs w:val="20"/>
          <w:color w:val="auto"/>
        </w:rPr>
      </w:pPr>
    </w:p>
    <w:p>
      <w:pPr>
        <w:ind w:left="1260"/>
        <w:spacing w:after="0"/>
        <w:tabs>
          <w:tab w:leader="none" w:pos="1700" w:val="left"/>
        </w:tabs>
        <w:rPr>
          <w:sz w:val="20"/>
          <w:szCs w:val="20"/>
          <w:color w:val="auto"/>
        </w:rPr>
      </w:pPr>
      <w:r>
        <w:rPr>
          <w:rFonts w:ascii="Times New Roman" w:cs="Times New Roman" w:eastAsia="Times New Roman" w:hAnsi="Times New Roman"/>
          <w:sz w:val="21"/>
          <w:szCs w:val="21"/>
          <w:color w:val="auto"/>
        </w:rPr>
        <w:t>(n)</w:t>
      </w:r>
      <w:r>
        <w:rPr>
          <w:sz w:val="20"/>
          <w:szCs w:val="20"/>
          <w:color w:val="auto"/>
        </w:rPr>
        <w:tab/>
      </w:r>
      <w:r>
        <w:rPr>
          <w:rFonts w:ascii="Times New Roman" w:cs="Times New Roman" w:eastAsia="Times New Roman" w:hAnsi="Times New Roman"/>
          <w:sz w:val="20"/>
          <w:szCs w:val="20"/>
          <w:color w:val="auto"/>
        </w:rPr>
        <w:t>Investments in connection with banking services and Hedging Agreements, in each case, permitted hereunder.</w:t>
      </w:r>
    </w:p>
    <w:p>
      <w:pPr>
        <w:spacing w:after="0" w:line="225"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6.05</w:t>
      </w:r>
      <w:r>
        <w:rPr>
          <w:sz w:val="20"/>
          <w:szCs w:val="20"/>
          <w:color w:val="auto"/>
        </w:rPr>
        <w:tab/>
      </w:r>
      <w:r>
        <w:rPr>
          <w:rFonts w:ascii="Times New Roman" w:cs="Times New Roman" w:eastAsia="Times New Roman" w:hAnsi="Times New Roman"/>
          <w:sz w:val="20"/>
          <w:szCs w:val="20"/>
          <w:b w:val="1"/>
          <w:bCs w:val="1"/>
          <w:i w:val="1"/>
          <w:iCs w:val="1"/>
          <w:color w:val="auto"/>
        </w:rPr>
        <w:t>Mergers, Consolidations, Sales of Assets and Acquisitions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259"/>
        <w:spacing w:after="0" w:line="250" w:lineRule="auto"/>
        <w:tabs>
          <w:tab w:leader="none" w:pos="190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Merge, amalgamate or consolidate with or into any other person, or 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(a) the Parent Borrower may merge, amalgamate or consolidate with any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no Change in Control occurs, (ii) immediately after giving effect to any such proposed transaction no Default or Event of Default would exist, and (iii) the Parent Borrower is the surviving entity, (b) the Parent Borrower may merge or amalgamate with any of its wholly owned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immediately after giving effect to any such proposed transaction no Default would exist and the Parent Borrower is the surviving entity, (c)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other than with respect to any merger among the Parent Borrower and one or more wholly owned Subsidiaries and/or among wholly owned Subsidiaries of the Parent Borrower, the requirements of Section 6.04(i) are met with respect to such merger described in this clause (c) and (ii) if any such merger described in this clause (c) shall involve a Loan Party, the surviving entity of such merger shall be or become</w:t>
      </w:r>
    </w:p>
    <w:p>
      <w:pPr>
        <w:sectPr>
          <w:pgSz w:w="11900" w:h="16838" w:orient="portrait"/>
          <w:cols w:equalWidth="0" w:num="1">
            <w:col w:w="11240"/>
          </w:cols>
          <w:pgMar w:left="320" w:top="1380" w:right="339" w:bottom="1440" w:gutter="0" w:footer="0" w:header="0"/>
        </w:sectPr>
      </w:pPr>
    </w:p>
    <w:bookmarkStart w:id="199" w:name="page200"/>
    <w:bookmarkEnd w:id="199"/>
    <w:p>
      <w:pPr>
        <w:jc w:val="both"/>
        <w:spacing w:after="0" w:line="303" w:lineRule="auto"/>
        <w:rPr>
          <w:sz w:val="20"/>
          <w:szCs w:val="20"/>
          <w:color w:val="auto"/>
        </w:rPr>
      </w:pPr>
      <w:r>
        <w:rPr>
          <w:rFonts w:ascii="Times New Roman" w:cs="Times New Roman" w:eastAsia="Times New Roman" w:hAnsi="Times New Roman"/>
          <w:sz w:val="20"/>
          <w:szCs w:val="20"/>
          <w:color w:val="auto"/>
        </w:rPr>
        <w:t>a Loan Party and (d) any Subsidiary of the Parent Borrower may liquidate or dissolve if the Parent Borrower determines in good faith that such liquidation or dissolution is in the best interests of the Parent Borrower and is not materially disadvantageous to the Lenders.</w:t>
      </w:r>
    </w:p>
    <w:p>
      <w:pPr>
        <w:spacing w:after="0" w:line="125" w:lineRule="exact"/>
        <w:rPr>
          <w:sz w:val="20"/>
          <w:szCs w:val="20"/>
          <w:color w:val="auto"/>
        </w:rPr>
      </w:pPr>
    </w:p>
    <w:p>
      <w:pPr>
        <w:jc w:val="both"/>
        <w:ind w:firstLine="1259"/>
        <w:spacing w:after="0" w:line="257" w:lineRule="auto"/>
        <w:tabs>
          <w:tab w:leader="none" w:pos="176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w:t>
      </w:r>
    </w:p>
    <w:p>
      <w:pPr>
        <w:spacing w:after="0" w:line="16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SECTION 6.06 </w:t>
      </w:r>
      <w:r>
        <w:rPr>
          <w:rFonts w:ascii="Times New Roman" w:cs="Times New Roman" w:eastAsia="Times New Roman" w:hAnsi="Times New Roman"/>
          <w:sz w:val="20"/>
          <w:szCs w:val="20"/>
          <w:b w:val="1"/>
          <w:bCs w:val="1"/>
          <w:i w:val="1"/>
          <w:iCs w:val="1"/>
          <w:color w:val="auto"/>
        </w:rPr>
        <w:t>Restricted Payments; Restrictive Agreements</w:t>
      </w:r>
      <w:r>
        <w:rPr>
          <w:rFonts w:ascii="Times New Roman" w:cs="Times New Roman" w:eastAsia="Times New Roman" w:hAnsi="Times New Roman"/>
          <w:sz w:val="20"/>
          <w:szCs w:val="20"/>
          <w:color w:val="auto"/>
        </w:rPr>
        <w:t>. (a) Declare or make, or agree to declare or make,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indirectly, any Restricted Payment (including pursuant to any Synthetic Purchase Agreement), or incur any obligation (contingent or otherwise) to do so;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 any Subsidiary may declare and pay dividends or make other distributions ratably to its equity holders of a given class, (ii) so long as no Event of Default or Default shall have occurred and be continuing or would result therefrom, the Parent Borrower may repurchase its Equity Interests owned by employees of the Parent Borrower or the Subsidiaries or make payments to employees of the Parent Borrower or the Subsidiaries upon termination of employment in connection with the exercise of stock options, stock appreciation rights or similar equity incentives or equity based incentives pursuant to management incentive plans or in connection with the death or disability of such employees in an aggregate amount not to exceed U.S.$10,000,000 in any fiscal year and (iii) so long as (A) no Event of Default or Default shall have occurred and be continuing or result therefrom, (B) at least U.S.$40,000,000 of the Revolving Commitments is unused and available after giving effect to such Restricted Payment, of which at least $30,000,000 must be comprised of the Canadian Revolving Commitments and the U.S. Revolving Commitments unused and available, in the aggregate) and (C) the Parent Borrower would have a Total Net Leverage Ratio less than 2.50:1.00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(using the criteria therefor described in Section 6.04(i)) to such transaction and to any other event occurring during or after such period as to which pro forma recalculation is appropriate as if such transaction had occurred as of the first day of such period, the Parent Borrower may make Restricted Payments in any amount.</w:t>
      </w:r>
    </w:p>
    <w:p>
      <w:pPr>
        <w:spacing w:after="0" w:line="186" w:lineRule="exact"/>
        <w:rPr>
          <w:sz w:val="20"/>
          <w:szCs w:val="20"/>
          <w:color w:val="auto"/>
        </w:rPr>
      </w:pPr>
    </w:p>
    <w:p>
      <w:pPr>
        <w:jc w:val="both"/>
        <w:ind w:firstLine="1259"/>
        <w:spacing w:after="0" w:line="254" w:lineRule="auto"/>
        <w:tabs>
          <w:tab w:leader="none" w:pos="1772"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Enter into, incur or permit to exist any agreement or other arrangement that prohibits, restricts or imposes any condition upon (i) the ability of the Parent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Parent Borrower or any other Subsidiary or to Guarantee Indebtedness of the Parent Borrower or any other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the foregoing shall not apply to restrictions and conditions imposed by law or by any Loan Document, (B) the foregoing shall not</w:t>
      </w:r>
    </w:p>
    <w:p>
      <w:pPr>
        <w:sectPr>
          <w:pgSz w:w="11900" w:h="16838" w:orient="portrait"/>
          <w:cols w:equalWidth="0" w:num="1">
            <w:col w:w="11240"/>
          </w:cols>
          <w:pgMar w:left="320" w:top="1380" w:right="339" w:bottom="1440" w:gutter="0" w:footer="0" w:header="0"/>
        </w:sectPr>
      </w:pPr>
    </w:p>
    <w:bookmarkStart w:id="200" w:name="page201"/>
    <w:bookmarkEnd w:id="200"/>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apply to customary restrictions and conditions contained in agreements relating to the sale of a Subsidiary pending such sale,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restrictions and conditions apply only to the Subsidiary that is to be sold and such sale is permitted hereunder, (C) the foregoing shall not apply to restrictions and conditions imposed on any Foreign Subsidiary (other than any Canadian Subsidiary, the Australian Borrower or any Australian Subsidiary) by the terms of any Indebtedness of such Foreign 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the foregoing shall not apply to restrictions and conditions imposed pursuant to the Facility Letter or other agreements for Banking Services permitted hereunder.</w:t>
      </w:r>
    </w:p>
    <w:p>
      <w:pPr>
        <w:spacing w:after="0" w:line="168"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6.07 </w:t>
      </w:r>
      <w:r>
        <w:rPr>
          <w:rFonts w:ascii="Times New Roman" w:cs="Times New Roman" w:eastAsia="Times New Roman" w:hAnsi="Times New Roman"/>
          <w:sz w:val="21"/>
          <w:szCs w:val="21"/>
          <w:b w:val="1"/>
          <w:bCs w:val="1"/>
          <w:i w:val="1"/>
          <w:iCs w:val="1"/>
          <w:color w:val="auto"/>
        </w:rPr>
        <w:t>Transactions with Affiliates</w:t>
      </w:r>
      <w:r>
        <w:rPr>
          <w:rFonts w:ascii="Times New Roman" w:cs="Times New Roman" w:eastAsia="Times New Roman" w:hAnsi="Times New Roman"/>
          <w:sz w:val="21"/>
          <w:szCs w:val="21"/>
          <w:color w:val="auto"/>
        </w:rPr>
        <w:t>. Except for transactions by or among Loan Parties and transactions expressly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under this Agreement, sell or transfer any property or assets to, or purchase or acquire 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181"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6.08 </w:t>
      </w:r>
      <w:r>
        <w:rPr>
          <w:rFonts w:ascii="Times New Roman" w:cs="Times New Roman" w:eastAsia="Times New Roman" w:hAnsi="Times New Roman"/>
          <w:sz w:val="21"/>
          <w:szCs w:val="21"/>
          <w:b w:val="1"/>
          <w:bCs w:val="1"/>
          <w:i w:val="1"/>
          <w:iCs w:val="1"/>
          <w:color w:val="auto"/>
        </w:rPr>
        <w:t>Business of Borrowers and Subsidiaries</w:t>
      </w:r>
      <w:r>
        <w:rPr>
          <w:rFonts w:ascii="Times New Roman" w:cs="Times New Roman" w:eastAsia="Times New Roman" w:hAnsi="Times New Roman"/>
          <w:sz w:val="21"/>
          <w:szCs w:val="21"/>
          <w:color w:val="auto"/>
        </w:rPr>
        <w:t>. Engage at any time in any business or business activity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providing products and services to the energy industry, accommodations and business activities reasonably incidental thereto.</w:t>
      </w:r>
    </w:p>
    <w:p>
      <w:pPr>
        <w:spacing w:after="0" w:line="140"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6.09 </w:t>
      </w:r>
      <w:r>
        <w:rPr>
          <w:rFonts w:ascii="Times New Roman" w:cs="Times New Roman" w:eastAsia="Times New Roman" w:hAnsi="Times New Roman"/>
          <w:sz w:val="21"/>
          <w:szCs w:val="21"/>
          <w:b w:val="1"/>
          <w:bCs w:val="1"/>
          <w:i w:val="1"/>
          <w:iCs w:val="1"/>
          <w:color w:val="auto"/>
        </w:rPr>
        <w:t>Other Indebtedness and Agreements</w:t>
      </w:r>
      <w:r>
        <w:rPr>
          <w:rFonts w:ascii="Times New Roman" w:cs="Times New Roman" w:eastAsia="Times New Roman" w:hAnsi="Times New Roman"/>
          <w:sz w:val="21"/>
          <w:szCs w:val="21"/>
          <w:color w:val="auto"/>
        </w:rPr>
        <w:t>. (a) Permit any waiver, supplement, modification, amendment,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or release of any 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165" w:lineRule="exact"/>
        <w:rPr>
          <w:sz w:val="20"/>
          <w:szCs w:val="20"/>
          <w:color w:val="auto"/>
        </w:rPr>
      </w:pPr>
    </w:p>
    <w:p>
      <w:pPr>
        <w:jc w:val="both"/>
        <w:ind w:firstLine="1259"/>
        <w:spacing w:after="0" w:line="253" w:lineRule="auto"/>
        <w:tabs>
          <w:tab w:leader="none" w:pos="1899"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Parent Borrower could make a Restricted Payment pursuant to Section 6.06(a), (ii) any Loan Party shall be entitled to pay any and all amounts owing to another Loan Party pursuant to any agreement providing for intercompany indebtedness or (iii) to the extent any such Indebtedness is repaid with the proceeds of Permitted Refinancing Indebtedness permitted under Section 6.01.</w:t>
      </w:r>
    </w:p>
    <w:p>
      <w:pPr>
        <w:spacing w:after="0" w:line="168" w:lineRule="exact"/>
        <w:rPr>
          <w:sz w:val="20"/>
          <w:szCs w:val="20"/>
          <w:color w:val="auto"/>
        </w:rPr>
      </w:pPr>
    </w:p>
    <w:p>
      <w:pPr>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6.10 </w:t>
      </w:r>
      <w:r>
        <w:rPr>
          <w:rFonts w:ascii="Times New Roman" w:cs="Times New Roman" w:eastAsia="Times New Roman" w:hAnsi="Times New Roman"/>
          <w:sz w:val="21"/>
          <w:szCs w:val="21"/>
          <w:b w:val="1"/>
          <w:bCs w:val="1"/>
          <w:i w:val="1"/>
          <w:iCs w:val="1"/>
          <w:color w:val="auto"/>
        </w:rPr>
        <w:t>Interest Coverage Ratio</w:t>
      </w:r>
      <w:r>
        <w:rPr>
          <w:rFonts w:ascii="Times New Roman" w:cs="Times New Roman" w:eastAsia="Times New Roman" w:hAnsi="Times New Roman"/>
          <w:sz w:val="21"/>
          <w:szCs w:val="21"/>
          <w:color w:val="auto"/>
        </w:rPr>
        <w:t>. Commencing with the four fiscal quarter period ending September 30, 2021,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 as of the last day of any fiscal quarter, the Interest</w:t>
      </w:r>
    </w:p>
    <w:p>
      <w:pPr>
        <w:sectPr>
          <w:pgSz w:w="11900" w:h="16838" w:orient="portrait"/>
          <w:cols w:equalWidth="0" w:num="1">
            <w:col w:w="11240"/>
          </w:cols>
          <w:pgMar w:left="320" w:top="1378" w:right="339" w:bottom="1440" w:gutter="0" w:footer="0" w:header="0"/>
        </w:sectPr>
      </w:pPr>
    </w:p>
    <w:bookmarkStart w:id="201" w:name="page202"/>
    <w:bookmarkEnd w:id="201"/>
    <w:p>
      <w:pPr>
        <w:spacing w:after="0" w:line="277" w:lineRule="auto"/>
        <w:rPr>
          <w:sz w:val="20"/>
          <w:szCs w:val="20"/>
          <w:color w:val="auto"/>
        </w:rPr>
      </w:pPr>
      <w:r>
        <w:rPr>
          <w:rFonts w:ascii="Times New Roman" w:cs="Times New Roman" w:eastAsia="Times New Roman" w:hAnsi="Times New Roman"/>
          <w:sz w:val="21"/>
          <w:szCs w:val="21"/>
          <w:color w:val="auto"/>
        </w:rPr>
        <w:t>Coverage Ratio for any period of four consecutive fiscal quarters of the Parent Borrower, in each case taken as one accounting period, to be less than 3.0 to 1.0.</w:t>
      </w:r>
    </w:p>
    <w:p>
      <w:pPr>
        <w:spacing w:after="0" w:line="144" w:lineRule="exact"/>
        <w:rPr>
          <w:sz w:val="20"/>
          <w:szCs w:val="20"/>
          <w:color w:val="auto"/>
        </w:rPr>
      </w:pPr>
    </w:p>
    <w:p>
      <w:pPr>
        <w:ind w:left="640"/>
        <w:spacing w:after="0"/>
        <w:tabs>
          <w:tab w:leader="none" w:pos="2160" w:val="left"/>
        </w:tabs>
        <w:rPr>
          <w:sz w:val="20"/>
          <w:szCs w:val="20"/>
          <w:color w:val="auto"/>
        </w:rPr>
      </w:pPr>
      <w:r>
        <w:rPr>
          <w:rFonts w:ascii="Times New Roman" w:cs="Times New Roman" w:eastAsia="Times New Roman" w:hAnsi="Times New Roman"/>
          <w:sz w:val="21"/>
          <w:szCs w:val="21"/>
          <w:b w:val="1"/>
          <w:bCs w:val="1"/>
          <w:color w:val="auto"/>
        </w:rPr>
        <w:t>SECTION 6.11</w:t>
      </w:r>
      <w:r>
        <w:rPr>
          <w:sz w:val="20"/>
          <w:szCs w:val="20"/>
          <w:color w:val="auto"/>
        </w:rPr>
        <w:tab/>
      </w:r>
      <w:r>
        <w:rPr>
          <w:rFonts w:ascii="Times New Roman" w:cs="Times New Roman" w:eastAsia="Times New Roman" w:hAnsi="Times New Roman"/>
          <w:sz w:val="20"/>
          <w:szCs w:val="20"/>
          <w:b w:val="1"/>
          <w:bCs w:val="1"/>
          <w:i w:val="1"/>
          <w:iCs w:val="1"/>
          <w:color w:val="auto"/>
        </w:rPr>
        <w:t>Leverage Ratios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20" w:firstLine="632"/>
        <w:spacing w:after="0" w:line="268" w:lineRule="auto"/>
        <w:tabs>
          <w:tab w:leader="none" w:pos="106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Maximum Total Net Leverage Ratio</w:t>
      </w:r>
      <w:r>
        <w:rPr>
          <w:rFonts w:ascii="Times New Roman" w:cs="Times New Roman" w:eastAsia="Times New Roman" w:hAnsi="Times New Roman"/>
          <w:sz w:val="20"/>
          <w:szCs w:val="20"/>
          <w:color w:val="auto"/>
        </w:rPr>
        <w:t>. Commencing with the four fiscal quarter period ending September 30, 2021,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permit, as of the last day of any fiscal quarter, the Total Net Leverage Ratio for any period of four consecutive fiscal quarters of the Parent Borrower, in each case taken as one accounting period, to be greater than (A) if a Qualified Offering has been consummated,</w:t>
      </w:r>
    </w:p>
    <w:p>
      <w:pPr>
        <w:spacing w:after="0" w:line="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3.50:1.00 and (B) if a Qualified Offering has not been consummated:</w:t>
      </w:r>
    </w:p>
    <w:p>
      <w:pPr>
        <w:spacing w:after="0" w:line="212" w:lineRule="exact"/>
        <w:rPr>
          <w:sz w:val="20"/>
          <w:szCs w:val="20"/>
          <w:color w:val="auto"/>
        </w:rPr>
      </w:pPr>
    </w:p>
    <w:tbl>
      <w:tblPr>
        <w:tblLayout w:type="fixed"/>
        <w:tblInd w:w="650" w:type="dxa"/>
        <w:tblCellMar>
          <w:top w:w="0" w:type="dxa"/>
          <w:left w:w="0" w:type="dxa"/>
          <w:bottom w:w="0" w:type="dxa"/>
          <w:right w:w="0" w:type="dxa"/>
        </w:tblCellMar>
      </w:tblPr>
      <w:tr>
        <w:trPr>
          <w:trHeight w:val="222"/>
        </w:trPr>
        <w:tc>
          <w:tcPr>
            <w:tcW w:w="4500" w:type="dxa"/>
            <w:vAlign w:val="bottom"/>
            <w:tcBorders>
              <w:top w:val="single" w:sz="8" w:color="auto"/>
              <w:left w:val="single" w:sz="8" w:color="auto"/>
              <w:right w:val="single" w:sz="8" w:color="auto"/>
            </w:tcBorders>
            <w:gridSpan w:val="3"/>
          </w:tcPr>
          <w:p>
            <w:pPr>
              <w:ind w:left="700"/>
              <w:spacing w:after="0" w:line="222" w:lineRule="exact"/>
              <w:rPr>
                <w:sz w:val="20"/>
                <w:szCs w:val="20"/>
                <w:color w:val="auto"/>
              </w:rPr>
            </w:pPr>
            <w:r>
              <w:rPr>
                <w:rFonts w:ascii="Times New Roman" w:cs="Times New Roman" w:eastAsia="Times New Roman" w:hAnsi="Times New Roman"/>
                <w:sz w:val="21"/>
                <w:szCs w:val="21"/>
                <w:color w:val="auto"/>
              </w:rPr>
              <w:t>Fiscal Quarter Ending</w:t>
            </w:r>
          </w:p>
        </w:tc>
        <w:tc>
          <w:tcPr>
            <w:tcW w:w="680" w:type="dxa"/>
            <w:vAlign w:val="bottom"/>
            <w:tcBorders>
              <w:top w:val="single" w:sz="8" w:color="auto"/>
            </w:tcBorders>
          </w:tcPr>
          <w:p>
            <w:pPr>
              <w:spacing w:after="0"/>
              <w:rPr>
                <w:sz w:val="19"/>
                <w:szCs w:val="19"/>
                <w:color w:val="auto"/>
              </w:rPr>
            </w:pPr>
          </w:p>
        </w:tc>
        <w:tc>
          <w:tcPr>
            <w:tcW w:w="4620" w:type="dxa"/>
            <w:vAlign w:val="bottom"/>
            <w:tcBorders>
              <w:top w:val="single" w:sz="8" w:color="auto"/>
              <w:right w:val="single" w:sz="8" w:color="auto"/>
            </w:tcBorders>
            <w:gridSpan w:val="2"/>
          </w:tcPr>
          <w:p>
            <w:pPr>
              <w:spacing w:after="0" w:line="222" w:lineRule="exact"/>
              <w:rPr>
                <w:sz w:val="20"/>
                <w:szCs w:val="20"/>
                <w:color w:val="auto"/>
              </w:rPr>
            </w:pPr>
            <w:r>
              <w:rPr>
                <w:rFonts w:ascii="Times New Roman" w:cs="Times New Roman" w:eastAsia="Times New Roman" w:hAnsi="Times New Roman"/>
                <w:sz w:val="21"/>
                <w:szCs w:val="21"/>
                <w:color w:val="auto"/>
              </w:rPr>
              <w:t>Maximum Total Net Leverage Ratio</w:t>
            </w:r>
          </w:p>
        </w:tc>
      </w:tr>
      <w:tr>
        <w:trPr>
          <w:trHeight w:val="32"/>
        </w:trPr>
        <w:tc>
          <w:tcPr>
            <w:tcW w:w="700" w:type="dxa"/>
            <w:vAlign w:val="bottom"/>
            <w:tcBorders>
              <w:left w:val="single" w:sz="8" w:color="auto"/>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40" w:type="dxa"/>
            <w:vAlign w:val="bottom"/>
            <w:tcBorders>
              <w:top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54"/>
        </w:trPr>
        <w:tc>
          <w:tcPr>
            <w:tcW w:w="4500" w:type="dxa"/>
            <w:vAlign w:val="bottom"/>
            <w:tcBorders>
              <w:left w:val="single" w:sz="8" w:color="auto"/>
              <w:bottom w:val="single" w:sz="8" w:color="auto"/>
              <w:right w:val="single" w:sz="8" w:color="auto"/>
            </w:tcBorders>
            <w:gridSpan w:val="3"/>
          </w:tcPr>
          <w:p>
            <w:pPr>
              <w:ind w:left="700"/>
              <w:spacing w:after="0"/>
              <w:rPr>
                <w:sz w:val="20"/>
                <w:szCs w:val="20"/>
                <w:color w:val="auto"/>
              </w:rPr>
            </w:pPr>
            <w:r>
              <w:rPr>
                <w:rFonts w:ascii="Times New Roman" w:cs="Times New Roman" w:eastAsia="Times New Roman" w:hAnsi="Times New Roman"/>
                <w:sz w:val="21"/>
                <w:szCs w:val="21"/>
                <w:color w:val="auto"/>
              </w:rPr>
              <w:t>September 30, 2021</w:t>
            </w:r>
          </w:p>
        </w:tc>
        <w:tc>
          <w:tcPr>
            <w:tcW w:w="37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21"/>
                <w:szCs w:val="21"/>
                <w:color w:val="auto"/>
              </w:rPr>
              <w:t>3.50:1.00</w:t>
            </w:r>
          </w:p>
        </w:tc>
        <w:tc>
          <w:tcPr>
            <w:tcW w:w="1580" w:type="dxa"/>
            <w:vAlign w:val="bottom"/>
            <w:tcBorders>
              <w:bottom w:val="single" w:sz="8" w:color="auto"/>
              <w:right w:val="single" w:sz="8" w:color="auto"/>
            </w:tcBorders>
          </w:tcPr>
          <w:p>
            <w:pPr>
              <w:spacing w:after="0"/>
              <w:rPr>
                <w:sz w:val="22"/>
                <w:szCs w:val="22"/>
                <w:color w:val="auto"/>
              </w:rPr>
            </w:pPr>
          </w:p>
        </w:tc>
      </w:tr>
      <w:tr>
        <w:trPr>
          <w:trHeight w:val="254"/>
        </w:trPr>
        <w:tc>
          <w:tcPr>
            <w:tcW w:w="4500" w:type="dxa"/>
            <w:vAlign w:val="bottom"/>
            <w:tcBorders>
              <w:left w:val="single" w:sz="8" w:color="auto"/>
              <w:bottom w:val="single" w:sz="8" w:color="auto"/>
              <w:right w:val="single" w:sz="8" w:color="auto"/>
            </w:tcBorders>
            <w:gridSpan w:val="3"/>
          </w:tcPr>
          <w:p>
            <w:pPr>
              <w:ind w:left="700"/>
              <w:spacing w:after="0"/>
              <w:rPr>
                <w:sz w:val="20"/>
                <w:szCs w:val="20"/>
                <w:color w:val="auto"/>
              </w:rPr>
            </w:pPr>
            <w:r>
              <w:rPr>
                <w:rFonts w:ascii="Times New Roman" w:cs="Times New Roman" w:eastAsia="Times New Roman" w:hAnsi="Times New Roman"/>
                <w:sz w:val="21"/>
                <w:szCs w:val="21"/>
                <w:color w:val="auto"/>
              </w:rPr>
              <w:t>December 31, 2021 and March 31, 2022</w:t>
            </w:r>
          </w:p>
        </w:tc>
        <w:tc>
          <w:tcPr>
            <w:tcW w:w="37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21"/>
                <w:szCs w:val="21"/>
                <w:color w:val="auto"/>
              </w:rPr>
              <w:t>3.25:1.00</w:t>
            </w:r>
          </w:p>
        </w:tc>
        <w:tc>
          <w:tcPr>
            <w:tcW w:w="1580" w:type="dxa"/>
            <w:vAlign w:val="bottom"/>
            <w:tcBorders>
              <w:bottom w:val="single" w:sz="8" w:color="auto"/>
              <w:right w:val="single" w:sz="8" w:color="auto"/>
            </w:tcBorders>
          </w:tcPr>
          <w:p>
            <w:pPr>
              <w:spacing w:after="0"/>
              <w:rPr>
                <w:sz w:val="22"/>
                <w:szCs w:val="22"/>
                <w:color w:val="auto"/>
              </w:rPr>
            </w:pPr>
          </w:p>
        </w:tc>
      </w:tr>
      <w:tr>
        <w:trPr>
          <w:trHeight w:val="254"/>
        </w:trPr>
        <w:tc>
          <w:tcPr>
            <w:tcW w:w="4500" w:type="dxa"/>
            <w:vAlign w:val="bottom"/>
            <w:tcBorders>
              <w:left w:val="single" w:sz="8" w:color="auto"/>
              <w:bottom w:val="single" w:sz="8" w:color="auto"/>
              <w:right w:val="single" w:sz="8" w:color="auto"/>
            </w:tcBorders>
            <w:gridSpan w:val="3"/>
          </w:tcPr>
          <w:p>
            <w:pPr>
              <w:ind w:left="700"/>
              <w:spacing w:after="0"/>
              <w:rPr>
                <w:sz w:val="20"/>
                <w:szCs w:val="20"/>
                <w:color w:val="auto"/>
              </w:rPr>
            </w:pPr>
            <w:r>
              <w:rPr>
                <w:rFonts w:ascii="Times New Roman" w:cs="Times New Roman" w:eastAsia="Times New Roman" w:hAnsi="Times New Roman"/>
                <w:sz w:val="21"/>
                <w:szCs w:val="21"/>
                <w:color w:val="auto"/>
              </w:rPr>
              <w:t>June 30, 2022 and thereafter</w:t>
            </w:r>
          </w:p>
        </w:tc>
        <w:tc>
          <w:tcPr>
            <w:tcW w:w="37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21"/>
                <w:szCs w:val="21"/>
                <w:color w:val="auto"/>
              </w:rPr>
              <w:t>3.00:1.00</w:t>
            </w:r>
          </w:p>
        </w:tc>
        <w:tc>
          <w:tcPr>
            <w:tcW w:w="1580" w:type="dxa"/>
            <w:vAlign w:val="bottom"/>
            <w:tcBorders>
              <w:bottom w:val="single" w:sz="8" w:color="auto"/>
              <w:right w:val="single" w:sz="8" w:color="auto"/>
            </w:tcBorders>
          </w:tcPr>
          <w:p>
            <w:pPr>
              <w:spacing w:after="0"/>
              <w:rPr>
                <w:sz w:val="22"/>
                <w:szCs w:val="22"/>
                <w:color w:val="auto"/>
              </w:rPr>
            </w:pPr>
          </w:p>
        </w:tc>
      </w:tr>
    </w:tbl>
    <w:p>
      <w:pPr>
        <w:spacing w:after="0" w:line="282" w:lineRule="exact"/>
        <w:rPr>
          <w:sz w:val="20"/>
          <w:szCs w:val="20"/>
          <w:color w:val="auto"/>
        </w:rPr>
      </w:pPr>
    </w:p>
    <w:p>
      <w:pPr>
        <w:ind w:right="60" w:firstLine="632"/>
        <w:spacing w:after="0" w:line="283" w:lineRule="auto"/>
        <w:tabs>
          <w:tab w:leader="none" w:pos="10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Maximum Senior Secured Net Leverage Ratio</w:t>
      </w:r>
      <w:r>
        <w:rPr>
          <w:rFonts w:ascii="Times New Roman" w:cs="Times New Roman" w:eastAsia="Times New Roman" w:hAnsi="Times New Roman"/>
          <w:sz w:val="20"/>
          <w:szCs w:val="20"/>
          <w:color w:val="auto"/>
        </w:rPr>
        <w:t>. Commencing with the first fiscal quarter ending immediately after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issuance of a Qualified Offering, permit, as of the last day of any fiscal quarter, the Senior Secured Net Leverage Ratio for any period of four consecutive fiscal quarters of the Parent Borrower, in each case taken as one accounting period, to be greater than 2.00:1.00.</w:t>
      </w:r>
    </w:p>
    <w:p>
      <w:pPr>
        <w:spacing w:after="0" w:line="154"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6.12 </w:t>
      </w:r>
      <w:r>
        <w:rPr>
          <w:rFonts w:ascii="Times New Roman" w:cs="Times New Roman" w:eastAsia="Times New Roman" w:hAnsi="Times New Roman"/>
          <w:sz w:val="21"/>
          <w:szCs w:val="21"/>
          <w:b w:val="1"/>
          <w:bCs w:val="1"/>
          <w:i w:val="1"/>
          <w:iCs w:val="1"/>
          <w:color w:val="auto"/>
        </w:rPr>
        <w:t>Hedging Agreements</w:t>
      </w:r>
      <w:r>
        <w:rPr>
          <w:rFonts w:ascii="Times New Roman" w:cs="Times New Roman" w:eastAsia="Times New Roman" w:hAnsi="Times New Roman"/>
          <w:sz w:val="21"/>
          <w:szCs w:val="21"/>
          <w:color w:val="auto"/>
        </w:rPr>
        <w:t>. Enter into any Hedging Agreement, other than Hedging Agreements entered into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ordinary course of business to hedge or mitigate risks to which a Borrower or any Subsidiary is exposed in the conduct of its business or the management of its liabilities.</w:t>
      </w:r>
    </w:p>
    <w:p>
      <w:pPr>
        <w:spacing w:after="0" w:line="157"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6.13 </w:t>
      </w:r>
      <w:r>
        <w:rPr>
          <w:rFonts w:ascii="Times New Roman" w:cs="Times New Roman" w:eastAsia="Times New Roman" w:hAnsi="Times New Roman"/>
          <w:sz w:val="21"/>
          <w:szCs w:val="21"/>
          <w:b w:val="1"/>
          <w:bCs w:val="1"/>
          <w:i w:val="1"/>
          <w:iCs w:val="1"/>
          <w:color w:val="auto"/>
        </w:rPr>
        <w:t>Pension Plans</w:t>
      </w:r>
      <w:r>
        <w:rPr>
          <w:rFonts w:ascii="Times New Roman" w:cs="Times New Roman" w:eastAsia="Times New Roman" w:hAnsi="Times New Roman"/>
          <w:sz w:val="21"/>
          <w:szCs w:val="21"/>
          <w:color w:val="auto"/>
        </w:rPr>
        <w:t>. (a) Terminate, in whole or in part, or initiate the termination of, in whole or in part,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Canadian Pension Plan so as to result in any liability to the Parent Borrower or its applicable Canadian Subsidiaries which could reasonably be expected to have a Material Adverse Effect; (b) permit to exist any event or condition in respect of any Canadian Pension Plan or Defined Benefit Plan which presents the risk of liability of the Parent Borrower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Parent Borrower or any of its Canadian Subsidiaries and which could reasonably be expected to have a Material Adverse Effect; (d) permit their unfunded obligations and liabilities under Canadian Pension Plans or Defined Benefit Plans to remain unfunded, other than in accordance with applicable law; (e) engage in any transactions which result in a fine or penalty against the Parent Borrower in excess of C$10,000,000 in respect of any Canadian Pension Plan, Defined Benefit Plan or</w:t>
      </w:r>
    </w:p>
    <w:p>
      <w:pPr>
        <w:sectPr>
          <w:pgSz w:w="11900" w:h="16838" w:orient="portrait"/>
          <w:cols w:equalWidth="0" w:num="1">
            <w:col w:w="11240"/>
          </w:cols>
          <w:pgMar w:left="320" w:top="1380" w:right="339" w:bottom="1440" w:gutter="0" w:footer="0" w:header="0"/>
        </w:sectPr>
      </w:pPr>
    </w:p>
    <w:bookmarkStart w:id="202" w:name="page203"/>
    <w:bookmarkEnd w:id="202"/>
    <w:p>
      <w:pPr>
        <w:jc w:val="both"/>
        <w:spacing w:after="0" w:line="254" w:lineRule="auto"/>
        <w:rPr>
          <w:sz w:val="20"/>
          <w:szCs w:val="20"/>
          <w:color w:val="auto"/>
        </w:rPr>
      </w:pPr>
      <w:r>
        <w:rPr>
          <w:rFonts w:ascii="Times New Roman" w:cs="Times New Roman" w:eastAsia="Times New Roman" w:hAnsi="Times New Roman"/>
          <w:sz w:val="21"/>
          <w:szCs w:val="21"/>
          <w:color w:val="auto"/>
        </w:rPr>
        <w:t>Canadian Benefit Plan which fine or penalty has not been paid within 30 days of final assessment unless (i) such fine or penalty is being contested in good faith by appropriate proceedings, (ii) the Parent Borrower has set aside on its books adequate reserves with respect thereto in accordance with GAAP and (iii) such contest does not operate to suspend collection of the contested fine or penalty; or (f) fail to make a required contribution under any Canadian Pension Plan, Defined Benefit Plan or Canadian Benefit Plan which would result in the imposition of a Lien upon the assets of the Parent Borrower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167"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6.14 </w:t>
      </w:r>
      <w:r>
        <w:rPr>
          <w:rFonts w:ascii="Times New Roman" w:cs="Times New Roman" w:eastAsia="Times New Roman" w:hAnsi="Times New Roman"/>
          <w:sz w:val="21"/>
          <w:szCs w:val="21"/>
          <w:b w:val="1"/>
          <w:bCs w:val="1"/>
          <w:i w:val="1"/>
          <w:iCs w:val="1"/>
          <w:color w:val="auto"/>
        </w:rPr>
        <w:t>Amendment of the Organizational Documents</w:t>
      </w:r>
      <w:r>
        <w:rPr>
          <w:rFonts w:ascii="Times New Roman" w:cs="Times New Roman" w:eastAsia="Times New Roman" w:hAnsi="Times New Roman"/>
          <w:sz w:val="21"/>
          <w:szCs w:val="21"/>
          <w:color w:val="auto"/>
        </w:rPr>
        <w:t>. Amend the limited partnership agreement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Subsidiary that is a limited partnership or otherwise take steps to expressly provide that the units of such limited partnership are securities for the purposes of this Securities Transfer Act (Alberta) without 30 days prior written notice to the Canadian Collateral Agent.</w:t>
      </w:r>
    </w:p>
    <w:p>
      <w:pPr>
        <w:spacing w:after="0" w:line="200" w:lineRule="exact"/>
        <w:rPr>
          <w:sz w:val="20"/>
          <w:szCs w:val="20"/>
          <w:color w:val="auto"/>
        </w:rPr>
      </w:pPr>
    </w:p>
    <w:p>
      <w:pPr>
        <w:spacing w:after="0" w:line="215"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6.15 </w:t>
      </w:r>
      <w:r>
        <w:rPr>
          <w:rFonts w:ascii="Times New Roman" w:cs="Times New Roman" w:eastAsia="Times New Roman" w:hAnsi="Times New Roman"/>
          <w:sz w:val="21"/>
          <w:szCs w:val="21"/>
          <w:b w:val="1"/>
          <w:bCs w:val="1"/>
          <w:i w:val="1"/>
          <w:iCs w:val="1"/>
          <w:color w:val="auto"/>
        </w:rPr>
        <w:t>Sanction Laws and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Use the proceeds of the facilities under the Loan Documents, or lend,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contribute or otherwise make available such proceeds to any Borrower or any Subsidiary, joint venture partner or other person or entity for the purpose of (i) funding any activities or business of or with any Designated Person, or in any country or territory that at the time of such funding is, or whose government is, the subject of any sanctions under any Sanctions Laws and Regulations, or (ii) causing a violation of any Sanctions Laws and Regulations by any party to this Agreement.</w:t>
      </w:r>
    </w:p>
    <w:p>
      <w:pPr>
        <w:spacing w:after="0" w:line="170" w:lineRule="exact"/>
        <w:rPr>
          <w:sz w:val="20"/>
          <w:szCs w:val="20"/>
          <w:color w:val="auto"/>
        </w:rPr>
      </w:pPr>
    </w:p>
    <w:p>
      <w:pPr>
        <w:jc w:val="both"/>
        <w:ind w:firstLine="1259"/>
        <w:spacing w:after="0" w:line="262" w:lineRule="auto"/>
        <w:tabs>
          <w:tab w:leader="none" w:pos="1741"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any amount due pursuant under the Loan Documents with funds obtained from transactions with or relating to Designated Persons or countries which are the subject of sanctions under any Sanctions Laws and Regulations, including but not limited to, Iran, Sudan, Cuba, and Syria, or with funds derived from any activity in violation of Anti-Money Laundering Laws.</w:t>
      </w:r>
    </w:p>
    <w:p>
      <w:pPr>
        <w:spacing w:after="0" w:line="172" w:lineRule="exact"/>
        <w:rPr>
          <w:sz w:val="20"/>
          <w:szCs w:val="20"/>
          <w:color w:val="auto"/>
        </w:rPr>
      </w:pPr>
    </w:p>
    <w:p>
      <w:pPr>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6.16 </w:t>
      </w:r>
      <w:r>
        <w:rPr>
          <w:rFonts w:ascii="Times New Roman" w:cs="Times New Roman" w:eastAsia="Times New Roman" w:hAnsi="Times New Roman"/>
          <w:sz w:val="21"/>
          <w:szCs w:val="21"/>
          <w:b w:val="1"/>
          <w:bCs w:val="1"/>
          <w:i w:val="1"/>
          <w:iCs w:val="1"/>
          <w:color w:val="auto"/>
        </w:rPr>
        <w:t>Anti-Corruption Laws</w:t>
      </w:r>
      <w:r>
        <w:rPr>
          <w:rFonts w:ascii="Times New Roman" w:cs="Times New Roman" w:eastAsia="Times New Roman" w:hAnsi="Times New Roman"/>
          <w:sz w:val="21"/>
          <w:szCs w:val="21"/>
          <w:color w:val="auto"/>
        </w:rPr>
        <w:t>. Violate the laws or regulations described in Section 3.23 in such a manner as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result in a Material Adverse Effect.</w:t>
      </w:r>
    </w:p>
    <w:p>
      <w:pPr>
        <w:spacing w:after="0" w:line="140" w:lineRule="exact"/>
        <w:rPr>
          <w:sz w:val="20"/>
          <w:szCs w:val="20"/>
          <w:color w:val="auto"/>
        </w:rPr>
      </w:pPr>
    </w:p>
    <w:p>
      <w:pPr>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6.17 </w:t>
      </w:r>
      <w:r>
        <w:rPr>
          <w:rFonts w:ascii="Times New Roman" w:cs="Times New Roman" w:eastAsia="Times New Roman" w:hAnsi="Times New Roman"/>
          <w:sz w:val="21"/>
          <w:szCs w:val="21"/>
          <w:b w:val="1"/>
          <w:bCs w:val="1"/>
          <w:i w:val="1"/>
          <w:iCs w:val="1"/>
          <w:color w:val="auto"/>
        </w:rPr>
        <w:t>Cross-Guarantee</w:t>
      </w:r>
      <w:r>
        <w:rPr>
          <w:rFonts w:ascii="Times New Roman" w:cs="Times New Roman" w:eastAsia="Times New Roman" w:hAnsi="Times New Roman"/>
          <w:sz w:val="21"/>
          <w:szCs w:val="21"/>
          <w:color w:val="auto"/>
        </w:rPr>
        <w:t>. No Loan Party shall enter into a deed of cross-guarantee for the purposes of ASIC Class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Order CO 98/1418 other than with Civeo Holdings Company 1 Pty Limited and its subsidiaries.</w:t>
      </w:r>
    </w:p>
    <w:p>
      <w:pPr>
        <w:spacing w:after="0" w:line="1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EVENTS OF DEFAULT</w:t>
      </w:r>
    </w:p>
    <w:p>
      <w:pPr>
        <w:spacing w:after="0" w:line="216" w:lineRule="exact"/>
        <w:rPr>
          <w:sz w:val="20"/>
          <w:szCs w:val="20"/>
          <w:color w:val="auto"/>
        </w:rPr>
      </w:pPr>
    </w:p>
    <w:p>
      <w:pPr>
        <w:jc w:val="center"/>
        <w:ind w:right="280"/>
        <w:spacing w:after="0"/>
        <w:tabs>
          <w:tab w:leader="none" w:pos="180" w:val="left"/>
        </w:tabs>
        <w:rPr>
          <w:sz w:val="20"/>
          <w:szCs w:val="20"/>
          <w:color w:val="auto"/>
        </w:rPr>
      </w:pPr>
      <w:r>
        <w:rPr>
          <w:rFonts w:ascii="Times New Roman" w:cs="Times New Roman" w:eastAsia="Times New Roman" w:hAnsi="Times New Roman"/>
          <w:sz w:val="21"/>
          <w:szCs w:val="21"/>
          <w:b w:val="1"/>
          <w:bCs w:val="1"/>
          <w:color w:val="auto"/>
        </w:rPr>
        <w:t>SECTION 7.01</w:t>
      </w:r>
      <w:r>
        <w:rPr>
          <w:sz w:val="20"/>
          <w:szCs w:val="20"/>
          <w:color w:val="auto"/>
        </w:rPr>
        <w:tab/>
      </w:r>
      <w:r>
        <w:rPr>
          <w:rFonts w:ascii="Times New Roman" w:cs="Times New Roman" w:eastAsia="Times New Roman" w:hAnsi="Times New Roman"/>
          <w:sz w:val="20"/>
          <w:szCs w:val="20"/>
          <w:b w:val="1"/>
          <w:bCs w:val="1"/>
          <w:i w:val="1"/>
          <w:iCs w:val="1"/>
          <w:color w:val="auto"/>
        </w:rPr>
        <w:t>Events of Default</w:t>
      </w:r>
      <w:r>
        <w:rPr>
          <w:rFonts w:ascii="Times New Roman" w:cs="Times New Roman" w:eastAsia="Times New Roman" w:hAnsi="Times New Roman"/>
          <w:sz w:val="20"/>
          <w:szCs w:val="20"/>
          <w:color w:val="auto"/>
        </w:rPr>
        <w:t>. In case of the happening of any of the following events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80" w:right="339" w:bottom="1440" w:gutter="0" w:footer="0" w:header="0"/>
        </w:sectPr>
      </w:pPr>
    </w:p>
    <w:bookmarkStart w:id="203" w:name="page204"/>
    <w:bookmarkEnd w:id="203"/>
    <w:p>
      <w:pPr>
        <w:jc w:val="both"/>
        <w:ind w:left="-1120" w:firstLine="1259"/>
        <w:spacing w:after="0" w:line="255" w:lineRule="auto"/>
        <w:tabs>
          <w:tab w:leader="none" w:pos="708"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72" w:lineRule="exact"/>
        <w:rPr>
          <w:rFonts w:ascii="Times New Roman" w:cs="Times New Roman" w:eastAsia="Times New Roman" w:hAnsi="Times New Roman"/>
          <w:sz w:val="21"/>
          <w:szCs w:val="21"/>
          <w:color w:val="auto"/>
        </w:rPr>
      </w:pPr>
    </w:p>
    <w:p>
      <w:pPr>
        <w:jc w:val="both"/>
        <w:ind w:left="-1120" w:firstLine="1259"/>
        <w:spacing w:after="0" w:line="268" w:lineRule="auto"/>
        <w:tabs>
          <w:tab w:leader="none" w:pos="816"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58" w:lineRule="exact"/>
        <w:rPr>
          <w:rFonts w:ascii="Times New Roman" w:cs="Times New Roman" w:eastAsia="Times New Roman" w:hAnsi="Times New Roman"/>
          <w:sz w:val="21"/>
          <w:szCs w:val="21"/>
          <w:color w:val="auto"/>
        </w:rPr>
      </w:pPr>
    </w:p>
    <w:p>
      <w:pPr>
        <w:jc w:val="both"/>
        <w:ind w:left="-1120" w:firstLine="1259"/>
        <w:spacing w:after="0" w:line="262" w:lineRule="auto"/>
        <w:tabs>
          <w:tab w:leader="none" w:pos="632"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w:t>
      </w:r>
    </w:p>
    <w:p>
      <w:pPr>
        <w:spacing w:after="0" w:line="163" w:lineRule="exact"/>
        <w:rPr>
          <w:rFonts w:ascii="Times New Roman" w:cs="Times New Roman" w:eastAsia="Times New Roman" w:hAnsi="Times New Roman"/>
          <w:sz w:val="21"/>
          <w:szCs w:val="21"/>
          <w:color w:val="auto"/>
        </w:rPr>
      </w:pPr>
    </w:p>
    <w:p>
      <w:pPr>
        <w:ind w:left="-1120" w:firstLine="1259"/>
        <w:spacing w:after="0" w:line="277" w:lineRule="auto"/>
        <w:tabs>
          <w:tab w:leader="none" w:pos="644"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shall be made in the due observance or performance by a Borrower or any Subsidiary of any covenant, condition or agreement contained in Section 5.01(a), 5.05(a), 5.08 or in Article VI;</w:t>
      </w:r>
    </w:p>
    <w:p>
      <w:pPr>
        <w:spacing w:after="0" w:line="161" w:lineRule="exact"/>
        <w:rPr>
          <w:rFonts w:ascii="Times New Roman" w:cs="Times New Roman" w:eastAsia="Times New Roman" w:hAnsi="Times New Roman"/>
          <w:sz w:val="21"/>
          <w:szCs w:val="21"/>
          <w:color w:val="auto"/>
        </w:rPr>
      </w:pPr>
    </w:p>
    <w:p>
      <w:pPr>
        <w:jc w:val="both"/>
        <w:ind w:left="-1120" w:firstLine="1259"/>
        <w:spacing w:after="0" w:line="256" w:lineRule="auto"/>
        <w:tabs>
          <w:tab w:leader="none" w:pos="63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shall be made in the due observance or performance by a Borrower or any Subsidiary of any covenant, condition or agreement contained in any Loan Document (other than those specified in Section 7.01(b), (c) or (d)) and such default shall continue unremedied for a period of 30 days after the earlier of (i) notice thereof from any Agent or any Lender to the Parent Borrower or (ii) any Responsible Officer of the Parent Borrower obtains actual knowledge thereof;</w:t>
      </w:r>
    </w:p>
    <w:p>
      <w:pPr>
        <w:spacing w:after="0" w:line="171" w:lineRule="exact"/>
        <w:rPr>
          <w:rFonts w:ascii="Times New Roman" w:cs="Times New Roman" w:eastAsia="Times New Roman" w:hAnsi="Times New Roman"/>
          <w:sz w:val="21"/>
          <w:szCs w:val="21"/>
          <w:color w:val="auto"/>
        </w:rPr>
      </w:pPr>
    </w:p>
    <w:p>
      <w:pPr>
        <w:jc w:val="both"/>
        <w:ind w:left="-1120" w:firstLine="1259"/>
        <w:spacing w:after="0" w:line="256" w:lineRule="auto"/>
        <w:tabs>
          <w:tab w:leader="none" w:pos="589"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(ii) shall not apply to secured Indebtedness that becomes due as a result of the voluntary sale or transfer of the property or assets securing such Indebtedness;</w:t>
      </w:r>
    </w:p>
    <w:p>
      <w:pPr>
        <w:spacing w:after="0" w:line="170" w:lineRule="exact"/>
        <w:rPr>
          <w:rFonts w:ascii="Times New Roman" w:cs="Times New Roman" w:eastAsia="Times New Roman" w:hAnsi="Times New Roman"/>
          <w:sz w:val="21"/>
          <w:szCs w:val="21"/>
          <w:color w:val="auto"/>
        </w:rPr>
      </w:pPr>
    </w:p>
    <w:p>
      <w:pPr>
        <w:jc w:val="both"/>
        <w:ind w:left="-1120" w:firstLine="1259"/>
        <w:spacing w:after="0" w:line="256" w:lineRule="auto"/>
        <w:tabs>
          <w:tab w:leader="none" w:pos="637"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w:t>
      </w:r>
    </w:p>
    <w:p>
      <w:pPr>
        <w:sectPr>
          <w:pgSz w:w="11900" w:h="16838" w:orient="portrait"/>
          <w:cols w:equalWidth="0" w:num="1">
            <w:col w:w="10120"/>
          </w:cols>
          <w:pgMar w:left="1440" w:top="1380" w:right="339" w:bottom="1440" w:gutter="0" w:footer="0" w:header="0"/>
        </w:sectPr>
      </w:pPr>
    </w:p>
    <w:bookmarkStart w:id="204" w:name="page205"/>
    <w:bookmarkEnd w:id="204"/>
    <w:p>
      <w:pPr>
        <w:jc w:val="both"/>
        <w:spacing w:after="0" w:line="262" w:lineRule="auto"/>
        <w:rPr>
          <w:sz w:val="20"/>
          <w:szCs w:val="20"/>
          <w:color w:val="auto"/>
        </w:rPr>
      </w:pPr>
      <w:r>
        <w:rPr>
          <w:rFonts w:ascii="Times New Roman" w:cs="Times New Roman" w:eastAsia="Times New Roman" w:hAnsi="Times New Roman"/>
          <w:sz w:val="21"/>
          <w:szCs w:val="21"/>
          <w:color w:val="auto"/>
        </w:rPr>
        <w:t>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76" w:lineRule="exact"/>
        <w:rPr>
          <w:sz w:val="20"/>
          <w:szCs w:val="20"/>
          <w:color w:val="auto"/>
        </w:rPr>
      </w:pPr>
    </w:p>
    <w:p>
      <w:pPr>
        <w:jc w:val="both"/>
        <w:ind w:firstLine="1259"/>
        <w:spacing w:after="0" w:line="264" w:lineRule="auto"/>
        <w:tabs>
          <w:tab w:leader="none" w:pos="1843"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 (E) 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69" w:lineRule="exact"/>
        <w:rPr>
          <w:rFonts w:ascii="Times New Roman" w:cs="Times New Roman" w:eastAsia="Times New Roman" w:hAnsi="Times New Roman"/>
          <w:sz w:val="20"/>
          <w:szCs w:val="20"/>
          <w:color w:val="auto"/>
        </w:rPr>
      </w:pPr>
    </w:p>
    <w:p>
      <w:pPr>
        <w:jc w:val="both"/>
        <w:ind w:firstLine="1259"/>
        <w:spacing w:after="0" w:line="257" w:lineRule="auto"/>
        <w:tabs>
          <w:tab w:leader="none" w:pos="1716"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70" w:lineRule="exact"/>
        <w:rPr>
          <w:rFonts w:ascii="Times New Roman" w:cs="Times New Roman" w:eastAsia="Times New Roman" w:hAnsi="Times New Roman"/>
          <w:sz w:val="21"/>
          <w:szCs w:val="21"/>
          <w:color w:val="auto"/>
        </w:rPr>
      </w:pPr>
    </w:p>
    <w:p>
      <w:pPr>
        <w:jc w:val="both"/>
        <w:ind w:firstLine="1259"/>
        <w:spacing w:after="0" w:line="268" w:lineRule="auto"/>
        <w:tabs>
          <w:tab w:leader="none" w:pos="1716"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158" w:lineRule="exact"/>
        <w:rPr>
          <w:rFonts w:ascii="Times New Roman" w:cs="Times New Roman" w:eastAsia="Times New Roman" w:hAnsi="Times New Roman"/>
          <w:sz w:val="21"/>
          <w:szCs w:val="21"/>
          <w:color w:val="auto"/>
        </w:rPr>
      </w:pPr>
    </w:p>
    <w:p>
      <w:pPr>
        <w:jc w:val="both"/>
        <w:ind w:firstLine="1259"/>
        <w:spacing w:after="0" w:line="262" w:lineRule="auto"/>
        <w:tabs>
          <w:tab w:leader="none" w:pos="1781"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163" w:lineRule="exact"/>
        <w:rPr>
          <w:rFonts w:ascii="Times New Roman" w:cs="Times New Roman" w:eastAsia="Times New Roman" w:hAnsi="Times New Roman"/>
          <w:sz w:val="21"/>
          <w:szCs w:val="21"/>
          <w:color w:val="auto"/>
        </w:rPr>
      </w:pPr>
    </w:p>
    <w:p>
      <w:pPr>
        <w:jc w:val="both"/>
        <w:ind w:firstLine="1259"/>
        <w:spacing w:after="0" w:line="268" w:lineRule="auto"/>
        <w:tabs>
          <w:tab w:leader="none" w:pos="1676"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security interest purported to be created by any Security Document shall cease to be, or shall be asserted by a Borrower or any other Loan Party not to be, a valid, perfected, first priority (except as otherwise expressly provided in this Agreement or such</w:t>
      </w:r>
    </w:p>
    <w:p>
      <w:pPr>
        <w:sectPr>
          <w:pgSz w:w="11900" w:h="16838" w:orient="portrait"/>
          <w:cols w:equalWidth="0" w:num="1">
            <w:col w:w="11240"/>
          </w:cols>
          <w:pgMar w:left="320" w:top="1380" w:right="339" w:bottom="1440" w:gutter="0" w:footer="0" w:header="0"/>
        </w:sectPr>
      </w:pPr>
    </w:p>
    <w:bookmarkStart w:id="205" w:name="page206"/>
    <w:bookmarkEnd w:id="205"/>
    <w:p>
      <w:pPr>
        <w:jc w:val="both"/>
        <w:spacing w:after="0" w:line="262" w:lineRule="auto"/>
        <w:rPr>
          <w:sz w:val="20"/>
          <w:szCs w:val="20"/>
          <w:color w:val="auto"/>
        </w:rPr>
      </w:pPr>
      <w:r>
        <w:rPr>
          <w:rFonts w:ascii="Times New Roman" w:cs="Times New Roman" w:eastAsia="Times New Roman" w:hAnsi="Times New Roman"/>
          <w:sz w:val="21"/>
          <w:szCs w:val="21"/>
          <w:color w:val="auto"/>
        </w:rPr>
        <w:t>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176" w:lineRule="exact"/>
        <w:rPr>
          <w:sz w:val="20"/>
          <w:szCs w:val="20"/>
          <w:color w:val="auto"/>
        </w:rPr>
      </w:pPr>
    </w:p>
    <w:p>
      <w:pPr>
        <w:ind w:left="1780" w:hanging="521"/>
        <w:spacing w:after="0"/>
        <w:tabs>
          <w:tab w:leader="none" w:pos="1780"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Control shall have occurred.</w:t>
      </w:r>
    </w:p>
    <w:p>
      <w:pPr>
        <w:spacing w:after="0" w:line="212" w:lineRule="exact"/>
        <w:rPr>
          <w:sz w:val="20"/>
          <w:szCs w:val="20"/>
          <w:color w:val="auto"/>
        </w:rPr>
      </w:pPr>
    </w:p>
    <w:p>
      <w:pPr>
        <w:ind w:left="640"/>
        <w:spacing w:after="0"/>
        <w:tabs>
          <w:tab w:leader="none" w:pos="2260" w:val="left"/>
        </w:tabs>
        <w:rPr>
          <w:sz w:val="20"/>
          <w:szCs w:val="20"/>
          <w:color w:val="auto"/>
        </w:rPr>
      </w:pPr>
      <w:r>
        <w:rPr>
          <w:rFonts w:ascii="Times New Roman" w:cs="Times New Roman" w:eastAsia="Times New Roman" w:hAnsi="Times New Roman"/>
          <w:sz w:val="21"/>
          <w:szCs w:val="21"/>
          <w:b w:val="1"/>
          <w:bCs w:val="1"/>
          <w:color w:val="auto"/>
        </w:rPr>
        <w:t>SECTION 7.02</w:t>
      </w:r>
      <w:r>
        <w:rPr>
          <w:sz w:val="20"/>
          <w:szCs w:val="20"/>
          <w:color w:val="auto"/>
        </w:rPr>
        <w:tab/>
      </w:r>
      <w:r>
        <w:rPr>
          <w:rFonts w:ascii="Times New Roman" w:cs="Times New Roman" w:eastAsia="Times New Roman" w:hAnsi="Times New Roman"/>
          <w:sz w:val="21"/>
          <w:szCs w:val="21"/>
          <w:b w:val="1"/>
          <w:bCs w:val="1"/>
          <w:i w:val="1"/>
          <w:iCs w:val="1"/>
          <w:color w:val="auto"/>
        </w:rPr>
        <w:t>Optional Acceleration of Maturity</w:t>
      </w:r>
      <w:r>
        <w:rPr>
          <w:rFonts w:ascii="Times New Roman" w:cs="Times New Roman" w:eastAsia="Times New Roman" w:hAnsi="Times New Roman"/>
          <w:sz w:val="21"/>
          <w:szCs w:val="21"/>
          <w:color w:val="auto"/>
        </w:rPr>
        <w:t>. If any Event of Default (other than an Event of Default pursuant to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7.01(g) or (h)) shall have occurred and be continuing, then, and in any such event:</w:t>
      </w:r>
    </w:p>
    <w:p>
      <w:pPr>
        <w:spacing w:after="0" w:line="192" w:lineRule="exact"/>
        <w:rPr>
          <w:sz w:val="20"/>
          <w:szCs w:val="20"/>
          <w:color w:val="auto"/>
        </w:rPr>
      </w:pPr>
    </w:p>
    <w:p>
      <w:pPr>
        <w:jc w:val="both"/>
        <w:ind w:firstLine="1259"/>
        <w:spacing w:after="0" w:line="253" w:lineRule="auto"/>
        <w:tabs>
          <w:tab w:leader="none" w:pos="170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(i) shall at the request, or may, with the consent, of the Required Revolving Lenders, by notice to the Parent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Parent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78" w:lineRule="exact"/>
        <w:rPr>
          <w:rFonts w:ascii="Times New Roman" w:cs="Times New Roman" w:eastAsia="Times New Roman" w:hAnsi="Times New Roman"/>
          <w:sz w:val="21"/>
          <w:szCs w:val="21"/>
          <w:color w:val="auto"/>
        </w:rPr>
      </w:pPr>
    </w:p>
    <w:p>
      <w:pPr>
        <w:ind w:firstLine="1259"/>
        <w:spacing w:after="0" w:line="277" w:lineRule="auto"/>
        <w:tabs>
          <w:tab w:leader="none" w:pos="1750"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shall, on demand of any Administrative Agent at the request or with the consent of the Required Revolving Lenders, Cash Collateralize the Letters of Credit in accordance with Section 2.21(k); and</w:t>
      </w:r>
    </w:p>
    <w:p>
      <w:pPr>
        <w:spacing w:after="0" w:line="148" w:lineRule="exact"/>
        <w:rPr>
          <w:rFonts w:ascii="Times New Roman" w:cs="Times New Roman" w:eastAsia="Times New Roman" w:hAnsi="Times New Roman"/>
          <w:sz w:val="21"/>
          <w:szCs w:val="21"/>
          <w:color w:val="auto"/>
        </w:rPr>
      </w:pPr>
    </w:p>
    <w:p>
      <w:pPr>
        <w:jc w:val="both"/>
        <w:ind w:firstLine="1259"/>
        <w:spacing w:after="0" w:line="268" w:lineRule="auto"/>
        <w:tabs>
          <w:tab w:leader="none" w:pos="1707"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54"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7.03</w:t>
      </w:r>
      <w:r>
        <w:rPr>
          <w:sz w:val="20"/>
          <w:szCs w:val="20"/>
          <w:color w:val="auto"/>
        </w:rPr>
        <w:tab/>
      </w:r>
      <w:r>
        <w:rPr>
          <w:rFonts w:ascii="Times New Roman" w:cs="Times New Roman" w:eastAsia="Times New Roman" w:hAnsi="Times New Roman"/>
          <w:sz w:val="20"/>
          <w:szCs w:val="20"/>
          <w:b w:val="1"/>
          <w:bCs w:val="1"/>
          <w:i w:val="1"/>
          <w:iCs w:val="1"/>
          <w:color w:val="auto"/>
        </w:rPr>
        <w:t>Automatic Acceleration of Maturity</w:t>
      </w:r>
      <w:r>
        <w:rPr>
          <w:rFonts w:ascii="Times New Roman" w:cs="Times New Roman" w:eastAsia="Times New Roman" w:hAnsi="Times New Roman"/>
          <w:sz w:val="20"/>
          <w:szCs w:val="20"/>
          <w:color w:val="auto"/>
        </w:rPr>
        <w:t>. If any Event of Default pursuant to Section 7.01(g) or (h) shall occur:</w:t>
      </w:r>
    </w:p>
    <w:p>
      <w:pPr>
        <w:spacing w:after="0" w:line="220" w:lineRule="exact"/>
        <w:rPr>
          <w:sz w:val="20"/>
          <w:szCs w:val="20"/>
          <w:color w:val="auto"/>
        </w:rPr>
      </w:pPr>
    </w:p>
    <w:p>
      <w:pPr>
        <w:jc w:val="both"/>
        <w:ind w:firstLine="1259"/>
        <w:spacing w:after="0" w:line="255" w:lineRule="auto"/>
        <w:tabs>
          <w:tab w:leader="none" w:pos="1805"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ectPr>
          <w:pgSz w:w="11900" w:h="16838" w:orient="portrait"/>
          <w:cols w:equalWidth="0" w:num="1">
            <w:col w:w="11240"/>
          </w:cols>
          <w:pgMar w:left="320" w:top="1380" w:right="339" w:bottom="1440" w:gutter="0" w:footer="0" w:header="0"/>
        </w:sectPr>
      </w:pPr>
    </w:p>
    <w:bookmarkStart w:id="206" w:name="page207"/>
    <w:bookmarkEnd w:id="206"/>
    <w:p>
      <w:pPr>
        <w:ind w:left="1720" w:hanging="461"/>
        <w:spacing w:after="0"/>
        <w:tabs>
          <w:tab w:leader="none" w:pos="172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shall Cash Collateralize the Letters of Credit in accordance with Section 2.21(k); and</w:t>
      </w:r>
    </w:p>
    <w:p>
      <w:pPr>
        <w:spacing w:after="0" w:line="215" w:lineRule="exact"/>
        <w:rPr>
          <w:rFonts w:ascii="Times New Roman" w:cs="Times New Roman" w:eastAsia="Times New Roman" w:hAnsi="Times New Roman"/>
          <w:sz w:val="21"/>
          <w:szCs w:val="21"/>
          <w:color w:val="auto"/>
        </w:rPr>
      </w:pPr>
    </w:p>
    <w:p>
      <w:pPr>
        <w:jc w:val="both"/>
        <w:ind w:firstLine="1259"/>
        <w:spacing w:after="0" w:line="268" w:lineRule="auto"/>
        <w:tabs>
          <w:tab w:leader="none" w:pos="1707"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Agents shall at the request of, or may with the consent of, the Required Lenders proceed to enforce its rights and remedies under the Security Documents, this Agreement, and any other Loan Document for the ratable benefit of the Lenders by appropriate proceedings.</w:t>
      </w:r>
    </w:p>
    <w:p>
      <w:pPr>
        <w:spacing w:after="0" w:line="154"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7.04 </w:t>
      </w:r>
      <w:r>
        <w:rPr>
          <w:rFonts w:ascii="Times New Roman" w:cs="Times New Roman" w:eastAsia="Times New Roman" w:hAnsi="Times New Roman"/>
          <w:sz w:val="21"/>
          <w:szCs w:val="21"/>
          <w:b w:val="1"/>
          <w:bCs w:val="1"/>
          <w:i w:val="1"/>
          <w:iCs w:val="1"/>
          <w:color w:val="auto"/>
        </w:rPr>
        <w:t>Non-exclusivity of Remedies</w:t>
      </w:r>
      <w:r>
        <w:rPr>
          <w:rFonts w:ascii="Times New Roman" w:cs="Times New Roman" w:eastAsia="Times New Roman" w:hAnsi="Times New Roman"/>
          <w:sz w:val="21"/>
          <w:szCs w:val="21"/>
          <w:color w:val="auto"/>
        </w:rPr>
        <w:t>. No remedy conferred upon the Agents, the Issuing Banks and the Lenders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intended to be exclusive of any other remedy, and each remedy shall be cumulative of all other remedies existing by contract, at law, in equity, by statute or otherwise.</w:t>
      </w:r>
    </w:p>
    <w:p>
      <w:pPr>
        <w:spacing w:after="0" w:line="157"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7.05 </w:t>
      </w:r>
      <w:r>
        <w:rPr>
          <w:rFonts w:ascii="Times New Roman" w:cs="Times New Roman" w:eastAsia="Times New Roman" w:hAnsi="Times New Roman"/>
          <w:sz w:val="21"/>
          <w:szCs w:val="21"/>
          <w:b w:val="1"/>
          <w:bCs w:val="1"/>
          <w:i w:val="1"/>
          <w:iCs w:val="1"/>
          <w:color w:val="auto"/>
        </w:rPr>
        <w:t>Application of Proceeds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and during the continuance of any Event of Default, any monies or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actually received by an Agent pursuant to this Agreement or any other Loan Document, the exercise of any rights or remedies under any Security Document or any other agreement with any Loan Party which secures any of the Obligations, shall be applied by the Applicable Administrative Agent or Applicable Collateral Agent in the following order:</w:t>
      </w:r>
    </w:p>
    <w:p>
      <w:pPr>
        <w:spacing w:after="0" w:line="163" w:lineRule="exact"/>
        <w:rPr>
          <w:sz w:val="20"/>
          <w:szCs w:val="20"/>
          <w:color w:val="auto"/>
        </w:rPr>
      </w:pPr>
    </w:p>
    <w:p>
      <w:pPr>
        <w:ind w:firstLine="1259"/>
        <w:spacing w:after="0" w:line="279" w:lineRule="auto"/>
        <w:tabs>
          <w:tab w:leader="none" w:pos="177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payment of that portion of the Obligations constituting fees, indemnities, expenses and other amounts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(including fees, charges and disbursements of counsel to the Agents) payable to the Agents in their capacities as such;</w:t>
      </w:r>
    </w:p>
    <w:p>
      <w:pPr>
        <w:spacing w:after="0" w:line="144" w:lineRule="exact"/>
        <w:rPr>
          <w:rFonts w:ascii="Times New Roman" w:cs="Times New Roman" w:eastAsia="Times New Roman" w:hAnsi="Times New Roman"/>
          <w:sz w:val="21"/>
          <w:szCs w:val="21"/>
          <w:color w:val="auto"/>
        </w:rPr>
      </w:pPr>
    </w:p>
    <w:p>
      <w:pPr>
        <w:jc w:val="both"/>
        <w:ind w:firstLine="1259"/>
        <w:spacing w:after="0" w:line="258" w:lineRule="auto"/>
        <w:tabs>
          <w:tab w:leader="none" w:pos="1707"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to payment of that portion of the Obligations constituting fees, indemnities and other amounts (other than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principal, interest and Issuing Bank Fees) payable to the Lenders, the Issuing Banks and the Bilateral Lender (including fees, charges and disbursements of counsel to the respective Lenders, the Issuing Banks and the Bilateral Lender arising under the Loan Documents and the Bilateral Agreement), ratably among them in proportion to the respective amounts described in this clause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payable to them;</w:t>
      </w:r>
    </w:p>
    <w:p>
      <w:pPr>
        <w:spacing w:after="0" w:line="165" w:lineRule="exact"/>
        <w:rPr>
          <w:rFonts w:ascii="Times New Roman" w:cs="Times New Roman" w:eastAsia="Times New Roman" w:hAnsi="Times New Roman"/>
          <w:sz w:val="21"/>
          <w:szCs w:val="21"/>
          <w:color w:val="auto"/>
        </w:rPr>
      </w:pPr>
    </w:p>
    <w:p>
      <w:pPr>
        <w:jc w:val="both"/>
        <w:ind w:firstLine="1259"/>
        <w:spacing w:after="0" w:line="261" w:lineRule="auto"/>
        <w:tabs>
          <w:tab w:leader="none" w:pos="177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to payment of that portion of the Obligations constituting accrued and unpaid Letter of Credit Fees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interest on the Loans, L/C Exposure and other Obligations arising under the Loan Documents and the Bilateral Agreement, ratably among the Lenders, the Issuing Banks and the Bilateral Agreement in proportion to the respective amounts described in this clause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payable to them;</w:t>
      </w:r>
    </w:p>
    <w:p>
      <w:pPr>
        <w:spacing w:after="0" w:line="164" w:lineRule="exact"/>
        <w:rPr>
          <w:rFonts w:ascii="Times New Roman" w:cs="Times New Roman" w:eastAsia="Times New Roman" w:hAnsi="Times New Roman"/>
          <w:sz w:val="21"/>
          <w:szCs w:val="21"/>
          <w:color w:val="auto"/>
        </w:rPr>
      </w:pPr>
    </w:p>
    <w:p>
      <w:pPr>
        <w:jc w:val="both"/>
        <w:ind w:firstLine="1259"/>
        <w:spacing w:after="0" w:line="269" w:lineRule="auto"/>
        <w:tabs>
          <w:tab w:leader="none" w:pos="176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to the Applicable Administrative Agent for the account of the Issuing Banks, to Cash Collateralize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portion of L/C Exposure comprised of the aggregate undrawn amount of Letters of Credit to the extent not otherwise Cash Collateralized by the Borrower pursuant to Section 2.21(k);</w:t>
      </w:r>
    </w:p>
    <w:p>
      <w:pPr>
        <w:spacing w:after="0" w:line="155" w:lineRule="exact"/>
        <w:rPr>
          <w:rFonts w:ascii="Times New Roman" w:cs="Times New Roman" w:eastAsia="Times New Roman" w:hAnsi="Times New Roman"/>
          <w:sz w:val="21"/>
          <w:szCs w:val="21"/>
          <w:color w:val="auto"/>
        </w:rPr>
      </w:pPr>
    </w:p>
    <w:p>
      <w:pPr>
        <w:jc w:val="both"/>
        <w:ind w:firstLine="1259"/>
        <w:spacing w:after="0" w:line="263" w:lineRule="auto"/>
        <w:tabs>
          <w:tab w:leader="none" w:pos="1787"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to payment of that portion of the Obligations constituting unpaid principal of the Loans, L/C Exposure,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Obligations then owing under Hedging Agreements entered into with a counterparty that was a Lender (or an affiliate of a Lender) at the time such Hedging Agreement (other than Excluded Swap Obligations), Banking Services Obligations and</w:t>
      </w:r>
    </w:p>
    <w:p>
      <w:pPr>
        <w:sectPr>
          <w:pgSz w:w="11900" w:h="16838" w:orient="portrait"/>
          <w:cols w:equalWidth="0" w:num="1">
            <w:col w:w="11240"/>
          </w:cols>
          <w:pgMar w:left="320" w:top="1380" w:right="339" w:bottom="1440" w:gutter="0" w:footer="0" w:header="0"/>
        </w:sectPr>
      </w:pPr>
    </w:p>
    <w:bookmarkStart w:id="207" w:name="page208"/>
    <w:bookmarkEnd w:id="207"/>
    <w:p>
      <w:pPr>
        <w:spacing w:after="0" w:line="277" w:lineRule="auto"/>
        <w:rPr>
          <w:sz w:val="20"/>
          <w:szCs w:val="20"/>
          <w:color w:val="auto"/>
        </w:rPr>
      </w:pPr>
      <w:r>
        <w:rPr>
          <w:rFonts w:ascii="Times New Roman" w:cs="Times New Roman" w:eastAsia="Times New Roman" w:hAnsi="Times New Roman"/>
          <w:sz w:val="21"/>
          <w:szCs w:val="21"/>
          <w:color w:val="auto"/>
        </w:rPr>
        <w:t xml:space="preserve">any other Obligations, ratably among the Lenders, the Issuing Banks and the Bilateral Lender and, to the extent applicable, their Affiliates in proportion to the respective amounts described in this clause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payable by them; and</w:t>
      </w:r>
    </w:p>
    <w:p>
      <w:pPr>
        <w:spacing w:after="0" w:line="146" w:lineRule="exact"/>
        <w:rPr>
          <w:sz w:val="20"/>
          <w:szCs w:val="20"/>
          <w:color w:val="auto"/>
        </w:rPr>
      </w:pPr>
    </w:p>
    <w:p>
      <w:pPr>
        <w:jc w:val="both"/>
        <w:ind w:firstLine="1259"/>
        <w:spacing w:after="0" w:line="259" w:lineRule="auto"/>
        <w:tabs>
          <w:tab w:leader="none" w:pos="1725"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last</w:t>
      </w:r>
      <w:r>
        <w:rPr>
          <w:rFonts w:ascii="Times New Roman" w:cs="Times New Roman" w:eastAsia="Times New Roman" w:hAnsi="Times New Roman"/>
          <w:sz w:val="21"/>
          <w:szCs w:val="21"/>
          <w:color w:val="auto"/>
        </w:rPr>
        <w:t>, the balance, if any, after (i) the termination of all Commitments, (ii) the cancellation or expiration of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Letter of Credit (except to the extent cash collateralized or backstopped, in each case, in a manner agreed to by the Borrower and the applicable Issuing Bank or as to which other arrangements satisfactory to the applicable Issuing Bank shall have been made) and</w:t>
      </w:r>
    </w:p>
    <w:p>
      <w:pPr>
        <w:spacing w:after="0" w:line="2" w:lineRule="exact"/>
        <w:rPr>
          <w:rFonts w:ascii="Times New Roman" w:cs="Times New Roman" w:eastAsia="Times New Roman" w:hAnsi="Times New Roman"/>
          <w:sz w:val="21"/>
          <w:szCs w:val="21"/>
          <w:color w:val="auto"/>
        </w:rPr>
      </w:pPr>
    </w:p>
    <w:p>
      <w:pPr>
        <w:jc w:val="both"/>
        <w:ind w:firstLine="5"/>
        <w:spacing w:after="0" w:line="253" w:lineRule="auto"/>
        <w:tabs>
          <w:tab w:leader="none" w:pos="378"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in full in cash of all Loans and other amounts owing to any Lender, any Agent, the Lead Arranger or the Bilateral Lender in respect of the Obligations (other than contingent or indemnification obligations not then due), including obligations in respect of Hedging Agreements and Banking Services Obligations, as the case may be, shall have been made to the Borrower or as may be directed by any court of competent jurisdiction.</w:t>
      </w:r>
    </w:p>
    <w:p>
      <w:pPr>
        <w:spacing w:after="0" w:line="173" w:lineRule="exact"/>
        <w:rPr>
          <w:sz w:val="20"/>
          <w:szCs w:val="20"/>
          <w:color w:val="auto"/>
        </w:rPr>
      </w:pPr>
    </w:p>
    <w:p>
      <w:pPr>
        <w:ind w:right="40" w:firstLine="627"/>
        <w:spacing w:after="0" w:line="256" w:lineRule="auto"/>
        <w:rPr>
          <w:sz w:val="20"/>
          <w:szCs w:val="20"/>
          <w:color w:val="auto"/>
        </w:rPr>
      </w:pPr>
      <w:r>
        <w:rPr>
          <w:rFonts w:ascii="Times New Roman" w:cs="Times New Roman" w:eastAsia="Times New Roman" w:hAnsi="Times New Roman"/>
          <w:sz w:val="21"/>
          <w:szCs w:val="21"/>
          <w:color w:val="auto"/>
        </w:rPr>
        <w:t xml:space="preserve">Amounts used to Cash Collateralize the aggregate undrawn amount of Letters of Credit pursuant to clause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2" w:lineRule="exact"/>
        <w:rPr>
          <w:sz w:val="20"/>
          <w:szCs w:val="20"/>
          <w:color w:val="auto"/>
        </w:rPr>
      </w:pPr>
    </w:p>
    <w:p>
      <w:pPr>
        <w:ind w:right="180" w:firstLine="627"/>
        <w:spacing w:after="0" w:line="261" w:lineRule="auto"/>
        <w:rPr>
          <w:sz w:val="20"/>
          <w:szCs w:val="20"/>
          <w:color w:val="auto"/>
        </w:rPr>
      </w:pPr>
      <w:r>
        <w:rPr>
          <w:rFonts w:ascii="Times New Roman" w:cs="Times New Roman" w:eastAsia="Times New Roman" w:hAnsi="Times New Roman"/>
          <w:sz w:val="21"/>
          <w:szCs w:val="21"/>
          <w:color w:val="auto"/>
        </w:rPr>
        <w:t>Notwithstanding the foregoing, Obligations arising under Hedging Agreements and Banking Services Obligations shall be excluded from the application described above if the Applicable Administrative Agent has not received written notice thereof, together with such supporting documentation as such Administrative Agent may request, from the applicable Lender or its Affiliate, as the case may be.</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VIII</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ADMINISTRATIVE AGENTS, THE COLLATERAL AGENTS,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ISSUING BANKS AND THE SWING LINE LENDERS</w:t>
      </w:r>
    </w:p>
    <w:p>
      <w:pPr>
        <w:spacing w:after="0" w:line="188"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8.01 </w:t>
      </w:r>
      <w:r>
        <w:rPr>
          <w:rFonts w:ascii="Times New Roman" w:cs="Times New Roman" w:eastAsia="Times New Roman" w:hAnsi="Times New Roman"/>
          <w:sz w:val="21"/>
          <w:szCs w:val="21"/>
          <w:b w:val="1"/>
          <w:bCs w:val="1"/>
          <w:i w:val="1"/>
          <w:iCs w:val="1"/>
          <w:color w:val="auto"/>
        </w:rPr>
        <w:t>Appointment and Authority</w:t>
      </w:r>
      <w:r>
        <w:rPr>
          <w:rFonts w:ascii="Times New Roman" w:cs="Times New Roman" w:eastAsia="Times New Roman" w:hAnsi="Times New Roman"/>
          <w:sz w:val="21"/>
          <w:szCs w:val="21"/>
          <w:color w:val="auto"/>
        </w:rPr>
        <w:t>. Each of the Lenders, the Swing Line Lenders and the Issuing Banks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irrevocably appoints RBC 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w:t>
      </w:r>
    </w:p>
    <w:p>
      <w:pPr>
        <w:sectPr>
          <w:pgSz w:w="11900" w:h="16838" w:orient="portrait"/>
          <w:cols w:equalWidth="0" w:num="1">
            <w:col w:w="11240"/>
          </w:cols>
          <w:pgMar w:left="320" w:top="138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1"/>
          <w:szCs w:val="21"/>
          <w:color w:val="auto"/>
        </w:rPr>
        <w:t>of the declaration of trust and other terms and conditions set forth in the applicable Security Documents.</w:t>
      </w:r>
    </w:p>
    <w:p>
      <w:pPr>
        <w:spacing w:after="0" w:line="212"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8.02 </w:t>
      </w:r>
      <w:r>
        <w:rPr>
          <w:rFonts w:ascii="Times New Roman" w:cs="Times New Roman" w:eastAsia="Times New Roman" w:hAnsi="Times New Roman"/>
          <w:sz w:val="21"/>
          <w:szCs w:val="21"/>
          <w:b w:val="1"/>
          <w:bCs w:val="1"/>
          <w:i w:val="1"/>
          <w:iCs w:val="1"/>
          <w:color w:val="auto"/>
        </w:rPr>
        <w:t>Rights as a Lender</w:t>
      </w:r>
      <w:r>
        <w:rPr>
          <w:rFonts w:ascii="Times New Roman" w:cs="Times New Roman" w:eastAsia="Times New Roman" w:hAnsi="Times New Roman"/>
          <w:sz w:val="21"/>
          <w:szCs w:val="21"/>
          <w:color w:val="auto"/>
        </w:rPr>
        <w:t>. The person serving as an Agent or an Issuing Bank or a Swing Line Lender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same rights 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169"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8.03 </w:t>
      </w:r>
      <w:r>
        <w:rPr>
          <w:rFonts w:ascii="Times New Roman" w:cs="Times New Roman" w:eastAsia="Times New Roman" w:hAnsi="Times New Roman"/>
          <w:sz w:val="21"/>
          <w:szCs w:val="21"/>
          <w:b w:val="1"/>
          <w:bCs w:val="1"/>
          <w:i w:val="1"/>
          <w:iCs w:val="1"/>
          <w:color w:val="auto"/>
        </w:rPr>
        <w:t>Exculpatory Provisions</w:t>
      </w:r>
      <w:r>
        <w:rPr>
          <w:rFonts w:ascii="Times New Roman" w:cs="Times New Roman" w:eastAsia="Times New Roman" w:hAnsi="Times New Roman"/>
          <w:sz w:val="21"/>
          <w:szCs w:val="21"/>
          <w:color w:val="auto"/>
        </w:rPr>
        <w:t>. None of the Agents, Issuing Banks or the Swing Line Lenders shall have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duties or obligations except those expressly set forth herein and in the other Loan Documents. Without limiting the generality of the foregoing, none of the Agents or the Issuing Banks:</w:t>
      </w:r>
    </w:p>
    <w:p>
      <w:pPr>
        <w:spacing w:after="0" w:line="161" w:lineRule="exact"/>
        <w:rPr>
          <w:sz w:val="20"/>
          <w:szCs w:val="20"/>
          <w:color w:val="auto"/>
        </w:rPr>
      </w:pPr>
    </w:p>
    <w:p>
      <w:pPr>
        <w:ind w:left="1800" w:hanging="541"/>
        <w:spacing w:after="0"/>
        <w:tabs>
          <w:tab w:leader="none" w:pos="180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subject to any fiduciary or other implied duties, regardless of whether a Default has occurred and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continuing;</w:t>
      </w:r>
    </w:p>
    <w:p>
      <w:pPr>
        <w:spacing w:after="0" w:line="205" w:lineRule="exact"/>
        <w:rPr>
          <w:sz w:val="20"/>
          <w:szCs w:val="20"/>
          <w:color w:val="auto"/>
        </w:rPr>
      </w:pPr>
    </w:p>
    <w:p>
      <w:pPr>
        <w:jc w:val="both"/>
        <w:ind w:firstLine="1259"/>
        <w:spacing w:after="0" w:line="255" w:lineRule="auto"/>
        <w:tabs>
          <w:tab w:leader="none" w:pos="1773"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72"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28"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except as expressly set forth herein and in the other Loan Documents, have any duty to disclose, and shall not be liable for the failure to disclose, any information relating to the Parent Borrower or any of its Affiliates or Subsidiaries that is communicated to or obtained by the person serving as Agent, Issuing Bank, Swing Line Lender or any of their respective Affiliates in any capacity.</w:t>
      </w:r>
    </w:p>
    <w:p>
      <w:pPr>
        <w:spacing w:after="0" w:line="185" w:lineRule="exact"/>
        <w:rPr>
          <w:sz w:val="20"/>
          <w:szCs w:val="20"/>
          <w:color w:val="auto"/>
        </w:rPr>
      </w:pPr>
    </w:p>
    <w:p>
      <w:pPr>
        <w:ind w:right="40" w:firstLine="627"/>
        <w:spacing w:after="0" w:line="252" w:lineRule="auto"/>
        <w:rPr>
          <w:sz w:val="20"/>
          <w:szCs w:val="20"/>
          <w:color w:val="auto"/>
        </w:rPr>
      </w:pPr>
      <w:r>
        <w:rPr>
          <w:rFonts w:ascii="Times New Roman" w:cs="Times New Roman" w:eastAsia="Times New Roman" w:hAnsi="Times New Roman"/>
          <w:sz w:val="21"/>
          <w:szCs w:val="21"/>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Sections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ectPr>
          <w:pgSz w:w="11900" w:h="16838" w:orient="portrait"/>
          <w:cols w:equalWidth="0" w:num="1">
            <w:col w:w="11240"/>
          </w:cols>
          <w:pgMar w:left="320" w:top="1380" w:right="339" w:bottom="1440" w:gutter="0" w:footer="0" w:header="0"/>
        </w:sectPr>
      </w:pPr>
    </w:p>
    <w:bookmarkStart w:id="209" w:name="page210"/>
    <w:bookmarkEnd w:id="209"/>
    <w:p>
      <w:pPr>
        <w:ind w:firstLine="627"/>
        <w:spacing w:after="0" w:line="253" w:lineRule="auto"/>
        <w:rPr>
          <w:sz w:val="20"/>
          <w:szCs w:val="20"/>
          <w:color w:val="auto"/>
        </w:rPr>
      </w:pPr>
      <w:r>
        <w:rPr>
          <w:rFonts w:ascii="Times New Roman" w:cs="Times New Roman" w:eastAsia="Times New Roman" w:hAnsi="Times New Roman"/>
          <w:sz w:val="21"/>
          <w:szCs w:val="21"/>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175"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8.04 </w:t>
      </w:r>
      <w:r>
        <w:rPr>
          <w:rFonts w:ascii="Times New Roman" w:cs="Times New Roman" w:eastAsia="Times New Roman" w:hAnsi="Times New Roman"/>
          <w:sz w:val="21"/>
          <w:szCs w:val="21"/>
          <w:b w:val="1"/>
          <w:bCs w:val="1"/>
          <w:i w:val="1"/>
          <w:iCs w:val="1"/>
          <w:color w:val="auto"/>
        </w:rPr>
        <w:t>Reliance by the Agents, the Issuing Banks and the Swing Line Lenders</w:t>
      </w:r>
      <w:r>
        <w:rPr>
          <w:rFonts w:ascii="Times New Roman" w:cs="Times New Roman" w:eastAsia="Times New Roman" w:hAnsi="Times New Roman"/>
          <w:sz w:val="21"/>
          <w:szCs w:val="21"/>
          <w:color w:val="auto"/>
        </w:rPr>
        <w:t>. Each of the Agents, Issuing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Banks and the Swing Line 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 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172"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8.05 </w:t>
      </w:r>
      <w:r>
        <w:rPr>
          <w:rFonts w:ascii="Times New Roman" w:cs="Times New Roman" w:eastAsia="Times New Roman" w:hAnsi="Times New Roman"/>
          <w:sz w:val="21"/>
          <w:szCs w:val="21"/>
          <w:b w:val="1"/>
          <w:bCs w:val="1"/>
          <w:i w:val="1"/>
          <w:iCs w:val="1"/>
          <w:color w:val="auto"/>
        </w:rPr>
        <w:t>Delegation of Duties</w:t>
      </w:r>
      <w:r>
        <w:rPr>
          <w:rFonts w:ascii="Times New Roman" w:cs="Times New Roman" w:eastAsia="Times New Roman" w:hAnsi="Times New Roman"/>
          <w:sz w:val="21"/>
          <w:szCs w:val="21"/>
          <w:color w:val="auto"/>
        </w:rPr>
        <w:t>. Each of the Agents may perform any and all of its duties and exercise its rights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powers hereunder or under 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w:t>
      </w:r>
    </w:p>
    <w:p>
      <w:pPr>
        <w:spacing w:after="0" w:line="166"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8.06</w:t>
      </w:r>
      <w:r>
        <w:rPr>
          <w:sz w:val="20"/>
          <w:szCs w:val="20"/>
          <w:color w:val="auto"/>
        </w:rPr>
        <w:tab/>
      </w:r>
      <w:r>
        <w:rPr>
          <w:rFonts w:ascii="Times New Roman" w:cs="Times New Roman" w:eastAsia="Times New Roman" w:hAnsi="Times New Roman"/>
          <w:sz w:val="20"/>
          <w:szCs w:val="20"/>
          <w:b w:val="1"/>
          <w:bCs w:val="1"/>
          <w:i w:val="1"/>
          <w:iCs w:val="1"/>
          <w:color w:val="auto"/>
        </w:rPr>
        <w:t>Resignation of an Agent or a Swing Line Lender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259"/>
        <w:spacing w:after="0" w:line="258" w:lineRule="auto"/>
        <w:tabs>
          <w:tab w:leader="none" w:pos="1723"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Agent may resign at any time by giving prior written notice thereof to the Lenders and the Parent Borrower, such resignation to be effective upon the appointment of a successor Agent or, if no successor Agent has been appointed, forty-five</w:t>
      </w:r>
    </w:p>
    <w:p>
      <w:pPr>
        <w:spacing w:after="0" w:line="1" w:lineRule="exact"/>
        <w:rPr>
          <w:rFonts w:ascii="Times New Roman" w:cs="Times New Roman" w:eastAsia="Times New Roman" w:hAnsi="Times New Roman"/>
          <w:sz w:val="21"/>
          <w:szCs w:val="21"/>
          <w:color w:val="auto"/>
        </w:rPr>
      </w:pPr>
    </w:p>
    <w:p>
      <w:pPr>
        <w:ind w:left="400" w:hanging="395"/>
        <w:spacing w:after="0"/>
        <w:tabs>
          <w:tab w:leader="none" w:pos="40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w:t>
      </w:r>
    </w:p>
    <w:p>
      <w:pPr>
        <w:sectPr>
          <w:pgSz w:w="11900" w:h="16838" w:orient="portrait"/>
          <w:cols w:equalWidth="0" w:num="1">
            <w:col w:w="11240"/>
          </w:cols>
          <w:pgMar w:left="320" w:top="1380" w:right="339" w:bottom="1440" w:gutter="0" w:footer="0" w:header="0"/>
        </w:sectPr>
      </w:pPr>
    </w:p>
    <w:bookmarkStart w:id="210" w:name="page211"/>
    <w:bookmarkEnd w:id="210"/>
    <w:p>
      <w:pPr>
        <w:jc w:val="both"/>
        <w:spacing w:after="0" w:line="250" w:lineRule="auto"/>
        <w:rPr>
          <w:sz w:val="20"/>
          <w:szCs w:val="20"/>
          <w:color w:val="auto"/>
        </w:rPr>
      </w:pPr>
      <w:r>
        <w:rPr>
          <w:rFonts w:ascii="Times New Roman" w:cs="Times New Roman" w:eastAsia="Times New Roman" w:hAnsi="Times New Roman"/>
          <w:sz w:val="21"/>
          <w:szCs w:val="21"/>
          <w:color w:val="auto"/>
        </w:rPr>
        <w:t>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Lenders shall have the right to appoint, on behalf of the Parent Borrower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197" w:lineRule="exact"/>
        <w:rPr>
          <w:sz w:val="20"/>
          <w:szCs w:val="20"/>
          <w:color w:val="auto"/>
        </w:rPr>
      </w:pPr>
    </w:p>
    <w:p>
      <w:pPr>
        <w:jc w:val="both"/>
        <w:ind w:firstLine="1259"/>
        <w:spacing w:after="0" w:line="253" w:lineRule="auto"/>
        <w:tabs>
          <w:tab w:leader="none" w:pos="1732"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w:t>
      </w:r>
    </w:p>
    <w:p>
      <w:pPr>
        <w:sectPr>
          <w:pgSz w:w="11900" w:h="16838" w:orient="portrait"/>
          <w:cols w:equalWidth="0" w:num="1">
            <w:col w:w="11240"/>
          </w:cols>
          <w:pgMar w:left="320" w:top="1380" w:right="339" w:bottom="1440" w:gutter="0" w:footer="0" w:header="0"/>
        </w:sectPr>
      </w:pPr>
    </w:p>
    <w:bookmarkStart w:id="211" w:name="page212"/>
    <w:bookmarkEnd w:id="211"/>
    <w:p>
      <w:pPr>
        <w:jc w:val="both"/>
        <w:spacing w:after="0" w:line="257" w:lineRule="auto"/>
        <w:rPr>
          <w:sz w:val="20"/>
          <w:szCs w:val="20"/>
          <w:color w:val="auto"/>
        </w:rPr>
      </w:pPr>
      <w:r>
        <w:rPr>
          <w:rFonts w:ascii="Times New Roman" w:cs="Times New Roman" w:eastAsia="Times New Roman" w:hAnsi="Times New Roman"/>
          <w:sz w:val="21"/>
          <w:szCs w:val="21"/>
          <w:color w:val="auto"/>
        </w:rPr>
        <w:t>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71" w:lineRule="exact"/>
        <w:rPr>
          <w:sz w:val="20"/>
          <w:szCs w:val="20"/>
          <w:color w:val="auto"/>
        </w:rPr>
      </w:pPr>
    </w:p>
    <w:p>
      <w:pPr>
        <w:jc w:val="both"/>
        <w:ind w:firstLine="1259"/>
        <w:spacing w:after="0" w:line="251" w:lineRule="auto"/>
        <w:tabs>
          <w:tab w:leader="none" w:pos="1725"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Swing Line Lender may resign at any time by giving prior written notice thereof to the Administrative Agent and the U.S. Borrower,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Borrowers shall have the right to appoint a successor U.S. Swing Line Lender. The Canadian Swing Line Lender may resign at any time by giving prior written notice thereof to the Canadian Administrative Agent and the Parent Borrower, such resignation to be effective upon the appointment of a successor Canadian Swing Line Lender or, if no successor Canadian Swing Line Lender has been appointed, forty-five (45) days after the retiring Canadian Swing Line Lender gives notice of its intention to resign. Upon any such resignation, the Parent Borrower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w:t>
      </w:r>
    </w:p>
    <w:p>
      <w:pPr>
        <w:spacing w:after="0" w:line="176"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8.07</w:t>
      </w:r>
      <w:r>
        <w:rPr>
          <w:sz w:val="20"/>
          <w:szCs w:val="20"/>
          <w:color w:val="auto"/>
        </w:rPr>
        <w:tab/>
      </w:r>
      <w:r>
        <w:rPr>
          <w:rFonts w:ascii="Times New Roman" w:cs="Times New Roman" w:eastAsia="Times New Roman" w:hAnsi="Times New Roman"/>
          <w:sz w:val="20"/>
          <w:szCs w:val="20"/>
          <w:b w:val="1"/>
          <w:bCs w:val="1"/>
          <w:i w:val="1"/>
          <w:iCs w:val="1"/>
          <w:color w:val="auto"/>
        </w:rPr>
        <w:t>Non-Reliance on Agents and Other Lenders; Certain Acknowledgments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259"/>
        <w:spacing w:after="0" w:line="253" w:lineRule="auto"/>
        <w:tabs>
          <w:tab w:leader="none" w:pos="1738"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 acknowledges that (i) Latham &amp; Watkins LLP is acting in this transaction as special counsel to the Administrative Agent and U.S. Collateral Agent only, (ii) Borden Ladner Gervais LLP is</w:t>
      </w:r>
    </w:p>
    <w:p>
      <w:pPr>
        <w:sectPr>
          <w:pgSz w:w="11900" w:h="16838" w:orient="portrait"/>
          <w:cols w:equalWidth="0" w:num="1">
            <w:col w:w="11240"/>
          </w:cols>
          <w:pgMar w:left="320" w:top="1380" w:right="339" w:bottom="1440" w:gutter="0" w:footer="0" w:header="0"/>
        </w:sectPr>
      </w:pPr>
    </w:p>
    <w:bookmarkStart w:id="212" w:name="page213"/>
    <w:bookmarkEnd w:id="212"/>
    <w:p>
      <w:pPr>
        <w:jc w:val="both"/>
        <w:spacing w:after="0" w:line="261" w:lineRule="auto"/>
        <w:rPr>
          <w:sz w:val="20"/>
          <w:szCs w:val="20"/>
          <w:color w:val="auto"/>
        </w:rPr>
      </w:pPr>
      <w:r>
        <w:rPr>
          <w:rFonts w:ascii="Times New Roman" w:cs="Times New Roman" w:eastAsia="Times New Roman" w:hAnsi="Times New Roman"/>
          <w:sz w:val="21"/>
          <w:szCs w:val="21"/>
          <w:color w:val="auto"/>
        </w:rPr>
        <w:t>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165" w:lineRule="exact"/>
        <w:rPr>
          <w:sz w:val="20"/>
          <w:szCs w:val="20"/>
          <w:color w:val="auto"/>
        </w:rPr>
      </w:pPr>
    </w:p>
    <w:p>
      <w:pPr>
        <w:jc w:val="both"/>
        <w:ind w:firstLine="1259"/>
        <w:spacing w:after="0" w:line="257" w:lineRule="auto"/>
        <w:tabs>
          <w:tab w:leader="none" w:pos="1779"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be deemed by delivering its signature page to this Agreement and making any Loan on the Closing Date to have consented to, approved or accepted each Loan Document and each other document or other matter referred to in Section 4.01, 4.02 or 4.03 required to be consented to or approved by or acceptable or satisfactory to the Agents, the Lead Arranger or the Lenders and to have been satisfied with the satisfaction of all other conditions precedent required to be satisfied under Section 4.01, 4.02 or 4.03.</w:t>
      </w:r>
    </w:p>
    <w:p>
      <w:pPr>
        <w:spacing w:after="0" w:line="167"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SECTION 8.08 </w:t>
      </w:r>
      <w:r>
        <w:rPr>
          <w:rFonts w:ascii="Times New Roman" w:cs="Times New Roman" w:eastAsia="Times New Roman" w:hAnsi="Times New Roman"/>
          <w:sz w:val="20"/>
          <w:szCs w:val="20"/>
          <w:b w:val="1"/>
          <w:bCs w:val="1"/>
          <w:i w:val="1"/>
          <w:iCs w:val="1"/>
          <w:color w:val="auto"/>
        </w:rPr>
        <w:t>Indemnification</w:t>
      </w:r>
      <w:r>
        <w:rPr>
          <w:rFonts w:ascii="Times New Roman" w:cs="Times New Roman" w:eastAsia="Times New Roman" w:hAnsi="Times New Roman"/>
          <w:sz w:val="20"/>
          <w:szCs w:val="20"/>
          <w:color w:val="auto"/>
        </w:rPr>
        <w:t>. The Lenders severally agree to indemnify upon demand the Agents, the Issuing Banks,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Swing Line Lenders and 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 Lender shall be liable for (a) the payment to any Indemnitee for any portion of such Indemnified 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however, </w:t>
      </w:r>
      <w:r>
        <w:rPr>
          <w:rFonts w:ascii="Times New Roman" w:cs="Times New Roman" w:eastAsia="Times New Roman" w:hAnsi="Times New Roman"/>
          <w:sz w:val="20"/>
          <w:szCs w:val="20"/>
          <w:color w:val="auto"/>
        </w:rPr>
        <w:t>that no action taken in accordance with the directions of the Applicable Required Lenders shall be deemed to constitute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spacing w:after="0" w:line="169"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8.09</w:t>
      </w:r>
      <w:r>
        <w:rPr>
          <w:sz w:val="20"/>
          <w:szCs w:val="20"/>
          <w:color w:val="auto"/>
        </w:rPr>
        <w:tab/>
      </w:r>
      <w:r>
        <w:rPr>
          <w:rFonts w:ascii="Times New Roman" w:cs="Times New Roman" w:eastAsia="Times New Roman" w:hAnsi="Times New Roman"/>
          <w:sz w:val="20"/>
          <w:szCs w:val="20"/>
          <w:b w:val="1"/>
          <w:bCs w:val="1"/>
          <w:i w:val="1"/>
          <w:iCs w:val="1"/>
          <w:color w:val="auto"/>
        </w:rPr>
        <w:t>Collateral and Guaranty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259"/>
        <w:spacing w:after="0" w:line="261" w:lineRule="auto"/>
        <w:tabs>
          <w:tab w:leader="none" w:pos="1869"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acknowledges and agrees that the Collateral Agents have entered into the Security Documents on behalf of itself and the Secured</w:t>
      </w:r>
    </w:p>
    <w:p>
      <w:pPr>
        <w:sectPr>
          <w:pgSz w:w="11900" w:h="16838" w:orient="portrait"/>
          <w:cols w:equalWidth="0" w:num="1">
            <w:col w:w="11240"/>
          </w:cols>
          <w:pgMar w:left="320" w:top="1380" w:right="339" w:bottom="1440" w:gutter="0" w:footer="0" w:header="0"/>
        </w:sectPr>
      </w:pPr>
    </w:p>
    <w:bookmarkStart w:id="213" w:name="page214"/>
    <w:bookmarkEnd w:id="213"/>
    <w:p>
      <w:pPr>
        <w:jc w:val="both"/>
        <w:spacing w:after="0" w:line="261" w:lineRule="auto"/>
        <w:rPr>
          <w:sz w:val="20"/>
          <w:szCs w:val="20"/>
          <w:color w:val="auto"/>
        </w:rPr>
      </w:pPr>
      <w:r>
        <w:rPr>
          <w:rFonts w:ascii="Times New Roman" w:cs="Times New Roman" w:eastAsia="Times New Roman" w:hAnsi="Times New Roman"/>
          <w:sz w:val="21"/>
          <w:szCs w:val="21"/>
          <w:color w:val="auto"/>
        </w:rPr>
        <w:t>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165" w:lineRule="exact"/>
        <w:rPr>
          <w:sz w:val="20"/>
          <w:szCs w:val="20"/>
          <w:color w:val="auto"/>
        </w:rPr>
      </w:pPr>
    </w:p>
    <w:p>
      <w:pPr>
        <w:jc w:val="both"/>
        <w:ind w:firstLine="1259"/>
        <w:spacing w:after="0" w:line="256" w:lineRule="auto"/>
        <w:tabs>
          <w:tab w:leader="none" w:pos="1879"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185"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55"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w:t>
      </w:r>
    </w:p>
    <w:p>
      <w:pPr>
        <w:spacing w:after="0" w:line="163"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64"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76" w:lineRule="exact"/>
        <w:rPr>
          <w:rFonts w:ascii="Times New Roman" w:cs="Times New Roman" w:eastAsia="Times New Roman" w:hAnsi="Times New Roman"/>
          <w:sz w:val="21"/>
          <w:szCs w:val="21"/>
          <w:color w:val="auto"/>
        </w:rPr>
      </w:pPr>
    </w:p>
    <w:p>
      <w:pPr>
        <w:ind w:left="640" w:firstLine="1246"/>
        <w:spacing w:after="0" w:line="277" w:lineRule="auto"/>
        <w:tabs>
          <w:tab w:leader="none" w:pos="2504"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take any action in exigent circumstances as may be reasonably necessary to preserve any rights or privileges of the Secured Parties under the Loan Documents or applicable law; and</w:t>
      </w:r>
    </w:p>
    <w:p>
      <w:pPr>
        <w:spacing w:after="0" w:line="148" w:lineRule="exact"/>
        <w:rPr>
          <w:rFonts w:ascii="Times New Roman" w:cs="Times New Roman" w:eastAsia="Times New Roman" w:hAnsi="Times New Roman"/>
          <w:sz w:val="21"/>
          <w:szCs w:val="21"/>
          <w:color w:val="auto"/>
        </w:rPr>
      </w:pPr>
    </w:p>
    <w:p>
      <w:pPr>
        <w:ind w:left="640" w:firstLine="1246"/>
        <w:spacing w:after="0" w:line="277" w:lineRule="auto"/>
        <w:tabs>
          <w:tab w:leader="none" w:pos="2515"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subordinate any Lien on any property granted to or held by the Collateral Agent under any Loan Document to the holder of any Lien on such property that is permitted by Section 6.02(j).</w:t>
      </w:r>
    </w:p>
    <w:p>
      <w:pPr>
        <w:spacing w:after="0" w:line="148" w:lineRule="exact"/>
        <w:rPr>
          <w:rFonts w:ascii="Times New Roman" w:cs="Times New Roman" w:eastAsia="Times New Roman" w:hAnsi="Times New Roman"/>
          <w:sz w:val="21"/>
          <w:szCs w:val="21"/>
          <w:color w:val="auto"/>
        </w:rPr>
      </w:pPr>
    </w:p>
    <w:p>
      <w:pPr>
        <w:ind w:firstLine="1259"/>
        <w:spacing w:after="0" w:line="290" w:lineRule="auto"/>
        <w:tabs>
          <w:tab w:leader="none" w:pos="175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the Collateral Agent at any time, the Secured Parties will confirm in writing the Collateral Agent’s authority to release particular types or items of Collateral pursuant to this Section 8.09.</w:t>
      </w:r>
    </w:p>
    <w:p>
      <w:pPr>
        <w:spacing w:after="0" w:line="135" w:lineRule="exact"/>
        <w:rPr>
          <w:rFonts w:ascii="Times New Roman" w:cs="Times New Roman" w:eastAsia="Times New Roman" w:hAnsi="Times New Roman"/>
          <w:sz w:val="21"/>
          <w:szCs w:val="21"/>
          <w:color w:val="auto"/>
        </w:rPr>
      </w:pPr>
    </w:p>
    <w:p>
      <w:pPr>
        <w:jc w:val="both"/>
        <w:ind w:firstLine="1259"/>
        <w:spacing w:after="0" w:line="253" w:lineRule="auto"/>
        <w:tabs>
          <w:tab w:leader="none" w:pos="1766"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w:t>
      </w:r>
    </w:p>
    <w:p>
      <w:pPr>
        <w:sectPr>
          <w:pgSz w:w="11900" w:h="16838" w:orient="portrait"/>
          <w:cols w:equalWidth="0" w:num="1">
            <w:col w:w="11240"/>
          </w:cols>
          <w:pgMar w:left="320" w:top="1380" w:right="339" w:bottom="1440" w:gutter="0" w:footer="0" w:header="0"/>
        </w:sectPr>
      </w:pPr>
    </w:p>
    <w:bookmarkStart w:id="214" w:name="page215"/>
    <w:bookmarkEnd w:id="214"/>
    <w:p>
      <w:pPr>
        <w:jc w:val="both"/>
        <w:spacing w:after="0" w:line="257" w:lineRule="auto"/>
        <w:rPr>
          <w:sz w:val="20"/>
          <w:szCs w:val="20"/>
          <w:color w:val="auto"/>
        </w:rPr>
      </w:pPr>
      <w:r>
        <w:rPr>
          <w:rFonts w:ascii="Times New Roman" w:cs="Times New Roman" w:eastAsia="Times New Roman" w:hAnsi="Times New Roman"/>
          <w:sz w:val="21"/>
          <w:szCs w:val="21"/>
          <w:color w:val="auto"/>
        </w:rPr>
        <w:t>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171" w:lineRule="exact"/>
        <w:rPr>
          <w:sz w:val="20"/>
          <w:szCs w:val="20"/>
          <w:color w:val="auto"/>
        </w:rPr>
      </w:pPr>
    </w:p>
    <w:p>
      <w:pPr>
        <w:jc w:val="both"/>
        <w:ind w:firstLine="1259"/>
        <w:spacing w:after="0" w:line="253" w:lineRule="auto"/>
        <w:tabs>
          <w:tab w:leader="none" w:pos="1692"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 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Parent Borrower or selected by an Agent in good faith.</w:t>
      </w:r>
    </w:p>
    <w:p>
      <w:pPr>
        <w:spacing w:after="0" w:line="172" w:lineRule="exact"/>
        <w:rPr>
          <w:rFonts w:ascii="Times New Roman" w:cs="Times New Roman" w:eastAsia="Times New Roman" w:hAnsi="Times New Roman"/>
          <w:sz w:val="21"/>
          <w:szCs w:val="21"/>
          <w:color w:val="auto"/>
        </w:rPr>
      </w:pPr>
    </w:p>
    <w:p>
      <w:pPr>
        <w:jc w:val="both"/>
        <w:ind w:firstLine="1259"/>
        <w:spacing w:after="0" w:line="251" w:lineRule="auto"/>
        <w:tabs>
          <w:tab w:leader="none" w:pos="1661"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contained in any of the Loan Documents to the contrary notwithstanding, the Borrowers, the Agents and each Secured Party hereby agree that (i) no Secured Party shall have any right individually to realize upon any of the Collateral or to enforce any of the Guarantees in the Guarantee Agreements or any other Security Document, it being 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 and (ii) in the event of a foreclosure or similar enforcement action by the Collateral Agent on any of the Collateral pursuant to a public or private sale or other disposition (including, without limitation, pursuant to Section 363(k), Section 1129(b)(2)(a)(ii) or otherwise of the Bankruptcy Code), the Collateral Agents (or any Lender, except with respect to a “credit bid” pursuant to Section 363(k), Section 1129(b)(2)(a)(ii) or otherwise of the Bankruptcy Code,) may be the purchaser or licensor of any or all of such Collateral at any such sale or other disposition and the Collateral Agents,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Agents at such sale or other disposition.</w:t>
      </w:r>
    </w:p>
    <w:p>
      <w:pPr>
        <w:spacing w:after="0" w:line="172" w:lineRule="exact"/>
        <w:rPr>
          <w:sz w:val="20"/>
          <w:szCs w:val="20"/>
          <w:color w:val="auto"/>
        </w:rPr>
      </w:pPr>
    </w:p>
    <w:p>
      <w:pPr>
        <w:ind w:firstLine="627"/>
        <w:spacing w:after="0" w:line="294" w:lineRule="auto"/>
        <w:rPr>
          <w:sz w:val="20"/>
          <w:szCs w:val="20"/>
          <w:color w:val="auto"/>
        </w:rPr>
      </w:pPr>
      <w:r>
        <w:rPr>
          <w:rFonts w:ascii="Times New Roman" w:cs="Times New Roman" w:eastAsia="Times New Roman" w:hAnsi="Times New Roman"/>
          <w:sz w:val="21"/>
          <w:szCs w:val="21"/>
          <w:b w:val="1"/>
          <w:bCs w:val="1"/>
          <w:color w:val="auto"/>
        </w:rPr>
        <w:t xml:space="preserve">SECTION 8.10 </w:t>
      </w:r>
      <w:r>
        <w:rPr>
          <w:rFonts w:ascii="Times New Roman" w:cs="Times New Roman" w:eastAsia="Times New Roman" w:hAnsi="Times New Roman"/>
          <w:sz w:val="21"/>
          <w:szCs w:val="21"/>
          <w:b w:val="1"/>
          <w:bCs w:val="1"/>
          <w:i w:val="1"/>
          <w:iCs w:val="1"/>
          <w:color w:val="auto"/>
        </w:rPr>
        <w:t>No Other Duties, etc.</w:t>
      </w:r>
      <w:r>
        <w:rPr>
          <w:rFonts w:ascii="Times New Roman" w:cs="Times New Roman" w:eastAsia="Times New Roman" w:hAnsi="Times New Roman"/>
          <w:sz w:val="21"/>
          <w:szCs w:val="21"/>
          <w:color w:val="auto"/>
        </w:rPr>
        <w:t>. Anything herein to the contrary notwithstanding, the Lead Arranger and the Sole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Bookrunner listed on the cover page hereof</w:t>
      </w:r>
    </w:p>
    <w:p>
      <w:pPr>
        <w:sectPr>
          <w:pgSz w:w="11900" w:h="16838" w:orient="portrait"/>
          <w:cols w:equalWidth="0" w:num="1">
            <w:col w:w="11240"/>
          </w:cols>
          <w:pgMar w:left="320" w:top="1380" w:right="339" w:bottom="1440" w:gutter="0" w:footer="0" w:header="0"/>
        </w:sectPr>
      </w:pPr>
    </w:p>
    <w:bookmarkStart w:id="215" w:name="page216"/>
    <w:bookmarkEnd w:id="215"/>
    <w:p>
      <w:pPr>
        <w:jc w:val="both"/>
        <w:spacing w:after="0" w:line="277" w:lineRule="auto"/>
        <w:rPr>
          <w:sz w:val="20"/>
          <w:szCs w:val="20"/>
          <w:color w:val="auto"/>
        </w:rPr>
      </w:pPr>
      <w:r>
        <w:rPr>
          <w:rFonts w:ascii="Times New Roman" w:cs="Times New Roman" w:eastAsia="Times New Roman" w:hAnsi="Times New Roman"/>
          <w:sz w:val="21"/>
          <w:szCs w:val="21"/>
          <w:color w:val="auto"/>
        </w:rPr>
        <w:t>shall not have any powers, duties or responsibilities under this Agreement or any of the other Loan Documents, except in its capacity, as applicable, as an Agent, a Lender or an Issuing Bank.</w:t>
      </w:r>
    </w:p>
    <w:p>
      <w:pPr>
        <w:spacing w:after="0" w:line="144" w:lineRule="exact"/>
        <w:rPr>
          <w:sz w:val="20"/>
          <w:szCs w:val="20"/>
          <w:color w:val="auto"/>
        </w:rPr>
      </w:pPr>
    </w:p>
    <w:p>
      <w:pPr>
        <w:jc w:val="both"/>
        <w:ind w:firstLine="627"/>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SECTION 8.11 </w:t>
      </w:r>
      <w:r>
        <w:rPr>
          <w:rFonts w:ascii="Times New Roman" w:cs="Times New Roman" w:eastAsia="Times New Roman" w:hAnsi="Times New Roman"/>
          <w:sz w:val="20"/>
          <w:szCs w:val="20"/>
          <w:b w:val="1"/>
          <w:bCs w:val="1"/>
          <w:i w:val="1"/>
          <w:iCs w:val="1"/>
          <w:color w:val="auto"/>
        </w:rPr>
        <w:t>Agents May File Proofs of Claim</w:t>
      </w:r>
      <w:r>
        <w:rPr>
          <w:rFonts w:ascii="Times New Roman" w:cs="Times New Roman" w:eastAsia="Times New Roman" w:hAnsi="Times New Roman"/>
          <w:sz w:val="20"/>
          <w:szCs w:val="20"/>
          <w:color w:val="auto"/>
        </w:rPr>
        <w:t>. In case of the pendency of any proceeding under any Insolvency Law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judicial 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150" w:lineRule="exact"/>
        <w:rPr>
          <w:sz w:val="20"/>
          <w:szCs w:val="20"/>
          <w:color w:val="auto"/>
        </w:rPr>
      </w:pPr>
    </w:p>
    <w:p>
      <w:pPr>
        <w:jc w:val="both"/>
        <w:ind w:firstLine="1259"/>
        <w:spacing w:after="0" w:line="254" w:lineRule="auto"/>
        <w:tabs>
          <w:tab w:leader="none" w:pos="1752"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file and prove a claim for the whole amount of the principal and interest owing and unpaid in respect of the Loans, L/C Disbursements and all other Obligations (other than obligations of the Parent Borrower or its Subsidiaries owing to any Lender or Affiliate thereof pursuant to any Hedging Agreement, any Banking Services Obligations or the Bilateral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9.08) allowed in such judicial proceeding; and</w:t>
      </w:r>
    </w:p>
    <w:p>
      <w:pPr>
        <w:spacing w:after="0" w:line="171" w:lineRule="exact"/>
        <w:rPr>
          <w:rFonts w:ascii="Times New Roman" w:cs="Times New Roman" w:eastAsia="Times New Roman" w:hAnsi="Times New Roman"/>
          <w:sz w:val="21"/>
          <w:szCs w:val="21"/>
          <w:color w:val="auto"/>
        </w:rPr>
      </w:pPr>
    </w:p>
    <w:p>
      <w:pPr>
        <w:ind w:left="1760" w:hanging="501"/>
        <w:spacing w:after="0"/>
        <w:tabs>
          <w:tab w:leader="none" w:pos="176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w:t>
      </w:r>
    </w:p>
    <w:p>
      <w:pPr>
        <w:spacing w:after="0" w:line="3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same.</w:t>
      </w:r>
    </w:p>
    <w:p>
      <w:pPr>
        <w:spacing w:after="0" w:line="2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1"/>
          <w:szCs w:val="21"/>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9.08.</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1"/>
          <w:szCs w:val="21"/>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168"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8.12</w:t>
      </w:r>
      <w:r>
        <w:rPr>
          <w:sz w:val="20"/>
          <w:szCs w:val="20"/>
          <w:color w:val="auto"/>
        </w:rPr>
        <w:tab/>
      </w:r>
      <w:r>
        <w:rPr>
          <w:rFonts w:ascii="Arial" w:cs="Arial" w:eastAsia="Arial" w:hAnsi="Arial"/>
          <w:sz w:val="20"/>
          <w:szCs w:val="20"/>
          <w:b w:val="1"/>
          <w:bCs w:val="1"/>
          <w:i w:val="1"/>
          <w:iCs w:val="1"/>
          <w:color w:val="auto"/>
        </w:rPr>
        <w:t>Certain ERISA Matters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259"/>
        <w:spacing w:after="0" w:line="256" w:lineRule="auto"/>
        <w:tabs>
          <w:tab w:leader="none" w:pos="1762"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Applicable Administrative Agent, the Lead Arranger and their respective Affiliates, and not, for the avoidance of doubt, to or for the benefit of the Applicable Borrower or any other Loan Party, that at least one of the following is and will be true:</w:t>
      </w:r>
    </w:p>
    <w:p>
      <w:pPr>
        <w:sectPr>
          <w:pgSz w:w="11900" w:h="16838" w:orient="portrait"/>
          <w:cols w:equalWidth="0" w:num="1">
            <w:col w:w="11240"/>
          </w:cols>
          <w:pgMar w:left="320" w:top="1380" w:right="339" w:bottom="1440" w:gutter="0" w:footer="0" w:header="0"/>
        </w:sectPr>
      </w:pPr>
    </w:p>
    <w:bookmarkStart w:id="216" w:name="page217"/>
    <w:bookmarkEnd w:id="216"/>
    <w:p>
      <w:pPr>
        <w:ind w:left="-480" w:firstLine="1246"/>
        <w:spacing w:after="0" w:line="277" w:lineRule="auto"/>
        <w:tabs>
          <w:tab w:leader="none" w:pos="1207"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the Plan Asset Regulations) of one or more Benefit Plans in connection with the Loans, the Letters of Credit or the Commitments,</w:t>
      </w:r>
    </w:p>
    <w:p>
      <w:pPr>
        <w:spacing w:after="0" w:line="148" w:lineRule="exact"/>
        <w:rPr>
          <w:rFonts w:ascii="Times New Roman" w:cs="Times New Roman" w:eastAsia="Times New Roman" w:hAnsi="Times New Roman"/>
          <w:sz w:val="21"/>
          <w:szCs w:val="21"/>
          <w:color w:val="auto"/>
        </w:rPr>
      </w:pPr>
    </w:p>
    <w:p>
      <w:pPr>
        <w:jc w:val="both"/>
        <w:ind w:left="-480" w:firstLine="1246"/>
        <w:spacing w:after="0" w:line="256" w:lineRule="auto"/>
        <w:tabs>
          <w:tab w:leader="none" w:pos="1239"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8" w:lineRule="exact"/>
        <w:rPr>
          <w:rFonts w:ascii="Times New Roman" w:cs="Times New Roman" w:eastAsia="Times New Roman" w:hAnsi="Times New Roman"/>
          <w:sz w:val="21"/>
          <w:szCs w:val="21"/>
          <w:color w:val="auto"/>
        </w:rPr>
      </w:pPr>
    </w:p>
    <w:p>
      <w:pPr>
        <w:jc w:val="both"/>
        <w:ind w:left="-480" w:firstLine="1246"/>
        <w:spacing w:after="0" w:line="253" w:lineRule="auto"/>
        <w:tabs>
          <w:tab w:leader="none" w:pos="1364"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w:t>
      </w:r>
      <w:r>
        <w:rPr>
          <w:rFonts w:ascii="Times New Roman" w:cs="Times New Roman" w:eastAsia="Times New Roman" w:hAnsi="Times New Roman"/>
          <w:sz w:val="21"/>
          <w:szCs w:val="21"/>
          <w:i w:val="1"/>
          <w:iCs w:val="1"/>
          <w:color w:val="auto"/>
        </w:rPr>
        <w:t>Qualified Professional Asset Manager</w:t>
      </w:r>
      <w:r>
        <w:rPr>
          <w:rFonts w:ascii="Times New Roman" w:cs="Times New Roman" w:eastAsia="Times New Roman" w:hAnsi="Times New Roman"/>
          <w:sz w:val="21"/>
          <w:szCs w:val="21"/>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4" w:lineRule="exact"/>
        <w:rPr>
          <w:rFonts w:ascii="Times New Roman" w:cs="Times New Roman" w:eastAsia="Times New Roman" w:hAnsi="Times New Roman"/>
          <w:sz w:val="21"/>
          <w:szCs w:val="21"/>
          <w:color w:val="auto"/>
        </w:rPr>
      </w:pPr>
    </w:p>
    <w:p>
      <w:pPr>
        <w:ind w:left="-480" w:firstLine="1246"/>
        <w:spacing w:after="0" w:line="277" w:lineRule="auto"/>
        <w:tabs>
          <w:tab w:leader="none" w:pos="1361"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Applicable Administrative Agent, in its sole discretion, and such Lender.</w:t>
      </w:r>
    </w:p>
    <w:p>
      <w:pPr>
        <w:spacing w:after="0" w:line="161" w:lineRule="exact"/>
        <w:rPr>
          <w:rFonts w:ascii="Times New Roman" w:cs="Times New Roman" w:eastAsia="Times New Roman" w:hAnsi="Times New Roman"/>
          <w:sz w:val="21"/>
          <w:szCs w:val="21"/>
          <w:color w:val="auto"/>
        </w:rPr>
      </w:pPr>
    </w:p>
    <w:p>
      <w:pPr>
        <w:jc w:val="both"/>
        <w:ind w:left="-1120" w:firstLine="1259"/>
        <w:spacing w:after="0" w:line="253" w:lineRule="auto"/>
        <w:tabs>
          <w:tab w:leader="none" w:pos="659"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Section 8.12(a)(i) is true with respect to a Lender or such Lender has not provided another representation, warranty and covenant as provided in Section 8.12(a)(iv), such Lender further (x) represents and warrants, as of the date such Person became a Lender party hereto, to, and (y) covenants, from the date such Person became a Lender party hereto to the date such Person ceases being a Lender party hereto, for the benefit of, the Applicable Administrative Agent, and each Arranger and their respective Affiliates, and not, for the avoidance of doubt, to or for the benefit of the Applicable Borrower or any other Loan Party, that none of the Applicable Administrative Agent, or any Arranger or any of their respective Affiliates is a fiduciary with respect to the Collateral or the assets of such Lender (including in connection with the reservation or exercise of any rights by the Applicable Administrative Agent under this Agreement, any Loan Document or any documents related to hereto or thereto).</w:t>
      </w:r>
    </w:p>
    <w:p>
      <w:pPr>
        <w:spacing w:after="0" w:line="172" w:lineRule="exact"/>
        <w:rPr>
          <w:rFonts w:ascii="Times New Roman" w:cs="Times New Roman" w:eastAsia="Times New Roman" w:hAnsi="Times New Roman"/>
          <w:sz w:val="21"/>
          <w:szCs w:val="21"/>
          <w:color w:val="auto"/>
        </w:rPr>
      </w:pPr>
    </w:p>
    <w:p>
      <w:pPr>
        <w:jc w:val="both"/>
        <w:ind w:left="-1120" w:firstLine="1259"/>
        <w:spacing w:after="0" w:line="262" w:lineRule="auto"/>
        <w:tabs>
          <w:tab w:leader="none" w:pos="652"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Administrative Agent hereby informs the Lenders that each such Person is not undertaking to provide impartial investment advice, or to give advice in a fiduciary capacity, in connection with the transactions contemplated hereby, and that such Person</w:t>
      </w:r>
    </w:p>
    <w:p>
      <w:pPr>
        <w:sectPr>
          <w:pgSz w:w="11900" w:h="16838" w:orient="portrait"/>
          <w:cols w:equalWidth="0" w:num="1">
            <w:col w:w="10120"/>
          </w:cols>
          <w:pgMar w:left="1440" w:top="1380" w:right="339" w:bottom="1440" w:gutter="0" w:footer="0" w:header="0"/>
        </w:sectPr>
      </w:pPr>
    </w:p>
    <w:bookmarkStart w:id="217" w:name="page218"/>
    <w:bookmarkEnd w:id="217"/>
    <w:p>
      <w:pPr>
        <w:jc w:val="both"/>
        <w:spacing w:after="0" w:line="253" w:lineRule="auto"/>
        <w:rPr>
          <w:sz w:val="20"/>
          <w:szCs w:val="20"/>
          <w:color w:val="auto"/>
        </w:rPr>
      </w:pPr>
      <w:r>
        <w:rPr>
          <w:rFonts w:ascii="Times New Roman" w:cs="Times New Roman" w:eastAsia="Times New Roman" w:hAnsi="Times New Roman"/>
          <w:sz w:val="21"/>
          <w:szCs w:val="21"/>
          <w:color w:val="auto"/>
        </w:rPr>
        <w:t>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8.13</w:t>
      </w:r>
      <w:r>
        <w:rPr>
          <w:sz w:val="20"/>
          <w:szCs w:val="20"/>
          <w:color w:val="auto"/>
        </w:rPr>
        <w:tab/>
      </w:r>
      <w:r>
        <w:rPr>
          <w:rFonts w:ascii="Arial" w:cs="Arial" w:eastAsia="Arial" w:hAnsi="Arial"/>
          <w:sz w:val="20"/>
          <w:szCs w:val="20"/>
          <w:b w:val="1"/>
          <w:bCs w:val="1"/>
          <w:i w:val="1"/>
          <w:iCs w:val="1"/>
          <w:color w:val="auto"/>
        </w:rPr>
        <w:t>Erroneous 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259"/>
        <w:spacing w:after="0" w:line="250" w:lineRule="auto"/>
        <w:tabs>
          <w:tab w:leader="none" w:pos="1765"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notifies a Lender, Issuing Bank or Secured Party, or any Person who has received funds on behalf of a Lender, Issuing Bank or Secured Party (any such Lender, Issuing Bank, Secured Party or other recipient, a “Payment Recipient”) that the Administrative Agent has determined in its sole reasonable discretion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in same day funds (in the currency so received), the amount of any such Erroneous Payment (or portion thereof), together with interest thereon in respect of each day from and including the date such Erroneous Payment (or portion thereof) was received by such Payment Recipient to the date such amount is repaid to the Administrative Agent</w:t>
      </w:r>
    </w:p>
    <w:p>
      <w:pPr>
        <w:spacing w:after="0" w:line="11" w:lineRule="exact"/>
        <w:rPr>
          <w:rFonts w:ascii="Times New Roman" w:cs="Times New Roman" w:eastAsia="Times New Roman" w:hAnsi="Times New Roman"/>
          <w:sz w:val="21"/>
          <w:szCs w:val="21"/>
          <w:color w:val="auto"/>
        </w:rPr>
      </w:pPr>
    </w:p>
    <w:p>
      <w:pPr>
        <w:jc w:val="both"/>
        <w:ind w:firstLine="5"/>
        <w:spacing w:after="0" w:line="249" w:lineRule="auto"/>
        <w:tabs>
          <w:tab w:leader="none" w:pos="2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amounts under the U.S. Revolving Credit Facility only, at the greater of the Federal Funds Effective Rate and a rate determined by the Administrative Agent in accordance with prevailing banking industry rules on interbank compensation from time to time in effect, or (ii) in respect of the Canadian Revolving Credit Facility only, at a rate determined by the Canadian Administrative Agent in accordance with prevailing banking industry rules on interbank compensation from time to time in effect.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A notice of the Administrative Agent to any Payment Recipient under this clause (a) shall be conclusive, absent manifest error.</w:t>
      </w:r>
    </w:p>
    <w:p>
      <w:pPr>
        <w:sectPr>
          <w:pgSz w:w="11900" w:h="16838" w:orient="portrait"/>
          <w:cols w:equalWidth="0" w:num="1">
            <w:col w:w="11240"/>
          </w:cols>
          <w:pgMar w:left="320" w:top="1380" w:right="339" w:bottom="1440" w:gutter="0" w:footer="0" w:header="0"/>
        </w:sectPr>
      </w:pPr>
    </w:p>
    <w:bookmarkStart w:id="218" w:name="page219"/>
    <w:bookmarkEnd w:id="218"/>
    <w:p>
      <w:pPr>
        <w:spacing w:after="0" w:line="175" w:lineRule="exact"/>
        <w:rPr>
          <w:sz w:val="20"/>
          <w:szCs w:val="20"/>
          <w:color w:val="auto"/>
        </w:rPr>
      </w:pPr>
    </w:p>
    <w:p>
      <w:pPr>
        <w:jc w:val="both"/>
        <w:ind w:left="-1120" w:firstLine="1259"/>
        <w:spacing w:after="0" w:line="251" w:lineRule="auto"/>
        <w:tabs>
          <w:tab w:leader="none" w:pos="773"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each Payment Recipient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(the “Payment Notice”), or (y) that was not preceded or accompanied by a Payment Notice sent by the Administrative Agent (or any of its Affiliates), then, said Payment Recipient shall be on notice, in each case, that an error has been made with respect to such Erroneous Payment. Each Payment Recipient agrees that, in each such case, or if it otherwise becomes aware an Erroneous Payment (or portion thereof) may have been sent in error, such Payment Recipient shall promptly notify the Administrative Agent of such occurrence and, upon demand from the Administrative Agent, it shall promptly, but in no event later than one Business Day thereafter, return to the Administrative Agent the amount of any such Erroneous Payment (or portion thereof) in same day funds (in the currency so received), together with interest thereon in respect of each day from and including the date such Erroneous Payment (or portion thereof) was received by such Payment Recipient to the date such amount is repaid to the Administrative Agent (i) in respect of amounts under the U.S. Revolving Credit Facility only, at the greater of the Federal Funds Effective Rate and a rate determined by the Administrative Agent in accordance with prevailing banking industry rules on interbank compensation from time to time in effect, or (ii) in respect of the Canadian Revolving Credit Facility only, at a rate determined by the Canadian Administrative Agent in accordance with prevailing banking industry rules on interbank compensation from time to time in effect.</w:t>
      </w:r>
    </w:p>
    <w:p>
      <w:pPr>
        <w:spacing w:after="0" w:line="200" w:lineRule="exact"/>
        <w:rPr>
          <w:rFonts w:ascii="Times New Roman" w:cs="Times New Roman" w:eastAsia="Times New Roman" w:hAnsi="Times New Roman"/>
          <w:sz w:val="21"/>
          <w:szCs w:val="21"/>
          <w:color w:val="auto"/>
        </w:rPr>
      </w:pPr>
    </w:p>
    <w:p>
      <w:pPr>
        <w:spacing w:after="0" w:line="215" w:lineRule="exact"/>
        <w:rPr>
          <w:rFonts w:ascii="Times New Roman" w:cs="Times New Roman" w:eastAsia="Times New Roman" w:hAnsi="Times New Roman"/>
          <w:sz w:val="21"/>
          <w:szCs w:val="21"/>
          <w:color w:val="auto"/>
        </w:rPr>
      </w:pPr>
    </w:p>
    <w:p>
      <w:pPr>
        <w:jc w:val="both"/>
        <w:ind w:left="-1120" w:firstLine="1259"/>
        <w:spacing w:after="0" w:line="261" w:lineRule="auto"/>
        <w:tabs>
          <w:tab w:leader="none" w:pos="578"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any of the immediately preceding </w:t>
      </w:r>
      <w:r>
        <w:rPr>
          <w:rFonts w:ascii="Times New Roman" w:cs="Times New Roman" w:eastAsia="Times New Roman" w:hAnsi="Times New Roman"/>
          <w:sz w:val="21"/>
          <w:szCs w:val="21"/>
          <w:u w:val="single" w:color="auto"/>
          <w:color w:val="auto"/>
        </w:rPr>
        <w:t>clauses (a) or (b)</w:t>
      </w:r>
      <w:r>
        <w:rPr>
          <w:rFonts w:ascii="Times New Roman" w:cs="Times New Roman" w:eastAsia="Times New Roman" w:hAnsi="Times New Roman"/>
          <w:sz w:val="21"/>
          <w:szCs w:val="21"/>
          <w:color w:val="auto"/>
        </w:rPr>
        <w:t xml:space="preserve"> or under the indemnification provisions of this Agreement.</w:t>
      </w:r>
    </w:p>
    <w:p>
      <w:pPr>
        <w:spacing w:after="0" w:line="164" w:lineRule="exact"/>
        <w:rPr>
          <w:rFonts w:ascii="Times New Roman" w:cs="Times New Roman" w:eastAsia="Times New Roman" w:hAnsi="Times New Roman"/>
          <w:sz w:val="21"/>
          <w:szCs w:val="21"/>
          <w:color w:val="auto"/>
        </w:rPr>
      </w:pPr>
    </w:p>
    <w:p>
      <w:pPr>
        <w:jc w:val="both"/>
        <w:ind w:left="-1120" w:firstLine="1259"/>
        <w:spacing w:after="0" w:line="265" w:lineRule="auto"/>
        <w:tabs>
          <w:tab w:leader="none" w:pos="602"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(such unrecovered amount, an “Erroneous Payment Return Deficiency”), the Borrowers and each other Loan Party hereby agrees that (x) the Administrative Agent shall be subrogated to all the rights of such Payment Recipient with respect to such amount (including, without limitation, the right to sell and assign the Loans (or any portion thereof), which were subject to the Erroneous Payment Return Deficiency) and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 For the avoidance of doubt, no assignment of an Erroneous Payment Deficiency will reduce the Commitments of any Payment Recipient and such Commitments shall remain available in accordance with the terms of this Agreement. In addition, each party hereto</w:t>
      </w:r>
    </w:p>
    <w:p>
      <w:pPr>
        <w:sectPr>
          <w:pgSz w:w="11900" w:h="16838" w:orient="portrait"/>
          <w:cols w:equalWidth="0" w:num="1">
            <w:col w:w="10120"/>
          </w:cols>
          <w:pgMar w:left="1440" w:top="1440" w:right="339" w:bottom="1440" w:gutter="0" w:footer="0" w:header="0"/>
        </w:sectPr>
      </w:pPr>
    </w:p>
    <w:bookmarkStart w:id="219" w:name="page220"/>
    <w:bookmarkEnd w:id="219"/>
    <w:p>
      <w:pPr>
        <w:jc w:val="both"/>
        <w:spacing w:after="0" w:line="261" w:lineRule="auto"/>
        <w:rPr>
          <w:sz w:val="20"/>
          <w:szCs w:val="20"/>
          <w:color w:val="auto"/>
        </w:rPr>
      </w:pPr>
      <w:r>
        <w:rPr>
          <w:rFonts w:ascii="Times New Roman" w:cs="Times New Roman" w:eastAsia="Times New Roman" w:hAnsi="Times New Roman"/>
          <w:sz w:val="21"/>
          <w:szCs w:val="21"/>
          <w:color w:val="auto"/>
        </w:rPr>
        <w:t>agrees that, except to the extent that the Administrative Agent has sold a Loan (or portion thereof) acquired pursuant to the assignment of an Erroneous Payment Deficiency, and irrespective of whether the Administrative Agent may be equitably subrogated, the Administrative Agent shall be contractually subrogated to all the rights and interests of the applicable Payment Recipient under the Loan Documents with respect to each Erroneous Payment Return Deficiency.</w:t>
      </w:r>
    </w:p>
    <w:p>
      <w:pPr>
        <w:spacing w:after="0" w:line="165" w:lineRule="exact"/>
        <w:rPr>
          <w:sz w:val="20"/>
          <w:szCs w:val="20"/>
          <w:color w:val="auto"/>
        </w:rPr>
      </w:pPr>
    </w:p>
    <w:p>
      <w:pPr>
        <w:jc w:val="both"/>
        <w:ind w:firstLine="1259"/>
        <w:spacing w:after="0" w:line="256" w:lineRule="auto"/>
        <w:tabs>
          <w:tab w:leader="none" w:pos="187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obligations, agreements and waivers under this Section 8.13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200" w:lineRule="exact"/>
        <w:rPr>
          <w:rFonts w:ascii="Times New Roman" w:cs="Times New Roman" w:eastAsia="Times New Roman" w:hAnsi="Times New Roman"/>
          <w:sz w:val="21"/>
          <w:szCs w:val="21"/>
          <w:color w:val="auto"/>
        </w:rPr>
      </w:pPr>
    </w:p>
    <w:p>
      <w:pPr>
        <w:spacing w:after="0" w:line="352"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38" w:val="left"/>
        </w:tabs>
        <w:numPr>
          <w:ilvl w:val="0"/>
          <w:numId w:val="262"/>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To the extent permitted by applicable law, no Payment Recipient shall assert any right or claim to an Erroneous Payment, and hereby waives, and is deemed to waive, any claim, counterclaim, defense or right of </w:t>
      </w:r>
      <w:r>
        <w:rPr>
          <w:rFonts w:ascii="Times New Roman" w:cs="Times New Roman" w:eastAsia="Times New Roman" w:hAnsi="Times New Roman"/>
          <w:sz w:val="21"/>
          <w:szCs w:val="21"/>
          <w:color w:val="auto"/>
        </w:rPr>
        <w:t>set</w:t>
      </w:r>
      <w:r>
        <w:rPr>
          <w:rFonts w:ascii="Arial" w:cs="Arial" w:eastAsia="Arial" w:hAnsi="Arial"/>
          <w:sz w:val="21"/>
          <w:szCs w:val="21"/>
          <w:color w:val="auto"/>
        </w:rPr>
        <w: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68"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62"/>
        </w:numPr>
        <w:rPr>
          <w:rFonts w:ascii="Times New Roman" w:cs="Times New Roman" w:eastAsia="Times New Roman" w:hAnsi="Times New Roman"/>
          <w:sz w:val="21"/>
          <w:szCs w:val="21"/>
          <w:color w:val="auto"/>
        </w:rPr>
      </w:pPr>
      <w:r>
        <w:rPr>
          <w:rFonts w:ascii="Arial" w:cs="Arial" w:eastAsia="Arial" w:hAnsi="Arial"/>
          <w:sz w:val="21"/>
          <w:szCs w:val="21"/>
          <w:color w:val="auto"/>
        </w:rPr>
        <w:t>For purposes of this Section 8.13, each Lender:</w:t>
      </w:r>
    </w:p>
    <w:p>
      <w:pPr>
        <w:spacing w:after="0" w:line="213" w:lineRule="exact"/>
        <w:rPr>
          <w:rFonts w:ascii="Times New Roman" w:cs="Times New Roman" w:eastAsia="Times New Roman" w:hAnsi="Times New Roman"/>
          <w:sz w:val="21"/>
          <w:szCs w:val="21"/>
          <w:color w:val="auto"/>
        </w:rPr>
      </w:pPr>
    </w:p>
    <w:p>
      <w:pPr>
        <w:jc w:val="both"/>
        <w:ind w:left="640" w:firstLine="1246"/>
        <w:spacing w:after="0" w:line="268" w:lineRule="auto"/>
        <w:tabs>
          <w:tab w:leader="none" w:pos="2398"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it is executing and delivering this Agreement with respect to this Section 8.13 both on its own behalf and as agent for and on behalf of its Affiliates referred to in this Section 8.13 and any person receiving funds under or pursuant to any of the Loan Documents on behalf of such Lender or any of such Affiliates;</w:t>
      </w:r>
    </w:p>
    <w:p>
      <w:pPr>
        <w:spacing w:after="0" w:line="158"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80"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warrants, covenants and agrees that its Affiliates referred to in this Section 8.13 and any person receiving funds under or pursuant to any of the Loan Documents on behalf of such Lender or any of such Affiliates are bound by the provisions of this Section 8.13; and</w:t>
      </w:r>
    </w:p>
    <w:p>
      <w:pPr>
        <w:spacing w:after="0" w:line="163" w:lineRule="exact"/>
        <w:rPr>
          <w:rFonts w:ascii="Times New Roman" w:cs="Times New Roman" w:eastAsia="Times New Roman" w:hAnsi="Times New Roman"/>
          <w:sz w:val="21"/>
          <w:szCs w:val="21"/>
          <w:color w:val="auto"/>
        </w:rPr>
      </w:pPr>
    </w:p>
    <w:p>
      <w:pPr>
        <w:jc w:val="both"/>
        <w:ind w:left="640" w:firstLine="1246"/>
        <w:spacing w:after="0" w:line="255" w:lineRule="auto"/>
        <w:tabs>
          <w:tab w:leader="none" w:pos="2472"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that any matter or thing done or omitted to be done by such Lender, its Affiliates or any person receiving funds under or pursuant to any of the Loan Documents on behalf of such Lender or any of such Affiliates which are the subject of this Section 8.13 will be binding upon such Lender and each Lender does hereby indemnify and save the Agent and its Affiliates harmless from any and all losses, expenses, claims, demands or other liabilities of the Agent and its Affiliates resulting from the failure of such Lender, its Affiliates or such persons to comply with their obligations under and in respect of this Section 8.13, in each case, in accordance with and subject to the limitations in Section 9.08.</w:t>
      </w:r>
    </w:p>
    <w:p>
      <w:pPr>
        <w:sectPr>
          <w:pgSz w:w="11900" w:h="16838" w:orient="portrait"/>
          <w:cols w:equalWidth="0" w:num="1">
            <w:col w:w="11240"/>
          </w:cols>
          <w:pgMar w:left="320" w:top="1380" w:right="339" w:bottom="1440" w:gutter="0" w:footer="0" w:header="0"/>
        </w:sectPr>
      </w:pPr>
    </w:p>
    <w:bookmarkStart w:id="220" w:name="page221"/>
    <w:bookmarkEnd w:id="220"/>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ARTICLE IX</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16"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9.01</w:t>
      </w:r>
      <w:r>
        <w:rPr>
          <w:sz w:val="20"/>
          <w:szCs w:val="20"/>
          <w:color w:val="auto"/>
        </w:rPr>
        <w:tab/>
      </w:r>
      <w:r>
        <w:rPr>
          <w:rFonts w:ascii="Times New Roman" w:cs="Times New Roman" w:eastAsia="Times New Roman" w:hAnsi="Times New Roman"/>
          <w:sz w:val="21"/>
          <w:szCs w:val="21"/>
          <w:b w:val="1"/>
          <w:bCs w:val="1"/>
          <w:i w:val="1"/>
          <w:iCs w:val="1"/>
          <w:color w:val="auto"/>
        </w:rPr>
        <w:t>Notices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1259"/>
        <w:spacing w:after="0" w:line="261" w:lineRule="auto"/>
        <w:tabs>
          <w:tab w:leader="none" w:pos="1761"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Notices Generally. </w:t>
      </w:r>
      <w:r>
        <w:rPr>
          <w:rFonts w:ascii="Times New Roman" w:cs="Times New Roman" w:eastAsia="Times New Roman" w:hAnsi="Times New Roman"/>
          <w:sz w:val="21"/>
          <w:szCs w:val="21"/>
          <w:color w:val="auto"/>
        </w:rPr>
        <w:t>Except in the case of notices and other communications expressly permitted to be given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telephone (and except as provided in paragraph (b) below), notices and other communications provided for herein or (except as otherwise provided therein) any other Loan Document shall be in writing and shall be delivered by hand or overnight courier service, mailed by certified or registered mail or sent by fax, as follows:</w:t>
      </w:r>
    </w:p>
    <w:p>
      <w:pPr>
        <w:spacing w:after="0" w:line="166" w:lineRule="exact"/>
        <w:rPr>
          <w:rFonts w:ascii="Times New Roman" w:cs="Times New Roman" w:eastAsia="Times New Roman" w:hAnsi="Times New Roman"/>
          <w:sz w:val="21"/>
          <w:szCs w:val="21"/>
          <w:color w:val="auto"/>
        </w:rPr>
      </w:pPr>
    </w:p>
    <w:p>
      <w:pPr>
        <w:ind w:left="640" w:firstLine="1246"/>
        <w:spacing w:after="0" w:line="277" w:lineRule="auto"/>
        <w:tabs>
          <w:tab w:leader="none" w:pos="2325" w:val="left"/>
        </w:tabs>
        <w:numPr>
          <w:ilvl w:val="2"/>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Parent Borrower, to it at Three Allen Center, 333 Clay Street, Suite 4980, Houston, Texas 77002, Attention of Chief Financial Officer (Fax No. (713) 510-2499);</w:t>
      </w:r>
    </w:p>
    <w:p>
      <w:pPr>
        <w:spacing w:after="0" w:line="148" w:lineRule="exact"/>
        <w:rPr>
          <w:rFonts w:ascii="Times New Roman" w:cs="Times New Roman" w:eastAsia="Times New Roman" w:hAnsi="Times New Roman"/>
          <w:sz w:val="21"/>
          <w:szCs w:val="21"/>
          <w:color w:val="auto"/>
        </w:rPr>
      </w:pPr>
    </w:p>
    <w:p>
      <w:pPr>
        <w:ind w:left="640" w:firstLine="1246"/>
        <w:spacing w:after="0" w:line="277" w:lineRule="auto"/>
        <w:tabs>
          <w:tab w:leader="none" w:pos="2430" w:val="left"/>
        </w:tabs>
        <w:numPr>
          <w:ilvl w:val="2"/>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 U.S. Borrower, to it at Three Allen Center, 333 Clay Street, Suite 4980, Houston, Texas 77002, Attention of Chief Financial Officer (Fax No. (713) 510-2499);</w:t>
      </w:r>
    </w:p>
    <w:p>
      <w:pPr>
        <w:spacing w:after="0" w:line="148" w:lineRule="exact"/>
        <w:rPr>
          <w:rFonts w:ascii="Times New Roman" w:cs="Times New Roman" w:eastAsia="Times New Roman" w:hAnsi="Times New Roman"/>
          <w:sz w:val="21"/>
          <w:szCs w:val="21"/>
          <w:color w:val="auto"/>
        </w:rPr>
      </w:pPr>
    </w:p>
    <w:p>
      <w:pPr>
        <w:ind w:left="640" w:firstLine="1246"/>
        <w:spacing w:after="0" w:line="290" w:lineRule="auto"/>
        <w:tabs>
          <w:tab w:leader="none" w:pos="2430" w:val="left"/>
        </w:tabs>
        <w:numPr>
          <w:ilvl w:val="2"/>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Australian Borrower, to it at Civeo Pty Limited, c/o Civeo Corporation, Three Allen Center, 333 Clay Street, Suite 4980, Houston, Texas 77002, Attention of Chief Financial Officer (Fax No. (713) 510-2499);</w:t>
      </w:r>
    </w:p>
    <w:p>
      <w:pPr>
        <w:spacing w:after="0" w:line="135" w:lineRule="exact"/>
        <w:rPr>
          <w:rFonts w:ascii="Times New Roman" w:cs="Times New Roman" w:eastAsia="Times New Roman" w:hAnsi="Times New Roman"/>
          <w:sz w:val="21"/>
          <w:szCs w:val="21"/>
          <w:color w:val="auto"/>
        </w:rPr>
      </w:pPr>
    </w:p>
    <w:p>
      <w:pPr>
        <w:ind w:left="640" w:firstLine="1246"/>
        <w:spacing w:after="0" w:line="278" w:lineRule="auto"/>
        <w:tabs>
          <w:tab w:leader="none" w:pos="2426" w:val="left"/>
        </w:tabs>
        <w:numPr>
          <w:ilvl w:val="2"/>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Administrative Agent or the U.S. Collateral Agent, to Royal Bank of Canada, at 155 Wellington Street West,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Toronto, Ontario M5V 3K7, Attention: Manager, Agency Services Group;</w:t>
      </w:r>
    </w:p>
    <w:p>
      <w:pPr>
        <w:spacing w:after="0" w:line="66" w:lineRule="exact"/>
        <w:rPr>
          <w:rFonts w:ascii="Times New Roman" w:cs="Times New Roman" w:eastAsia="Times New Roman" w:hAnsi="Times New Roman"/>
          <w:sz w:val="21"/>
          <w:szCs w:val="21"/>
          <w:color w:val="auto"/>
        </w:rPr>
      </w:pPr>
    </w:p>
    <w:p>
      <w:pPr>
        <w:jc w:val="both"/>
        <w:ind w:left="640" w:firstLine="1246"/>
        <w:spacing w:after="0" w:line="232" w:lineRule="auto"/>
        <w:tabs>
          <w:tab w:leader="none" w:pos="2397" w:val="left"/>
        </w:tabs>
        <w:numPr>
          <w:ilvl w:val="2"/>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Canadian Administrative Agent or the Canadian Collateral Agent, to Royal Bank of Canada, at 155 Wellington Street West,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Toronto, Ontario M5V 3K7, Attention: Manager, Agency Services Group (Fax No.</w:t>
      </w:r>
    </w:p>
    <w:p>
      <w:pPr>
        <w:ind w:left="1140" w:hanging="508"/>
        <w:spacing w:after="0"/>
        <w:tabs>
          <w:tab w:leader="none" w:pos="1140"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842-4023);</w:t>
      </w:r>
    </w:p>
    <w:p>
      <w:pPr>
        <w:spacing w:after="0" w:line="191"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33" w:val="left"/>
        </w:tabs>
        <w:numPr>
          <w:ilvl w:val="2"/>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Australian Administrative Agent or the Australian Collateral Agent, to RBC Europe Limited, at RBC Europe Limited, Thames Court, One Queenhithe, London, EC4V 3DQ, United Kingdom, Attention: Manager Loans Agency (Fax No. +44 20 7029 7914); and</w:t>
      </w:r>
    </w:p>
    <w:p>
      <w:pPr>
        <w:spacing w:after="0" w:line="163" w:lineRule="exact"/>
        <w:rPr>
          <w:rFonts w:ascii="Times New Roman" w:cs="Times New Roman" w:eastAsia="Times New Roman" w:hAnsi="Times New Roman"/>
          <w:sz w:val="21"/>
          <w:szCs w:val="21"/>
          <w:color w:val="auto"/>
        </w:rPr>
      </w:pPr>
    </w:p>
    <w:p>
      <w:pPr>
        <w:ind w:left="2540" w:hanging="654"/>
        <w:spacing w:after="0"/>
        <w:tabs>
          <w:tab w:leader="none" w:pos="2540" w:val="left"/>
        </w:tabs>
        <w:numPr>
          <w:ilvl w:val="2"/>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 Lender or an Issuing Bank, to it at its address (or fax number) set forth in its Administrative</w:t>
      </w:r>
    </w:p>
    <w:p>
      <w:pPr>
        <w:spacing w:after="0" w:line="30"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Questionnaire.</w:t>
      </w:r>
    </w:p>
    <w:p>
      <w:pPr>
        <w:spacing w:after="0" w:line="2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1"/>
          <w:szCs w:val="21"/>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w:t>
      </w:r>
    </w:p>
    <w:p>
      <w:pPr>
        <w:sectPr>
          <w:pgSz w:w="11900" w:h="16838" w:orient="portrait"/>
          <w:cols w:equalWidth="0" w:num="1">
            <w:col w:w="11240"/>
          </w:cols>
          <w:pgMar w:left="320" w:top="1369" w:right="339" w:bottom="1440" w:gutter="0" w:footer="0" w:header="0"/>
        </w:sectPr>
      </w:pPr>
    </w:p>
    <w:bookmarkStart w:id="221" w:name="page222"/>
    <w:bookmarkEnd w:id="221"/>
    <w:p>
      <w:pPr>
        <w:ind w:right="20"/>
        <w:spacing w:after="0" w:line="261" w:lineRule="auto"/>
        <w:rPr>
          <w:sz w:val="20"/>
          <w:szCs w:val="20"/>
          <w:color w:val="auto"/>
        </w:rPr>
      </w:pPr>
      <w:r>
        <w:rPr>
          <w:rFonts w:ascii="Times New Roman" w:cs="Times New Roman" w:eastAsia="Times New Roman" w:hAnsi="Times New Roman"/>
          <w:sz w:val="21"/>
          <w:szCs w:val="21"/>
          <w:color w:val="auto"/>
        </w:rPr>
        <w:t xml:space="preserve">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Lender shall be required only to provide notice of such change to the Applicable Borrower and the Applicable Administrative Agent.</w:t>
      </w:r>
    </w:p>
    <w:p>
      <w:pPr>
        <w:spacing w:after="0" w:line="163" w:lineRule="exact"/>
        <w:rPr>
          <w:sz w:val="20"/>
          <w:szCs w:val="20"/>
          <w:color w:val="auto"/>
        </w:rPr>
      </w:pPr>
    </w:p>
    <w:p>
      <w:pPr>
        <w:jc w:val="both"/>
        <w:ind w:firstLine="1259"/>
        <w:spacing w:after="0" w:line="254" w:lineRule="auto"/>
        <w:tabs>
          <w:tab w:leader="none" w:pos="1734"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Electronic Communications</w:t>
      </w:r>
      <w:r>
        <w:rPr>
          <w:rFonts w:ascii="Times New Roman" w:cs="Times New Roman" w:eastAsia="Times New Roman" w:hAnsi="Times New Roman"/>
          <w:sz w:val="21"/>
          <w:szCs w:val="21"/>
          <w:color w:val="auto"/>
        </w:rPr>
        <w:t>. Notices and other communications to the Lenders and the Issuing Banks hereunder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may be delivered or furnished by electronic communication (including e-mail and Internet or intranet websites) pursuant to procedures approved by the Applicable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apply to notices to any Lender or Issuing Bank pursuant to Article II if such Lender or Issuing Bank, as applicable, has notified the Applicable Administrative Agent that it is incapable of receiving notices under such Article by electronic communication. Each Administrative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17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1" w:lineRule="exact"/>
        <w:rPr>
          <w:sz w:val="20"/>
          <w:szCs w:val="20"/>
          <w:color w:val="auto"/>
        </w:rPr>
      </w:pPr>
    </w:p>
    <w:p>
      <w:pPr>
        <w:jc w:val="both"/>
        <w:ind w:firstLine="1259"/>
        <w:spacing w:after="0" w:line="255" w:lineRule="auto"/>
        <w:tabs>
          <w:tab w:leader="none" w:pos="1787"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Effectiveness of Facsimile Documents and Signatures</w:t>
      </w:r>
      <w:r>
        <w:rPr>
          <w:rFonts w:ascii="Times New Roman" w:cs="Times New Roman" w:eastAsia="Times New Roman" w:hAnsi="Times New Roman"/>
          <w:sz w:val="21"/>
          <w:szCs w:val="21"/>
          <w:color w:val="auto"/>
        </w:rPr>
        <w:t>. Loan Documents may be transmitted and/or signed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facsimile or in electronic (i.e., “pdf”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failure to request or deliver the same shall not limit the effectiveness of any facsimile document or signature.</w:t>
      </w:r>
    </w:p>
    <w:p>
      <w:pPr>
        <w:spacing w:after="0" w:line="185" w:lineRule="exact"/>
        <w:rPr>
          <w:rFonts w:ascii="Times New Roman" w:cs="Times New Roman" w:eastAsia="Times New Roman" w:hAnsi="Times New Roman"/>
          <w:sz w:val="21"/>
          <w:szCs w:val="21"/>
          <w:color w:val="auto"/>
        </w:rPr>
      </w:pPr>
    </w:p>
    <w:p>
      <w:pPr>
        <w:jc w:val="both"/>
        <w:ind w:firstLine="1259"/>
        <w:spacing w:after="0" w:line="253" w:lineRule="auto"/>
        <w:tabs>
          <w:tab w:leader="none" w:pos="1773"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Platform</w:t>
      </w:r>
      <w:r>
        <w:rPr>
          <w:rFonts w:ascii="Times New Roman" w:cs="Times New Roman" w:eastAsia="Times New Roman" w:hAnsi="Times New Roman"/>
          <w:sz w:val="21"/>
          <w:szCs w:val="21"/>
          <w:color w:val="auto"/>
        </w:rPr>
        <w:t>. THE PLATFORM IS PROVIDED “AS IS” AND “AS AVAILABLE.” THE AGENT PARTIES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w:t>
      </w:r>
    </w:p>
    <w:p>
      <w:pPr>
        <w:sectPr>
          <w:pgSz w:w="11900" w:h="16838" w:orient="portrait"/>
          <w:cols w:equalWidth="0" w:num="1">
            <w:col w:w="11240"/>
          </w:cols>
          <w:pgMar w:left="320" w:top="1380" w:right="339" w:bottom="1440" w:gutter="0" w:footer="0" w:header="0"/>
        </w:sectPr>
      </w:pPr>
    </w:p>
    <w:bookmarkStart w:id="222" w:name="page223"/>
    <w:bookmarkEnd w:id="222"/>
    <w:p>
      <w:pPr>
        <w:jc w:val="both"/>
        <w:spacing w:after="0" w:line="253" w:lineRule="auto"/>
        <w:rPr>
          <w:sz w:val="20"/>
          <w:szCs w:val="20"/>
          <w:color w:val="auto"/>
        </w:rPr>
      </w:pPr>
      <w:r>
        <w:rPr>
          <w:rFonts w:ascii="Times New Roman" w:cs="Times New Roman" w:eastAsia="Times New Roman" w:hAnsi="Times New Roman"/>
          <w:sz w:val="21"/>
          <w:szCs w:val="21"/>
          <w:color w:val="auto"/>
        </w:rPr>
        <w:t>OTHER CODE DEFECTS, IS MADE BY ANY AGENT PARTY IN CONNECTION WITH THE BORROWER MATERIALS OR THE PLATFORM. In no event shall any Agent or any of its Related Parties (collectively, the “</w:t>
      </w:r>
      <w:r>
        <w:rPr>
          <w:rFonts w:ascii="Times New Roman" w:cs="Times New Roman" w:eastAsia="Times New Roman" w:hAnsi="Times New Roman"/>
          <w:sz w:val="21"/>
          <w:szCs w:val="21"/>
          <w:i w:val="1"/>
          <w:iCs w:val="1"/>
          <w:color w:val="auto"/>
        </w:rPr>
        <w:t>Agent Parties</w:t>
      </w:r>
      <w:r>
        <w:rPr>
          <w:rFonts w:ascii="Times New Roman" w:cs="Times New Roman" w:eastAsia="Times New Roman" w:hAnsi="Times New Roman"/>
          <w:sz w:val="21"/>
          <w:szCs w:val="21"/>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in no event shall any Agent Party have any liability to any Borrower, any Lender, any Issuing Bank or any other person for indirect, special, incidental, consequential or punitive damages (as opposed to direct or actual damages).</w:t>
      </w:r>
    </w:p>
    <w:p>
      <w:pPr>
        <w:spacing w:after="0" w:line="183" w:lineRule="exact"/>
        <w:rPr>
          <w:sz w:val="20"/>
          <w:szCs w:val="20"/>
          <w:color w:val="auto"/>
        </w:rPr>
      </w:pPr>
    </w:p>
    <w:p>
      <w:pPr>
        <w:jc w:val="both"/>
        <w:ind w:firstLine="1259"/>
        <w:spacing w:after="0" w:line="267" w:lineRule="auto"/>
        <w:tabs>
          <w:tab w:leader="none" w:pos="1787"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Reliance by Agents, Issuing Banks and Lenders</w:t>
      </w:r>
      <w:r>
        <w:rPr>
          <w:rFonts w:ascii="Times New Roman" w:cs="Times New Roman" w:eastAsia="Times New Roman" w:hAnsi="Times New Roman"/>
          <w:sz w:val="20"/>
          <w:szCs w:val="20"/>
          <w:color w:val="auto"/>
        </w:rPr>
        <w:t>. Each of the Agents, Issuing Banks and the Lenders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entitled to rely and act upon any 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Agents, the Issuing Banks, each Lender and their Related Parties from all losses, costs, expenses and liabilities resulting from the reliance by such person on each notice purportedly given by or on behalf of any Borrower. All telephonic notices to and other communications with any Agent, Issuing Bank or Lender may be recorded by such Agent, Issuing Bank or Lender, and each of the parties hereto hereby consents to such recording.</w:t>
      </w:r>
    </w:p>
    <w:p>
      <w:pPr>
        <w:spacing w:after="0" w:line="160"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9.02 </w:t>
      </w:r>
      <w:r>
        <w:rPr>
          <w:rFonts w:ascii="Times New Roman" w:cs="Times New Roman" w:eastAsia="Times New Roman" w:hAnsi="Times New Roman"/>
          <w:sz w:val="21"/>
          <w:szCs w:val="21"/>
          <w:b w:val="1"/>
          <w:bCs w:val="1"/>
          <w:i w:val="1"/>
          <w:iCs w:val="1"/>
          <w:color w:val="auto"/>
        </w:rPr>
        <w:t>Survival of Agreement</w:t>
      </w:r>
      <w:r>
        <w:rPr>
          <w:rFonts w:ascii="Times New Roman" w:cs="Times New Roman" w:eastAsia="Times New Roman" w:hAnsi="Times New Roman"/>
          <w:sz w:val="21"/>
          <w:szCs w:val="21"/>
          <w:color w:val="auto"/>
        </w:rPr>
        <w:t>. All covenants, agreements, representations and warranties made by a Borrower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 and in the certificates 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172" w:lineRule="exact"/>
        <w:rPr>
          <w:sz w:val="20"/>
          <w:szCs w:val="20"/>
          <w:color w:val="auto"/>
        </w:rPr>
      </w:pPr>
    </w:p>
    <w:p>
      <w:pPr>
        <w:jc w:val="both"/>
        <w:ind w:firstLine="627"/>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SECTION 9.03 </w:t>
      </w:r>
      <w:r>
        <w:rPr>
          <w:rFonts w:ascii="Times New Roman" w:cs="Times New Roman" w:eastAsia="Times New Roman" w:hAnsi="Times New Roman"/>
          <w:sz w:val="21"/>
          <w:szCs w:val="21"/>
          <w:b w:val="1"/>
          <w:bCs w:val="1"/>
          <w:i w:val="1"/>
          <w:iCs w:val="1"/>
          <w:color w:val="auto"/>
        </w:rPr>
        <w:t>Binding Effect</w:t>
      </w:r>
      <w:r>
        <w:rPr>
          <w:rFonts w:ascii="Times New Roman" w:cs="Times New Roman" w:eastAsia="Times New Roman" w:hAnsi="Times New Roman"/>
          <w:sz w:val="21"/>
          <w:szCs w:val="21"/>
          <w:color w:val="auto"/>
        </w:rPr>
        <w:t>. This Agreement shall become effective when it shall have been executed by the Borrowers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Administrative Agent and when the Administrative Agent shall have received counterparts hereof which, when taken together, bear the signatures of each of the other parties hereto.</w:t>
      </w:r>
    </w:p>
    <w:p>
      <w:pPr>
        <w:sectPr>
          <w:pgSz w:w="11900" w:h="16838" w:orient="portrait"/>
          <w:cols w:equalWidth="0" w:num="1">
            <w:col w:w="11240"/>
          </w:cols>
          <w:pgMar w:left="320" w:top="1380" w:right="339" w:bottom="1440" w:gutter="0" w:footer="0" w:header="0"/>
        </w:sectPr>
      </w:pPr>
    </w:p>
    <w:bookmarkStart w:id="223" w:name="page224"/>
    <w:bookmarkEnd w:id="223"/>
    <w:p>
      <w:pPr>
        <w:spacing w:after="0"/>
        <w:tabs>
          <w:tab w:leader="none" w:pos="1540" w:val="left"/>
        </w:tabs>
        <w:rPr>
          <w:sz w:val="20"/>
          <w:szCs w:val="20"/>
          <w:color w:val="auto"/>
        </w:rPr>
      </w:pPr>
      <w:r>
        <w:rPr>
          <w:rFonts w:ascii="Times New Roman" w:cs="Times New Roman" w:eastAsia="Times New Roman" w:hAnsi="Times New Roman"/>
          <w:sz w:val="21"/>
          <w:szCs w:val="21"/>
          <w:b w:val="1"/>
          <w:bCs w:val="1"/>
          <w:color w:val="auto"/>
        </w:rPr>
        <w:t>SECTION 9.04</w:t>
      </w:r>
      <w:r>
        <w:rPr>
          <w:sz w:val="20"/>
          <w:szCs w:val="20"/>
          <w:color w:val="auto"/>
        </w:rPr>
        <w:tab/>
      </w:r>
      <w:r>
        <w:rPr>
          <w:rFonts w:ascii="Times New Roman" w:cs="Times New Roman" w:eastAsia="Times New Roman" w:hAnsi="Times New Roman"/>
          <w:sz w:val="20"/>
          <w:szCs w:val="20"/>
          <w:b w:val="1"/>
          <w:bCs w:val="1"/>
          <w:i w:val="1"/>
          <w:iCs w:val="1"/>
          <w:color w:val="auto"/>
        </w:rPr>
        <w:t>Successors and Assigns</w:t>
      </w:r>
      <w:r>
        <w:rPr>
          <w:rFonts w:ascii="Times New Roman" w:cs="Times New Roman" w:eastAsia="Times New Roman" w:hAnsi="Times New Roman"/>
          <w:sz w:val="20"/>
          <w:szCs w:val="20"/>
          <w:i w:val="1"/>
          <w:iCs w:val="1"/>
          <w:color w:val="auto"/>
        </w:rPr>
        <w:t>.</w:t>
      </w:r>
    </w:p>
    <w:p>
      <w:pPr>
        <w:spacing w:after="0" w:line="218" w:lineRule="exact"/>
        <w:rPr>
          <w:sz w:val="20"/>
          <w:szCs w:val="20"/>
          <w:color w:val="auto"/>
        </w:rPr>
      </w:pPr>
    </w:p>
    <w:p>
      <w:pPr>
        <w:jc w:val="both"/>
        <w:ind w:left="-640" w:firstLine="1259"/>
        <w:spacing w:after="0" w:line="252" w:lineRule="auto"/>
        <w:tabs>
          <w:tab w:leader="none" w:pos="1069"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The terms and provisions of this Agreement and the other Loan Documents shall be binding upon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inure to the benefit of the 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such assignment under the Australian Revolving Credit Facility, if such assignment would 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74" w:lineRule="exact"/>
        <w:rPr>
          <w:rFonts w:ascii="Times New Roman" w:cs="Times New Roman" w:eastAsia="Times New Roman" w:hAnsi="Times New Roman"/>
          <w:sz w:val="21"/>
          <w:szCs w:val="21"/>
          <w:color w:val="auto"/>
        </w:rPr>
      </w:pPr>
    </w:p>
    <w:p>
      <w:pPr>
        <w:jc w:val="both"/>
        <w:ind w:left="-640" w:firstLine="1259"/>
        <w:spacing w:after="0" w:line="257" w:lineRule="auto"/>
        <w:tabs>
          <w:tab w:leader="none" w:pos="1067"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Assignments by Lenders</w:t>
      </w:r>
      <w:r>
        <w:rPr>
          <w:rFonts w:ascii="Times New Roman" w:cs="Times New Roman" w:eastAsia="Times New Roman" w:hAnsi="Times New Roman"/>
          <w:sz w:val="21"/>
          <w:szCs w:val="21"/>
          <w:color w:val="auto"/>
        </w:rPr>
        <w:t>. Any Lender may at any time assign to one or more Eligible Assignees all or a portion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its rights and obligations under this Agreement (including all or a portion of its Commitments (including, for purposes of this Section 9.04(b), participations in Letters of Credit and Swing Line Loans) and the Loans at the time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assignment shall be subject to the following conditions:</w:t>
      </w:r>
    </w:p>
    <w:p>
      <w:pPr>
        <w:spacing w:after="0" w:line="181" w:lineRule="exact"/>
        <w:rPr>
          <w:rFonts w:ascii="Times New Roman" w:cs="Times New Roman" w:eastAsia="Times New Roman" w:hAnsi="Times New Roman"/>
          <w:sz w:val="21"/>
          <w:szCs w:val="21"/>
          <w:color w:val="auto"/>
        </w:rPr>
      </w:pPr>
    </w:p>
    <w:p>
      <w:pPr>
        <w:ind w:left="1660" w:hanging="414"/>
        <w:spacing w:after="0"/>
        <w:tabs>
          <w:tab w:leader="none" w:pos="1660"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Minimum Amounts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620" w:firstLine="1254"/>
        <w:spacing w:after="0" w:line="268" w:lineRule="auto"/>
        <w:tabs>
          <w:tab w:leader="none" w:pos="2590"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58" w:lineRule="exact"/>
        <w:rPr>
          <w:rFonts w:ascii="Times New Roman" w:cs="Times New Roman" w:eastAsia="Times New Roman" w:hAnsi="Times New Roman"/>
          <w:sz w:val="19"/>
          <w:szCs w:val="19"/>
          <w:color w:val="auto"/>
        </w:rPr>
      </w:pPr>
    </w:p>
    <w:p>
      <w:pPr>
        <w:jc w:val="both"/>
        <w:ind w:left="620" w:firstLine="1254"/>
        <w:spacing w:after="0" w:line="254" w:lineRule="auto"/>
        <w:tabs>
          <w:tab w:leader="none" w:pos="2460" w:val="left"/>
        </w:tabs>
        <w:numPr>
          <w:ilvl w:val="2"/>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w:t>
      </w:r>
    </w:p>
    <w:p>
      <w:pPr>
        <w:sectPr>
          <w:pgSz w:w="11900" w:h="16838" w:orient="portrait"/>
          <w:cols w:equalWidth="0" w:num="1">
            <w:col w:w="10600"/>
          </w:cols>
          <w:pgMar w:left="960" w:top="1376" w:right="339" w:bottom="1440" w:gutter="0" w:footer="0" w:header="0"/>
        </w:sectPr>
      </w:pPr>
    </w:p>
    <w:bookmarkStart w:id="224" w:name="page225"/>
    <w:bookmarkEnd w:id="224"/>
    <w:p>
      <w:pPr>
        <w:jc w:val="both"/>
        <w:ind w:left="140"/>
        <w:spacing w:after="0" w:line="257" w:lineRule="auto"/>
        <w:rPr>
          <w:sz w:val="20"/>
          <w:szCs w:val="20"/>
          <w:color w:val="auto"/>
        </w:rPr>
      </w:pPr>
      <w:r>
        <w:rPr>
          <w:rFonts w:ascii="Times New Roman" w:cs="Times New Roman" w:eastAsia="Times New Roman" w:hAnsi="Times New Roman"/>
          <w:sz w:val="21"/>
          <w:szCs w:val="21"/>
          <w:color w:val="auto"/>
        </w:rPr>
        <w:t xml:space="preserve">and is continuing, the Parent Borrower otherwise consents (each such consent not to be unreasonably withheld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9" w:lineRule="exact"/>
        <w:rPr>
          <w:sz w:val="20"/>
          <w:szCs w:val="20"/>
          <w:color w:val="auto"/>
        </w:rPr>
      </w:pPr>
    </w:p>
    <w:p>
      <w:pPr>
        <w:jc w:val="both"/>
        <w:ind w:left="-480" w:firstLine="1246"/>
        <w:spacing w:after="0" w:line="261" w:lineRule="auto"/>
        <w:tabs>
          <w:tab w:leader="none" w:pos="1239"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Proportionate Amounts</w:t>
      </w:r>
      <w:r>
        <w:rPr>
          <w:rFonts w:ascii="Times New Roman" w:cs="Times New Roman" w:eastAsia="Times New Roman" w:hAnsi="Times New Roman"/>
          <w:sz w:val="21"/>
          <w:szCs w:val="21"/>
          <w:color w:val="auto"/>
        </w:rPr>
        <w:t>. Each partial assignment shall be made as an assignment of a proportionate part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all the assigning Lender’s rights and obligations under this Agreement with respect to the Loan or the Commitment assigned, except that this clause (ii) shall not apply to the Applicable Swing Line Lender’s rights and obligations in respect of Swing Line Loans.</w:t>
      </w:r>
    </w:p>
    <w:p>
      <w:pPr>
        <w:spacing w:after="0" w:line="164" w:lineRule="exact"/>
        <w:rPr>
          <w:rFonts w:ascii="Times New Roman" w:cs="Times New Roman" w:eastAsia="Times New Roman" w:hAnsi="Times New Roman"/>
          <w:sz w:val="21"/>
          <w:szCs w:val="21"/>
          <w:color w:val="auto"/>
        </w:rPr>
      </w:pPr>
    </w:p>
    <w:p>
      <w:pPr>
        <w:ind w:left="-480" w:firstLine="1246"/>
        <w:spacing w:after="0" w:line="279" w:lineRule="auto"/>
        <w:tabs>
          <w:tab w:leader="none" w:pos="1376"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Required Consents</w:t>
      </w:r>
      <w:r>
        <w:rPr>
          <w:rFonts w:ascii="Times New Roman" w:cs="Times New Roman" w:eastAsia="Times New Roman" w:hAnsi="Times New Roman"/>
          <w:sz w:val="21"/>
          <w:szCs w:val="21"/>
          <w:color w:val="auto"/>
        </w:rPr>
        <w:t>. No consent shall be required for any assignment except to the extent required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paragraph (b)(i)(B) of this Section and, in addition:</w:t>
      </w:r>
    </w:p>
    <w:p>
      <w:pPr>
        <w:spacing w:after="0" w:line="146" w:lineRule="exact"/>
        <w:rPr>
          <w:rFonts w:ascii="Times New Roman" w:cs="Times New Roman" w:eastAsia="Times New Roman" w:hAnsi="Times New Roman"/>
          <w:sz w:val="21"/>
          <w:szCs w:val="21"/>
          <w:color w:val="auto"/>
        </w:rPr>
      </w:pPr>
    </w:p>
    <w:p>
      <w:pPr>
        <w:jc w:val="both"/>
        <w:ind w:left="140" w:firstLine="1254"/>
        <w:spacing w:after="0" w:line="253" w:lineRule="auto"/>
        <w:tabs>
          <w:tab w:leader="none" w:pos="1957"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consent of the Parent Borrower (such consent not to be unreasonably withheld or delayed) shall be required for assignments in respect of the Canadian Term Loan Facility, the U.S. Revolving Credit Facility, the Canadian Revolving Credit Facility or the Australian Revolving Credit Facility, if such assignment is to a person that is not a Lender under the Canadian Term Loan Facility, the U.S. Revolving Credit Facility, the Canadian Revolving Credit Facility or the Australian Revolving Credit Facility, an Affiliate of such Lender or any Approved Fund with respect to such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consent shall be required if an Event of Default shall have occurred and is continuing;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Parent Borrower shall fail to respond to a request for consent to an assignment within ten (10) Business Days following receipt of such request, the Parent Borrower shall be deemed to have given such consent.</w:t>
      </w:r>
    </w:p>
    <w:p>
      <w:pPr>
        <w:spacing w:after="0" w:line="178" w:lineRule="exact"/>
        <w:rPr>
          <w:rFonts w:ascii="Times New Roman" w:cs="Times New Roman" w:eastAsia="Times New Roman" w:hAnsi="Times New Roman"/>
          <w:sz w:val="19"/>
          <w:szCs w:val="19"/>
          <w:color w:val="auto"/>
        </w:rPr>
      </w:pPr>
    </w:p>
    <w:p>
      <w:pPr>
        <w:jc w:val="both"/>
        <w:ind w:left="140" w:firstLine="1254"/>
        <w:spacing w:after="0" w:line="258" w:lineRule="auto"/>
        <w:tabs>
          <w:tab w:leader="none" w:pos="1862"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consent of the Applicable Administrative Agent (such consent not to be unreasonably withheld or delayed) shall be required (1) for assignments in respect of the U.S. Revolving Credit Facility, the Canadian Revolving Credit Facility or the Australian Revolving Credit Facility if such assignment is to a person that is not a Lender under the U.S. Revolving Credit Facility, the Canadian Revolving Credit Facility or the Australian Revolving Credit Facility, an Affiliate of such Lender or an Approved Fund with respect to such Lender or (2) for assignments of Canadian Term Loans to a person who is not a Lender, an Affiliate of a Lender or an Approved Fund;</w:t>
      </w:r>
    </w:p>
    <w:p>
      <w:pPr>
        <w:spacing w:after="0" w:line="167" w:lineRule="exact"/>
        <w:rPr>
          <w:rFonts w:ascii="Times New Roman" w:cs="Times New Roman" w:eastAsia="Times New Roman" w:hAnsi="Times New Roman"/>
          <w:sz w:val="19"/>
          <w:szCs w:val="19"/>
          <w:color w:val="auto"/>
        </w:rPr>
      </w:pPr>
    </w:p>
    <w:p>
      <w:pPr>
        <w:jc w:val="both"/>
        <w:ind w:left="140" w:firstLine="1254"/>
        <w:spacing w:after="0" w:line="262" w:lineRule="auto"/>
        <w:tabs>
          <w:tab w:leader="none" w:pos="1884"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consent of each Issuing Bank (such consent not to be unreasonably withheld or delayed) shall be required for any assignment in respect of the U.S. Revolving Credit Facility, the Canadian Revolving Credit Facility or the Australian Revolving Credit Facility; and</w:t>
      </w:r>
    </w:p>
    <w:p>
      <w:pPr>
        <w:sectPr>
          <w:pgSz w:w="11900" w:h="16838" w:orient="portrait"/>
          <w:cols w:equalWidth="0" w:num="1">
            <w:col w:w="10120"/>
          </w:cols>
          <w:pgMar w:left="1440" w:top="1380" w:right="339" w:bottom="1440" w:gutter="0" w:footer="0" w:header="0"/>
        </w:sectPr>
      </w:pPr>
    </w:p>
    <w:bookmarkStart w:id="225" w:name="page226"/>
    <w:bookmarkEnd w:id="225"/>
    <w:p>
      <w:pPr>
        <w:jc w:val="both"/>
        <w:ind w:left="1260" w:firstLine="1254"/>
        <w:spacing w:after="0" w:line="268" w:lineRule="auto"/>
        <w:tabs>
          <w:tab w:leader="none" w:pos="3033"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consent of the Applicable Swing Line Lender (such consent not to be unreasonably withheld or delayed) shall be required for any assignment in respect of the U.S. Revolving Credit Facility or the Canadian Revolving Credit Facility, as applicable.</w:t>
      </w:r>
    </w:p>
    <w:p>
      <w:pPr>
        <w:spacing w:after="0" w:line="156" w:lineRule="exact"/>
        <w:rPr>
          <w:rFonts w:ascii="Times New Roman" w:cs="Times New Roman" w:eastAsia="Times New Roman" w:hAnsi="Times New Roman"/>
          <w:sz w:val="19"/>
          <w:szCs w:val="19"/>
          <w:color w:val="auto"/>
        </w:rPr>
      </w:pPr>
    </w:p>
    <w:p>
      <w:pPr>
        <w:jc w:val="both"/>
        <w:ind w:left="640" w:firstLine="1246"/>
        <w:spacing w:after="0" w:line="254" w:lineRule="auto"/>
        <w:tabs>
          <w:tab w:leader="none" w:pos="2445"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Assignment and Acceptance</w:t>
      </w:r>
      <w:r>
        <w:rPr>
          <w:rFonts w:ascii="Times New Roman" w:cs="Times New Roman" w:eastAsia="Times New Roman" w:hAnsi="Times New Roman"/>
          <w:sz w:val="21"/>
          <w:szCs w:val="21"/>
          <w:color w:val="auto"/>
        </w:rPr>
        <w:t>. The parties to each assignment shall execute and deliver to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Administrative Agent an Assignment and Acceptance, together with a processing and recordation fee of $3,500;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the Applicable Administrative Agent may, in its sole discretion, elect to waive such processing and recordation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fee in the case of any assignment;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71" w:lineRule="exact"/>
        <w:rPr>
          <w:rFonts w:ascii="Times New Roman" w:cs="Times New Roman" w:eastAsia="Times New Roman" w:hAnsi="Times New Roman"/>
          <w:sz w:val="21"/>
          <w:szCs w:val="21"/>
          <w:color w:val="auto"/>
        </w:rPr>
      </w:pPr>
    </w:p>
    <w:p>
      <w:pPr>
        <w:ind w:left="640" w:firstLine="1246"/>
        <w:spacing w:after="0" w:line="279" w:lineRule="auto"/>
        <w:tabs>
          <w:tab w:leader="none" w:pos="2439"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Assignment to Borrower</w:t>
      </w:r>
      <w:r>
        <w:rPr>
          <w:rFonts w:ascii="Times New Roman" w:cs="Times New Roman" w:eastAsia="Times New Roman" w:hAnsi="Times New Roman"/>
          <w:sz w:val="21"/>
          <w:szCs w:val="21"/>
          <w:color w:val="auto"/>
        </w:rPr>
        <w:t>. No such assignment shall be made to the Parent Borrower or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Parent Borrower’s Affiliates or Subsidiaries.</w:t>
      </w:r>
    </w:p>
    <w:p>
      <w:pPr>
        <w:spacing w:after="0" w:line="157" w:lineRule="exact"/>
        <w:rPr>
          <w:rFonts w:ascii="Times New Roman" w:cs="Times New Roman" w:eastAsia="Times New Roman" w:hAnsi="Times New Roman"/>
          <w:sz w:val="21"/>
          <w:szCs w:val="21"/>
          <w:color w:val="auto"/>
        </w:rPr>
      </w:pPr>
    </w:p>
    <w:p>
      <w:pPr>
        <w:ind w:left="2400" w:hanging="514"/>
        <w:spacing w:after="0"/>
        <w:tabs>
          <w:tab w:leader="none" w:pos="240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Assignment to Natural Persons</w:t>
      </w:r>
      <w:r>
        <w:rPr>
          <w:rFonts w:ascii="Times New Roman" w:cs="Times New Roman" w:eastAsia="Times New Roman" w:hAnsi="Times New Roman"/>
          <w:sz w:val="21"/>
          <w:szCs w:val="21"/>
          <w:color w:val="auto"/>
        </w:rPr>
        <w:t>. No such assignment shall be made to a natural person.</w:t>
      </w:r>
    </w:p>
    <w:p>
      <w:pPr>
        <w:spacing w:after="0" w:line="215" w:lineRule="exact"/>
        <w:rPr>
          <w:rFonts w:ascii="Times New Roman" w:cs="Times New Roman" w:eastAsia="Times New Roman" w:hAnsi="Times New Roman"/>
          <w:sz w:val="21"/>
          <w:szCs w:val="21"/>
          <w:color w:val="auto"/>
        </w:rPr>
      </w:pPr>
    </w:p>
    <w:p>
      <w:pPr>
        <w:ind w:left="640" w:firstLine="1246"/>
        <w:spacing w:after="0" w:line="279" w:lineRule="auto"/>
        <w:tabs>
          <w:tab w:leader="none" w:pos="2464"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Defaulting Lenders</w:t>
      </w:r>
      <w:r>
        <w:rPr>
          <w:rFonts w:ascii="Times New Roman" w:cs="Times New Roman" w:eastAsia="Times New Roman" w:hAnsi="Times New Roman"/>
          <w:sz w:val="21"/>
          <w:szCs w:val="21"/>
          <w:color w:val="auto"/>
        </w:rPr>
        <w:t>. No assignment shall be made to any Defaulting Lender or any of its Subsidiaries,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person who, upon becoming a Lender hereunder, would constitute any of the foregoing persons.</w:t>
      </w:r>
    </w:p>
    <w:p>
      <w:pPr>
        <w:spacing w:after="0" w:line="14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color w:val="auto"/>
        </w:rPr>
        <w:t>Upon such execution, delivery, acceptance and recording thereof by the Applicable Administrative Agent pursuant to paragraph (c) 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21"/>
          <w:szCs w:val="21"/>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w:t>
      </w:r>
    </w:p>
    <w:p>
      <w:pPr>
        <w:sectPr>
          <w:pgSz w:w="11900" w:h="16838" w:orient="portrait"/>
          <w:cols w:equalWidth="0" w:num="1">
            <w:col w:w="11240"/>
          </w:cols>
          <w:pgMar w:left="320" w:top="1380" w:right="339" w:bottom="1440" w:gutter="0" w:footer="0" w:header="0"/>
        </w:sectPr>
      </w:pPr>
    </w:p>
    <w:bookmarkStart w:id="226" w:name="page227"/>
    <w:bookmarkEnd w:id="226"/>
    <w:p>
      <w:pPr>
        <w:ind w:right="60"/>
        <w:spacing w:after="0" w:line="268" w:lineRule="auto"/>
        <w:rPr>
          <w:sz w:val="20"/>
          <w:szCs w:val="20"/>
          <w:color w:val="auto"/>
        </w:rPr>
      </w:pPr>
      <w:r>
        <w:rPr>
          <w:rFonts w:ascii="Times New Roman" w:cs="Times New Roman" w:eastAsia="Times New Roman" w:hAnsi="Times New Roman"/>
          <w:sz w:val="20"/>
          <w:szCs w:val="20"/>
          <w:color w:val="auto"/>
        </w:rPr>
        <w:t>appropriate (which may be outright payment, purchases by the assignee of participations or sub-participations, or other compensating actions, including funding, with the consent of the Parent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7" w:lineRule="exact"/>
        <w:rPr>
          <w:sz w:val="20"/>
          <w:szCs w:val="20"/>
          <w:color w:val="auto"/>
        </w:rPr>
      </w:pPr>
    </w:p>
    <w:p>
      <w:pPr>
        <w:jc w:val="both"/>
        <w:ind w:firstLine="1259"/>
        <w:spacing w:after="0" w:line="267" w:lineRule="auto"/>
        <w:tabs>
          <w:tab w:leader="none" w:pos="180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Register</w:t>
      </w:r>
      <w:r>
        <w:rPr>
          <w:rFonts w:ascii="Times New Roman" w:cs="Times New Roman" w:eastAsia="Times New Roman" w:hAnsi="Times New Roman"/>
          <w:sz w:val="20"/>
          <w:szCs w:val="20"/>
          <w:color w:val="auto"/>
        </w:rPr>
        <w:t>. The Applicable Administrative Agent shall maintain at its applicable lending office a copy of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Assignment and Acceptance delivered to and accepted by it and a register for the recordation of the names and addresses of the Lenders and the Commitments of, and principal amount of the Loans owing to, each Lender from time to time (the “</w:t>
      </w:r>
      <w:r>
        <w:rPr>
          <w:rFonts w:ascii="Times New Roman" w:cs="Times New Roman" w:eastAsia="Times New Roman" w:hAnsi="Times New Roman"/>
          <w:sz w:val="20"/>
          <w:szCs w:val="20"/>
          <w:i w:val="1"/>
          <w:iCs w:val="1"/>
          <w:color w:val="auto"/>
        </w:rPr>
        <w:t>Register</w:t>
      </w:r>
      <w:r>
        <w:rPr>
          <w:rFonts w:ascii="Times New Roman" w:cs="Times New Roman" w:eastAsia="Times New Roman" w:hAnsi="Times New Roman"/>
          <w:sz w:val="20"/>
          <w:szCs w:val="20"/>
          <w:color w:val="auto"/>
        </w:rPr>
        <w:t>”).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Parent Borrower, the U.S. Borrower or any Lender at any reasonable time and from time to time upon reasonable prior notice.</w:t>
      </w:r>
    </w:p>
    <w:p>
      <w:pPr>
        <w:spacing w:after="0" w:line="161" w:lineRule="exact"/>
        <w:rPr>
          <w:rFonts w:ascii="Times New Roman" w:cs="Times New Roman" w:eastAsia="Times New Roman" w:hAnsi="Times New Roman"/>
          <w:sz w:val="20"/>
          <w:szCs w:val="20"/>
          <w:color w:val="auto"/>
        </w:rPr>
      </w:pPr>
    </w:p>
    <w:p>
      <w:pPr>
        <w:jc w:val="both"/>
        <w:ind w:firstLine="1259"/>
        <w:spacing w:after="0" w:line="252" w:lineRule="auto"/>
        <w:tabs>
          <w:tab w:leader="none" w:pos="1786"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Participations</w:t>
      </w:r>
      <w:r>
        <w:rPr>
          <w:rFonts w:ascii="Times New Roman" w:cs="Times New Roman" w:eastAsia="Times New Roman" w:hAnsi="Times New Roman"/>
          <w:sz w:val="21"/>
          <w:szCs w:val="21"/>
          <w:color w:val="auto"/>
        </w:rPr>
        <w:t>. Any Lender may at any time, without the consent of, or notice to, the Parent Borrower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Administrative Agent, sell participations to any person (other than a natural person, a Defaulting Lender or the Parent Borrower or any of the Parent Borrower’s or a Defaulting Lender’s Affiliates or subsidiaries) (each, a “</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and the other Loan Documents (including all or a portion of its Commitment and/or the Loans (including such Lender’s participations in Letter of Credit Obligations and Swing Line Loans)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Parent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Parent Borrower agrees that each Participant shall be entitled to the benefits of</w:t>
      </w:r>
    </w:p>
    <w:p>
      <w:pPr>
        <w:sectPr>
          <w:pgSz w:w="11900" w:h="16838" w:orient="portrait"/>
          <w:cols w:equalWidth="0" w:num="1">
            <w:col w:w="11240"/>
          </w:cols>
          <w:pgMar w:left="320" w:top="1380" w:right="339" w:bottom="1440" w:gutter="0" w:footer="0" w:header="0"/>
        </w:sectPr>
      </w:pPr>
    </w:p>
    <w:bookmarkStart w:id="227" w:name="page228"/>
    <w:bookmarkEnd w:id="227"/>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w:t>
      </w:r>
    </w:p>
    <w:p>
      <w:pPr>
        <w:spacing w:after="0" w:line="189" w:lineRule="exact"/>
        <w:rPr>
          <w:sz w:val="20"/>
          <w:szCs w:val="20"/>
          <w:color w:val="auto"/>
        </w:rPr>
      </w:pPr>
    </w:p>
    <w:p>
      <w:pPr>
        <w:jc w:val="both"/>
        <w:ind w:firstLine="1259"/>
        <w:spacing w:after="0" w:line="255" w:lineRule="auto"/>
        <w:tabs>
          <w:tab w:leader="none" w:pos="1723"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shall not be entitled to receive any greater payment under Section 2.13 or 2.14 than the applicable Lender would have been entitled to receive with respect to the participation sold to such Participant, unless the sale of the participation to such Participant is made with the Parent Borrower’s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w:t>
      </w:r>
    </w:p>
    <w:p>
      <w:pPr>
        <w:spacing w:after="0" w:line="172" w:lineRule="exact"/>
        <w:rPr>
          <w:rFonts w:ascii="Times New Roman" w:cs="Times New Roman" w:eastAsia="Times New Roman" w:hAnsi="Times New Roman"/>
          <w:sz w:val="21"/>
          <w:szCs w:val="21"/>
          <w:color w:val="auto"/>
        </w:rPr>
      </w:pPr>
    </w:p>
    <w:p>
      <w:pPr>
        <w:jc w:val="both"/>
        <w:ind w:firstLine="1259"/>
        <w:spacing w:after="0" w:line="256" w:lineRule="auto"/>
        <w:tabs>
          <w:tab w:leader="none" w:pos="1763"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such pledge or assignment shall release such Lender from any of its obligations hereunder or substitute any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pledgee or assignee for such Lender as a party hereto.</w:t>
      </w:r>
    </w:p>
    <w:p>
      <w:pPr>
        <w:spacing w:after="0" w:line="183" w:lineRule="exact"/>
        <w:rPr>
          <w:rFonts w:ascii="Times New Roman" w:cs="Times New Roman" w:eastAsia="Times New Roman" w:hAnsi="Times New Roman"/>
          <w:sz w:val="21"/>
          <w:szCs w:val="21"/>
          <w:color w:val="auto"/>
        </w:rPr>
      </w:pPr>
    </w:p>
    <w:p>
      <w:pPr>
        <w:jc w:val="both"/>
        <w:ind w:firstLine="1259"/>
        <w:spacing w:after="0" w:line="253" w:lineRule="auto"/>
        <w:tabs>
          <w:tab w:leader="none" w:pos="179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any Lender (a “</w:t>
      </w:r>
      <w:r>
        <w:rPr>
          <w:rFonts w:ascii="Times New Roman" w:cs="Times New Roman" w:eastAsia="Times New Roman" w:hAnsi="Times New Roman"/>
          <w:sz w:val="21"/>
          <w:szCs w:val="21"/>
          <w:i w:val="1"/>
          <w:iCs w:val="1"/>
          <w:color w:val="auto"/>
        </w:rPr>
        <w:t>Granting Lender</w:t>
      </w:r>
      <w:r>
        <w:rPr>
          <w:rFonts w:ascii="Times New Roman" w:cs="Times New Roman" w:eastAsia="Times New Roman" w:hAnsi="Times New Roman"/>
          <w:sz w:val="21"/>
          <w:szCs w:val="21"/>
          <w:color w:val="auto"/>
        </w:rPr>
        <w:t>”) may grant to a special purpose funding vehicle identified as such in writing from time to time by the Granting Lender to the Applicable Administrative Agent and the Parent Borrower (an “</w:t>
      </w:r>
      <w:r>
        <w:rPr>
          <w:rFonts w:ascii="Times New Roman" w:cs="Times New Roman" w:eastAsia="Times New Roman" w:hAnsi="Times New Roman"/>
          <w:sz w:val="21"/>
          <w:szCs w:val="21"/>
          <w:i w:val="1"/>
          <w:iCs w:val="1"/>
          <w:color w:val="auto"/>
        </w:rPr>
        <w:t>SPC</w:t>
      </w:r>
      <w:r>
        <w:rPr>
          <w:rFonts w:ascii="Times New Roman" w:cs="Times New Roman" w:eastAsia="Times New Roman" w:hAnsi="Times New Roman"/>
          <w:sz w:val="21"/>
          <w:szCs w:val="21"/>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w:t>
      </w:r>
    </w:p>
    <w:p>
      <w:pPr>
        <w:sectPr>
          <w:pgSz w:w="11900" w:h="16838" w:orient="portrait"/>
          <w:cols w:equalWidth="0" w:num="1">
            <w:col w:w="11240"/>
          </w:cols>
          <w:pgMar w:left="320" w:top="1380" w:right="339" w:bottom="1440" w:gutter="0" w:footer="0" w:header="0"/>
        </w:sectPr>
      </w:pPr>
    </w:p>
    <w:bookmarkStart w:id="228" w:name="page229"/>
    <w:bookmarkEnd w:id="228"/>
    <w:p>
      <w:pPr>
        <w:jc w:val="both"/>
        <w:spacing w:after="0" w:line="251" w:lineRule="auto"/>
        <w:rPr>
          <w:sz w:val="20"/>
          <w:szCs w:val="20"/>
          <w:color w:val="auto"/>
        </w:rPr>
      </w:pPr>
      <w:r>
        <w:rPr>
          <w:rFonts w:ascii="Times New Roman" w:cs="Times New Roman" w:eastAsia="Times New Roman" w:hAnsi="Times New Roman"/>
          <w:sz w:val="21"/>
          <w:szCs w:val="21"/>
          <w:color w:val="auto"/>
        </w:rPr>
        <w:t>under this Agreement,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Parent Borrower and the Applicable Administrative Agent and without paying any processing fee therefor,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80" w:lineRule="exact"/>
        <w:rPr>
          <w:sz w:val="20"/>
          <w:szCs w:val="20"/>
          <w:color w:val="auto"/>
        </w:rPr>
      </w:pPr>
    </w:p>
    <w:p>
      <w:pPr>
        <w:jc w:val="both"/>
        <w:ind w:firstLine="1259"/>
        <w:spacing w:after="0" w:line="256" w:lineRule="auto"/>
        <w:tabs>
          <w:tab w:leader="none" w:pos="1822"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66"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9.05</w:t>
      </w:r>
      <w:r>
        <w:rPr>
          <w:sz w:val="20"/>
          <w:szCs w:val="20"/>
          <w:color w:val="auto"/>
        </w:rPr>
        <w:tab/>
      </w:r>
      <w:r>
        <w:rPr>
          <w:rFonts w:ascii="Times New Roman" w:cs="Times New Roman" w:eastAsia="Times New Roman" w:hAnsi="Times New Roman"/>
          <w:sz w:val="21"/>
          <w:szCs w:val="21"/>
          <w:b w:val="1"/>
          <w:bCs w:val="1"/>
          <w:i w:val="1"/>
          <w:iCs w:val="1"/>
          <w:color w:val="auto"/>
        </w:rPr>
        <w:t>Expenses; Indemnity</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1259"/>
        <w:spacing w:after="0" w:line="253" w:lineRule="auto"/>
        <w:tabs>
          <w:tab w:leader="none" w:pos="1761"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Costs and Expenses. </w:t>
      </w:r>
      <w:r>
        <w:rPr>
          <w:rFonts w:ascii="Times New Roman" w:cs="Times New Roman" w:eastAsia="Times New Roman" w:hAnsi="Times New Roman"/>
          <w:sz w:val="21"/>
          <w:szCs w:val="21"/>
          <w:color w:val="auto"/>
        </w:rPr>
        <w:t>The Borrowers agree, jointly and severally, to pay or reimburse (i) all reasonable out-of-pocket expenses incurred by the 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person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w:t>
      </w:r>
    </w:p>
    <w:p>
      <w:pPr>
        <w:sectPr>
          <w:pgSz w:w="11900" w:h="16838" w:orient="portrait"/>
          <w:cols w:equalWidth="0" w:num="1">
            <w:col w:w="11240"/>
          </w:cols>
          <w:pgMar w:left="320" w:top="1380" w:right="339" w:bottom="1440" w:gutter="0" w:footer="0" w:header="0"/>
        </w:sectPr>
      </w:pPr>
    </w:p>
    <w:bookmarkStart w:id="229" w:name="page230"/>
    <w:bookmarkEnd w:id="229"/>
    <w:p>
      <w:pPr>
        <w:jc w:val="both"/>
        <w:spacing w:after="0" w:line="253" w:lineRule="auto"/>
        <w:rPr>
          <w:sz w:val="20"/>
          <w:szCs w:val="20"/>
          <w:color w:val="auto"/>
        </w:rPr>
      </w:pPr>
      <w:r>
        <w:rPr>
          <w:rFonts w:ascii="Times New Roman" w:cs="Times New Roman" w:eastAsia="Times New Roman" w:hAnsi="Times New Roman"/>
          <w:sz w:val="21"/>
          <w:szCs w:val="21"/>
          <w:color w:val="auto"/>
        </w:rPr>
        <w:t>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 Agent). All amounts due under this Section 9.05 shall be payable within 30 days after written demand therefore unless such amounts are being contested in good faith by the Parent Borrower. The agreements in this Section shall survive the termination of the Commitments and repayment of all Obligations.</w:t>
      </w:r>
    </w:p>
    <w:p>
      <w:pPr>
        <w:spacing w:after="0" w:line="171" w:lineRule="exact"/>
        <w:rPr>
          <w:sz w:val="20"/>
          <w:szCs w:val="20"/>
          <w:color w:val="auto"/>
        </w:rPr>
      </w:pPr>
    </w:p>
    <w:p>
      <w:pPr>
        <w:jc w:val="both"/>
        <w:ind w:firstLine="1259"/>
        <w:spacing w:after="0" w:line="250" w:lineRule="auto"/>
        <w:tabs>
          <w:tab w:leader="none" w:pos="1760"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by the Borrowers. </w:t>
      </w:r>
      <w:r>
        <w:rPr>
          <w:rFonts w:ascii="Times New Roman" w:cs="Times New Roman" w:eastAsia="Times New Roman" w:hAnsi="Times New Roman"/>
          <w:sz w:val="21"/>
          <w:szCs w:val="21"/>
          <w:color w:val="auto"/>
        </w:rPr>
        <w:t>The Borrowers agree, jointly and severally, to indemnify the Administrative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Agents, the Collateral Agents, each Lender, each Issuing Bank and the Related Parties of any of the foregoing persons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(collectively, the “</w:t>
      </w:r>
      <w:r>
        <w:rPr>
          <w:rFonts w:ascii="Times New Roman" w:cs="Times New Roman" w:eastAsia="Times New Roman" w:hAnsi="Times New Roman"/>
          <w:sz w:val="21"/>
          <w:szCs w:val="21"/>
          <w:i w:val="1"/>
          <w:iCs w:val="1"/>
          <w:color w:val="auto"/>
        </w:rPr>
        <w:t>Indemnified Liabilities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b w:val="1"/>
          <w:bCs w:val="1"/>
          <w:color w:val="auto"/>
        </w:rPr>
        <w:t>SUCH INDEMNITY</w:t>
      </w:r>
    </w:p>
    <w:p>
      <w:pPr>
        <w:spacing w:after="0" w:line="6" w:lineRule="exact"/>
        <w:rPr>
          <w:rFonts w:ascii="Times New Roman" w:cs="Times New Roman" w:eastAsia="Times New Roman" w:hAnsi="Times New Roman"/>
          <w:sz w:val="21"/>
          <w:szCs w:val="21"/>
          <w:color w:val="auto"/>
        </w:rPr>
      </w:pPr>
    </w:p>
    <w:p>
      <w:pPr>
        <w:jc w:val="both"/>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SHALL EXPRESSLY INCLUDE ANY SUCH LOSSES, LIABILITIES, CLAIMS, DAMAGES OR EXPENSE INCURRED BY REASON OF THE PERSON BEING INDEMNIFIED’S OWN NEGLIGENCE;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foregoing indemnity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as to any Indemnitee, apply to losses, claims, damages, liabilities or related expenses to the extent they are found in a final, non-appealable judgment of a court of competent jurisdiction to</w:t>
      </w:r>
    </w:p>
    <w:p>
      <w:pPr>
        <w:sectPr>
          <w:pgSz w:w="11900" w:h="16838" w:orient="portrait"/>
          <w:cols w:equalWidth="0" w:num="1">
            <w:col w:w="11240"/>
          </w:cols>
          <w:pgMar w:left="320" w:top="1380" w:right="339" w:bottom="1440" w:gutter="0" w:footer="0" w:header="0"/>
        </w:sectPr>
      </w:pPr>
    </w:p>
    <w:bookmarkStart w:id="230" w:name="page231"/>
    <w:bookmarkEnd w:id="230"/>
    <w:p>
      <w:pPr>
        <w:spacing w:after="0" w:line="277" w:lineRule="auto"/>
        <w:rPr>
          <w:sz w:val="20"/>
          <w:szCs w:val="20"/>
          <w:color w:val="auto"/>
        </w:rPr>
      </w:pPr>
      <w:r>
        <w:rPr>
          <w:rFonts w:ascii="Times New Roman" w:cs="Times New Roman" w:eastAsia="Times New Roman" w:hAnsi="Times New Roman"/>
          <w:sz w:val="21"/>
          <w:szCs w:val="21"/>
          <w:color w:val="auto"/>
        </w:rPr>
        <w:t>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144" w:lineRule="exact"/>
        <w:rPr>
          <w:sz w:val="20"/>
          <w:szCs w:val="20"/>
          <w:color w:val="auto"/>
        </w:rPr>
      </w:pPr>
    </w:p>
    <w:p>
      <w:pPr>
        <w:ind w:firstLine="627"/>
        <w:spacing w:after="0" w:line="256" w:lineRule="auto"/>
        <w:rPr>
          <w:sz w:val="20"/>
          <w:szCs w:val="20"/>
          <w:color w:val="auto"/>
        </w:rPr>
      </w:pPr>
      <w:r>
        <w:rPr>
          <w:rFonts w:ascii="Times New Roman" w:cs="Times New Roman" w:eastAsia="Times New Roman" w:hAnsi="Times New Roman"/>
          <w:sz w:val="21"/>
          <w:szCs w:val="21"/>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 Borrower shall be liable for any settlement of any claim, litigation, investigation or proceeding (any of the foregoing,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Proceeding</w:t>
      </w:r>
      <w:r>
        <w:rPr>
          <w:rFonts w:ascii="Times New Roman" w:cs="Times New Roman" w:eastAsia="Times New Roman" w:hAnsi="Times New Roman"/>
          <w:sz w:val="21"/>
          <w:szCs w:val="21"/>
          <w:color w:val="auto"/>
        </w:rPr>
        <w:t>”) effected without its consent (which consent shall not be unreasonably conditioned, withheld or delayed) unless (x)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Applicable Borrower has not confirmed that the indemnity provisions of this Section 9.05(b) are applicable or (y) a claim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indemnity has been made in accordance with this Section 9.05(b) which the Applicable Borrower has not paid with 30 days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on which such claim was made. If any Proceeding is settled with any Borrower’s written consent or if there is a final judgment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plaintiff in any such Proceedings, the Borrowers shall indemnify and hold harmless each Indemnitee from and against any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losses, claims, damages, liabilities and expenses by reason of such settlement or judgment in accordance with the preceding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paragraph. The Borrowers shall not, without the prior written consent of an Indemnitee (which consent shall not be unreasonably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conditioned, withheld or delayed), effect any settlement or consent to the entry of any judgment of any pending or threatened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Proceedings in respect of which indemnity could have been sought hereunder by such Indemnitee unless (i) such settlement includes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unconditional release of such Indemnitee in form and substance satisfactory to such Indemnitee from all liability on claims that 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subject matter of such Proceedings, (ii) does not include any statement as to or any admission of fault, culpability or a failure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act by or on behalf of any Indemnitee and (iii) contains customary confidentiality and non-disparagement provisions.</w:t>
      </w:r>
    </w:p>
    <w:p>
      <w:pPr>
        <w:spacing w:after="0" w:line="190" w:lineRule="exact"/>
        <w:rPr>
          <w:sz w:val="20"/>
          <w:szCs w:val="20"/>
          <w:color w:val="auto"/>
        </w:rPr>
      </w:pPr>
    </w:p>
    <w:p>
      <w:pPr>
        <w:jc w:val="both"/>
        <w:ind w:firstLine="1259"/>
        <w:spacing w:after="0" w:line="254" w:lineRule="auto"/>
        <w:tabs>
          <w:tab w:leader="none" w:pos="1761"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Reimbursement by Lenders</w:t>
      </w:r>
      <w:r>
        <w:rPr>
          <w:rFonts w:ascii="Times New Roman" w:cs="Times New Roman" w:eastAsia="Times New Roman" w:hAnsi="Times New Roman"/>
          <w:sz w:val="21"/>
          <w:szCs w:val="21"/>
          <w:color w:val="auto"/>
        </w:rPr>
        <w:t>. To the extent that a Borrower for any reason fails to indefeasibly pay any amount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required under paragraph (a) or (b) of this Section to be paid by it to an Agent (or any sub-agent thereof), an Issuing Bank, a Swing Line Lender or any Related Party of any of the foregoing, each Lender severally agrees to pay to the Applicable Administrative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Applicable Administrative Agent (or any such sub-agent), the Applicable Issuing Bank or the Applicable Swing Line Lender in its capacity as such, or against any Related Party of any of the foregoing acting for the Applicable Administrative Agent (or any such sub-</w:t>
      </w:r>
    </w:p>
    <w:p>
      <w:pPr>
        <w:sectPr>
          <w:pgSz w:w="11900" w:h="16838" w:orient="portrait"/>
          <w:cols w:equalWidth="0" w:num="1">
            <w:col w:w="11240"/>
          </w:cols>
          <w:pgMar w:left="320" w:top="1380"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1"/>
          <w:szCs w:val="21"/>
          <w:color w:val="auto"/>
        </w:rPr>
        <w:t>agent), Applicable Issuing Bank or the Applicable Swing Line Lender in connection with such capacity.</w:t>
      </w:r>
    </w:p>
    <w:p>
      <w:pPr>
        <w:spacing w:after="0" w:line="216" w:lineRule="exact"/>
        <w:rPr>
          <w:sz w:val="20"/>
          <w:szCs w:val="20"/>
          <w:color w:val="auto"/>
        </w:rPr>
      </w:pPr>
    </w:p>
    <w:p>
      <w:pPr>
        <w:jc w:val="both"/>
        <w:ind w:firstLine="1259"/>
        <w:spacing w:after="0" w:line="257" w:lineRule="auto"/>
        <w:tabs>
          <w:tab w:leader="none" w:pos="1720"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167"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9.06 </w:t>
      </w:r>
      <w:r>
        <w:rPr>
          <w:rFonts w:ascii="Times New Roman" w:cs="Times New Roman" w:eastAsia="Times New Roman" w:hAnsi="Times New Roman"/>
          <w:sz w:val="21"/>
          <w:szCs w:val="21"/>
          <w:b w:val="1"/>
          <w:bCs w:val="1"/>
          <w:i w:val="1"/>
          <w:iCs w:val="1"/>
          <w:color w:val="auto"/>
        </w:rPr>
        <w:t>Right of Setoff</w:t>
      </w:r>
      <w:r>
        <w:rPr>
          <w:rFonts w:ascii="Times New Roman" w:cs="Times New Roman" w:eastAsia="Times New Roman" w:hAnsi="Times New Roman"/>
          <w:sz w:val="21"/>
          <w:szCs w:val="21"/>
          <w:color w:val="auto"/>
        </w:rPr>
        <w:t>. If an Event of Default shall have occurred and be continuing, each Agent, Lender, Issuing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Bank and each of their 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 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Parent Borrower and the Administrative Agent promptly after any such setoff and application,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failure to give such notice shall not affect the validity of such setoff and application.</w:t>
      </w:r>
    </w:p>
    <w:p>
      <w:pPr>
        <w:spacing w:after="0" w:line="193" w:lineRule="exact"/>
        <w:rPr>
          <w:sz w:val="20"/>
          <w:szCs w:val="20"/>
          <w:color w:val="auto"/>
        </w:rPr>
      </w:pPr>
    </w:p>
    <w:p>
      <w:pPr>
        <w:jc w:val="both"/>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SECTION 9.07 </w:t>
      </w:r>
      <w:r>
        <w:rPr>
          <w:rFonts w:ascii="Times New Roman" w:cs="Times New Roman" w:eastAsia="Times New Roman" w:hAnsi="Times New Roman"/>
          <w:sz w:val="21"/>
          <w:szCs w:val="21"/>
          <w:b w:val="1"/>
          <w:bCs w:val="1"/>
          <w:i w:val="1"/>
          <w:iCs w:val="1"/>
          <w:color w:val="auto"/>
        </w:rPr>
        <w:t>Applicable Law</w:t>
      </w:r>
      <w:r>
        <w:rPr>
          <w:rFonts w:ascii="Times New Roman" w:cs="Times New Roman" w:eastAsia="Times New Roman" w:hAnsi="Times New Roman"/>
          <w:sz w:val="21"/>
          <w:szCs w:val="21"/>
          <w:color w:val="auto"/>
        </w:rPr>
        <w:t>. THIS AGREEMENT SHALL BE CONSTRUED IN ACCORDANCE WITH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THE LAWS OF THE STATE OF NEW YORK.</w:t>
      </w:r>
    </w:p>
    <w:p>
      <w:pPr>
        <w:spacing w:after="0" w:line="140"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9.08 </w:t>
      </w:r>
      <w:r>
        <w:rPr>
          <w:rFonts w:ascii="Times New Roman" w:cs="Times New Roman" w:eastAsia="Times New Roman" w:hAnsi="Times New Roman"/>
          <w:sz w:val="21"/>
          <w:szCs w:val="21"/>
          <w:b w:val="1"/>
          <w:bCs w:val="1"/>
          <w:i w:val="1"/>
          <w:iCs w:val="1"/>
          <w:color w:val="auto"/>
        </w:rPr>
        <w:t>Waivers; Amendment</w:t>
      </w:r>
      <w:r>
        <w:rPr>
          <w:rFonts w:ascii="Times New Roman" w:cs="Times New Roman" w:eastAsia="Times New Roman" w:hAnsi="Times New Roman"/>
          <w:sz w:val="21"/>
          <w:szCs w:val="21"/>
          <w:color w:val="auto"/>
        </w:rPr>
        <w:t>. (a) No failure or delay of any Agent, any Lender or any Issuing Bank in exercising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w:t>
      </w:r>
    </w:p>
    <w:p>
      <w:pPr>
        <w:sectPr>
          <w:pgSz w:w="11900" w:h="16838" w:orient="portrait"/>
          <w:cols w:equalWidth="0" w:num="1">
            <w:col w:w="11240"/>
          </w:cols>
          <w:pgMar w:left="320" w:top="1380" w:right="339" w:bottom="1440" w:gutter="0" w:footer="0" w:header="0"/>
        </w:sectPr>
      </w:pPr>
    </w:p>
    <w:bookmarkStart w:id="232" w:name="page233"/>
    <w:bookmarkEnd w:id="232"/>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and 7.03 for the benefit of all the Secured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foregoing shall not prohibit (i) the Agent from exercising on their own behalf the rights and remedies 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184" w:lineRule="exact"/>
        <w:rPr>
          <w:sz w:val="20"/>
          <w:szCs w:val="20"/>
          <w:color w:val="auto"/>
        </w:rPr>
      </w:pPr>
    </w:p>
    <w:p>
      <w:pPr>
        <w:jc w:val="both"/>
        <w:ind w:firstLine="1259"/>
        <w:spacing w:after="0" w:line="253" w:lineRule="auto"/>
        <w:tabs>
          <w:tab w:leader="none" w:pos="1736"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waiver or consent shall be effective only in the specific instance and for the specific purpose for which given;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(x) any provision of this Agreement or any other Loan Document may be amended by an agreement in writing signed by the Administrative Agent and the Parent Borrower to cure any ambiguity, omission,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172" w:lineRule="exact"/>
        <w:rPr>
          <w:rFonts w:ascii="Times New Roman" w:cs="Times New Roman" w:eastAsia="Times New Roman" w:hAnsi="Times New Roman"/>
          <w:sz w:val="21"/>
          <w:szCs w:val="21"/>
          <w:color w:val="auto"/>
        </w:rPr>
      </w:pPr>
    </w:p>
    <w:p>
      <w:pPr>
        <w:ind w:left="640" w:firstLine="1246"/>
        <w:spacing w:after="0" w:line="277" w:lineRule="auto"/>
        <w:tabs>
          <w:tab w:leader="none" w:pos="2336"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the Maturity Date of or increase the stated amount of any Commitment of any Lender or reinstate any Commitment of any Lender terminated pursuant to the terms hereof without the written consent of such Lender;</w:t>
      </w:r>
    </w:p>
    <w:p>
      <w:pPr>
        <w:spacing w:after="0" w:line="161" w:lineRule="exact"/>
        <w:rPr>
          <w:rFonts w:ascii="Times New Roman" w:cs="Times New Roman" w:eastAsia="Times New Roman" w:hAnsi="Times New Roman"/>
          <w:sz w:val="21"/>
          <w:szCs w:val="21"/>
          <w:color w:val="auto"/>
        </w:rPr>
      </w:pPr>
    </w:p>
    <w:p>
      <w:pPr>
        <w:ind w:left="640" w:firstLine="1246"/>
        <w:spacing w:after="0" w:line="277" w:lineRule="auto"/>
        <w:tabs>
          <w:tab w:leader="none" w:pos="2483"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postpone any date fixed by this Agreement for any scheduled payment (but not any prepayment) of principal, interest or fees due to any Lender hereunder without the written consent of such Lender;</w:t>
      </w:r>
    </w:p>
    <w:p>
      <w:pPr>
        <w:spacing w:after="0" w:line="148" w:lineRule="exact"/>
        <w:rPr>
          <w:rFonts w:ascii="Times New Roman" w:cs="Times New Roman" w:eastAsia="Times New Roman" w:hAnsi="Times New Roman"/>
          <w:sz w:val="21"/>
          <w:szCs w:val="21"/>
          <w:color w:val="auto"/>
        </w:rPr>
      </w:pPr>
    </w:p>
    <w:p>
      <w:pPr>
        <w:jc w:val="both"/>
        <w:ind w:left="640" w:firstLine="1246"/>
        <w:spacing w:after="0" w:line="262" w:lineRule="auto"/>
        <w:tabs>
          <w:tab w:leader="none" w:pos="2448"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“Total Net Leverage Ratio”, “Senior Secured</w:t>
      </w:r>
    </w:p>
    <w:p>
      <w:pPr>
        <w:sectPr>
          <w:pgSz w:w="11900" w:h="16838" w:orient="portrait"/>
          <w:cols w:equalWidth="0" w:num="1">
            <w:col w:w="11240"/>
          </w:cols>
          <w:pgMar w:left="320" w:top="1380" w:right="339" w:bottom="1440" w:gutter="0" w:footer="0" w:header="0"/>
        </w:sectPr>
      </w:pPr>
    </w:p>
    <w:bookmarkStart w:id="233" w:name="page234"/>
    <w:bookmarkEnd w:id="233"/>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Net Leverage Ratio” or in the component definitions thereof, shall not constitute a reduction of rate of interest or any interest or Fees payable hereunder);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only the consent of the U.S. Required Revolving Lenders shall be required to waive any obligation of the U.S. Borrower to pay default interest pursuant to Section 2.07 with respect to the U.S. Revolving Credit Facility, including with respect to any amount payable thereunder or in connection therewith (B) only the consent of the Canadian Required Revolving Lenders, as applicable shall be required to waive any obligation of the Parent Borrower to pay default interest pursuant to Section 2.07 with respect to the Canadian Revolving Credit Facility, including with respect to any amount payable thereunder or in connection therewith, (C) only the consent of the Australian Required Revolving Lenders shall be required to waive any obligation of the Australian Borrower to pay default interest pursuant to Section 2.07 with respect to the Australian Revolving Credit Facility, including with respect to any amount payable thereunder or in connection therewith, and (D) only the consent of the Required Canadian Term Lenders shall be required to waive (1) any obligation of the Parent Borrower to pay default interest pursuant to Section 2.07 with respect to the Canadian Term Loan Facility, including with respect to any amount payable thereunder or in connection therewith or (2) any mandatory prepayment of Canadian Term Loans;</w:t>
      </w:r>
    </w:p>
    <w:p>
      <w:pPr>
        <w:spacing w:after="0" w:line="180" w:lineRule="exact"/>
        <w:rPr>
          <w:sz w:val="20"/>
          <w:szCs w:val="20"/>
          <w:color w:val="auto"/>
        </w:rPr>
      </w:pPr>
    </w:p>
    <w:p>
      <w:pPr>
        <w:jc w:val="both"/>
        <w:ind w:firstLine="1246"/>
        <w:spacing w:after="0" w:line="254" w:lineRule="auto"/>
        <w:tabs>
          <w:tab w:leader="none" w:pos="1878"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from the order set forth in such Section in a manner that adversely affects the Lenders under any Facility without the prior written consent of (A) if such Facility is the U.S. Revolving Credit Facility, the Required U.S. Lenders, (B) if such Facility is the Canadian Revolving Credit Facility, the Required Canadian Revolving Lenders, (C) if such Facility is the Canadian Term Loan Facility, the Required Canadian Term Lenders, (D) if such Facility is the Australian Revolving Credit Facility, the Required Australian Lenders and (E) if the Bilateral Lender is materially and adversely affected by such change, the Bilateral Lender;</w:t>
      </w:r>
    </w:p>
    <w:p>
      <w:pPr>
        <w:spacing w:after="0" w:line="177" w:lineRule="exact"/>
        <w:rPr>
          <w:rFonts w:ascii="Times New Roman" w:cs="Times New Roman" w:eastAsia="Times New Roman" w:hAnsi="Times New Roman"/>
          <w:sz w:val="21"/>
          <w:szCs w:val="21"/>
          <w:color w:val="auto"/>
        </w:rPr>
      </w:pPr>
    </w:p>
    <w:p>
      <w:pPr>
        <w:jc w:val="both"/>
        <w:ind w:firstLine="1246"/>
        <w:spacing w:after="0" w:line="257" w:lineRule="auto"/>
        <w:tabs>
          <w:tab w:leader="none" w:pos="1798"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any provision of this Section, or the percentage specified in definition of “Required Lenders,” “Required U.S. Lenders,” “Required Canadian Revolving Lenders,” “Required Canadian Term Lenders,” “Required Australian Lenders,” or “Required Revolving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70" w:lineRule="exact"/>
        <w:rPr>
          <w:rFonts w:ascii="Times New Roman" w:cs="Times New Roman" w:eastAsia="Times New Roman" w:hAnsi="Times New Roman"/>
          <w:sz w:val="21"/>
          <w:szCs w:val="21"/>
          <w:color w:val="auto"/>
        </w:rPr>
      </w:pPr>
    </w:p>
    <w:p>
      <w:pPr>
        <w:jc w:val="both"/>
        <w:ind w:firstLine="1246"/>
        <w:spacing w:after="0" w:line="256" w:lineRule="auto"/>
        <w:tabs>
          <w:tab w:leader="none" w:pos="1904"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permitted hereunder or under any Security Document, (A) release the guaranty provided by the Parent Borrower pursuant to the Guarantee Agreement without the written consent of each Lender, or (B) release all or substantially all of the value of the guaranties provided by the other Guarantors hereunder or all or substantially all of the Collateral without the written consent of each Lender;</w:t>
      </w:r>
    </w:p>
    <w:p>
      <w:pPr>
        <w:sectPr>
          <w:pgSz w:w="11900" w:h="16838" w:orient="portrait"/>
          <w:cols w:equalWidth="0" w:num="1">
            <w:col w:w="10600"/>
          </w:cols>
          <w:pgMar w:left="960" w:top="1380" w:right="339" w:bottom="1440" w:gutter="0" w:footer="0" w:header="0"/>
        </w:sectPr>
      </w:pPr>
    </w:p>
    <w:bookmarkStart w:id="234" w:name="page235"/>
    <w:bookmarkEnd w:id="234"/>
    <w:p>
      <w:pPr>
        <w:jc w:val="both"/>
        <w:ind w:left="-480" w:firstLine="1246"/>
        <w:spacing w:after="0" w:line="257" w:lineRule="auto"/>
        <w:tabs>
          <w:tab w:leader="none" w:pos="1378"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Section 9.04 in a manner that imposes additional restrictions on the ability of any Lender under any Facility to assign any of its rights or obligations hereunder without the prior written consent of (A) if such Facility is the U.S. Revolving Credit Facility, the Required U.S. Lenders, (B) if such Facility is the Canadian Revolving Credit Facility, the Required Canadian Revolving Lenders, (C) if such Facility is the Canadian Term Loan Facility, the Required Canadian Term Lenders and (D) if such Facility is the Australian Revolving Credit Facility, the Required Australian Lenders;</w:t>
      </w:r>
    </w:p>
    <w:p>
      <w:pPr>
        <w:spacing w:after="0" w:line="170" w:lineRule="exact"/>
        <w:rPr>
          <w:rFonts w:ascii="Times New Roman" w:cs="Times New Roman" w:eastAsia="Times New Roman" w:hAnsi="Times New Roman"/>
          <w:sz w:val="21"/>
          <w:szCs w:val="21"/>
          <w:color w:val="auto"/>
        </w:rPr>
      </w:pPr>
    </w:p>
    <w:p>
      <w:pPr>
        <w:jc w:val="both"/>
        <w:ind w:left="-480" w:firstLine="1246"/>
        <w:spacing w:after="0" w:line="255" w:lineRule="auto"/>
        <w:tabs>
          <w:tab w:leader="none" w:pos="1437"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Lenders (if the U.S. Revolving Lenders are the adversely affected Class), Required Canadian Revolving Lenders (if the Canadian Revolving Lenders are the adversely affected Class), Required Canadian Term Lenders (if the Canadian Term Lenders are the adversely affected Class) or Required Australian Lenders (if the Australian Lenders are the adversely affected Class);</w:t>
      </w:r>
    </w:p>
    <w:p>
      <w:pPr>
        <w:spacing w:after="0" w:line="172" w:lineRule="exact"/>
        <w:rPr>
          <w:rFonts w:ascii="Times New Roman" w:cs="Times New Roman" w:eastAsia="Times New Roman" w:hAnsi="Times New Roman"/>
          <w:sz w:val="21"/>
          <w:szCs w:val="21"/>
          <w:color w:val="auto"/>
        </w:rPr>
      </w:pPr>
    </w:p>
    <w:p>
      <w:pPr>
        <w:ind w:left="-480" w:firstLine="1246"/>
        <w:spacing w:after="0" w:line="277" w:lineRule="auto"/>
        <w:tabs>
          <w:tab w:leader="none" w:pos="1429"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or modify the protections afforded to an SPC pursuant to the provisions of Section 9.04(g) without the written consent of such SPC;</w:t>
      </w:r>
    </w:p>
    <w:p>
      <w:pPr>
        <w:spacing w:after="0" w:line="148" w:lineRule="exact"/>
        <w:rPr>
          <w:rFonts w:ascii="Times New Roman" w:cs="Times New Roman" w:eastAsia="Times New Roman" w:hAnsi="Times New Roman"/>
          <w:sz w:val="21"/>
          <w:szCs w:val="21"/>
          <w:color w:val="auto"/>
        </w:rPr>
      </w:pPr>
    </w:p>
    <w:p>
      <w:pPr>
        <w:jc w:val="both"/>
        <w:ind w:left="-480" w:firstLine="1246"/>
        <w:spacing w:after="0" w:line="261" w:lineRule="auto"/>
        <w:tabs>
          <w:tab w:leader="none" w:pos="139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or modify Section 7.05 or any Security Document in a manner that results in the Bilateral Obligations secured by such Security Document no longer being secured thereby on at least an equal and ratable basis with the principal of the Loans, or amend or otherwise change the definition of “Obligations”, in each case if the Bilateral Lender is adversely affected by such amendment, modification or change, without the written consent of the Bilateral Lender; or</w:t>
      </w:r>
    </w:p>
    <w:p>
      <w:pPr>
        <w:spacing w:after="0" w:line="164" w:lineRule="exact"/>
        <w:rPr>
          <w:rFonts w:ascii="Times New Roman" w:cs="Times New Roman" w:eastAsia="Times New Roman" w:hAnsi="Times New Roman"/>
          <w:sz w:val="21"/>
          <w:szCs w:val="21"/>
          <w:color w:val="auto"/>
        </w:rPr>
      </w:pPr>
    </w:p>
    <w:p>
      <w:pPr>
        <w:jc w:val="both"/>
        <w:ind w:left="-480" w:firstLine="1246"/>
        <w:spacing w:after="0" w:line="251" w:lineRule="auto"/>
        <w:tabs>
          <w:tab w:leader="none" w:pos="1364"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occurrence of any Event of Default under Sections 7.01(g) or 7.01(h), (x) subordinate the Liens on the Collateral securing the Obligations to the Liens securing any other Indebtedness or other obligations in any transaction or series of related transactions or (y) subordinate any of the Obligations in contractual right of payment to any other Indebtedness or other obligations in any transaction or series of related transactions (in each case of clauses (x) and (y), other than in connection with (1) any Indebtedness that is expressly permitted by the Loan Documents as in effect on the Closing Date (or as later amended in connection with an unrelated transaction) to be secured by a lien on the Collateral that is senior to the Liens securing the Obligations, (2) any “debtor-in-possession” financing or the use of the Collateral in any proceeding under any Insolvency Law and/or (3) any other financing, in the case of this clause (3) with respect to which each Lender under this Agreement is offered the opportunity to provide such financing on the same terms and conditions), in each case without the consent of each adversely affected Lender (any such other Indebtedness or other obligations referred to in clause (x) or (y) above, to which such Liens securing any of the Obligations or such Obligations, as applicable, are subordinated, “Senior Indebtedness”);</w:t>
      </w:r>
    </w:p>
    <w:p>
      <w:pPr>
        <w:sectPr>
          <w:pgSz w:w="11900" w:h="16838" w:orient="portrait"/>
          <w:cols w:equalWidth="0" w:num="1">
            <w:col w:w="10120"/>
          </w:cols>
          <w:pgMar w:left="1440" w:top="1380" w:right="339" w:bottom="1440" w:gutter="0" w:footer="0" w:header="0"/>
        </w:sectPr>
      </w:pPr>
    </w:p>
    <w:bookmarkStart w:id="235" w:name="page236"/>
    <w:bookmarkEnd w:id="235"/>
    <w:p>
      <w:pPr>
        <w:jc w:val="both"/>
        <w:ind w:right="140" w:firstLine="5"/>
        <w:spacing w:after="0" w:line="263" w:lineRule="auto"/>
        <w:tabs>
          <w:tab w:leader="none" w:pos="622"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no such agreement shall amend, modify or otherwise affect the rights or duties of an Agent, an Issuing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Bank or a Swing Line Lender hereunder or under any other Loan Document without the prior written consent of such Agent, Issuing Bank or Swing Line Lender, respectively.</w:t>
      </w:r>
    </w:p>
    <w:p>
      <w:pPr>
        <w:spacing w:after="0" w:line="17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162" w:lineRule="exact"/>
        <w:rPr>
          <w:sz w:val="20"/>
          <w:szCs w:val="20"/>
          <w:color w:val="auto"/>
        </w:rPr>
      </w:pPr>
    </w:p>
    <w:p>
      <w:pPr>
        <w:ind w:right="860"/>
        <w:spacing w:after="0" w:line="277" w:lineRule="auto"/>
        <w:rPr>
          <w:sz w:val="20"/>
          <w:szCs w:val="20"/>
          <w:color w:val="auto"/>
        </w:rPr>
      </w:pPr>
      <w:r>
        <w:rPr>
          <w:rFonts w:ascii="Times New Roman" w:cs="Times New Roman" w:eastAsia="Times New Roman" w:hAnsi="Times New Roman"/>
          <w:sz w:val="21"/>
          <w:szCs w:val="21"/>
          <w:color w:val="auto"/>
        </w:rPr>
        <w:t>No Lender or any Affiliate of a Lender shall have any voting rights under any Loan Document as a result of the existence of obligations owed to it under Hedging Agreements, Banking Services Obligations or the Bilateral Obligations.</w:t>
      </w:r>
    </w:p>
    <w:p>
      <w:pPr>
        <w:spacing w:after="0" w:line="148"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in this Section 9.08 or any other provision of this Agreement or any other Loan Document, (A) the Security Documents and related documents in connection with this Agreement and the other Loan Documents may be in a form reasonably determined by the Administrative Agent and the Collateral Agent and may be, together with this Agreement, amended, supplemented and waived with the consent of the Administrative Agent and the Collateral Agent at the request of the Parent Borrower without the need to obtain the consent of any other Lender if such amendment, supplement or waiver is delivered in order (i) to comply with local law or advice of local counsel, or (ii) to cause such Security Documents or other documents to be consistent with this Agreement and the other Loan Documents, (B) this Agreement and any other Loan Document may be amended solely with the consent of the Administrative Agent and the Parent Borrower without the need to obtain the consent of any other Lender if such amendment is consummated in order (x) to correct or cure any ambiguities, errors, omissions, mistakes, inconsistencies or defects jointly identified by the Parent Borrower and the Administrative Agent, (y) to effect administrative changes of a technical or immaterial nature or (z) to fix incorrect cross-references or similar inaccuracies in this Agreement or the applicable Loan Document;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the Administrative Agent shall have notified the Lenders of such amendment and the Required Lenders shall not have objected in writing to such amendment within five Business Days of notice thereof </w:t>
      </w:r>
      <w:r>
        <w:rPr>
          <w:rFonts w:ascii="Times New Roman" w:cs="Times New Roman" w:eastAsia="Times New Roman" w:hAnsi="Times New Roman"/>
          <w:sz w:val="21"/>
          <w:szCs w:val="21"/>
          <w:color w:val="FF0000"/>
        </w:rPr>
        <w:t>and</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auto"/>
        </w:rPr>
        <w:t xml:space="preserve"> (C) the Administrative Agent and the Borrowers may, without the consent of any Lender, enter into amendments or modifications to this Agreement or any of the other Loan Documents or to enter into additional Loan Documents as the Administrative Agent deems appropriate in order to implement any Benchmark Replacement or any Conforming Changes or otherwise effectuate the terms of Section 2.26 in accordance with the terms thereof</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and (D) the Canadian Administrative Agent and the Borrowers may, without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consent of any Lender, enter into amendments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6422390</wp:posOffset>
            </wp:positionH>
            <wp:positionV relativeFrom="paragraph">
              <wp:posOffset>-876935</wp:posOffset>
            </wp:positionV>
            <wp:extent cx="2413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41300" cy="825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36" w:name="page237"/>
    <w:bookmarkEnd w:id="236"/>
    <w:p>
      <w:pPr>
        <w:jc w:val="both"/>
        <w:spacing w:after="0" w:line="262" w:lineRule="auto"/>
        <w:rPr>
          <w:sz w:val="20"/>
          <w:szCs w:val="20"/>
          <w:color w:val="auto"/>
        </w:rPr>
      </w:pPr>
      <w:r>
        <w:rPr>
          <w:rFonts w:ascii="Times New Roman" w:cs="Times New Roman" w:eastAsia="Times New Roman" w:hAnsi="Times New Roman"/>
          <w:sz w:val="21"/>
          <w:szCs w:val="21"/>
          <w:u w:val="single" w:color="auto"/>
          <w:color w:val="0000FF"/>
          <w:highlight w:val="lightGray"/>
        </w:rPr>
        <w:t>modifications to this Agreement or any of the other Loan Documents or to enter into additional Loan Documents as the Canadian Administrative Agent deems appropriate in order to implement any Canadian Benchmark Replacement or any Canadian Conforming Change or otherwise effectuate the terms of Section 2.27 in accordance with the terms thereof.</w:t>
      </w:r>
    </w:p>
    <w:p>
      <w:pPr>
        <w:spacing w:after="0" w:line="172"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9.09 </w:t>
      </w:r>
      <w:r>
        <w:rPr>
          <w:rFonts w:ascii="Times New Roman" w:cs="Times New Roman" w:eastAsia="Times New Roman" w:hAnsi="Times New Roman"/>
          <w:sz w:val="21"/>
          <w:szCs w:val="21"/>
          <w:b w:val="1"/>
          <w:bCs w:val="1"/>
          <w:i w:val="1"/>
          <w:iCs w:val="1"/>
          <w:color w:val="auto"/>
        </w:rPr>
        <w:t>Interest Rate Limitation</w:t>
      </w:r>
      <w:r>
        <w:rPr>
          <w:rFonts w:ascii="Times New Roman" w:cs="Times New Roman" w:eastAsia="Times New Roman" w:hAnsi="Times New Roman"/>
          <w:sz w:val="21"/>
          <w:szCs w:val="21"/>
          <w:color w:val="auto"/>
        </w:rPr>
        <w:t>. Regardless of any provisions contained in this Agreement or in any other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Documents, the Lenders shall never be deemed to have contracted for or be entitled to receive, collect or apply as interest on any Loan or participation in any L/C Disbursement any amount in excess of the maximum lawful rate (the “</w:t>
      </w:r>
      <w:r>
        <w:rPr>
          <w:rFonts w:ascii="Times New Roman" w:cs="Times New Roman" w:eastAsia="Times New Roman" w:hAnsi="Times New Roman"/>
          <w:sz w:val="21"/>
          <w:szCs w:val="21"/>
          <w:i w:val="1"/>
          <w:iCs w:val="1"/>
          <w:color w:val="auto"/>
        </w:rPr>
        <w:t>Maximum Rate</w:t>
      </w:r>
      <w:r>
        <w:rPr>
          <w:rFonts w:ascii="Times New Roman" w:cs="Times New Roman" w:eastAsia="Times New Roman" w:hAnsi="Times New Roman"/>
          <w:sz w:val="21"/>
          <w:szCs w:val="21"/>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176"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9.10 </w:t>
      </w:r>
      <w:r>
        <w:rPr>
          <w:rFonts w:ascii="Times New Roman" w:cs="Times New Roman" w:eastAsia="Times New Roman" w:hAnsi="Times New Roman"/>
          <w:sz w:val="21"/>
          <w:szCs w:val="21"/>
          <w:b w:val="1"/>
          <w:bCs w:val="1"/>
          <w:i w:val="1"/>
          <w:iCs w:val="1"/>
          <w:color w:val="auto"/>
        </w:rPr>
        <w:t>Entire Agreement</w:t>
      </w:r>
      <w:r>
        <w:rPr>
          <w:rFonts w:ascii="Times New Roman" w:cs="Times New Roman" w:eastAsia="Times New Roman" w:hAnsi="Times New Roman"/>
          <w:sz w:val="21"/>
          <w:szCs w:val="21"/>
          <w:color w:val="auto"/>
        </w:rPr>
        <w:t>. This Agreement, the other Loan Documents and the Fee Letter constitute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contract among the parties relating to the subject matter hereof and supersede any and all previous agreements and understandings, oral or written, relating to the subject matter hereof.</w:t>
      </w:r>
    </w:p>
    <w:p>
      <w:pPr>
        <w:spacing w:after="0" w:line="157"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9.11 </w:t>
      </w:r>
      <w:r>
        <w:rPr>
          <w:rFonts w:ascii="Times New Roman" w:cs="Times New Roman" w:eastAsia="Times New Roman" w:hAnsi="Times New Roman"/>
          <w:sz w:val="21"/>
          <w:szCs w:val="21"/>
          <w:b w:val="1"/>
          <w:bCs w:val="1"/>
          <w:i w:val="1"/>
          <w:iCs w:val="1"/>
          <w:color w:val="auto"/>
        </w:rPr>
        <w:t>WAIVER OF JURY TRIAL</w:t>
      </w:r>
      <w:r>
        <w:rPr>
          <w:rFonts w:ascii="Times New Roman" w:cs="Times New Roman" w:eastAsia="Times New Roman" w:hAnsi="Times New Roman"/>
          <w:sz w:val="21"/>
          <w:szCs w:val="21"/>
          <w:color w:val="auto"/>
        </w:rPr>
        <w:t>. EACH PARTY HERETO HEREBY EXPRESSLY AND IRREVOCABLY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WAIVES, TO THE 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w:t>
      </w:r>
    </w:p>
    <w:p>
      <w:pPr>
        <w:sectPr>
          <w:pgSz w:w="11900" w:h="16838" w:orient="portrait"/>
          <w:cols w:equalWidth="0" w:num="1">
            <w:col w:w="11240"/>
          </w:cols>
          <w:pgMar w:left="320" w:top="1380" w:right="339" w:bottom="1440" w:gutter="0" w:footer="0" w:header="0"/>
        </w:sectPr>
      </w:pPr>
    </w:p>
    <w:bookmarkStart w:id="237" w:name="page238"/>
    <w:bookmarkEnd w:id="237"/>
    <w:p>
      <w:pPr>
        <w:jc w:val="both"/>
        <w:spacing w:after="0" w:line="254" w:lineRule="auto"/>
        <w:rPr>
          <w:sz w:val="20"/>
          <w:szCs w:val="20"/>
          <w:color w:val="auto"/>
        </w:rPr>
      </w:pPr>
      <w:r>
        <w:rPr>
          <w:rFonts w:ascii="Times New Roman" w:cs="Times New Roman" w:eastAsia="Times New Roman" w:hAnsi="Times New Roman"/>
          <w:sz w:val="21"/>
          <w:szCs w:val="21"/>
          <w:color w:val="auto"/>
        </w:rPr>
        <w:t>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67"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9.12 </w:t>
      </w:r>
      <w:r>
        <w:rPr>
          <w:rFonts w:ascii="Times New Roman" w:cs="Times New Roman" w:eastAsia="Times New Roman" w:hAnsi="Times New Roman"/>
          <w:sz w:val="21"/>
          <w:szCs w:val="21"/>
          <w:b w:val="1"/>
          <w:bCs w:val="1"/>
          <w:i w:val="1"/>
          <w:iCs w:val="1"/>
          <w:color w:val="auto"/>
        </w:rPr>
        <w:t>Severability</w:t>
      </w:r>
      <w:r>
        <w:rPr>
          <w:rFonts w:ascii="Times New Roman" w:cs="Times New Roman" w:eastAsia="Times New Roman" w:hAnsi="Times New Roman"/>
          <w:sz w:val="21"/>
          <w:szCs w:val="21"/>
          <w:color w:val="auto"/>
        </w:rPr>
        <w:t>. In the event any one or more of the provisions contained in this Agreement or in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73" w:lineRule="exact"/>
        <w:rPr>
          <w:sz w:val="20"/>
          <w:szCs w:val="20"/>
          <w:color w:val="auto"/>
        </w:rPr>
      </w:pPr>
    </w:p>
    <w:p>
      <w:pPr>
        <w:jc w:val="both"/>
        <w:ind w:firstLine="62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SECTION 9.13 </w:t>
      </w:r>
      <w:r>
        <w:rPr>
          <w:rFonts w:ascii="Times New Roman" w:cs="Times New Roman" w:eastAsia="Times New Roman" w:hAnsi="Times New Roman"/>
          <w:sz w:val="21"/>
          <w:szCs w:val="21"/>
          <w:b w:val="1"/>
          <w:bCs w:val="1"/>
          <w:i w:val="1"/>
          <w:iCs w:val="1"/>
          <w:color w:val="auto"/>
        </w:rPr>
        <w:t>Counterparts</w:t>
      </w:r>
      <w:r>
        <w:rPr>
          <w:rFonts w:ascii="Times New Roman" w:cs="Times New Roman" w:eastAsia="Times New Roman" w:hAnsi="Times New Roman"/>
          <w:sz w:val="21"/>
          <w:szCs w:val="21"/>
          <w:color w:val="auto"/>
        </w:rPr>
        <w:t>. This Agreement may be executed in counterparts (and by different parties hereto on different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shall constitute an original but all of which when taken together shall constitute a single contract, and shall become effective as provided in Section 9.03. Delivery of an executed signature page to this Agreement by facsimile transmission or by electronic communication (e-mail) shall be as effective as delivery of a manually signed counterpart of this Agreement. The words “execution,” “execute”, “signed,” “signature,” and words of like import in or related to any document to be signed in connection with this Agreement or any other Loan Document and the transactions contemplated hereby shall be deemed to include electronic signatures, the electronic matching of assignment terms and contract formations on electronic platforms approved by the Administrative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may, in its discretion, require that any such documents and signatures executed electronically or delivered by fax or other electronic transmission be confirmed by a manually-signed original thereof; provided that the failure to request or deliver the same shall not limit the effectiveness of any document or signature executed electronically or delivered by fax or other electronic transmission.</w:t>
      </w:r>
    </w:p>
    <w:p>
      <w:pPr>
        <w:sectPr>
          <w:pgSz w:w="11900" w:h="16838" w:orient="portrait"/>
          <w:cols w:equalWidth="0" w:num="1">
            <w:col w:w="11240"/>
          </w:cols>
          <w:pgMar w:left="320" w:top="1380" w:right="339" w:bottom="1440" w:gutter="0" w:footer="0" w:header="0"/>
        </w:sectPr>
      </w:pPr>
    </w:p>
    <w:bookmarkStart w:id="238" w:name="page239"/>
    <w:bookmarkEnd w:id="238"/>
    <w:p>
      <w:pPr>
        <w:jc w:val="both"/>
        <w:ind w:firstLine="62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SECTION 9.14 </w:t>
      </w:r>
      <w:r>
        <w:rPr>
          <w:rFonts w:ascii="Times New Roman" w:cs="Times New Roman" w:eastAsia="Times New Roman" w:hAnsi="Times New Roman"/>
          <w:sz w:val="21"/>
          <w:szCs w:val="21"/>
          <w:b w:val="1"/>
          <w:bCs w:val="1"/>
          <w:i w:val="1"/>
          <w:iCs w:val="1"/>
          <w:color w:val="auto"/>
        </w:rPr>
        <w:t>Headings</w:t>
      </w:r>
      <w:r>
        <w:rPr>
          <w:rFonts w:ascii="Times New Roman" w:cs="Times New Roman" w:eastAsia="Times New Roman" w:hAnsi="Times New Roman"/>
          <w:sz w:val="21"/>
          <w:szCs w:val="21"/>
          <w:color w:val="auto"/>
        </w:rPr>
        <w:t>. Article and Section headings and the Table of Contents used herein are for convenience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reference only, are not part of this Agreement and are not to affect the construction of, or to be taken into consideration in interpreting, this Agreement.</w:t>
      </w:r>
    </w:p>
    <w:p>
      <w:pPr>
        <w:spacing w:after="0" w:line="170"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SECTION 9.15 </w:t>
      </w:r>
      <w:r>
        <w:rPr>
          <w:rFonts w:ascii="Times New Roman" w:cs="Times New Roman" w:eastAsia="Times New Roman" w:hAnsi="Times New Roman"/>
          <w:sz w:val="21"/>
          <w:szCs w:val="21"/>
          <w:b w:val="1"/>
          <w:bCs w:val="1"/>
          <w:i w:val="1"/>
          <w:iCs w:val="1"/>
          <w:color w:val="auto"/>
        </w:rPr>
        <w:t>Jurisdiction; Consent to Service of Process</w:t>
      </w:r>
      <w:r>
        <w:rPr>
          <w:rFonts w:ascii="Times New Roman" w:cs="Times New Roman" w:eastAsia="Times New Roman" w:hAnsi="Times New Roman"/>
          <w:sz w:val="21"/>
          <w:szCs w:val="21"/>
          <w:color w:val="auto"/>
        </w:rPr>
        <w:t>. (a) Any legal action or proceeding with respect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any other Loan 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176" w:lineRule="exact"/>
        <w:rPr>
          <w:sz w:val="20"/>
          <w:szCs w:val="20"/>
          <w:color w:val="auto"/>
        </w:rPr>
      </w:pPr>
    </w:p>
    <w:p>
      <w:pPr>
        <w:jc w:val="both"/>
        <w:ind w:firstLine="1259"/>
        <w:spacing w:after="0" w:line="257" w:lineRule="auto"/>
        <w:tabs>
          <w:tab w:leader="none" w:pos="1786"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70" w:lineRule="exact"/>
        <w:rPr>
          <w:rFonts w:ascii="Times New Roman" w:cs="Times New Roman" w:eastAsia="Times New Roman" w:hAnsi="Times New Roman"/>
          <w:sz w:val="21"/>
          <w:szCs w:val="21"/>
          <w:color w:val="auto"/>
        </w:rPr>
      </w:pPr>
    </w:p>
    <w:p>
      <w:pPr>
        <w:jc w:val="both"/>
        <w:ind w:firstLine="1259"/>
        <w:spacing w:after="0" w:line="261" w:lineRule="auto"/>
        <w:tabs>
          <w:tab w:leader="none" w:pos="1770"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64"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12"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(other than the Parent Borrower) hereby irrevocably appoints the Parent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Parent Borrower at the Parent Borrower’s address set forth in Section 9.01, and each such Loan Party hereby irrevocably authorizes and directs the Parent Borrower to accept such service on its behalf.</w:t>
      </w:r>
    </w:p>
    <w:p>
      <w:pPr>
        <w:spacing w:after="0" w:line="167" w:lineRule="exact"/>
        <w:rPr>
          <w:sz w:val="20"/>
          <w:szCs w:val="20"/>
          <w:color w:val="auto"/>
        </w:rPr>
      </w:pPr>
    </w:p>
    <w:p>
      <w:pPr>
        <w:ind w:firstLine="62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SECTION 9.16 </w:t>
      </w:r>
      <w:r>
        <w:rPr>
          <w:rFonts w:ascii="Times New Roman" w:cs="Times New Roman" w:eastAsia="Times New Roman" w:hAnsi="Times New Roman"/>
          <w:sz w:val="21"/>
          <w:szCs w:val="21"/>
          <w:b w:val="1"/>
          <w:bCs w:val="1"/>
          <w:i w:val="1"/>
          <w:iCs w:val="1"/>
          <w:color w:val="auto"/>
        </w:rPr>
        <w:t>Confidentiality</w:t>
      </w:r>
      <w:r>
        <w:rPr>
          <w:rFonts w:ascii="Times New Roman" w:cs="Times New Roman" w:eastAsia="Times New Roman" w:hAnsi="Times New Roman"/>
          <w:sz w:val="21"/>
          <w:szCs w:val="21"/>
          <w:color w:val="auto"/>
        </w:rPr>
        <w:t>. Each of the Agents, the Issuing Banks and the Lenders agrees to maintain, and cause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respective Affiliates to maintain, the confidentiality of the Information (as defined below), except that Information may be disclosed</w:t>
      </w:r>
    </w:p>
    <w:p>
      <w:pPr>
        <w:spacing w:after="0" w:line="1" w:lineRule="exact"/>
        <w:rPr>
          <w:sz w:val="20"/>
          <w:szCs w:val="20"/>
          <w:color w:val="auto"/>
        </w:rPr>
      </w:pPr>
    </w:p>
    <w:p>
      <w:pPr>
        <w:jc w:val="both"/>
        <w:ind w:firstLine="5"/>
        <w:spacing w:after="0" w:line="251" w:lineRule="auto"/>
        <w:tabs>
          <w:tab w:leader="none" w:pos="289"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w:t>
      </w:r>
    </w:p>
    <w:p>
      <w:pPr>
        <w:sectPr>
          <w:pgSz w:w="11900" w:h="16838" w:orient="portrait"/>
          <w:cols w:equalWidth="0" w:num="1">
            <w:col w:w="11240"/>
          </w:cols>
          <w:pgMar w:left="320" w:top="1376" w:right="339" w:bottom="1440" w:gutter="0" w:footer="0" w:header="0"/>
        </w:sectPr>
      </w:pPr>
    </w:p>
    <w:bookmarkStart w:id="239" w:name="page240"/>
    <w:bookmarkEnd w:id="239"/>
    <w:p>
      <w:pPr>
        <w:jc w:val="both"/>
        <w:spacing w:after="0" w:line="251" w:lineRule="auto"/>
        <w:rPr>
          <w:sz w:val="20"/>
          <w:szCs w:val="20"/>
          <w:color w:val="auto"/>
        </w:rPr>
      </w:pPr>
      <w:r>
        <w:rPr>
          <w:rFonts w:ascii="Times New Roman" w:cs="Times New Roman" w:eastAsia="Times New Roman" w:hAnsi="Times New Roman"/>
          <w:sz w:val="21"/>
          <w:szCs w:val="21"/>
          <w:color w:val="auto"/>
        </w:rPr>
        <w:t>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 (ii) any actual or prospective counterparty (or its advisors) to any swap or derivative transaction relating to the Loan Parties and their obligations, (g) with the consent of the Parent Borrower or (h) to the extent such Information (x) becomes publicly available other than as a result of a breach of this Section or (y) becomes available to any Agent, any Issuing Bank or any Lender on a non-confidential basis from a source other than a Borrower. For purposes of this Section, “</w:t>
      </w:r>
      <w:r>
        <w:rPr>
          <w:rFonts w:ascii="Times New Roman" w:cs="Times New Roman" w:eastAsia="Times New Roman" w:hAnsi="Times New Roman"/>
          <w:sz w:val="21"/>
          <w:szCs w:val="21"/>
          <w:i w:val="1"/>
          <w:iCs w:val="1"/>
          <w:color w:val="auto"/>
        </w:rPr>
        <w:t>Information</w:t>
      </w:r>
      <w:r>
        <w:rPr>
          <w:rFonts w:ascii="Times New Roman" w:cs="Times New Roman" w:eastAsia="Times New Roman" w:hAnsi="Times New Roman"/>
          <w:sz w:val="21"/>
          <w:szCs w:val="21"/>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6"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9.17 </w:t>
      </w:r>
      <w:r>
        <w:rPr>
          <w:rFonts w:ascii="Times New Roman" w:cs="Times New Roman" w:eastAsia="Times New Roman" w:hAnsi="Times New Roman"/>
          <w:sz w:val="21"/>
          <w:szCs w:val="21"/>
          <w:b w:val="1"/>
          <w:bCs w:val="1"/>
          <w:i w:val="1"/>
          <w:iCs w:val="1"/>
          <w:color w:val="auto"/>
        </w:rPr>
        <w:t>Judgment Currency</w:t>
      </w:r>
      <w:r>
        <w:rPr>
          <w:rFonts w:ascii="Times New Roman" w:cs="Times New Roman" w:eastAsia="Times New Roman" w:hAnsi="Times New Roman"/>
          <w:sz w:val="21"/>
          <w:szCs w:val="21"/>
          <w:color w:val="auto"/>
        </w:rPr>
        <w:t>. (a) The obligations of the Borrowers and the other Loan Parties hereunder and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other Loan Documents to make payments in U.S. dollars, Canadian dollars or Australian dollars (the “</w:t>
      </w:r>
      <w:r>
        <w:rPr>
          <w:rFonts w:ascii="Times New Roman" w:cs="Times New Roman" w:eastAsia="Times New Roman" w:hAnsi="Times New Roman"/>
          <w:sz w:val="21"/>
          <w:szCs w:val="21"/>
          <w:i w:val="1"/>
          <w:iCs w:val="1"/>
          <w:color w:val="auto"/>
        </w:rPr>
        <w:t>Obligation Currency</w:t>
      </w:r>
      <w:r>
        <w:rPr>
          <w:rFonts w:ascii="Times New Roman" w:cs="Times New Roman" w:eastAsia="Times New Roman" w:hAnsi="Times New Roman"/>
          <w:sz w:val="21"/>
          <w:szCs w:val="21"/>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21"/>
          <w:szCs w:val="21"/>
          <w:i w:val="1"/>
          <w:iCs w:val="1"/>
          <w:color w:val="auto"/>
        </w:rPr>
        <w:t>Judgment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Currency</w:t>
      </w:r>
      <w:r>
        <w:rPr>
          <w:rFonts w:ascii="Times New Roman" w:cs="Times New Roman" w:eastAsia="Times New Roman" w:hAnsi="Times New Roman"/>
          <w:sz w:val="21"/>
          <w:szCs w:val="21"/>
          <w:color w:val="auto"/>
        </w:rPr>
        <w:t>”) an amount due in the Obligation Currency, the conversion shall be made at the Canadian Dollar Equivalent, U.S. Dollar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 immediately preceding the day on which the judgment is given (such Business Day being hereinafter referred to as the “</w:t>
      </w:r>
      <w:r>
        <w:rPr>
          <w:rFonts w:ascii="Times New Roman" w:cs="Times New Roman" w:eastAsia="Times New Roman" w:hAnsi="Times New Roman"/>
          <w:sz w:val="21"/>
          <w:szCs w:val="21"/>
          <w:i w:val="1"/>
          <w:iCs w:val="1"/>
          <w:color w:val="auto"/>
        </w:rPr>
        <w:t>Judgment Currency Conversion Date</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0" w:right="339" w:bottom="1440" w:gutter="0" w:footer="0" w:header="0"/>
        </w:sectPr>
      </w:pPr>
    </w:p>
    <w:bookmarkStart w:id="240" w:name="page241"/>
    <w:bookmarkEnd w:id="240"/>
    <w:p>
      <w:pPr>
        <w:jc w:val="both"/>
        <w:ind w:firstLine="1259"/>
        <w:spacing w:after="0" w:line="255" w:lineRule="auto"/>
        <w:tabs>
          <w:tab w:leader="none" w:pos="1743"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72" w:lineRule="exact"/>
        <w:rPr>
          <w:rFonts w:ascii="Times New Roman" w:cs="Times New Roman" w:eastAsia="Times New Roman" w:hAnsi="Times New Roman"/>
          <w:sz w:val="21"/>
          <w:szCs w:val="21"/>
          <w:color w:val="auto"/>
        </w:rPr>
      </w:pPr>
    </w:p>
    <w:p>
      <w:pPr>
        <w:jc w:val="both"/>
        <w:ind w:firstLine="1259"/>
        <w:spacing w:after="0" w:line="268" w:lineRule="auto"/>
        <w:tabs>
          <w:tab w:leader="none" w:pos="1862"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54"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SECTION 9.18 </w:t>
      </w:r>
      <w:r>
        <w:rPr>
          <w:rFonts w:ascii="Times New Roman" w:cs="Times New Roman" w:eastAsia="Times New Roman" w:hAnsi="Times New Roman"/>
          <w:sz w:val="21"/>
          <w:szCs w:val="21"/>
          <w:b w:val="1"/>
          <w:bCs w:val="1"/>
          <w:i w:val="1"/>
          <w:iCs w:val="1"/>
          <w:color w:val="auto"/>
        </w:rPr>
        <w:t>Exculpation Provisions</w:t>
      </w:r>
      <w:r>
        <w:rPr>
          <w:rFonts w:ascii="Times New Roman" w:cs="Times New Roman" w:eastAsia="Times New Roman" w:hAnsi="Times New Roman"/>
          <w:sz w:val="21"/>
          <w:szCs w:val="21"/>
          <w:color w:val="auto"/>
        </w:rPr>
        <w:t>. EACH OF THE PARTIES HERETO SPECIFICALLY AGREES THAT IT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176" w:lineRule="exact"/>
        <w:rPr>
          <w:sz w:val="20"/>
          <w:szCs w:val="20"/>
          <w:color w:val="auto"/>
        </w:rPr>
      </w:pPr>
    </w:p>
    <w:p>
      <w:pPr>
        <w:jc w:val="both"/>
        <w:ind w:firstLine="627"/>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9.19 </w:t>
      </w:r>
      <w:r>
        <w:rPr>
          <w:rFonts w:ascii="Times New Roman" w:cs="Times New Roman" w:eastAsia="Times New Roman" w:hAnsi="Times New Roman"/>
          <w:sz w:val="21"/>
          <w:szCs w:val="21"/>
          <w:b w:val="1"/>
          <w:bCs w:val="1"/>
          <w:i w:val="1"/>
          <w:iCs w:val="1"/>
          <w:color w:val="auto"/>
        </w:rPr>
        <w:t>Payments Set Aside</w:t>
      </w:r>
      <w:r>
        <w:rPr>
          <w:rFonts w:ascii="Times New Roman" w:cs="Times New Roman" w:eastAsia="Times New Roman" w:hAnsi="Times New Roman"/>
          <w:sz w:val="21"/>
          <w:szCs w:val="21"/>
          <w:color w:val="auto"/>
        </w:rPr>
        <w:t>. To the extent that any payment by or on behalf of any Loan Party is made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Issuing Bank or 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 (a) to the extent of such recovery, the obligation or part thereof originally intended to be satisfied shall be revived and continued in full force and effect as if such payment had not been made or such setoff had not occurred, and</w:t>
      </w:r>
    </w:p>
    <w:p>
      <w:pPr>
        <w:sectPr>
          <w:pgSz w:w="11900" w:h="16838" w:orient="portrait"/>
          <w:cols w:equalWidth="0" w:num="1">
            <w:col w:w="11240"/>
          </w:cols>
          <w:pgMar w:left="320" w:top="1380" w:right="339" w:bottom="1440" w:gutter="0" w:footer="0" w:header="0"/>
        </w:sectPr>
      </w:pPr>
    </w:p>
    <w:bookmarkStart w:id="241" w:name="page242"/>
    <w:bookmarkEnd w:id="241"/>
    <w:p>
      <w:pPr>
        <w:jc w:val="both"/>
        <w:ind w:firstLine="5"/>
        <w:spacing w:after="0" w:line="268" w:lineRule="auto"/>
        <w:tabs>
          <w:tab w:leader="none" w:pos="308"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w:t>
      </w:r>
    </w:p>
    <w:p>
      <w:pPr>
        <w:spacing w:after="0" w:line="3" w:lineRule="exact"/>
        <w:rPr>
          <w:rFonts w:ascii="Times New Roman" w:cs="Times New Roman" w:eastAsia="Times New Roman" w:hAnsi="Times New Roman"/>
          <w:sz w:val="20"/>
          <w:szCs w:val="20"/>
          <w:color w:val="auto"/>
        </w:rPr>
      </w:pPr>
    </w:p>
    <w:p>
      <w:pPr>
        <w:ind w:left="300" w:hanging="295"/>
        <w:spacing w:after="0"/>
        <w:tabs>
          <w:tab w:leader="none" w:pos="300"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preceding sentence shall survive the payment in full of the Obligations and the termination of this Agreement.</w:t>
      </w:r>
    </w:p>
    <w:p>
      <w:pPr>
        <w:spacing w:after="0" w:line="188" w:lineRule="exact"/>
        <w:rPr>
          <w:sz w:val="20"/>
          <w:szCs w:val="20"/>
          <w:color w:val="auto"/>
        </w:rPr>
      </w:pPr>
    </w:p>
    <w:p>
      <w:pPr>
        <w:jc w:val="both"/>
        <w:ind w:firstLine="627"/>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SECTION 9.20 </w:t>
      </w:r>
      <w:r>
        <w:rPr>
          <w:rFonts w:ascii="Times New Roman" w:cs="Times New Roman" w:eastAsia="Times New Roman" w:hAnsi="Times New Roman"/>
          <w:sz w:val="20"/>
          <w:szCs w:val="20"/>
          <w:b w:val="1"/>
          <w:bCs w:val="1"/>
          <w:i w:val="1"/>
          <w:iCs w:val="1"/>
          <w:color w:val="auto"/>
        </w:rPr>
        <w:t>Termination</w:t>
      </w:r>
      <w:r>
        <w:rPr>
          <w:rFonts w:ascii="Times New Roman" w:cs="Times New Roman" w:eastAsia="Times New Roman" w:hAnsi="Times New Roman"/>
          <w:sz w:val="20"/>
          <w:szCs w:val="20"/>
          <w:color w:val="auto"/>
        </w:rPr>
        <w:t>. This Agreement and each other Loan Document, and the covenants and agreements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herein and therein, and, in 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154" w:lineRule="exact"/>
        <w:rPr>
          <w:sz w:val="20"/>
          <w:szCs w:val="20"/>
          <w:color w:val="auto"/>
        </w:rPr>
      </w:pPr>
    </w:p>
    <w:p>
      <w:pPr>
        <w:jc w:val="both"/>
        <w:ind w:firstLine="62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9.21 </w:t>
      </w:r>
      <w:r>
        <w:rPr>
          <w:rFonts w:ascii="Times New Roman" w:cs="Times New Roman" w:eastAsia="Times New Roman" w:hAnsi="Times New Roman"/>
          <w:sz w:val="21"/>
          <w:szCs w:val="21"/>
          <w:b w:val="1"/>
          <w:bCs w:val="1"/>
          <w:i w:val="1"/>
          <w:iCs w:val="1"/>
          <w:color w:val="auto"/>
        </w:rPr>
        <w:t>Patriot Act Notice</w:t>
      </w:r>
      <w:r>
        <w:rPr>
          <w:rFonts w:ascii="Times New Roman" w:cs="Times New Roman" w:eastAsia="Times New Roman" w:hAnsi="Times New Roman"/>
          <w:sz w:val="21"/>
          <w:szCs w:val="21"/>
          <w:color w:val="auto"/>
        </w:rPr>
        <w:t>. Each Lender hereby notifies each Borrower that pursuant to the requirements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USA Patriot Act (Title III of Pub. L. 107-56 (signed into law October 26, 2001)) (the “</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161" w:lineRule="exact"/>
        <w:rPr>
          <w:sz w:val="20"/>
          <w:szCs w:val="20"/>
          <w:color w:val="auto"/>
        </w:rPr>
      </w:pPr>
    </w:p>
    <w:p>
      <w:pPr>
        <w:ind w:left="640"/>
        <w:spacing w:after="0"/>
        <w:tabs>
          <w:tab w:leader="none" w:pos="2180" w:val="left"/>
        </w:tabs>
        <w:rPr>
          <w:sz w:val="20"/>
          <w:szCs w:val="20"/>
          <w:color w:val="auto"/>
        </w:rPr>
      </w:pPr>
      <w:r>
        <w:rPr>
          <w:rFonts w:ascii="Times New Roman" w:cs="Times New Roman" w:eastAsia="Times New Roman" w:hAnsi="Times New Roman"/>
          <w:sz w:val="21"/>
          <w:szCs w:val="21"/>
          <w:b w:val="1"/>
          <w:bCs w:val="1"/>
          <w:color w:val="auto"/>
        </w:rPr>
        <w:t>SECTION 9.22</w:t>
      </w:r>
      <w:r>
        <w:rPr>
          <w:sz w:val="20"/>
          <w:szCs w:val="20"/>
          <w:color w:val="auto"/>
        </w:rPr>
        <w:tab/>
      </w:r>
      <w:r>
        <w:rPr>
          <w:rFonts w:ascii="Times New Roman" w:cs="Times New Roman" w:eastAsia="Times New Roman" w:hAnsi="Times New Roman"/>
          <w:sz w:val="21"/>
          <w:szCs w:val="21"/>
          <w:b w:val="1"/>
          <w:bCs w:val="1"/>
          <w:i w:val="1"/>
          <w:iCs w:val="1"/>
          <w:color w:val="auto"/>
        </w:rPr>
        <w:t>Public Offer</w:t>
      </w:r>
    </w:p>
    <w:p>
      <w:pPr>
        <w:spacing w:after="0" w:line="218" w:lineRule="exact"/>
        <w:rPr>
          <w:sz w:val="20"/>
          <w:szCs w:val="20"/>
          <w:color w:val="auto"/>
        </w:rPr>
      </w:pPr>
    </w:p>
    <w:p>
      <w:pPr>
        <w:ind w:firstLine="1259"/>
        <w:spacing w:after="0" w:line="279" w:lineRule="auto"/>
        <w:tabs>
          <w:tab w:leader="none" w:pos="1774"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Lead Arranger’s representations, warranties and undertakings</w:t>
      </w:r>
      <w:r>
        <w:rPr>
          <w:rFonts w:ascii="Times New Roman" w:cs="Times New Roman" w:eastAsia="Times New Roman" w:hAnsi="Times New Roman"/>
          <w:sz w:val="21"/>
          <w:szCs w:val="21"/>
          <w:color w:val="auto"/>
        </w:rPr>
        <w:t>. The Lead Arranger undertakes, represents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warrants to the Australian Loan Parties as follows:</w:t>
      </w:r>
    </w:p>
    <w:p>
      <w:pPr>
        <w:spacing w:after="0" w:line="146" w:lineRule="exact"/>
        <w:rPr>
          <w:rFonts w:ascii="Times New Roman" w:cs="Times New Roman" w:eastAsia="Times New Roman" w:hAnsi="Times New Roman"/>
          <w:sz w:val="21"/>
          <w:szCs w:val="21"/>
          <w:color w:val="auto"/>
        </w:rPr>
      </w:pPr>
    </w:p>
    <w:p>
      <w:pPr>
        <w:jc w:val="both"/>
        <w:ind w:left="640" w:firstLine="1246"/>
        <w:spacing w:after="0" w:line="257" w:lineRule="auto"/>
        <w:tabs>
          <w:tab w:leader="none" w:pos="2359"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70" w:lineRule="exact"/>
        <w:rPr>
          <w:rFonts w:ascii="Times New Roman" w:cs="Times New Roman" w:eastAsia="Times New Roman" w:hAnsi="Times New Roman"/>
          <w:sz w:val="21"/>
          <w:szCs w:val="21"/>
          <w:color w:val="auto"/>
        </w:rPr>
      </w:pPr>
    </w:p>
    <w:p>
      <w:pPr>
        <w:jc w:val="both"/>
        <w:ind w:left="640" w:firstLine="1246"/>
        <w:spacing w:after="0" w:line="261" w:lineRule="auto"/>
        <w:tabs>
          <w:tab w:leader="none" w:pos="2371"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64" w:lineRule="exact"/>
        <w:rPr>
          <w:rFonts w:ascii="Times New Roman" w:cs="Times New Roman" w:eastAsia="Times New Roman" w:hAnsi="Times New Roman"/>
          <w:sz w:val="21"/>
          <w:szCs w:val="21"/>
          <w:color w:val="auto"/>
        </w:rPr>
      </w:pPr>
    </w:p>
    <w:p>
      <w:pPr>
        <w:ind w:left="640" w:firstLine="1246"/>
        <w:spacing w:after="0" w:line="277" w:lineRule="auto"/>
        <w:tabs>
          <w:tab w:leader="none" w:pos="2427"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Lead Arranger has not made and will not make offers or invitations referred to in paragraph (i) above to persons whom the relevant officers of the</w:t>
      </w:r>
    </w:p>
    <w:p>
      <w:pPr>
        <w:sectPr>
          <w:pgSz w:w="11900" w:h="16838" w:orient="portrait"/>
          <w:cols w:equalWidth="0" w:num="1">
            <w:col w:w="11240"/>
          </w:cols>
          <w:pgMar w:left="320" w:top="1380" w:right="339" w:bottom="1440" w:gutter="0" w:footer="0" w:header="0"/>
        </w:sectPr>
      </w:pPr>
    </w:p>
    <w:bookmarkStart w:id="242" w:name="page243"/>
    <w:bookmarkEnd w:id="242"/>
    <w:p>
      <w:pPr>
        <w:ind w:left="640"/>
        <w:spacing w:after="0"/>
        <w:rPr>
          <w:sz w:val="20"/>
          <w:szCs w:val="20"/>
          <w:color w:val="auto"/>
        </w:rPr>
      </w:pPr>
      <w:r>
        <w:rPr>
          <w:rFonts w:ascii="Times New Roman" w:cs="Times New Roman" w:eastAsia="Times New Roman" w:hAnsi="Times New Roman"/>
          <w:sz w:val="21"/>
          <w:szCs w:val="21"/>
          <w:color w:val="auto"/>
        </w:rPr>
        <w:t>Lead Arranger involved in the transaction know or suspect are Offshore Associates of the Australian Loan Parties.</w:t>
      </w:r>
    </w:p>
    <w:p>
      <w:pPr>
        <w:spacing w:after="0" w:line="214" w:lineRule="exact"/>
        <w:rPr>
          <w:sz w:val="20"/>
          <w:szCs w:val="20"/>
          <w:color w:val="auto"/>
        </w:rPr>
      </w:pPr>
    </w:p>
    <w:p>
      <w:pPr>
        <w:jc w:val="both"/>
        <w:ind w:firstLine="1259"/>
        <w:spacing w:after="0" w:line="255" w:lineRule="auto"/>
        <w:tabs>
          <w:tab w:leader="none" w:pos="1720"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Australian Loan Parties’ representations and warranties</w:t>
      </w:r>
      <w:r>
        <w:rPr>
          <w:rFonts w:ascii="Times New Roman" w:cs="Times New Roman" w:eastAsia="Times New Roman" w:hAnsi="Times New Roman"/>
          <w:sz w:val="21"/>
          <w:szCs w:val="21"/>
          <w:color w:val="auto"/>
        </w:rPr>
        <w:t>. The Australian Loan Parties represent and warrant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none of the potential offerees whose names were disclosed to it by 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 (ii) 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 defined in the Australian Tax Act) or an Associate of each other Australian Loan Party under this Agreement.</w:t>
      </w:r>
    </w:p>
    <w:p>
      <w:pPr>
        <w:spacing w:after="0" w:line="169" w:lineRule="exact"/>
        <w:rPr>
          <w:rFonts w:ascii="Times New Roman" w:cs="Times New Roman" w:eastAsia="Times New Roman" w:hAnsi="Times New Roman"/>
          <w:sz w:val="21"/>
          <w:szCs w:val="21"/>
          <w:color w:val="auto"/>
        </w:rPr>
      </w:pPr>
    </w:p>
    <w:p>
      <w:pPr>
        <w:jc w:val="both"/>
        <w:ind w:firstLine="1259"/>
        <w:spacing w:after="0" w:line="257" w:lineRule="auto"/>
        <w:tabs>
          <w:tab w:leader="none" w:pos="1787"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Lenders’ representations and warranties</w:t>
      </w:r>
      <w:r>
        <w:rPr>
          <w:rFonts w:ascii="Times New Roman" w:cs="Times New Roman" w:eastAsia="Times New Roman" w:hAnsi="Times New Roman"/>
          <w:sz w:val="21"/>
          <w:szCs w:val="21"/>
          <w:color w:val="auto"/>
        </w:rPr>
        <w:t>. Each Lender represents and warrants to the Australian Loan Parties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if it received an invitation under paragraph (a)(i) above, at the time it received the invitation it was not an Offshore Associate of the Australian Loan Parties and it was carrying on the business of providing finance, or investing or dealing in securities, in the course of operating in financial markets.</w:t>
      </w:r>
    </w:p>
    <w:p>
      <w:pPr>
        <w:spacing w:after="0" w:line="167" w:lineRule="exact"/>
        <w:rPr>
          <w:rFonts w:ascii="Times New Roman" w:cs="Times New Roman" w:eastAsia="Times New Roman" w:hAnsi="Times New Roman"/>
          <w:sz w:val="21"/>
          <w:szCs w:val="21"/>
          <w:color w:val="auto"/>
        </w:rPr>
      </w:pPr>
    </w:p>
    <w:p>
      <w:pPr>
        <w:jc w:val="both"/>
        <w:ind w:firstLine="1259"/>
        <w:spacing w:after="0" w:line="258" w:lineRule="auto"/>
        <w:tabs>
          <w:tab w:leader="none" w:pos="1773"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Information</w:t>
      </w:r>
      <w:r>
        <w:rPr>
          <w:rFonts w:ascii="Times New Roman" w:cs="Times New Roman" w:eastAsia="Times New Roman" w:hAnsi="Times New Roman"/>
          <w:sz w:val="21"/>
          <w:szCs w:val="21"/>
          <w:color w:val="auto"/>
        </w:rPr>
        <w:t>. The Lead Arranger and each Lender will provide to the Australian Loan Parties when reasonably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requested any factual information in its possession or which it is 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w:t>
      </w:r>
    </w:p>
    <w:p>
      <w:pPr>
        <w:spacing w:after="0" w:line="165" w:lineRule="exact"/>
        <w:rPr>
          <w:rFonts w:ascii="Times New Roman" w:cs="Times New Roman" w:eastAsia="Times New Roman" w:hAnsi="Times New Roman"/>
          <w:sz w:val="21"/>
          <w:szCs w:val="21"/>
          <w:color w:val="auto"/>
        </w:rPr>
      </w:pPr>
    </w:p>
    <w:p>
      <w:pPr>
        <w:jc w:val="both"/>
        <w:ind w:firstLine="1259"/>
        <w:spacing w:after="0" w:line="258" w:lineRule="auto"/>
        <w:tabs>
          <w:tab w:leader="none" w:pos="1826"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Cooperation if s128F requirement not satisfied</w:t>
      </w:r>
      <w:r>
        <w:rPr>
          <w:rFonts w:ascii="Times New Roman" w:cs="Times New Roman" w:eastAsia="Times New Roman" w:hAnsi="Times New Roman"/>
          <w:sz w:val="21"/>
          <w:szCs w:val="21"/>
          <w:color w:val="auto"/>
        </w:rPr>
        <w:t>. If, for any reason, the requirements of section 128F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Australian Tax Act have not been 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65" w:lineRule="exact"/>
        <w:rPr>
          <w:rFonts w:ascii="Times New Roman" w:cs="Times New Roman" w:eastAsia="Times New Roman" w:hAnsi="Times New Roman"/>
          <w:sz w:val="21"/>
          <w:szCs w:val="21"/>
          <w:color w:val="auto"/>
        </w:rPr>
      </w:pPr>
    </w:p>
    <w:p>
      <w:pPr>
        <w:ind w:firstLine="1259"/>
        <w:spacing w:after="0" w:line="292" w:lineRule="auto"/>
        <w:tabs>
          <w:tab w:leader="none" w:pos="1673"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Section 128F syndication statement</w:t>
      </w:r>
      <w:r>
        <w:rPr>
          <w:rFonts w:ascii="Times New Roman" w:cs="Times New Roman" w:eastAsia="Times New Roman" w:hAnsi="Times New Roman"/>
          <w:sz w:val="21"/>
          <w:szCs w:val="21"/>
          <w:color w:val="auto"/>
        </w:rPr>
        <w:t>. The parties agree that this Agreement is a “syndicated facility agreement”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purposes of section 128F(11)(a) of the Australian Tax Act.</w:t>
      </w:r>
    </w:p>
    <w:p>
      <w:pPr>
        <w:spacing w:after="0" w:line="129"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9.23 </w:t>
      </w:r>
      <w:r>
        <w:rPr>
          <w:rFonts w:ascii="Times New Roman" w:cs="Times New Roman" w:eastAsia="Times New Roman" w:hAnsi="Times New Roman"/>
          <w:sz w:val="21"/>
          <w:szCs w:val="21"/>
          <w:b w:val="1"/>
          <w:bCs w:val="1"/>
          <w:i w:val="1"/>
          <w:iCs w:val="1"/>
          <w:color w:val="auto"/>
        </w:rPr>
        <w:t>Keepwell</w:t>
      </w:r>
      <w:r>
        <w:rPr>
          <w:rFonts w:ascii="Times New Roman" w:cs="Times New Roman" w:eastAsia="Times New Roman" w:hAnsi="Times New Roman"/>
          <w:sz w:val="21"/>
          <w:szCs w:val="21"/>
          <w:color w:val="auto"/>
        </w:rPr>
        <w:t>. The Parent Borrower hereby absolutely, unconditionally and irrevocably undertakes to provide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funds or other support as may be needed from time to time by each Guarantor to honor all of its obligations under its Guarantee in respect of Swap Obligations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Parent Borrower shall only be liable under this Section 9.23 for the maximum amount of such liability that can be hereby incurred</w:t>
      </w:r>
    </w:p>
    <w:p>
      <w:pPr>
        <w:sectPr>
          <w:pgSz w:w="11900" w:h="16838" w:orient="portrait"/>
          <w:cols w:equalWidth="0" w:num="1">
            <w:col w:w="11240"/>
          </w:cols>
          <w:pgMar w:left="320" w:top="1380" w:right="339" w:bottom="1440" w:gutter="0" w:footer="0" w:header="0"/>
        </w:sectPr>
      </w:pPr>
    </w:p>
    <w:bookmarkStart w:id="243" w:name="page244"/>
    <w:bookmarkEnd w:id="243"/>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without rendering its obligations under this Section 9.23, or otherwise under this Agreement, voidable under applicable law relating to fraudulent conveyance or fraudulent transfer, and not for any greater amount). The obligations of the Parent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Applicable Administrative Agent and the Applicable </w:t>
      </w:r>
      <w:r>
        <w:rPr>
          <w:rFonts w:ascii="Times New Roman" w:cs="Times New Roman" w:eastAsia="Times New Roman" w:hAnsi="Times New Roman"/>
          <w:sz w:val="21"/>
          <w:szCs w:val="21"/>
          <w:b w:val="1"/>
          <w:bCs w:val="1"/>
          <w:u w:val="single" w:color="auto"/>
          <w:color w:val="0000FF"/>
        </w:rPr>
        <w:t>Issuing Bank</w:t>
      </w:r>
      <w:r>
        <w:rPr>
          <w:rFonts w:ascii="Times New Roman" w:cs="Times New Roman" w:eastAsia="Times New Roman" w:hAnsi="Times New Roman"/>
          <w:sz w:val="21"/>
          <w:szCs w:val="21"/>
          <w:color w:val="auto"/>
        </w:rPr>
        <w:t xml:space="preserve"> have been made). The Parent Borrower intends that this Section 9.23 constitute, and this Section 9.23 shall be deemed to constitute, a “keepwell, support, or other agreement” for the benefit of each Guarantor for all purposes of Section 1a(18)(A)(v)(II) of the Commodity Exchange Act.</w:t>
      </w:r>
    </w:p>
    <w:p>
      <w:pPr>
        <w:spacing w:after="0" w:line="181"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9.24 </w:t>
      </w:r>
      <w:r>
        <w:rPr>
          <w:rFonts w:ascii="Times New Roman" w:cs="Times New Roman" w:eastAsia="Times New Roman" w:hAnsi="Times New Roman"/>
          <w:sz w:val="21"/>
          <w:szCs w:val="21"/>
          <w:b w:val="1"/>
          <w:bCs w:val="1"/>
          <w:i w:val="1"/>
          <w:iCs w:val="1"/>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firstLine="1259"/>
        <w:spacing w:after="0" w:line="290" w:lineRule="auto"/>
        <w:tabs>
          <w:tab w:leader="none" w:pos="1792"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an Affected Resolution Authority to any such liabilities arising hereunder which may be payable to it by any party hereto that is an Affected Financial Institution; and</w:t>
      </w:r>
    </w:p>
    <w:p>
      <w:pPr>
        <w:spacing w:after="0" w:line="135" w:lineRule="exact"/>
        <w:rPr>
          <w:rFonts w:ascii="Times New Roman" w:cs="Times New Roman" w:eastAsia="Times New Roman" w:hAnsi="Times New Roman"/>
          <w:sz w:val="21"/>
          <w:szCs w:val="21"/>
          <w:color w:val="auto"/>
        </w:rPr>
      </w:pPr>
    </w:p>
    <w:p>
      <w:pPr>
        <w:ind w:left="1720" w:hanging="461"/>
        <w:spacing w:after="0"/>
        <w:tabs>
          <w:tab w:leader="none" w:pos="1720"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215" w:lineRule="exact"/>
        <w:rPr>
          <w:rFonts w:ascii="Times New Roman" w:cs="Times New Roman" w:eastAsia="Times New Roman" w:hAnsi="Times New Roman"/>
          <w:sz w:val="21"/>
          <w:szCs w:val="21"/>
          <w:color w:val="auto"/>
        </w:rPr>
      </w:pPr>
    </w:p>
    <w:p>
      <w:pPr>
        <w:ind w:left="2300" w:hanging="414"/>
        <w:spacing w:after="0"/>
        <w:tabs>
          <w:tab w:leader="none" w:pos="2300"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215" w:lineRule="exact"/>
        <w:rPr>
          <w:rFonts w:ascii="Times New Roman" w:cs="Times New Roman" w:eastAsia="Times New Roman" w:hAnsi="Times New Roman"/>
          <w:sz w:val="21"/>
          <w:szCs w:val="21"/>
          <w:color w:val="auto"/>
        </w:rPr>
      </w:pPr>
    </w:p>
    <w:p>
      <w:pPr>
        <w:jc w:val="both"/>
        <w:ind w:left="640" w:firstLine="1246"/>
        <w:spacing w:after="0" w:line="261" w:lineRule="auto"/>
        <w:tabs>
          <w:tab w:leader="none" w:pos="2423"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4" w:lineRule="exact"/>
        <w:rPr>
          <w:rFonts w:ascii="Times New Roman" w:cs="Times New Roman" w:eastAsia="Times New Roman" w:hAnsi="Times New Roman"/>
          <w:sz w:val="21"/>
          <w:szCs w:val="21"/>
          <w:color w:val="auto"/>
        </w:rPr>
      </w:pPr>
    </w:p>
    <w:p>
      <w:pPr>
        <w:ind w:left="640" w:firstLine="1246"/>
        <w:spacing w:after="0" w:line="277" w:lineRule="auto"/>
        <w:tabs>
          <w:tab w:leader="none" w:pos="2577"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any Affected Resolution Authority.</w:t>
      </w:r>
    </w:p>
    <w:p>
      <w:pPr>
        <w:spacing w:after="0" w:line="144"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9.25 </w:t>
      </w:r>
      <w:r>
        <w:rPr>
          <w:rFonts w:ascii="Times New Roman" w:cs="Times New Roman" w:eastAsia="Times New Roman" w:hAnsi="Times New Roman"/>
          <w:sz w:val="21"/>
          <w:szCs w:val="21"/>
          <w:b w:val="1"/>
          <w:bCs w:val="1"/>
          <w:i w:val="1"/>
          <w:iCs w:val="1"/>
          <w:color w:val="auto"/>
        </w:rPr>
        <w:t>Acknowledgment Regarding Any Supported QFCs</w:t>
      </w:r>
      <w:r>
        <w:rPr>
          <w:rFonts w:ascii="Times New Roman" w:cs="Times New Roman" w:eastAsia="Times New Roman" w:hAnsi="Times New Roman"/>
          <w:sz w:val="21"/>
          <w:szCs w:val="21"/>
          <w:color w:val="auto"/>
        </w:rPr>
        <w:t>. To the extent that the Loan Documents provide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support, through a guarantee or otherwise, for any agreement or instrument that is a QFC (such support “</w:t>
      </w:r>
      <w:r>
        <w:rPr>
          <w:rFonts w:ascii="Times New Roman" w:cs="Times New Roman" w:eastAsia="Times New Roman" w:hAnsi="Times New Roman"/>
          <w:sz w:val="21"/>
          <w:szCs w:val="21"/>
          <w:i w:val="1"/>
          <w:iCs w:val="1"/>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i w:val="1"/>
          <w:iCs w:val="1"/>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i w:val="1"/>
          <w:iCs w:val="1"/>
          <w:color w:val="auto"/>
        </w:rPr>
        <w:t>U.S. 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w:t>
      </w:r>
    </w:p>
    <w:p>
      <w:pPr>
        <w:sectPr>
          <w:pgSz w:w="11900" w:h="16838" w:orient="portrait"/>
          <w:cols w:equalWidth="0" w:num="1">
            <w:col w:w="11240"/>
          </w:cols>
          <w:pgMar w:left="320" w:top="1380" w:right="339" w:bottom="1440" w:gutter="0" w:footer="0" w:header="0"/>
        </w:sectPr>
      </w:pPr>
    </w:p>
    <w:bookmarkStart w:id="244" w:name="page245"/>
    <w:bookmarkEnd w:id="244"/>
    <w:p>
      <w:pPr>
        <w:spacing w:after="0" w:line="277" w:lineRule="auto"/>
        <w:rPr>
          <w:sz w:val="20"/>
          <w:szCs w:val="20"/>
          <w:color w:val="auto"/>
        </w:rPr>
      </w:pPr>
      <w:r>
        <w:rPr>
          <w:rFonts w:ascii="Times New Roman" w:cs="Times New Roman" w:eastAsia="Times New Roman" w:hAnsi="Times New Roman"/>
          <w:sz w:val="21"/>
          <w:szCs w:val="21"/>
          <w:color w:val="auto"/>
        </w:rPr>
        <w:t>that the Loan Documents and any Supported QFC may in fact be stated to be governed by the laws of the State of New York and/or of the United States or any other state of the United States):</w:t>
      </w:r>
    </w:p>
    <w:p>
      <w:pPr>
        <w:spacing w:after="0" w:line="146" w:lineRule="exact"/>
        <w:rPr>
          <w:sz w:val="20"/>
          <w:szCs w:val="20"/>
          <w:color w:val="auto"/>
        </w:rPr>
      </w:pPr>
    </w:p>
    <w:p>
      <w:pPr>
        <w:ind w:firstLine="632"/>
        <w:spacing w:after="0" w:line="252" w:lineRule="auto"/>
        <w:tabs>
          <w:tab w:leader="none" w:pos="1249"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i w:val="1"/>
          <w:iCs w:val="1"/>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sz w:val="20"/>
          <w:szCs w:val="20"/>
          <w:color w:val="auto"/>
        </w:rPr>
      </w:pPr>
    </w:p>
    <w:p>
      <w:pPr>
        <w:jc w:val="both"/>
        <w:ind w:firstLine="62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9.26 </w:t>
      </w:r>
      <w:r>
        <w:rPr>
          <w:rFonts w:ascii="Times New Roman" w:cs="Times New Roman" w:eastAsia="Times New Roman" w:hAnsi="Times New Roman"/>
          <w:sz w:val="21"/>
          <w:szCs w:val="21"/>
          <w:b w:val="1"/>
          <w:bCs w:val="1"/>
          <w:i w:val="1"/>
          <w:iCs w:val="1"/>
          <w:color w:val="auto"/>
        </w:rPr>
        <w:t>Recognition of Hong Kong Stay Power</w:t>
      </w:r>
      <w:r>
        <w:rPr>
          <w:rFonts w:ascii="Times New Roman" w:cs="Times New Roman" w:eastAsia="Times New Roman" w:hAnsi="Times New Roman"/>
          <w:sz w:val="21"/>
          <w:szCs w:val="21"/>
          <w:color w:val="auto"/>
        </w:rPr>
        <w:t>. Notwithstanding anything to the contrary in this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Loan Document or any other agreement, arrangement or understanding between the parties hereto relating to this Agreement, each of the parties hereto (other than any Excluded Counterparties) expressly agrees to be bound by any suspension of any termination right in relation to this Agreement imposed by the Resolution Authority in accordance with section 90(2) of the Financial Institutions (Resolution) Ordinance (Cap. 628) of Hong Kong, to the same extent as if this Agreement was governed by the laws of Hong Kong.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purpose of this Section 9.26: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Counterparty</w:t>
      </w:r>
      <w:r>
        <w:rPr>
          <w:rFonts w:ascii="Times New Roman" w:cs="Times New Roman" w:eastAsia="Times New Roman" w:hAnsi="Times New Roman"/>
          <w:sz w:val="21"/>
          <w:szCs w:val="21"/>
          <w:color w:val="auto"/>
        </w:rPr>
        <w:t>” means any person which is (a) a financial market infrastructure; (b) the Hong Kong Monetary Authority;</w:t>
      </w:r>
    </w:p>
    <w:p>
      <w:pPr>
        <w:spacing w:after="0" w:line="50" w:lineRule="exact"/>
        <w:rPr>
          <w:sz w:val="20"/>
          <w:szCs w:val="20"/>
          <w:color w:val="auto"/>
        </w:rPr>
      </w:pPr>
    </w:p>
    <w:p>
      <w:pPr>
        <w:ind w:left="300" w:hanging="295"/>
        <w:spacing w:after="0"/>
        <w:tabs>
          <w:tab w:leader="none" w:pos="300"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Government of the Hong Kong Special Administrative Region; (d) the government of a jurisdiction other than Hong Kong; or</w:t>
      </w:r>
    </w:p>
    <w:p>
      <w:pPr>
        <w:spacing w:after="0" w:line="46" w:lineRule="exact"/>
        <w:rPr>
          <w:rFonts w:ascii="Times New Roman" w:cs="Times New Roman" w:eastAsia="Times New Roman" w:hAnsi="Times New Roman"/>
          <w:sz w:val="21"/>
          <w:szCs w:val="21"/>
          <w:color w:val="auto"/>
        </w:rPr>
      </w:pPr>
    </w:p>
    <w:p>
      <w:pPr>
        <w:ind w:left="280" w:hanging="275"/>
        <w:spacing w:after="0"/>
        <w:tabs>
          <w:tab w:leader="none" w:pos="280"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central bank of a jurisdiction other than Hong Kong; and</w:t>
      </w:r>
    </w:p>
    <w:p>
      <w:pPr>
        <w:spacing w:after="0" w:line="16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Resolution Authority</w:t>
      </w:r>
      <w:r>
        <w:rPr>
          <w:rFonts w:ascii="Times New Roman" w:cs="Times New Roman" w:eastAsia="Times New Roman" w:hAnsi="Times New Roman"/>
          <w:sz w:val="21"/>
          <w:szCs w:val="21"/>
          <w:color w:val="auto"/>
        </w:rPr>
        <w:t>” means the resolution authority in Hong Kong in relation to a banking sector entity from time to time, which is currently the Hong Kong Monetary Authority.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[Remainder of this page intentionally left blank.] </w:t>
      </w:r>
      <w:r>
        <w:rPr>
          <w:rFonts w:ascii="Times New Roman" w:cs="Times New Roman" w:eastAsia="Times New Roman" w:hAnsi="Times New Roman"/>
          <w:sz w:val="19"/>
          <w:szCs w:val="19"/>
          <w:b w:val="1"/>
          <w:bCs w:val="1"/>
          <w:u w:val="single" w:color="auto"/>
          <w:color w:val="auto"/>
        </w:rPr>
        <w:t>Exhibit B-2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B-2 Form of Canadian Borrowing Request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(Attached)</w:t>
      </w:r>
    </w:p>
    <w:p>
      <w:pPr>
        <w:sectPr>
          <w:pgSz w:w="11900" w:h="16838" w:orient="portrait"/>
          <w:cols w:equalWidth="0" w:num="1">
            <w:col w:w="11240"/>
          </w:cols>
          <w:pgMar w:left="320" w:top="1380"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1"/>
          <w:szCs w:val="21"/>
          <w:color w:val="auto"/>
        </w:rPr>
        <w:t>EXHIBIT B-2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CANADIAN BORROWING REQUEST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Royal Bank of Canada, as Canadian Administrative Agent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Canadian Lenders referred to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155 Wellington Street West,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spacing w:after="0"/>
        <w:rPr>
          <w:sz w:val="20"/>
          <w:szCs w:val="20"/>
          <w:color w:val="auto"/>
        </w:rPr>
      </w:pPr>
      <w:r>
        <w:rPr>
          <w:rFonts w:ascii="Times New Roman" w:cs="Times New Roman" w:eastAsia="Times New Roman" w:hAnsi="Times New Roman"/>
          <w:sz w:val="21"/>
          <w:szCs w:val="21"/>
          <w:color w:val="auto"/>
        </w:rPr>
        <w:t>Toronto, Ontario M5V 3K7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Manager, Agency Services Group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of Agency Administration</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4" w:lineRule="exact"/>
        <w:rPr>
          <w:sz w:val="20"/>
          <w:szCs w:val="20"/>
          <w:color w:val="auto"/>
        </w:rPr>
      </w:pPr>
    </w:p>
    <w:p>
      <w:pPr>
        <w:jc w:val="both"/>
        <w:ind w:firstLine="627"/>
        <w:spacing w:after="0" w:line="253" w:lineRule="auto"/>
        <w:rPr>
          <w:sz w:val="20"/>
          <w:szCs w:val="20"/>
          <w:color w:val="auto"/>
        </w:rPr>
      </w:pPr>
      <w:r>
        <w:rPr>
          <w:rFonts w:ascii="Times New Roman" w:cs="Times New Roman" w:eastAsia="Times New Roman" w:hAnsi="Times New Roman"/>
          <w:sz w:val="21"/>
          <w:szCs w:val="21"/>
          <w:color w:val="auto"/>
        </w:rPr>
        <w:t>The undersigned, Civeo Corporation (the “</w:t>
      </w:r>
      <w:r>
        <w:rPr>
          <w:rFonts w:ascii="Times New Roman" w:cs="Times New Roman" w:eastAsia="Times New Roman" w:hAnsi="Times New Roman"/>
          <w:sz w:val="21"/>
          <w:szCs w:val="21"/>
          <w:i w:val="1"/>
          <w:iCs w:val="1"/>
          <w:color w:val="auto"/>
        </w:rPr>
        <w:t>Parent Borrower</w:t>
      </w:r>
      <w:r>
        <w:rPr>
          <w:rFonts w:ascii="Times New Roman" w:cs="Times New Roman" w:eastAsia="Times New Roman" w:hAnsi="Times New Roman"/>
          <w:sz w:val="21"/>
          <w:szCs w:val="21"/>
          <w:color w:val="auto"/>
        </w:rPr>
        <w:t>”), refers to the Syndicated Facility Agreement dated as of September 8, 2021 (as amended, supplemented or otherwise modified from time to time, the “</w:t>
      </w: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among the Parent Borrower, Civeo Management LLC, Civeo Pty Limited, the lenders from time to time party thereto (the “</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and Royal Bank of Canada, as administrative agent for the U.S. Lenders, as U.S. collateral agent for the Lenders, as administrative agent for the Canadian Lenders (in such capacity, the “</w:t>
      </w:r>
      <w:r>
        <w:rPr>
          <w:rFonts w:ascii="Times New Roman" w:cs="Times New Roman" w:eastAsia="Times New Roman" w:hAnsi="Times New Roman"/>
          <w:sz w:val="21"/>
          <w:szCs w:val="21"/>
          <w:i w:val="1"/>
          <w:iCs w:val="1"/>
          <w:color w:val="auto"/>
        </w:rPr>
        <w:t>Canadian Administrative Agent</w:t>
      </w:r>
      <w:r>
        <w:rPr>
          <w:rFonts w:ascii="Times New Roman" w:cs="Times New Roman" w:eastAsia="Times New Roman" w:hAnsi="Times New Roman"/>
          <w:sz w:val="21"/>
          <w:szCs w:val="21"/>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 The Parent Borrower hereby gives you notice pursuant to Section 2.03 of the Credit Agreement that it requests a Borrowing of Canadian Revolving Credit Loans under the Credit Agreement, and in that connection sets forth below the terms on which such Borrowing is requested to be made:</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color w:val="auto"/>
        </w:rPr>
        <w:t>Date of Borrowing</w:t>
      </w:r>
    </w:p>
    <w:p>
      <w:pPr>
        <w:spacing w:after="0" w:line="31" w:lineRule="exact"/>
        <w:rPr>
          <w:sz w:val="20"/>
          <w:szCs w:val="20"/>
          <w:color w:val="auto"/>
        </w:rPr>
      </w:pPr>
    </w:p>
    <w:p>
      <w:pPr>
        <w:ind w:left="640"/>
        <w:spacing w:after="0"/>
        <w:tabs>
          <w:tab w:leader="none" w:pos="3000" w:val="left"/>
        </w:tabs>
        <w:rPr>
          <w:sz w:val="20"/>
          <w:szCs w:val="20"/>
          <w:color w:val="auto"/>
        </w:rPr>
      </w:pPr>
      <w:r>
        <w:rPr>
          <w:rFonts w:ascii="Times New Roman" w:cs="Times New Roman" w:eastAsia="Times New Roman" w:hAnsi="Times New Roman"/>
          <w:sz w:val="21"/>
          <w:szCs w:val="21"/>
          <w:color w:val="auto"/>
        </w:rPr>
        <w:t>(which is a Business Day)</w:t>
      </w:r>
      <w:r>
        <w:rPr>
          <w:sz w:val="20"/>
          <w:szCs w:val="20"/>
          <w:color w:val="auto"/>
        </w:rPr>
        <w:tab/>
      </w:r>
      <w:r>
        <w:rPr>
          <w:rFonts w:ascii="Times New Roman" w:cs="Times New Roman" w:eastAsia="Times New Roman" w:hAnsi="Times New Roman"/>
          <w:sz w:val="20"/>
          <w:szCs w:val="20"/>
          <w:color w:val="auto"/>
        </w:rPr>
        <w:t>______________________</w:t>
      </w:r>
    </w:p>
    <w:p>
      <w:pPr>
        <w:spacing w:after="0" w:line="192" w:lineRule="exact"/>
        <w:rPr>
          <w:sz w:val="20"/>
          <w:szCs w:val="20"/>
          <w:color w:val="auto"/>
        </w:rPr>
      </w:pPr>
    </w:p>
    <w:p>
      <w:pPr>
        <w:ind w:left="500" w:hanging="495"/>
        <w:spacing w:after="0"/>
        <w:tabs>
          <w:tab w:leader="none" w:pos="500"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Principal Amount of</w:t>
      </w:r>
    </w:p>
    <w:p>
      <w:pPr>
        <w:sectPr>
          <w:pgSz w:w="11900" w:h="16838" w:orient="portrait"/>
          <w:cols w:equalWidth="0" w:num="1">
            <w:col w:w="11240"/>
          </w:cols>
          <w:pgMar w:left="320" w:top="1380" w:right="339" w:bottom="1440" w:gutter="0" w:footer="0" w:header="0"/>
        </w:sectPr>
      </w:pP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Borrowing</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00" w:lineRule="exact"/>
        <w:rPr>
          <w:sz w:val="20"/>
          <w:szCs w:val="20"/>
          <w:color w:val="auto"/>
        </w:rPr>
      </w:pPr>
    </w:p>
    <w:p>
      <w:pPr>
        <w:sectPr>
          <w:pgSz w:w="11900" w:h="16838" w:orient="portrait"/>
          <w:cols w:equalWidth="0" w:num="2">
            <w:col w:w="1600" w:space="680"/>
            <w:col w:w="8960"/>
          </w:cols>
          <w:pgMar w:left="320" w:top="1380" w:right="339" w:bottom="1440" w:gutter="0" w:footer="0" w:header="0"/>
          <w:type w:val="continuous"/>
        </w:sectPr>
      </w:pPr>
    </w:p>
    <w:p>
      <w:pPr>
        <w:spacing w:after="0" w:line="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0"/>
          <w:szCs w:val="20"/>
          <w:color w:val="auto"/>
        </w:rPr>
        <w:t>Type of Borrowing</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1659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08" w:lineRule="exact"/>
        <w:rPr>
          <w:sz w:val="20"/>
          <w:szCs w:val="20"/>
          <w:color w:val="auto"/>
        </w:rPr>
      </w:pPr>
    </w:p>
    <w:p>
      <w:pPr>
        <w:sectPr>
          <w:pgSz w:w="11900" w:h="16838" w:orient="portrait"/>
          <w:cols w:equalWidth="0" w:num="2">
            <w:col w:w="2160" w:space="420"/>
            <w:col w:w="8660"/>
          </w:cols>
          <w:pgMar w:left="320" w:top="1380" w:right="339" w:bottom="1440" w:gutter="0" w:footer="0" w:header="0"/>
          <w:type w:val="continuous"/>
        </w:sectPr>
      </w:pPr>
    </w:p>
    <w:p>
      <w:pPr>
        <w:spacing w:after="0" w:line="137" w:lineRule="exact"/>
        <w:rPr>
          <w:sz w:val="20"/>
          <w:szCs w:val="20"/>
          <w:color w:val="auto"/>
        </w:rPr>
      </w:pPr>
    </w:p>
    <w:p>
      <w:pPr>
        <w:ind w:left="640" w:right="300" w:hanging="635"/>
        <w:spacing w:after="0" w:line="235" w:lineRule="auto"/>
        <w:tabs>
          <w:tab w:leader="none" w:pos="103" w:val="left"/>
        </w:tabs>
        <w:numPr>
          <w:ilvl w:val="0"/>
          <w:numId w:val="29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an amount that is (i) in the case of Canadian dollar-denominated Loans (other than Term CORRA Loans), an integral multiple of C$100,000 and in a minimum amount of C$1,000,000, (ii) in the case of U.S. Base Rate Loans, an integral multiple of U.S.$100,000 and in a minimum amount of U.S.$1,000,000, (iii) in the case of SOFR Loans, an integral multiple of U.S.$1,000,000 and in a minimum amount of U.S.$3,000,000 or (iv) in the case of Term CORRA Loans, an integral multiple of C$1,000,000 and in a minimum amount of C$3,000,000.</w:t>
      </w:r>
    </w:p>
    <w:p>
      <w:pPr>
        <w:spacing w:after="0" w:line="71" w:lineRule="exact"/>
        <w:rPr>
          <w:sz w:val="20"/>
          <w:szCs w:val="20"/>
          <w:color w:val="auto"/>
        </w:rPr>
      </w:pPr>
    </w:p>
    <w:p>
      <w:pPr>
        <w:ind w:left="100" w:hanging="95"/>
        <w:spacing w:after="0"/>
        <w:tabs>
          <w:tab w:leader="none" w:pos="100" w:val="left"/>
        </w:tabs>
        <w:numPr>
          <w:ilvl w:val="0"/>
          <w:numId w:val="29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Specify Term CORRA Borrowing, Canadian Prime Rate Borrowing, U.S. Base Rate Borrowing or SOFR Borrowing.</w:t>
      </w:r>
    </w:p>
    <w:p>
      <w:pPr>
        <w:sectPr>
          <w:pgSz w:w="11900" w:h="16838" w:orient="portrait"/>
          <w:cols w:equalWidth="0" w:num="1">
            <w:col w:w="11240"/>
          </w:cols>
          <w:pgMar w:left="320" w:top="1380" w:right="339" w:bottom="1440" w:gutter="0" w:footer="0" w:header="0"/>
          <w:type w:val="continuous"/>
        </w:sectPr>
      </w:pPr>
    </w:p>
    <w:bookmarkStart w:id="246" w:name="page247"/>
    <w:bookmarkEnd w:id="246"/>
    <w:p>
      <w:pPr>
        <w:spacing w:after="0"/>
        <w:tabs>
          <w:tab w:leader="none" w:pos="480" w:val="left"/>
        </w:tabs>
        <w:rPr>
          <w:sz w:val="20"/>
          <w:szCs w:val="20"/>
          <w:color w:val="auto"/>
        </w:rPr>
      </w:pPr>
      <w:r>
        <w:rPr>
          <w:rFonts w:ascii="Times New Roman" w:cs="Times New Roman" w:eastAsia="Times New Roman" w:hAnsi="Times New Roman"/>
          <w:sz w:val="21"/>
          <w:szCs w:val="21"/>
          <w:color w:val="auto"/>
        </w:rPr>
        <w:t>(D)</w:t>
        <w:tab/>
        <w:t>Interest Period</w:t>
      </w:r>
      <w:r>
        <w:rPr>
          <w:rFonts w:ascii="Times New Roman" w:cs="Times New Roman" w:eastAsia="Times New Roman" w:hAnsi="Times New Roman"/>
          <w:sz w:val="13"/>
          <w:szCs w:val="13"/>
          <w:color w:val="auto"/>
        </w:rPr>
        <w:t>4</w:t>
      </w:r>
      <w:r>
        <w:rPr>
          <w:rFonts w:ascii="Times New Roman" w:cs="Times New Roman" w:eastAsia="Times New Roman" w:hAnsi="Times New Roman"/>
          <w:sz w:val="21"/>
          <w:szCs w:val="21"/>
          <w:color w:val="auto"/>
        </w:rPr>
        <w:t xml:space="preserve"> and</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last day thereof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24" w:lineRule="exact"/>
        <w:rPr>
          <w:sz w:val="20"/>
          <w:szCs w:val="20"/>
          <w:color w:val="auto"/>
        </w:rPr>
      </w:pPr>
    </w:p>
    <w:p>
      <w:pPr>
        <w:sectPr>
          <w:pgSz w:w="11900" w:h="16838" w:orient="portrait"/>
          <w:cols w:equalWidth="0" w:num="2">
            <w:col w:w="2220" w:space="420"/>
            <w:col w:w="8600"/>
          </w:cols>
          <w:pgMar w:left="320" w:top="1377" w:right="339" w:bottom="1440" w:gutter="0" w:footer="0" w:header="0"/>
        </w:sectPr>
      </w:pPr>
    </w:p>
    <w:p>
      <w:pPr>
        <w:spacing w:after="0" w:line="3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0"/>
          <w:szCs w:val="20"/>
          <w:color w:val="auto"/>
        </w:rPr>
        <w:t>Funds are requested to be disbursed to the Canadian Parent’s account[s] with:</w:t>
      </w:r>
    </w:p>
    <w:p>
      <w:pPr>
        <w:spacing w:after="0" w:line="229" w:lineRule="exact"/>
        <w:rPr>
          <w:sz w:val="20"/>
          <w:szCs w:val="20"/>
          <w:color w:val="auto"/>
        </w:rPr>
      </w:pPr>
    </w:p>
    <w:p>
      <w:pPr>
        <w:ind w:left="1420"/>
        <w:spacing w:after="0"/>
        <w:tabs>
          <w:tab w:leader="none" w:pos="2700" w:val="left"/>
        </w:tabs>
        <w:rPr>
          <w:sz w:val="20"/>
          <w:szCs w:val="20"/>
          <w:color w:val="auto"/>
        </w:rPr>
      </w:pPr>
      <w:r>
        <w:rPr>
          <w:rFonts w:ascii="Times New Roman" w:cs="Times New Roman" w:eastAsia="Times New Roman" w:hAnsi="Times New Roman"/>
          <w:sz w:val="21"/>
          <w:szCs w:val="21"/>
          <w:color w:val="auto"/>
        </w:rPr>
        <w:t>Bank Name:</w:t>
      </w:r>
      <w:r>
        <w:rPr>
          <w:sz w:val="20"/>
          <w:szCs w:val="20"/>
          <w:color w:val="auto"/>
        </w:rPr>
        <w:tab/>
      </w:r>
      <w:r>
        <w:rPr>
          <w:rFonts w:ascii="Times New Roman" w:cs="Times New Roman" w:eastAsia="Times New Roman" w:hAnsi="Times New Roman"/>
          <w:sz w:val="20"/>
          <w:szCs w:val="20"/>
          <w:color w:val="auto"/>
        </w:rPr>
        <w:t>______________________</w:t>
      </w:r>
    </w:p>
    <w:p>
      <w:pPr>
        <w:spacing w:after="0" w:line="216" w:lineRule="exact"/>
        <w:rPr>
          <w:sz w:val="20"/>
          <w:szCs w:val="20"/>
          <w:color w:val="auto"/>
        </w:rPr>
      </w:pPr>
    </w:p>
    <w:p>
      <w:pPr>
        <w:ind w:left="1420"/>
        <w:spacing w:after="0"/>
        <w:tabs>
          <w:tab w:leader="none" w:pos="2840" w:val="left"/>
        </w:tabs>
        <w:rPr>
          <w:sz w:val="20"/>
          <w:szCs w:val="20"/>
          <w:color w:val="auto"/>
        </w:rPr>
      </w:pPr>
      <w:r>
        <w:rPr>
          <w:rFonts w:ascii="Times New Roman" w:cs="Times New Roman" w:eastAsia="Times New Roman" w:hAnsi="Times New Roman"/>
          <w:sz w:val="21"/>
          <w:szCs w:val="21"/>
          <w:color w:val="auto"/>
        </w:rPr>
        <w:t>Bank Address:</w:t>
      </w:r>
      <w:r>
        <w:rPr>
          <w:sz w:val="20"/>
          <w:szCs w:val="20"/>
          <w:color w:val="auto"/>
        </w:rPr>
        <w:tab/>
      </w:r>
      <w:r>
        <w:rPr>
          <w:rFonts w:ascii="Times New Roman" w:cs="Times New Roman" w:eastAsia="Times New Roman" w:hAnsi="Times New Roman"/>
          <w:sz w:val="20"/>
          <w:szCs w:val="20"/>
          <w:color w:val="auto"/>
        </w:rPr>
        <w:t>______________________</w:t>
      </w:r>
    </w:p>
    <w:p>
      <w:pPr>
        <w:spacing w:after="0" w:line="216" w:lineRule="exact"/>
        <w:rPr>
          <w:sz w:val="20"/>
          <w:szCs w:val="20"/>
          <w:color w:val="auto"/>
        </w:rPr>
      </w:pPr>
    </w:p>
    <w:p>
      <w:pPr>
        <w:ind w:left="1420"/>
        <w:spacing w:after="0"/>
        <w:tabs>
          <w:tab w:leader="none" w:pos="3100" w:val="left"/>
        </w:tabs>
        <w:rPr>
          <w:sz w:val="20"/>
          <w:szCs w:val="20"/>
          <w:color w:val="auto"/>
        </w:rPr>
      </w:pPr>
      <w:r>
        <w:rPr>
          <w:rFonts w:ascii="Times New Roman" w:cs="Times New Roman" w:eastAsia="Times New Roman" w:hAnsi="Times New Roman"/>
          <w:sz w:val="21"/>
          <w:szCs w:val="21"/>
          <w:color w:val="auto"/>
        </w:rPr>
        <w:t>Account Number:</w:t>
      </w:r>
      <w:r>
        <w:rPr>
          <w:sz w:val="20"/>
          <w:szCs w:val="20"/>
          <w:color w:val="auto"/>
        </w:rPr>
        <w:tab/>
      </w:r>
      <w:r>
        <w:rPr>
          <w:rFonts w:ascii="Times New Roman" w:cs="Times New Roman" w:eastAsia="Times New Roman" w:hAnsi="Times New Roman"/>
          <w:sz w:val="20"/>
          <w:szCs w:val="20"/>
          <w:color w:val="auto"/>
        </w:rPr>
        <w:t>______________________</w:t>
      </w:r>
    </w:p>
    <w:p>
      <w:pPr>
        <w:spacing w:after="0" w:line="216" w:lineRule="exact"/>
        <w:rPr>
          <w:sz w:val="20"/>
          <w:szCs w:val="20"/>
          <w:color w:val="auto"/>
        </w:rPr>
      </w:pPr>
    </w:p>
    <w:p>
      <w:pPr>
        <w:jc w:val="both"/>
        <w:ind w:firstLine="627"/>
        <w:spacing w:after="0" w:line="259" w:lineRule="auto"/>
        <w:rPr>
          <w:sz w:val="20"/>
          <w:szCs w:val="20"/>
          <w:color w:val="auto"/>
        </w:rPr>
      </w:pPr>
      <w:r>
        <w:rPr>
          <w:rFonts w:ascii="Times New Roman" w:cs="Times New Roman" w:eastAsia="Times New Roman" w:hAnsi="Times New Roman"/>
          <w:sz w:val="21"/>
          <w:szCs w:val="21"/>
          <w:color w:val="auto"/>
        </w:rPr>
        <w:t>The undersigned Parent Borrower hereby represents and warrants to the Agents and the Lenders that, on the date of this Borrowing Request and on the date of the related Borrowing, the conditions to lending specified in Sections 4.01(b), (c), (d) and (e) of the Credit Agreement have been satisfied.</w:t>
      </w:r>
    </w:p>
    <w:p>
      <w:pPr>
        <w:ind w:left="3760"/>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19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2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Title: [Responsible Officer]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B-5</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B-5 Form of Prepayment Notice</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(Attached) </w:t>
      </w:r>
      <w:r>
        <w:rPr>
          <w:rFonts w:ascii="Times New Roman" w:cs="Times New Roman" w:eastAsia="Times New Roman" w:hAnsi="Times New Roman"/>
          <w:sz w:val="20"/>
          <w:szCs w:val="20"/>
          <w:color w:val="auto"/>
        </w:rPr>
        <w:t>EXHIBIT B-5</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PREPAYMENT NOTICE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[Royal Bank of Canada, as Administrative Agent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Lenders referred to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[Royal Bank of Canada, as Canadian Administrative Agent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Canadian Lenders referred to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155 Wellington Street West,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spacing w:after="0"/>
        <w:rPr>
          <w:sz w:val="20"/>
          <w:szCs w:val="20"/>
          <w:color w:val="auto"/>
        </w:rPr>
      </w:pPr>
      <w:r>
        <w:rPr>
          <w:rFonts w:ascii="Times New Roman" w:cs="Times New Roman" w:eastAsia="Times New Roman" w:hAnsi="Times New Roman"/>
          <w:sz w:val="21"/>
          <w:szCs w:val="21"/>
          <w:color w:val="auto"/>
        </w:rPr>
        <w:t>Toronto, Ontario M5V 3K7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Manager, Agency Services Group]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[RBC Europe Limited, as Australian Administrative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1659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261" w:lineRule="exact"/>
        <w:rPr>
          <w:sz w:val="20"/>
          <w:szCs w:val="20"/>
          <w:color w:val="auto"/>
        </w:rPr>
      </w:pPr>
    </w:p>
    <w:p>
      <w:pPr>
        <w:ind w:left="100" w:hanging="95"/>
        <w:spacing w:after="0"/>
        <w:tabs>
          <w:tab w:leader="none" w:pos="100" w:val="left"/>
        </w:tabs>
        <w:numPr>
          <w:ilvl w:val="0"/>
          <w:numId w:val="29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Which shall be subject to the definition of “Interest Period” and end not later than the Maturity Date (applicable for SOFR Borrowings and Term CORRA Borrowings only).</w:t>
      </w:r>
    </w:p>
    <w:p>
      <w:pPr>
        <w:sectPr>
          <w:pgSz w:w="11900" w:h="16838" w:orient="portrait"/>
          <w:cols w:equalWidth="0" w:num="1">
            <w:col w:w="11240"/>
          </w:cols>
          <w:pgMar w:left="320" w:top="1377" w:right="339" w:bottom="1440" w:gutter="0" w:footer="0" w:header="0"/>
          <w:type w:val="continuous"/>
        </w:sectPr>
      </w:pPr>
    </w:p>
    <w:bookmarkStart w:id="247" w:name="page248"/>
    <w:bookmarkEnd w:id="247"/>
    <w:p>
      <w:pPr>
        <w:spacing w:after="0"/>
        <w:rPr>
          <w:sz w:val="20"/>
          <w:szCs w:val="20"/>
          <w:color w:val="auto"/>
        </w:rPr>
      </w:pPr>
      <w:r>
        <w:rPr>
          <w:rFonts w:ascii="Times New Roman" w:cs="Times New Roman" w:eastAsia="Times New Roman" w:hAnsi="Times New Roman"/>
          <w:sz w:val="21"/>
          <w:szCs w:val="21"/>
          <w:color w:val="auto"/>
        </w:rPr>
        <w:t>the Australian Lenders referred to below,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RBC Europe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Thames Court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One Queenhithe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London, EC4V 3DQ, 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of Manager Loans Agency]</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7" w:lineRule="exact"/>
        <w:rPr>
          <w:sz w:val="20"/>
          <w:szCs w:val="20"/>
          <w:color w:val="auto"/>
        </w:rPr>
      </w:pPr>
    </w:p>
    <w:p>
      <w:pPr>
        <w:jc w:val="both"/>
        <w:ind w:firstLine="627"/>
        <w:spacing w:after="0" w:line="251" w:lineRule="auto"/>
        <w:rPr>
          <w:sz w:val="20"/>
          <w:szCs w:val="20"/>
          <w:color w:val="auto"/>
        </w:rPr>
      </w:pPr>
      <w:r>
        <w:rPr>
          <w:rFonts w:ascii="Times New Roman" w:cs="Times New Roman" w:eastAsia="Times New Roman" w:hAnsi="Times New Roman"/>
          <w:sz w:val="21"/>
          <w:szCs w:val="21"/>
          <w:color w:val="auto"/>
        </w:rPr>
        <w:t>The undersigned, [Civeo Management LLC (the “</w:t>
      </w:r>
      <w:r>
        <w:rPr>
          <w:rFonts w:ascii="Times New Roman" w:cs="Times New Roman" w:eastAsia="Times New Roman" w:hAnsi="Times New Roman"/>
          <w:sz w:val="21"/>
          <w:szCs w:val="21"/>
          <w:i w:val="1"/>
          <w:iCs w:val="1"/>
          <w:color w:val="auto"/>
        </w:rPr>
        <w:t>U.S. Borrower</w:t>
      </w:r>
      <w:r>
        <w:rPr>
          <w:rFonts w:ascii="Times New Roman" w:cs="Times New Roman" w:eastAsia="Times New Roman" w:hAnsi="Times New Roman"/>
          <w:sz w:val="21"/>
          <w:szCs w:val="21"/>
          <w:color w:val="auto"/>
        </w:rPr>
        <w:t>”)][Civeo Corporation (the “</w:t>
      </w:r>
      <w:r>
        <w:rPr>
          <w:rFonts w:ascii="Times New Roman" w:cs="Times New Roman" w:eastAsia="Times New Roman" w:hAnsi="Times New Roman"/>
          <w:sz w:val="21"/>
          <w:szCs w:val="21"/>
          <w:i w:val="1"/>
          <w:iCs w:val="1"/>
          <w:color w:val="auto"/>
        </w:rPr>
        <w:t>Parent Borrower</w:t>
      </w:r>
      <w:r>
        <w:rPr>
          <w:rFonts w:ascii="Times New Roman" w:cs="Times New Roman" w:eastAsia="Times New Roman" w:hAnsi="Times New Roman"/>
          <w:sz w:val="21"/>
          <w:szCs w:val="21"/>
          <w:color w:val="auto"/>
        </w:rPr>
        <w:t>”)] [Civeo Pty Limited (the “</w:t>
      </w:r>
      <w:r>
        <w:rPr>
          <w:rFonts w:ascii="Times New Roman" w:cs="Times New Roman" w:eastAsia="Times New Roman" w:hAnsi="Times New Roman"/>
          <w:sz w:val="21"/>
          <w:szCs w:val="21"/>
          <w:i w:val="1"/>
          <w:iCs w:val="1"/>
          <w:color w:val="auto"/>
        </w:rPr>
        <w:t>Australian Borrower</w:t>
      </w:r>
      <w:r>
        <w:rPr>
          <w:rFonts w:ascii="Times New Roman" w:cs="Times New Roman" w:eastAsia="Times New Roman" w:hAnsi="Times New Roman"/>
          <w:sz w:val="21"/>
          <w:szCs w:val="21"/>
          <w:color w:val="auto"/>
        </w:rPr>
        <w:t>”)], refers to the Syndicated Facility Agreement dated as of September 8, 2021 (as amended, supplemented or otherwise modified from time to time, the “</w:t>
      </w: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among the [U.S. Borrower, Civeo Corporation, Civeo Pty Limited][Civeo Management LLC, the Parent Borrower, Civeo Pty Limited][Civeo Management LLC, Civeo Corporation, Civeo Pty Limited][Civeo Management LLC, Civeo Corporation, the Australian Borrower], the lenders from time to time party thereto (the “</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and Royal Bank of Canada, as administrative agent for the U.S. Lenders (in such capacity, the “</w:t>
      </w:r>
      <w:r>
        <w:rPr>
          <w:rFonts w:ascii="Times New Roman" w:cs="Times New Roman" w:eastAsia="Times New Roman" w:hAnsi="Times New Roman"/>
          <w:sz w:val="21"/>
          <w:szCs w:val="21"/>
          <w:i w:val="1"/>
          <w:iCs w:val="1"/>
          <w:color w:val="auto"/>
        </w:rPr>
        <w:t>Administrative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Agent</w:t>
      </w:r>
      <w:r>
        <w:rPr>
          <w:rFonts w:ascii="Times New Roman" w:cs="Times New Roman" w:eastAsia="Times New Roman" w:hAnsi="Times New Roman"/>
          <w:sz w:val="21"/>
          <w:szCs w:val="21"/>
          <w:color w:val="auto"/>
        </w:rPr>
        <w:t>”), as U.S. collateral agent for the Lenders, as administrative agent for the Canadian Lenders (in such capacity, the “</w:t>
      </w:r>
      <w:r>
        <w:rPr>
          <w:rFonts w:ascii="Times New Roman" w:cs="Times New Roman" w:eastAsia="Times New Roman" w:hAnsi="Times New Roman"/>
          <w:sz w:val="21"/>
          <w:szCs w:val="21"/>
          <w:i w:val="1"/>
          <w:iCs w:val="1"/>
          <w:color w:val="auto"/>
        </w:rPr>
        <w:t>Canadian Administrative Agent</w:t>
      </w:r>
      <w:r>
        <w:rPr>
          <w:rFonts w:ascii="Times New Roman" w:cs="Times New Roman" w:eastAsia="Times New Roman" w:hAnsi="Times New Roman"/>
          <w:sz w:val="21"/>
          <w:szCs w:val="21"/>
          <w:color w:val="auto"/>
        </w:rPr>
        <w:t>”) and as Canadian collateral agent for the Lenders, and RBC Europe Limited, as administrative agent for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Australian Lenders and as Australian collateral agent for the Lenders. Capitalized terms used herein and not otherwise defined herein shall have the meanings assigned to such terms in the Credit Agreement. The [U.S. Borrower][Parent Borrower][Australian Borrower] hereby gives you notice pursuant to Section 2.11 of the Credit Agreement that it will prepay outstanding [U.S. Revolving Credit Loans] [Canadian Revolving Credit Loans][Australian Revolving Credit Loans][U.S. Swing Line Loans][Canadian Swing Line Loans] in the amount and on the terms set forth below:</w:t>
      </w:r>
    </w:p>
    <w:p>
      <w:pPr>
        <w:sectPr>
          <w:pgSz w:w="11900" w:h="16838" w:orient="portrait"/>
          <w:cols w:equalWidth="0" w:num="1">
            <w:col w:w="11240"/>
          </w:cols>
          <w:pgMar w:left="320" w:top="1380" w:right="339" w:bottom="1440" w:gutter="0" w:footer="0" w:header="0"/>
        </w:sectPr>
      </w:pPr>
    </w:p>
    <w:p>
      <w:pPr>
        <w:spacing w:after="0" w:line="1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color w:val="auto"/>
        </w:rPr>
        <w:t>Date of prepayment</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(which is a Business 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24" w:lineRule="exact"/>
        <w:rPr>
          <w:sz w:val="20"/>
          <w:szCs w:val="20"/>
          <w:color w:val="auto"/>
        </w:rPr>
      </w:pPr>
    </w:p>
    <w:p>
      <w:pPr>
        <w:sectPr>
          <w:pgSz w:w="11900" w:h="16838" w:orient="portrait"/>
          <w:cols w:equalWidth="0" w:num="2">
            <w:col w:w="2820" w:space="420"/>
            <w:col w:w="8000"/>
          </w:cols>
          <w:pgMar w:left="320" w:top="1380" w:right="339" w:bottom="1440" w:gutter="0" w:footer="0" w:header="0"/>
          <w:type w:val="continuous"/>
        </w:sectPr>
      </w:pPr>
    </w:p>
    <w:p>
      <w:pPr>
        <w:spacing w:after="0" w:line="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0"/>
          <w:szCs w:val="20"/>
          <w:color w:val="auto"/>
        </w:rPr>
        <w:t>Amount of 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11" w:lineRule="exact"/>
        <w:rPr>
          <w:sz w:val="20"/>
          <w:szCs w:val="20"/>
          <w:color w:val="auto"/>
        </w:rPr>
      </w:pPr>
    </w:p>
    <w:p>
      <w:pPr>
        <w:sectPr>
          <w:pgSz w:w="11900" w:h="16838" w:orient="portrait"/>
          <w:cols w:equalWidth="0" w:num="2">
            <w:col w:w="2440" w:space="420"/>
            <w:col w:w="8380"/>
          </w:cols>
          <w:pgMar w:left="320" w:top="1380" w:right="339" w:bottom="1440" w:gutter="0" w:footer="0" w:header="0"/>
          <w:type w:val="continuous"/>
        </w:sectPr>
      </w:pPr>
    </w:p>
    <w:p>
      <w:pPr>
        <w:spacing w:after="0" w:line="29" w:lineRule="exact"/>
        <w:rPr>
          <w:sz w:val="20"/>
          <w:szCs w:val="20"/>
          <w:color w:val="auto"/>
        </w:rPr>
      </w:pPr>
    </w:p>
    <w:p>
      <w:pPr>
        <w:ind w:left="220" w:right="9020" w:hanging="215"/>
        <w:spacing w:after="0" w:line="271" w:lineRule="auto"/>
        <w:tabs>
          <w:tab w:leader="none" w:pos="495"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Loan (ABR, SOFR, Term CORRA</w:t>
      </w:r>
    </w:p>
    <w:p>
      <w:pPr>
        <w:spacing w:after="0" w:line="1"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Canadian Prime Rate,</w:t>
      </w:r>
    </w:p>
    <w:p>
      <w:pPr>
        <w:spacing w:after="0" w:line="7" w:lineRule="exact"/>
        <w:rPr>
          <w:sz w:val="20"/>
          <w:szCs w:val="20"/>
          <w:color w:val="auto"/>
        </w:rPr>
      </w:pPr>
    </w:p>
    <w:p>
      <w:pPr>
        <w:ind w:left="220"/>
        <w:spacing w:after="0"/>
        <w:tabs>
          <w:tab w:leader="none" w:pos="2080" w:val="left"/>
        </w:tabs>
        <w:rPr>
          <w:sz w:val="20"/>
          <w:szCs w:val="20"/>
          <w:color w:val="auto"/>
        </w:rPr>
      </w:pPr>
      <w:r>
        <w:rPr>
          <w:rFonts w:ascii="Times New Roman" w:cs="Times New Roman" w:eastAsia="Times New Roman" w:hAnsi="Times New Roman"/>
          <w:sz w:val="21"/>
          <w:szCs w:val="21"/>
          <w:color w:val="auto"/>
        </w:rPr>
        <w:t>BBSY Rate)</w:t>
      </w:r>
      <w:r>
        <w:rPr>
          <w:sz w:val="20"/>
          <w:szCs w:val="20"/>
          <w:color w:val="auto"/>
        </w:rPr>
        <w:tab/>
      </w:r>
      <w:r>
        <w:rPr>
          <w:rFonts w:ascii="Times New Roman" w:cs="Times New Roman" w:eastAsia="Times New Roman" w:hAnsi="Times New Roman"/>
          <w:sz w:val="20"/>
          <w:szCs w:val="20"/>
          <w:color w:val="auto"/>
        </w:rPr>
        <w:t>______________________</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[CIVEO MANAGEMENT LLC</w:t>
      </w: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w:t>
      </w:r>
    </w:p>
    <w:p>
      <w:pPr>
        <w:sectPr>
          <w:pgSz w:w="11900" w:h="16838" w:orient="portrait"/>
          <w:cols w:equalWidth="0" w:num="1">
            <w:col w:w="11240"/>
          </w:cols>
          <w:pgMar w:left="320" w:top="1380" w:right="339" w:bottom="1440" w:gutter="0" w:footer="0" w:header="0"/>
          <w:type w:val="continuous"/>
        </w:sectPr>
      </w:pPr>
    </w:p>
    <w:bookmarkStart w:id="248" w:name="page249"/>
    <w:bookmarkEnd w:id="248"/>
    <w:p>
      <w:pPr>
        <w:ind w:left="4080"/>
        <w:spacing w:after="0"/>
        <w:rPr>
          <w:sz w:val="20"/>
          <w:szCs w:val="20"/>
          <w:color w:val="auto"/>
        </w:rPr>
      </w:pPr>
      <w:r>
        <w:rPr>
          <w:rFonts w:ascii="Times New Roman" w:cs="Times New Roman" w:eastAsia="Times New Roman" w:hAnsi="Times New Roman"/>
          <w:sz w:val="21"/>
          <w:szCs w:val="21"/>
          <w:color w:val="auto"/>
        </w:rPr>
        <w:t>Title: [Responsible Officer]]</w:t>
      </w: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[CIVEO CORPORATION</w:t>
      </w: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Title: [Responsible Officer]]</w:t>
      </w:r>
    </w:p>
    <w:p>
      <w:pPr>
        <w:spacing w:after="0" w:line="200" w:lineRule="exact"/>
        <w:rPr>
          <w:sz w:val="20"/>
          <w:szCs w:val="20"/>
          <w:color w:val="auto"/>
        </w:rPr>
      </w:pPr>
    </w:p>
    <w:p>
      <w:pPr>
        <w:spacing w:after="0" w:line="20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[CIVEO PTY LIMITED</w:t>
      </w: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Title: [Responsible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B-6</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B-6 Form of Conversion/Continuation Notice</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 xml:space="preserve">(Attached) </w:t>
      </w:r>
      <w:r>
        <w:rPr>
          <w:rFonts w:ascii="Times New Roman" w:cs="Times New Roman" w:eastAsia="Times New Roman" w:hAnsi="Times New Roman"/>
          <w:sz w:val="20"/>
          <w:szCs w:val="20"/>
          <w:color w:val="auto"/>
        </w:rPr>
        <w:t>EXHIBIT B-6</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CONVERSION/CONTINUATION NOTICE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[Royal Bank of Canada, as Administrative Agent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Lenders referred to below,]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[Royal Bank of Canada, as Canadian Administrative Agent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Canadian Lenders referred to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155 Wellington Street West,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spacing w:after="0"/>
        <w:rPr>
          <w:sz w:val="20"/>
          <w:szCs w:val="20"/>
          <w:color w:val="auto"/>
        </w:rPr>
      </w:pPr>
      <w:r>
        <w:rPr>
          <w:rFonts w:ascii="Times New Roman" w:cs="Times New Roman" w:eastAsia="Times New Roman" w:hAnsi="Times New Roman"/>
          <w:sz w:val="21"/>
          <w:szCs w:val="21"/>
          <w:color w:val="auto"/>
        </w:rPr>
        <w:t>Toronto, Ontario M5V 3K7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Manager, Agency Services Group]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[RBC Europe Limited, as Australian Administrative Agent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Australian Lenders referred to below,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RBC Europe Limited</w:t>
      </w:r>
    </w:p>
    <w:p>
      <w:pPr>
        <w:sectPr>
          <w:pgSz w:w="11900" w:h="16838" w:orient="portrait"/>
          <w:cols w:equalWidth="0" w:num="1">
            <w:col w:w="11240"/>
          </w:cols>
          <w:pgMar w:left="320" w:top="1380"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1"/>
          <w:szCs w:val="21"/>
          <w:color w:val="auto"/>
        </w:rPr>
        <w:t>Thames Court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One Queenhithe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London, EC4V 3DQ, United Kingdom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of Manager Loans Agency]</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4" w:lineRule="exact"/>
        <w:rPr>
          <w:sz w:val="20"/>
          <w:szCs w:val="20"/>
          <w:color w:val="auto"/>
        </w:rPr>
      </w:pPr>
    </w:p>
    <w:p>
      <w:pPr>
        <w:jc w:val="both"/>
        <w:ind w:left="100" w:right="100" w:firstLine="627"/>
        <w:spacing w:after="0" w:line="253" w:lineRule="auto"/>
        <w:rPr>
          <w:sz w:val="20"/>
          <w:szCs w:val="20"/>
          <w:color w:val="auto"/>
        </w:rPr>
      </w:pPr>
      <w:r>
        <w:rPr>
          <w:rFonts w:ascii="Times New Roman" w:cs="Times New Roman" w:eastAsia="Times New Roman" w:hAnsi="Times New Roman"/>
          <w:sz w:val="21"/>
          <w:szCs w:val="21"/>
          <w:color w:val="auto"/>
        </w:rPr>
        <w:t>The undersigned, [Civeo Management LLC (the “</w:t>
      </w:r>
      <w:r>
        <w:rPr>
          <w:rFonts w:ascii="Times New Roman" w:cs="Times New Roman" w:eastAsia="Times New Roman" w:hAnsi="Times New Roman"/>
          <w:sz w:val="21"/>
          <w:szCs w:val="21"/>
          <w:i w:val="1"/>
          <w:iCs w:val="1"/>
          <w:color w:val="auto"/>
        </w:rPr>
        <w:t>U.S. Borrower</w:t>
      </w:r>
      <w:r>
        <w:rPr>
          <w:rFonts w:ascii="Times New Roman" w:cs="Times New Roman" w:eastAsia="Times New Roman" w:hAnsi="Times New Roman"/>
          <w:sz w:val="21"/>
          <w:szCs w:val="21"/>
          <w:color w:val="auto"/>
        </w:rPr>
        <w:t>”)][Civeo Corporation (the “</w:t>
      </w:r>
      <w:r>
        <w:rPr>
          <w:rFonts w:ascii="Times New Roman" w:cs="Times New Roman" w:eastAsia="Times New Roman" w:hAnsi="Times New Roman"/>
          <w:sz w:val="21"/>
          <w:szCs w:val="21"/>
          <w:i w:val="1"/>
          <w:iCs w:val="1"/>
          <w:color w:val="auto"/>
        </w:rPr>
        <w:t>Parent Borrower</w:t>
      </w:r>
      <w:r>
        <w:rPr>
          <w:rFonts w:ascii="Times New Roman" w:cs="Times New Roman" w:eastAsia="Times New Roman" w:hAnsi="Times New Roman"/>
          <w:sz w:val="21"/>
          <w:szCs w:val="21"/>
          <w:color w:val="auto"/>
        </w:rPr>
        <w:t>”)] [Civeo Pty Limited (the “</w:t>
      </w:r>
      <w:r>
        <w:rPr>
          <w:rFonts w:ascii="Times New Roman" w:cs="Times New Roman" w:eastAsia="Times New Roman" w:hAnsi="Times New Roman"/>
          <w:sz w:val="21"/>
          <w:szCs w:val="21"/>
          <w:i w:val="1"/>
          <w:iCs w:val="1"/>
          <w:color w:val="auto"/>
        </w:rPr>
        <w:t>Australian Borrower</w:t>
      </w:r>
      <w:r>
        <w:rPr>
          <w:rFonts w:ascii="Times New Roman" w:cs="Times New Roman" w:eastAsia="Times New Roman" w:hAnsi="Times New Roman"/>
          <w:sz w:val="21"/>
          <w:szCs w:val="21"/>
          <w:color w:val="auto"/>
        </w:rPr>
        <w:t>”)], refers to the Syndicated Facility Agreement dated as of September 8, 2021 (as amended, supplemented or otherwise modified from time to time, the “</w:t>
      </w: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among the [U.S. Borrower, Civeo Corporation, Civeo Pty Limited][Civeo Management LLC, the Parent Borrower, Civeo Pty Limited][Civeo Management LLC, Civeo Corporation, Civeo Pty Limited][Civeo Management LLC, Civeo Corporation, the Australian Borrower], the lenders from time to time party thereto (the “</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and Royal Bank of Canada, as administrative agent for the U.S. Lenders (in such capacity, the “</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as U.S. collateral agent for the Lenders, as administrative agent for the Canadian Lenders (in such capacity, the “</w:t>
      </w:r>
      <w:r>
        <w:rPr>
          <w:rFonts w:ascii="Times New Roman" w:cs="Times New Roman" w:eastAsia="Times New Roman" w:hAnsi="Times New Roman"/>
          <w:sz w:val="21"/>
          <w:szCs w:val="21"/>
          <w:i w:val="1"/>
          <w:iCs w:val="1"/>
          <w:color w:val="auto"/>
        </w:rPr>
        <w:t>Canadian Administrative Agent</w:t>
      </w:r>
      <w:r>
        <w:rPr>
          <w:rFonts w:ascii="Times New Roman" w:cs="Times New Roman" w:eastAsia="Times New Roman" w:hAnsi="Times New Roman"/>
          <w:sz w:val="21"/>
          <w:szCs w:val="21"/>
          <w:color w:val="auto"/>
        </w:rPr>
        <w:t>”) and as Canadian collateral agent for the Lenders, and RBC Europe Limited, as administrative agent for the Australian Lenders and as Australian collateral agent for the Lenders. Capitalized terms used herein and not otherwise defined herein shall have the meanings assigned to such terms in the Credit Agreement.</w:t>
      </w:r>
    </w:p>
    <w:p>
      <w:pPr>
        <w:spacing w:after="0" w:line="175" w:lineRule="exact"/>
        <w:rPr>
          <w:sz w:val="20"/>
          <w:szCs w:val="20"/>
          <w:color w:val="auto"/>
        </w:rPr>
      </w:pPr>
    </w:p>
    <w:p>
      <w:pPr>
        <w:jc w:val="both"/>
        <w:ind w:left="100" w:right="100" w:firstLine="627"/>
        <w:spacing w:after="0" w:line="261" w:lineRule="auto"/>
        <w:rPr>
          <w:sz w:val="20"/>
          <w:szCs w:val="20"/>
          <w:color w:val="auto"/>
        </w:rPr>
      </w:pPr>
      <w:r>
        <w:rPr>
          <w:rFonts w:ascii="Times New Roman" w:cs="Times New Roman" w:eastAsia="Times New Roman" w:hAnsi="Times New Roman"/>
          <w:sz w:val="21"/>
          <w:szCs w:val="21"/>
          <w:color w:val="auto"/>
        </w:rPr>
        <w:t>The [U.S. Borrower][Parent Borrower][Australian Borrower] hereby gives you notice, irrevocably, pursuant to Section 2.10 of the Credit Agreement, that it hereby elects to [convert][continue] the Borrowing referred to below, and in that connection sets forth below the information relating to such [conversion][continuation] (the “</w:t>
      </w:r>
      <w:r>
        <w:rPr>
          <w:rFonts w:ascii="Times New Roman" w:cs="Times New Roman" w:eastAsia="Times New Roman" w:hAnsi="Times New Roman"/>
          <w:sz w:val="21"/>
          <w:szCs w:val="21"/>
          <w:u w:val="single" w:color="auto"/>
          <w:color w:val="auto"/>
        </w:rPr>
        <w:t>Proposed [Conversion][Continuation]</w:t>
      </w:r>
      <w:r>
        <w:rPr>
          <w:rFonts w:ascii="Times New Roman" w:cs="Times New Roman" w:eastAsia="Times New Roman" w:hAnsi="Times New Roman"/>
          <w:sz w:val="21"/>
          <w:szCs w:val="21"/>
          <w:color w:val="auto"/>
        </w:rPr>
        <w:t>”) as required by Section 2.10 of the Credit Agreement:</w:t>
      </w:r>
    </w:p>
    <w:p>
      <w:pPr>
        <w:spacing w:after="0" w:line="165" w:lineRule="exact"/>
        <w:rPr>
          <w:sz w:val="20"/>
          <w:szCs w:val="20"/>
          <w:color w:val="auto"/>
        </w:rPr>
      </w:pPr>
    </w:p>
    <w:p>
      <w:pPr>
        <w:jc w:val="both"/>
        <w:ind w:left="100" w:right="100" w:firstLine="1255"/>
        <w:spacing w:after="0" w:line="258" w:lineRule="auto"/>
        <w:rPr>
          <w:sz w:val="20"/>
          <w:szCs w:val="20"/>
          <w:color w:val="auto"/>
        </w:rPr>
      </w:pPr>
      <w:r>
        <w:rPr>
          <w:rFonts w:ascii="Times New Roman" w:cs="Times New Roman" w:eastAsia="Times New Roman" w:hAnsi="Times New Roman"/>
          <w:sz w:val="21"/>
          <w:szCs w:val="21"/>
          <w:color w:val="auto"/>
        </w:rPr>
        <w:t>(i) The Proposed [Conversion][Continuation] relates to the Borrowing originally made on [ ], 20[__] (the “Outstanding Borrowing”) in the principal amount of [ ] and currently maintained as [a][an] [ABR Borrowing][U.S. Base Rate</w:t>
      </w:r>
    </w:p>
    <w:p>
      <w:pPr>
        <w:spacing w:after="0" w:line="1" w:lineRule="exact"/>
        <w:rPr>
          <w:sz w:val="20"/>
          <w:szCs w:val="20"/>
          <w:color w:val="auto"/>
        </w:rPr>
      </w:pPr>
    </w:p>
    <w:p>
      <w:pPr>
        <w:ind w:left="100" w:right="100"/>
        <w:spacing w:after="0" w:line="262" w:lineRule="auto"/>
        <w:rPr>
          <w:sz w:val="20"/>
          <w:szCs w:val="20"/>
          <w:color w:val="auto"/>
        </w:rPr>
      </w:pPr>
      <w:r>
        <w:rPr>
          <w:rFonts w:ascii="Times New Roman" w:cs="Times New Roman" w:eastAsia="Times New Roman" w:hAnsi="Times New Roman"/>
          <w:sz w:val="21"/>
          <w:szCs w:val="21"/>
          <w:color w:val="auto"/>
        </w:rPr>
        <w:t>Borrowing][SOFR Borrowing with an Interest Period ending on [ ], 20[__]][Term CORRA Borrowing with an Interest Period ending on [ ], 20[__]][BSBY Rate Borrowing with an Interest Period ending on [ ], 20[__]][Canadian Prime Rate Borrowing].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20" w:hanging="456"/>
        <w:spacing w:after="0"/>
        <w:tabs>
          <w:tab w:leader="none" w:pos="1820"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Day of the Proposed Conversion is</w:t>
      </w:r>
    </w:p>
    <w:p>
      <w:pPr>
        <w:spacing w:after="0" w:line="17"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20[__].]</w:t>
      </w:r>
      <w:r>
        <w:rPr>
          <w:rFonts w:ascii="Times New Roman" w:cs="Times New Roman" w:eastAsia="Times New Roman" w:hAnsi="Times New Roman"/>
          <w:sz w:val="26"/>
          <w:szCs w:val="26"/>
          <w:color w:val="auto"/>
          <w:vertAlign w:val="superscript"/>
        </w:rPr>
        <w:t>5</w:t>
      </w:r>
    </w:p>
    <w:p>
      <w:pPr>
        <w:spacing w:after="0" w:line="199" w:lineRule="exact"/>
        <w:rPr>
          <w:rFonts w:ascii="Times New Roman" w:cs="Times New Roman" w:eastAsia="Times New Roman" w:hAnsi="Times New Roman"/>
          <w:sz w:val="21"/>
          <w:szCs w:val="21"/>
          <w:color w:val="auto"/>
        </w:rPr>
      </w:pPr>
    </w:p>
    <w:p>
      <w:pPr>
        <w:ind w:left="100" w:firstLine="1342"/>
        <w:spacing w:after="0" w:line="290" w:lineRule="auto"/>
        <w:tabs>
          <w:tab w:leader="none" w:pos="2089"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Borrowing will be [continued as [a][an] [ABR Borrowing][U.S. Base Rate Borrowing] [SOFR Borrowing with an Interest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1659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659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-560070</wp:posOffset>
            </wp:positionV>
            <wp:extent cx="2654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181" w:lineRule="exact"/>
        <w:rPr>
          <w:sz w:val="20"/>
          <w:szCs w:val="20"/>
          <w:color w:val="auto"/>
        </w:rPr>
      </w:pPr>
    </w:p>
    <w:p>
      <w:pPr>
        <w:ind w:left="100" w:hanging="95"/>
        <w:spacing w:after="0"/>
        <w:tabs>
          <w:tab w:leader="none" w:pos="100" w:val="left"/>
        </w:tabs>
        <w:numPr>
          <w:ilvl w:val="0"/>
          <w:numId w:val="30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To be included for a Conversion and must be a Business Day.</w:t>
      </w:r>
    </w:p>
    <w:p>
      <w:pPr>
        <w:sectPr>
          <w:pgSz w:w="11900" w:h="16838" w:orient="portrait"/>
          <w:cols w:equalWidth="0" w:num="1">
            <w:col w:w="11240"/>
          </w:cols>
          <w:pgMar w:left="320" w:top="1380" w:right="339" w:bottom="1440" w:gutter="0" w:footer="0" w:header="0"/>
        </w:sectPr>
      </w:pPr>
    </w:p>
    <w:bookmarkStart w:id="250" w:name="page251"/>
    <w:bookmarkEnd w:id="250"/>
    <w:p>
      <w:pPr>
        <w:jc w:val="both"/>
        <w:ind w:left="95" w:firstLine="9"/>
        <w:spacing w:after="0" w:line="265" w:lineRule="auto"/>
        <w:tabs>
          <w:tab w:leader="none" w:pos="217"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 CORRA Borrowing with an Interest Period of [ ]][BSBY Rate Borrowing with an Interest Period of [ ]][Canadian Prime Rate Borrowing]][converted into [a][an] [ABR Borrowing][U.S. Base Rate Borrowing][SOFR Borrowing with an Interest Period of</w:t>
      </w:r>
    </w:p>
    <w:p>
      <w:pPr>
        <w:ind w:left="95" w:firstLine="9"/>
        <w:spacing w:after="0" w:line="270" w:lineRule="auto"/>
        <w:tabs>
          <w:tab w:leader="none" w:pos="217"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 CORRA Borrowing with an Interest Period of [ ]][BSBY Rate Borrowing with an Interest Period of [ ]][Canadian Prime Rate Borrowing]].</w:t>
      </w:r>
      <w:r>
        <w:rPr>
          <w:rFonts w:ascii="Times New Roman" w:cs="Times New Roman" w:eastAsia="Times New Roman" w:hAnsi="Times New Roman"/>
          <w:sz w:val="27"/>
          <w:szCs w:val="27"/>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55"/>
        <w:spacing w:after="0"/>
        <w:rPr>
          <w:sz w:val="20"/>
          <w:szCs w:val="20"/>
          <w:color w:val="auto"/>
        </w:rPr>
      </w:pPr>
      <w:r>
        <w:rPr>
          <w:rFonts w:ascii="Times New Roman" w:cs="Times New Roman" w:eastAsia="Times New Roman" w:hAnsi="Times New Roman"/>
          <w:sz w:val="21"/>
          <w:szCs w:val="21"/>
          <w:color w:val="auto"/>
        </w:rPr>
        <w:t>[CIVEO MANAGEMENT LLC</w:t>
      </w:r>
    </w:p>
    <w:p>
      <w:pPr>
        <w:spacing w:after="0" w:line="200" w:lineRule="exact"/>
        <w:rPr>
          <w:sz w:val="20"/>
          <w:szCs w:val="20"/>
          <w:color w:val="auto"/>
        </w:rPr>
      </w:pPr>
    </w:p>
    <w:p>
      <w:pPr>
        <w:spacing w:after="0" w:line="225" w:lineRule="exact"/>
        <w:rPr>
          <w:sz w:val="20"/>
          <w:szCs w:val="20"/>
          <w:color w:val="auto"/>
        </w:rPr>
      </w:pPr>
    </w:p>
    <w:p>
      <w:pPr>
        <w:ind w:left="3755"/>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31" w:lineRule="exact"/>
        <w:rPr>
          <w:sz w:val="20"/>
          <w:szCs w:val="20"/>
          <w:color w:val="auto"/>
        </w:rPr>
      </w:pPr>
    </w:p>
    <w:p>
      <w:pPr>
        <w:ind w:left="4075"/>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075"/>
        <w:spacing w:after="0"/>
        <w:rPr>
          <w:sz w:val="20"/>
          <w:szCs w:val="20"/>
          <w:color w:val="auto"/>
        </w:rPr>
      </w:pPr>
      <w:r>
        <w:rPr>
          <w:rFonts w:ascii="Times New Roman" w:cs="Times New Roman" w:eastAsia="Times New Roman" w:hAnsi="Times New Roman"/>
          <w:sz w:val="21"/>
          <w:szCs w:val="21"/>
          <w:color w:val="auto"/>
        </w:rPr>
        <w:t>Title: [Responsible Officer]]</w:t>
      </w:r>
    </w:p>
    <w:p>
      <w:pPr>
        <w:spacing w:after="0" w:line="200" w:lineRule="exact"/>
        <w:rPr>
          <w:sz w:val="20"/>
          <w:szCs w:val="20"/>
          <w:color w:val="auto"/>
        </w:rPr>
      </w:pPr>
    </w:p>
    <w:p>
      <w:pPr>
        <w:spacing w:after="0" w:line="214" w:lineRule="exact"/>
        <w:rPr>
          <w:sz w:val="20"/>
          <w:szCs w:val="20"/>
          <w:color w:val="auto"/>
        </w:rPr>
      </w:pPr>
    </w:p>
    <w:p>
      <w:pPr>
        <w:ind w:left="3755"/>
        <w:spacing w:after="0"/>
        <w:rPr>
          <w:sz w:val="20"/>
          <w:szCs w:val="20"/>
          <w:color w:val="auto"/>
        </w:rPr>
      </w:pPr>
      <w:r>
        <w:rPr>
          <w:rFonts w:ascii="Times New Roman" w:cs="Times New Roman" w:eastAsia="Times New Roman" w:hAnsi="Times New Roman"/>
          <w:sz w:val="21"/>
          <w:szCs w:val="21"/>
          <w:color w:val="auto"/>
        </w:rPr>
        <w:t>[CIVEO CORPORATION</w:t>
      </w:r>
    </w:p>
    <w:p>
      <w:pPr>
        <w:spacing w:after="0" w:line="200" w:lineRule="exact"/>
        <w:rPr>
          <w:sz w:val="20"/>
          <w:szCs w:val="20"/>
          <w:color w:val="auto"/>
        </w:rPr>
      </w:pPr>
    </w:p>
    <w:p>
      <w:pPr>
        <w:spacing w:after="0" w:line="225" w:lineRule="exact"/>
        <w:rPr>
          <w:sz w:val="20"/>
          <w:szCs w:val="20"/>
          <w:color w:val="auto"/>
        </w:rPr>
      </w:pPr>
    </w:p>
    <w:p>
      <w:pPr>
        <w:ind w:left="3755"/>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31" w:lineRule="exact"/>
        <w:rPr>
          <w:sz w:val="20"/>
          <w:szCs w:val="20"/>
          <w:color w:val="auto"/>
        </w:rPr>
      </w:pPr>
    </w:p>
    <w:p>
      <w:pPr>
        <w:ind w:left="4075"/>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4075"/>
        <w:spacing w:after="0"/>
        <w:rPr>
          <w:sz w:val="20"/>
          <w:szCs w:val="20"/>
          <w:color w:val="auto"/>
        </w:rPr>
      </w:pPr>
      <w:r>
        <w:rPr>
          <w:rFonts w:ascii="Times New Roman" w:cs="Times New Roman" w:eastAsia="Times New Roman" w:hAnsi="Times New Roman"/>
          <w:sz w:val="21"/>
          <w:szCs w:val="21"/>
          <w:color w:val="auto"/>
        </w:rPr>
        <w:t>Title: [Responsible Officer]]</w:t>
      </w:r>
    </w:p>
    <w:p>
      <w:pPr>
        <w:spacing w:after="0" w:line="200" w:lineRule="exact"/>
        <w:rPr>
          <w:sz w:val="20"/>
          <w:szCs w:val="20"/>
          <w:color w:val="auto"/>
        </w:rPr>
      </w:pPr>
    </w:p>
    <w:p>
      <w:pPr>
        <w:spacing w:after="0" w:line="201" w:lineRule="exact"/>
        <w:rPr>
          <w:sz w:val="20"/>
          <w:szCs w:val="20"/>
          <w:color w:val="auto"/>
        </w:rPr>
      </w:pPr>
    </w:p>
    <w:p>
      <w:pPr>
        <w:ind w:left="3755"/>
        <w:spacing w:after="0"/>
        <w:rPr>
          <w:sz w:val="20"/>
          <w:szCs w:val="20"/>
          <w:color w:val="auto"/>
        </w:rPr>
      </w:pPr>
      <w:r>
        <w:rPr>
          <w:rFonts w:ascii="Times New Roman" w:cs="Times New Roman" w:eastAsia="Times New Roman" w:hAnsi="Times New Roman"/>
          <w:sz w:val="21"/>
          <w:szCs w:val="21"/>
          <w:color w:val="auto"/>
        </w:rPr>
        <w:t>[CIVEO PTY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1659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635" w:hanging="635"/>
        <w:spacing w:after="0" w:line="259" w:lineRule="auto"/>
        <w:tabs>
          <w:tab w:leader="none" w:pos="101" w:val="left"/>
        </w:tabs>
        <w:numPr>
          <w:ilvl w:val="0"/>
          <w:numId w:val="30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Notice period requirements for conversions are: (a) not later than 1:00 p.m. (Standard Time) one Business Day before the proposed conversion, to convert any SOFR Borrowing under a Class of U.S. Revolving Commitments into an ABR Borrowing under the same Class of U.S. Revolving Commitments, (b) not later than 1:00 p.m. (Standard Time) one Business Day before the proposed conversion, to convert any Term CORRA Borrowing under one Canadian Facility into a Canadian Prime Rate Borrowing under the same Canadian Facility, (c) not later than 1:00 p.m. (Standard Time) three Business Days prior to conversion or continuation, to convert any ABR Borrowing under a Class of U.S. Revolving Commitments or U.S. Base Rate Borrowing under a Class of Canadian Revolving Commitments into a SOFR Borrowing under the same Class of Commitments or to continue any SOFR Borrowing under a Class of U.S. Revolving Commitments or Canadian Revolving Commitments as a SOFR Borrowing under the same Class of Commitments for an additional Interest Period, (d) not later than 3:00 p.m. (Sydney time) three Business Days prior to continuation, to continue any SOFR Borrowing under the Australian Revolving Commitments as a SOFR Borrowing under the Australian Revolving Commitments for an additional Interest Period, (e) not later than 1:00 p.m. (Standard Time) three Business Days prior to conversion, to convert the Interest Period with respect to any SOFR Borrowing under a Class of U.S. Revolving Commitments or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 Rate Borrowing under a Canadian Facility to a Term CORRA Borrowing under the same Canadian Facility or to continue any Term CORRA Borrowing under a Canadian Facility as a Term CORRA Borrowing under the same Canadian Facility for an additional Interest Period.</w:t>
      </w:r>
    </w:p>
    <w:p>
      <w:pPr>
        <w:sectPr>
          <w:pgSz w:w="11900" w:h="16838" w:orient="portrait"/>
          <w:cols w:equalWidth="0" w:num="1">
            <w:col w:w="11235"/>
          </w:cols>
          <w:pgMar w:left="325" w:top="1380" w:right="339" w:bottom="1440" w:gutter="0" w:footer="0" w:header="0"/>
        </w:sectPr>
      </w:pPr>
    </w:p>
    <w:bookmarkStart w:id="251" w:name="page252"/>
    <w:bookmarkEnd w:id="251"/>
    <w:p>
      <w:pPr>
        <w:ind w:left="264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4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w:t>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[Responsible Officer]]</w:t>
      </w:r>
    </w:p>
    <w:p>
      <w:pPr>
        <w:sectPr>
          <w:pgSz w:w="11900" w:h="16838" w:orient="portrait"/>
          <w:cols w:equalWidth="0" w:num="1">
            <w:col w:w="9019"/>
          </w:cols>
          <w:pgMar w:left="1440" w:top="1380" w:right="1440" w:bottom="1440" w:gutter="0" w:footer="0" w:header="0"/>
        </w:sectPr>
      </w:pPr>
    </w:p>
    <w:bookmarkStart w:id="252" w:name="page253"/>
    <w:bookmarkEnd w:id="252"/>
    <w:p>
      <w:pPr>
        <w:jc w:val="right"/>
        <w:spacing w:after="0"/>
        <w:rPr>
          <w:sz w:val="20"/>
          <w:szCs w:val="20"/>
          <w:color w:val="auto"/>
        </w:rPr>
      </w:pPr>
      <w:r>
        <w:rPr>
          <w:rFonts w:ascii="Calibri" w:cs="Calibri" w:eastAsia="Calibri" w:hAnsi="Calibri"/>
          <w:sz w:val="18"/>
          <w:szCs w:val="18"/>
          <w:color w:val="auto"/>
        </w:rPr>
        <w:t>Exhibit 10.2</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CIVEO CORPORATION</w:t>
      </w: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EMPLOYEE PHANTOM UNIT AGREEMENT</w:t>
      </w:r>
    </w:p>
    <w:p>
      <w:pPr>
        <w:spacing w:after="0" w:line="198"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u w:val="single" w:color="auto"/>
          <w:color w:val="auto"/>
        </w:rPr>
        <w:t>(For Canadian Employees only)</w:t>
      </w:r>
    </w:p>
    <w:p>
      <w:pPr>
        <w:spacing w:after="0" w:line="214" w:lineRule="exact"/>
        <w:rPr>
          <w:sz w:val="20"/>
          <w:szCs w:val="20"/>
          <w:color w:val="auto"/>
        </w:rPr>
      </w:pPr>
    </w:p>
    <w:p>
      <w:pPr>
        <w:ind w:firstLine="1255"/>
        <w:spacing w:after="0" w:line="239" w:lineRule="auto"/>
        <w:rPr>
          <w:sz w:val="20"/>
          <w:szCs w:val="20"/>
          <w:color w:val="auto"/>
        </w:rPr>
      </w:pPr>
      <w:r>
        <w:rPr>
          <w:rFonts w:ascii="Calibri" w:cs="Calibri" w:eastAsia="Calibri" w:hAnsi="Calibri"/>
          <w:sz w:val="18"/>
          <w:szCs w:val="18"/>
          <w:color w:val="auto"/>
        </w:rPr>
        <w:t>This Phantom Unit Agreement (“</w:t>
      </w:r>
      <w:r>
        <w:rPr>
          <w:rFonts w:ascii="Calibri" w:cs="Calibri" w:eastAsia="Calibri" w:hAnsi="Calibri"/>
          <w:sz w:val="18"/>
          <w:szCs w:val="18"/>
          <w:b w:val="1"/>
          <w:bCs w:val="1"/>
          <w:color w:val="auto"/>
        </w:rPr>
        <w:t>Agreement</w:t>
      </w:r>
      <w:r>
        <w:rPr>
          <w:rFonts w:ascii="Calibri" w:cs="Calibri" w:eastAsia="Calibri" w:hAnsi="Calibri"/>
          <w:sz w:val="18"/>
          <w:szCs w:val="18"/>
          <w:color w:val="auto"/>
        </w:rPr>
        <w:t>”) is made between Civeo Corporaton, a Britsh Columbia Corporaton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and ______________ (the “</w:t>
      </w:r>
      <w:r>
        <w:rPr>
          <w:rFonts w:ascii="Calibri" w:cs="Calibri" w:eastAsia="Calibri" w:hAnsi="Calibri"/>
          <w:sz w:val="18"/>
          <w:szCs w:val="18"/>
          <w:b w:val="1"/>
          <w:bCs w:val="1"/>
          <w:color w:val="auto"/>
        </w:rPr>
        <w:t>Partcipant</w:t>
      </w:r>
      <w:r>
        <w:rPr>
          <w:rFonts w:ascii="Calibri" w:cs="Calibri" w:eastAsia="Calibri" w:hAnsi="Calibri"/>
          <w:sz w:val="18"/>
          <w:szCs w:val="18"/>
          <w:color w:val="auto"/>
        </w:rPr>
        <w:t>”), regarding an award (“</w:t>
      </w:r>
      <w:r>
        <w:rPr>
          <w:rFonts w:ascii="Calibri" w:cs="Calibri" w:eastAsia="Calibri" w:hAnsi="Calibri"/>
          <w:sz w:val="18"/>
          <w:szCs w:val="18"/>
          <w:b w:val="1"/>
          <w:bCs w:val="1"/>
          <w:color w:val="auto"/>
        </w:rPr>
        <w:t>Award</w:t>
      </w:r>
      <w:r>
        <w:rPr>
          <w:rFonts w:ascii="Calibri" w:cs="Calibri" w:eastAsia="Calibri" w:hAnsi="Calibri"/>
          <w:sz w:val="18"/>
          <w:szCs w:val="18"/>
          <w:color w:val="auto"/>
        </w:rPr>
        <w:t>”) of _________ Phantom Units granted to the Partcipant on _________ (the</w:t>
      </w:r>
    </w:p>
    <w:p>
      <w:pPr>
        <w:spacing w:after="0" w:line="7" w:lineRule="exact"/>
        <w:rPr>
          <w:sz w:val="20"/>
          <w:szCs w:val="20"/>
          <w:color w:val="auto"/>
        </w:rPr>
      </w:pPr>
    </w:p>
    <w:p>
      <w:pPr>
        <w:spacing w:after="0" w:line="239"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Grant Date</w:t>
      </w:r>
      <w:r>
        <w:rPr>
          <w:rFonts w:ascii="Calibri" w:cs="Calibri" w:eastAsia="Calibri" w:hAnsi="Calibri"/>
          <w:sz w:val="18"/>
          <w:szCs w:val="18"/>
          <w:color w:val="auto"/>
        </w:rPr>
        <w:t>”), pursuant to the 2014 Equity Partcipaton Plan of Civeo Corporaton (the “</w:t>
      </w:r>
      <w:r>
        <w:rPr>
          <w:rFonts w:ascii="Calibri" w:cs="Calibri" w:eastAsia="Calibri" w:hAnsi="Calibri"/>
          <w:sz w:val="18"/>
          <w:szCs w:val="18"/>
          <w:b w:val="1"/>
          <w:bCs w:val="1"/>
          <w:color w:val="auto"/>
        </w:rPr>
        <w:t>Plan</w:t>
      </w:r>
      <w:r>
        <w:rPr>
          <w:rFonts w:ascii="Calibri" w:cs="Calibri" w:eastAsia="Calibri" w:hAnsi="Calibri"/>
          <w:sz w:val="18"/>
          <w:szCs w:val="18"/>
          <w:color w:val="auto"/>
        </w:rPr>
        <w:t>”), such number of Phantom Units subject to the following terms and conditons:</w:t>
      </w:r>
    </w:p>
    <w:p>
      <w:pPr>
        <w:spacing w:after="0" w:line="255" w:lineRule="exact"/>
        <w:rPr>
          <w:sz w:val="20"/>
          <w:szCs w:val="20"/>
          <w:color w:val="auto"/>
        </w:rPr>
      </w:pPr>
    </w:p>
    <w:p>
      <w:pPr>
        <w:jc w:val="both"/>
        <w:ind w:firstLine="1259"/>
        <w:spacing w:after="0" w:line="236" w:lineRule="auto"/>
        <w:tabs>
          <w:tab w:leader="none" w:pos="1877" w:val="left"/>
        </w:tabs>
        <w:numPr>
          <w:ilvl w:val="0"/>
          <w:numId w:val="303"/>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1. Relatonship to Plan</w:t>
      </w:r>
      <w:r>
        <w:rPr>
          <w:rFonts w:ascii="Calibri" w:cs="Calibri" w:eastAsia="Calibri" w:hAnsi="Calibri"/>
          <w:sz w:val="18"/>
          <w:szCs w:val="18"/>
          <w:color w:val="auto"/>
        </w:rPr>
        <w:t>. This Award is subject to all of the terms, conditons and provisions of the Plan and administratve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interpretatons thereunder, if any, which have been adopted by the Commitee thereunder and are in efect on the date hereof. Except as otherwise provided herein, capitalized terms shall have the same meanings ascribed to them under the Plan. The Phantom Units are intended to represent a Performance Award under the Plan, representng the right to receive the value of a share of Common Stock in cash, subject to the satsfacton of the terms and conditons of this Agreement.</w:t>
      </w:r>
    </w:p>
    <w:p>
      <w:pPr>
        <w:spacing w:after="0" w:line="227"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303"/>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2.  Vestng Schedule and Setlement</w:t>
      </w:r>
      <w:r>
        <w:rPr>
          <w:rFonts w:ascii="Calibri" w:cs="Calibri" w:eastAsia="Calibri" w:hAnsi="Calibri"/>
          <w:sz w:val="18"/>
          <w:szCs w:val="18"/>
          <w:color w:val="auto"/>
        </w:rPr>
        <w:t>.</w:t>
      </w:r>
    </w:p>
    <w:p>
      <w:pPr>
        <w:spacing w:after="0" w:line="266" w:lineRule="exact"/>
        <w:rPr>
          <w:sz w:val="20"/>
          <w:szCs w:val="20"/>
          <w:color w:val="auto"/>
        </w:rPr>
      </w:pPr>
    </w:p>
    <w:p>
      <w:pPr>
        <w:jc w:val="both"/>
        <w:ind w:firstLine="1259"/>
        <w:spacing w:after="0" w:line="232" w:lineRule="auto"/>
        <w:tabs>
          <w:tab w:leader="none" w:pos="1917" w:val="left"/>
        </w:tabs>
        <w:numPr>
          <w:ilvl w:val="0"/>
          <w:numId w:val="304"/>
        </w:numPr>
        <w:rPr>
          <w:rFonts w:ascii="Times New Roman" w:cs="Times New Roman" w:eastAsia="Times New Roman" w:hAnsi="Times New Roman"/>
          <w:sz w:val="21"/>
          <w:szCs w:val="21"/>
          <w:color w:val="auto"/>
        </w:rPr>
      </w:pPr>
      <w:r>
        <w:rPr>
          <w:rFonts w:ascii="Calibri" w:cs="Calibri" w:eastAsia="Calibri" w:hAnsi="Calibri"/>
          <w:sz w:val="18"/>
          <w:szCs w:val="18"/>
          <w:color w:val="auto"/>
        </w:rPr>
        <w:t>(a) Except as otherwise provided, the Phantom Units shall vest [_______] provided that the Partcipant remains in contnuous employment or other service with the Company or its Afliates through each applicable vestng date. The period beginning on the Grant Date and ending on the vestng date is the “Restricted Period” with respect to each Phantom Unit.</w:t>
      </w:r>
    </w:p>
    <w:p>
      <w:pPr>
        <w:spacing w:after="0" w:line="266" w:lineRule="exact"/>
        <w:rPr>
          <w:rFonts w:ascii="Times New Roman" w:cs="Times New Roman" w:eastAsia="Times New Roman" w:hAnsi="Times New Roman"/>
          <w:sz w:val="21"/>
          <w:szCs w:val="21"/>
          <w:color w:val="auto"/>
        </w:rPr>
      </w:pPr>
    </w:p>
    <w:p>
      <w:pPr>
        <w:ind w:firstLine="1259"/>
        <w:spacing w:after="0" w:line="220" w:lineRule="auto"/>
        <w:tabs>
          <w:tab w:leader="none" w:pos="1878" w:val="left"/>
        </w:tabs>
        <w:numPr>
          <w:ilvl w:val="0"/>
          <w:numId w:val="304"/>
        </w:numPr>
        <w:rPr>
          <w:rFonts w:ascii="Times New Roman" w:cs="Times New Roman" w:eastAsia="Times New Roman" w:hAnsi="Times New Roman"/>
          <w:sz w:val="21"/>
          <w:szCs w:val="21"/>
          <w:color w:val="auto"/>
        </w:rPr>
      </w:pPr>
      <w:r>
        <w:rPr>
          <w:rFonts w:ascii="Calibri" w:cs="Calibri" w:eastAsia="Calibri" w:hAnsi="Calibri"/>
          <w:sz w:val="18"/>
          <w:szCs w:val="18"/>
          <w:color w:val="auto"/>
        </w:rPr>
        <w:t>(b) Within 10 days following vestng with respect to a Phantom Unit pursuant to Sectons 2(a), 3(b) or 3(c), the Partcipant shall be enttled to receive a cash payment equal to the Fair Market Value of a share of Common Stock on the applicable vestng date.</w:t>
      </w:r>
    </w:p>
    <w:p>
      <w:pPr>
        <w:spacing w:after="0" w:line="240" w:lineRule="exact"/>
        <w:rPr>
          <w:sz w:val="20"/>
          <w:szCs w:val="20"/>
          <w:color w:val="auto"/>
        </w:rPr>
      </w:pPr>
    </w:p>
    <w:p>
      <w:pPr>
        <w:ind w:left="1880" w:hanging="621"/>
        <w:spacing w:after="0"/>
        <w:tabs>
          <w:tab w:leader="none" w:pos="1880" w:val="left"/>
        </w:tabs>
        <w:numPr>
          <w:ilvl w:val="0"/>
          <w:numId w:val="305"/>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3.  Efect of Terminaton of Employment</w:t>
      </w:r>
    </w:p>
    <w:p>
      <w:pPr>
        <w:spacing w:after="0" w:line="266" w:lineRule="exact"/>
        <w:rPr>
          <w:sz w:val="20"/>
          <w:szCs w:val="20"/>
          <w:color w:val="auto"/>
        </w:rPr>
      </w:pPr>
    </w:p>
    <w:p>
      <w:pPr>
        <w:ind w:firstLine="1259"/>
        <w:spacing w:after="0" w:line="227" w:lineRule="auto"/>
        <w:tabs>
          <w:tab w:leader="none" w:pos="1878" w:val="left"/>
        </w:tabs>
        <w:numPr>
          <w:ilvl w:val="0"/>
          <w:numId w:val="306"/>
        </w:numPr>
        <w:rPr>
          <w:rFonts w:ascii="Times New Roman" w:cs="Times New Roman" w:eastAsia="Times New Roman" w:hAnsi="Times New Roman"/>
          <w:sz w:val="21"/>
          <w:szCs w:val="21"/>
          <w:color w:val="auto"/>
        </w:rPr>
      </w:pPr>
      <w:r>
        <w:rPr>
          <w:rFonts w:ascii="Calibri" w:cs="Calibri" w:eastAsia="Calibri" w:hAnsi="Calibri"/>
          <w:sz w:val="18"/>
          <w:szCs w:val="18"/>
          <w:color w:val="auto"/>
        </w:rPr>
        <w:t>(a) If the Partcipant’s employment with the Company and all Afliates terminates under any circumstances not described in Secton 3(b), all unvested Phantom Units shall be immediately forfeited as of the date of the Partcipant’s terminaton.</w:t>
      </w:r>
    </w:p>
    <w:p>
      <w:pPr>
        <w:spacing w:after="0" w:line="266" w:lineRule="exact"/>
        <w:rPr>
          <w:rFonts w:ascii="Times New Roman" w:cs="Times New Roman" w:eastAsia="Times New Roman" w:hAnsi="Times New Roman"/>
          <w:sz w:val="21"/>
          <w:szCs w:val="21"/>
          <w:color w:val="auto"/>
        </w:rPr>
      </w:pPr>
    </w:p>
    <w:p>
      <w:pPr>
        <w:jc w:val="both"/>
        <w:ind w:firstLine="1259"/>
        <w:spacing w:after="0" w:line="227" w:lineRule="auto"/>
        <w:tabs>
          <w:tab w:leader="none" w:pos="1878" w:val="left"/>
        </w:tabs>
        <w:numPr>
          <w:ilvl w:val="0"/>
          <w:numId w:val="306"/>
        </w:numPr>
        <w:rPr>
          <w:rFonts w:ascii="Times New Roman" w:cs="Times New Roman" w:eastAsia="Times New Roman" w:hAnsi="Times New Roman"/>
          <w:sz w:val="21"/>
          <w:szCs w:val="21"/>
          <w:color w:val="auto"/>
        </w:rPr>
      </w:pPr>
      <w:r>
        <w:rPr>
          <w:rFonts w:ascii="Calibri" w:cs="Calibri" w:eastAsia="Calibri" w:hAnsi="Calibri"/>
          <w:sz w:val="18"/>
          <w:szCs w:val="18"/>
          <w:color w:val="auto"/>
        </w:rPr>
        <w:t>(b) If the Partcipant’s employment terminates due to death or Disability, the unvested Phantom Units shall vest in full and the Restricted Period shall terminate as of the date of the Partcipant’s terminaton of employment. For this purpose, Disability means the Partcipant’s disability that enttles the Partcipant to receive benefts under a long-term disability plan of the Company.</w:t>
      </w:r>
    </w:p>
    <w:p>
      <w:pPr>
        <w:spacing w:after="0" w:line="267" w:lineRule="exact"/>
        <w:rPr>
          <w:rFonts w:ascii="Times New Roman" w:cs="Times New Roman" w:eastAsia="Times New Roman" w:hAnsi="Times New Roman"/>
          <w:sz w:val="21"/>
          <w:szCs w:val="21"/>
          <w:color w:val="auto"/>
        </w:rPr>
      </w:pPr>
    </w:p>
    <w:p>
      <w:pPr>
        <w:jc w:val="both"/>
        <w:ind w:firstLine="1259"/>
        <w:spacing w:after="0" w:line="232" w:lineRule="auto"/>
        <w:tabs>
          <w:tab w:leader="none" w:pos="1878" w:val="left"/>
        </w:tabs>
        <w:numPr>
          <w:ilvl w:val="0"/>
          <w:numId w:val="306"/>
        </w:numPr>
        <w:rPr>
          <w:rFonts w:ascii="Times New Roman" w:cs="Times New Roman" w:eastAsia="Times New Roman" w:hAnsi="Times New Roman"/>
          <w:sz w:val="21"/>
          <w:szCs w:val="21"/>
          <w:color w:val="auto"/>
        </w:rPr>
      </w:pPr>
      <w:r>
        <w:rPr>
          <w:rFonts w:ascii="Calibri" w:cs="Calibri" w:eastAsia="Calibri" w:hAnsi="Calibri"/>
          <w:sz w:val="18"/>
          <w:szCs w:val="18"/>
          <w:color w:val="auto"/>
        </w:rPr>
        <w:t>(c) In the event of a Change of Control of Civeo Corporaton, all units shall vest upon the date of Change of Control (when such is to have occurred as declared by the Board of Directors) where such units are not converted or assumed by the surviving entty. In the event of vestng acceleraton, the partcipant will be paid the value of the units no later than 10 days following the date of the Change of Control.</w:t>
      </w:r>
    </w:p>
    <w:p>
      <w:pPr>
        <w:sectPr>
          <w:pgSz w:w="11900" w:h="16838" w:orient="portrait"/>
          <w:cols w:equalWidth="0" w:num="1">
            <w:col w:w="11240"/>
          </w:cols>
          <w:pgMar w:left="320" w:top="1362" w:right="339" w:bottom="1440" w:gutter="0" w:footer="0" w:header="0"/>
        </w:sectPr>
      </w:pPr>
    </w:p>
    <w:bookmarkStart w:id="253" w:name="page254"/>
    <w:bookmarkEnd w:id="253"/>
    <w:p>
      <w:pPr>
        <w:jc w:val="both"/>
        <w:ind w:firstLine="1259"/>
        <w:spacing w:after="0" w:line="234" w:lineRule="auto"/>
        <w:tabs>
          <w:tab w:leader="none" w:pos="1877"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4. Dividend Equivalent Rights</w:t>
      </w:r>
      <w:r>
        <w:rPr>
          <w:rFonts w:ascii="Calibri" w:cs="Calibri" w:eastAsia="Calibri" w:hAnsi="Calibri"/>
          <w:sz w:val="18"/>
          <w:szCs w:val="18"/>
          <w:color w:val="auto"/>
        </w:rPr>
        <w:t>. This grant of Phantom Units includes a tandem Dividend Equivalent Right (“DER”) with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respect to each Phantom Unit. The DER shall enttle the partcipant to receive, as evidenced by entry in a bookkeeping account, during the Restricted Period, the equivalent value in cash of dividends paid on common stock of the corporaton, if and when declared. Tandem DER’s shall be subject to vestng and forfeiture under the same terms and conditons as apply to the Phantom Units to which they are atached, and will be paid in cash, without interest, at the same tme as the underlying Phantom Units are paid pursuant to Secton 2. DER’s shall be credited to the Partcipant’s bookkeeping account at the same tme as dividends paid to shareholders.</w:t>
      </w:r>
    </w:p>
    <w:p>
      <w:pPr>
        <w:spacing w:after="0" w:line="244"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5.  No Rights as Shareholder</w:t>
      </w:r>
      <w:r>
        <w:rPr>
          <w:rFonts w:ascii="Calibri" w:cs="Calibri" w:eastAsia="Calibri" w:hAnsi="Calibri"/>
          <w:sz w:val="18"/>
          <w:szCs w:val="18"/>
          <w:color w:val="auto"/>
        </w:rPr>
        <w:t>. The Partcipant shall have no rights as a shareholder as a result of the grant of Phantom Units</w:t>
      </w:r>
    </w:p>
    <w:p>
      <w:pPr>
        <w:spacing w:after="0" w:line="17" w:lineRule="exact"/>
        <w:rPr>
          <w:rFonts w:ascii="Times New Roman" w:cs="Times New Roman" w:eastAsia="Times New Roman" w:hAnsi="Times New Roman"/>
          <w:sz w:val="21"/>
          <w:szCs w:val="21"/>
          <w:color w:val="auto"/>
        </w:rPr>
      </w:pPr>
    </w:p>
    <w:p>
      <w:pPr>
        <w:spacing w:after="0" w:line="222" w:lineRule="auto"/>
        <w:rPr>
          <w:rFonts w:ascii="Times New Roman" w:cs="Times New Roman" w:eastAsia="Times New Roman" w:hAnsi="Times New Roman"/>
          <w:sz w:val="21"/>
          <w:szCs w:val="21"/>
          <w:color w:val="auto"/>
        </w:rPr>
      </w:pPr>
      <w:r>
        <w:rPr>
          <w:rFonts w:ascii="Calibri" w:cs="Calibri" w:eastAsia="Calibri" w:hAnsi="Calibri"/>
          <w:sz w:val="18"/>
          <w:szCs w:val="18"/>
          <w:color w:val="auto"/>
        </w:rPr>
        <w:t>hereunder.</w:t>
      </w:r>
    </w:p>
    <w:p>
      <w:pPr>
        <w:spacing w:after="0" w:line="254" w:lineRule="exact"/>
        <w:rPr>
          <w:rFonts w:ascii="Times New Roman" w:cs="Times New Roman" w:eastAsia="Times New Roman" w:hAnsi="Times New Roman"/>
          <w:sz w:val="21"/>
          <w:szCs w:val="21"/>
          <w:color w:val="auto"/>
        </w:rPr>
      </w:pPr>
    </w:p>
    <w:p>
      <w:pPr>
        <w:jc w:val="both"/>
        <w:ind w:firstLine="1259"/>
        <w:spacing w:after="0" w:line="232" w:lineRule="auto"/>
        <w:tabs>
          <w:tab w:leader="none" w:pos="1877"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6. Assignment of Award</w:t>
      </w:r>
      <w:r>
        <w:rPr>
          <w:rFonts w:ascii="Calibri" w:cs="Calibri" w:eastAsia="Calibri" w:hAnsi="Calibri"/>
          <w:sz w:val="18"/>
          <w:szCs w:val="18"/>
          <w:color w:val="auto"/>
        </w:rPr>
        <w:t>. The Partcipant’s rights under this Agreement and the Plan are personal; no assignment or transfer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 the Partcipant’s rights under and interest in this Award may be made by the Partcipant other than by will, by benefciary designaton, by the laws of descent and distributon or by a qualifed domestc relatons order.</w:t>
      </w:r>
    </w:p>
    <w:p>
      <w:pPr>
        <w:spacing w:after="0" w:line="266" w:lineRule="exact"/>
        <w:rPr>
          <w:rFonts w:ascii="Times New Roman" w:cs="Times New Roman" w:eastAsia="Times New Roman" w:hAnsi="Times New Roman"/>
          <w:sz w:val="21"/>
          <w:szCs w:val="21"/>
          <w:color w:val="auto"/>
        </w:rPr>
      </w:pPr>
    </w:p>
    <w:p>
      <w:pPr>
        <w:jc w:val="both"/>
        <w:ind w:firstLine="1259"/>
        <w:spacing w:after="0"/>
        <w:tabs>
          <w:tab w:leader="none" w:pos="1877"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7. Withholding</w:t>
      </w:r>
      <w:r>
        <w:rPr>
          <w:rFonts w:ascii="Calibri" w:cs="Calibri" w:eastAsia="Calibri" w:hAnsi="Calibri"/>
          <w:sz w:val="18"/>
          <w:szCs w:val="18"/>
          <w:color w:val="auto"/>
        </w:rPr>
        <w:t>. To the extent that the grant, vestng or payment of a Phantom Unit results in the receipt of compensaton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by the Partcipant with respect to which the Company or its Afliate has a tax withholding obligaton pursuant to applicable law, the Company or its Afliate is authorized to withhold from any payment due under this Agreement or from any other compensaton or other amount owing to the Partcipant the amount of such applicable taxes or other statutory remitances payable in respect of the lapse of restrictons hereon and to take such other acton as may be necessary in the opinion of the Company or its Afliate to satsfy its withholding obligatons for the payment of such taxes or other statutory remitances.</w:t>
      </w: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jc w:val="both"/>
        <w:ind w:firstLine="1259"/>
        <w:spacing w:after="0" w:line="227" w:lineRule="auto"/>
        <w:tabs>
          <w:tab w:leader="none" w:pos="1877"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8. No Employment Guaranteed</w:t>
      </w:r>
      <w:r>
        <w:rPr>
          <w:rFonts w:ascii="Calibri" w:cs="Calibri" w:eastAsia="Calibri" w:hAnsi="Calibri"/>
          <w:sz w:val="18"/>
          <w:szCs w:val="18"/>
          <w:color w:val="auto"/>
        </w:rPr>
        <w:t>. The Agreement does not consttute a contract of employment, and no provision of this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 shall confer any right upon the Partcipant to contnued employment with the Company or any Afliate, or limit the ability of the Company or any Afliate to discharge the Partcipant at will.</w:t>
      </w:r>
    </w:p>
    <w:p>
      <w:pPr>
        <w:spacing w:after="0" w:line="240"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9.   Governing Law</w:t>
      </w:r>
      <w:r>
        <w:rPr>
          <w:rFonts w:ascii="Calibri" w:cs="Calibri" w:eastAsia="Calibri" w:hAnsi="Calibri"/>
          <w:sz w:val="18"/>
          <w:szCs w:val="18"/>
          <w:color w:val="auto"/>
        </w:rPr>
        <w:t>. This Agreement shall be governed by, construed, and enforced in accordance with the laws of the</w:t>
      </w:r>
    </w:p>
    <w:p>
      <w:pPr>
        <w:spacing w:after="0" w:line="17" w:lineRule="exact"/>
        <w:rPr>
          <w:rFonts w:ascii="Times New Roman" w:cs="Times New Roman" w:eastAsia="Times New Roman" w:hAnsi="Times New Roman"/>
          <w:sz w:val="21"/>
          <w:szCs w:val="21"/>
          <w:color w:val="auto"/>
        </w:rPr>
      </w:pPr>
    </w:p>
    <w:p>
      <w:pPr>
        <w:spacing w:after="0" w:line="222" w:lineRule="auto"/>
        <w:rPr>
          <w:rFonts w:ascii="Times New Roman" w:cs="Times New Roman" w:eastAsia="Times New Roman" w:hAnsi="Times New Roman"/>
          <w:sz w:val="21"/>
          <w:szCs w:val="21"/>
          <w:color w:val="auto"/>
        </w:rPr>
      </w:pPr>
      <w:r>
        <w:rPr>
          <w:rFonts w:ascii="Calibri" w:cs="Calibri" w:eastAsia="Calibri" w:hAnsi="Calibri"/>
          <w:sz w:val="18"/>
          <w:szCs w:val="18"/>
          <w:color w:val="auto"/>
        </w:rPr>
        <w:t>province of Alberta.</w:t>
      </w:r>
    </w:p>
    <w:p>
      <w:pPr>
        <w:spacing w:after="0" w:line="267" w:lineRule="exact"/>
        <w:rPr>
          <w:rFonts w:ascii="Times New Roman" w:cs="Times New Roman" w:eastAsia="Times New Roman" w:hAnsi="Times New Roman"/>
          <w:sz w:val="21"/>
          <w:szCs w:val="21"/>
          <w:color w:val="auto"/>
        </w:rPr>
      </w:pPr>
    </w:p>
    <w:p>
      <w:pPr>
        <w:ind w:firstLine="1259"/>
        <w:spacing w:after="0" w:line="220" w:lineRule="auto"/>
        <w:tabs>
          <w:tab w:leader="none" w:pos="1877"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 xml:space="preserve">10. Binding Efect. </w:t>
      </w:r>
      <w:r>
        <w:rPr>
          <w:rFonts w:ascii="Calibri" w:cs="Calibri" w:eastAsia="Calibri" w:hAnsi="Calibri"/>
          <w:sz w:val="18"/>
          <w:szCs w:val="18"/>
          <w:color w:val="auto"/>
        </w:rPr>
        <w:t>This Agreement shall be binding upon and inure to the beneft of any successor or successors of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and upon any person lawfully claiming under the Partcipant.</w:t>
      </w:r>
    </w:p>
    <w:p>
      <w:pPr>
        <w:spacing w:after="0" w:line="267" w:lineRule="exact"/>
        <w:rPr>
          <w:rFonts w:ascii="Times New Roman" w:cs="Times New Roman" w:eastAsia="Times New Roman" w:hAnsi="Times New Roman"/>
          <w:sz w:val="21"/>
          <w:szCs w:val="21"/>
          <w:color w:val="auto"/>
        </w:rPr>
      </w:pPr>
    </w:p>
    <w:p>
      <w:pPr>
        <w:ind w:firstLine="1259"/>
        <w:spacing w:after="0" w:line="227" w:lineRule="auto"/>
        <w:tabs>
          <w:tab w:leader="none" w:pos="1877"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11. Counterparts</w:t>
      </w:r>
      <w:r>
        <w:rPr>
          <w:rFonts w:ascii="Calibri" w:cs="Calibri" w:eastAsia="Calibri" w:hAnsi="Calibri"/>
          <w:sz w:val="18"/>
          <w:szCs w:val="18"/>
          <w:color w:val="auto"/>
        </w:rPr>
        <w:t>. This Agreement may be executed in one or more counterparts, each of which shall be deemed to be an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original, but all of which together will consttute one and the same Agreement.</w:t>
      </w:r>
    </w:p>
    <w:p>
      <w:pPr>
        <w:spacing w:after="0" w:line="266" w:lineRule="exact"/>
        <w:rPr>
          <w:rFonts w:ascii="Times New Roman" w:cs="Times New Roman" w:eastAsia="Times New Roman" w:hAnsi="Times New Roman"/>
          <w:sz w:val="21"/>
          <w:szCs w:val="21"/>
          <w:color w:val="auto"/>
        </w:rPr>
      </w:pPr>
    </w:p>
    <w:p>
      <w:pPr>
        <w:jc w:val="both"/>
        <w:ind w:firstLine="1259"/>
        <w:spacing w:after="0" w:line="227" w:lineRule="auto"/>
        <w:tabs>
          <w:tab w:leader="none" w:pos="1877" w:val="left"/>
        </w:tabs>
        <w:numPr>
          <w:ilvl w:val="0"/>
          <w:numId w:val="307"/>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12. Commitee’s Powers</w:t>
      </w:r>
      <w:r>
        <w:rPr>
          <w:rFonts w:ascii="Calibri" w:cs="Calibri" w:eastAsia="Calibri" w:hAnsi="Calibri"/>
          <w:sz w:val="18"/>
          <w:szCs w:val="18"/>
          <w:color w:val="auto"/>
        </w:rPr>
        <w:t>. No provision contained in this Agreement shall in any way terminate, modify or alter, or be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construed or interpreted as terminatng, modifying or altering any of the powers, rights or authority vested in the Commitee pursuant to the terms of the Plan, including,</w:t>
      </w:r>
    </w:p>
    <w:p>
      <w:pPr>
        <w:sectPr>
          <w:pgSz w:w="11900" w:h="16838" w:orient="portrait"/>
          <w:cols w:equalWidth="0" w:num="1">
            <w:col w:w="11240"/>
          </w:cols>
          <w:pgMar w:left="320" w:top="1417" w:right="339" w:bottom="1440" w:gutter="0" w:footer="0" w:header="0"/>
        </w:sectPr>
      </w:pPr>
    </w:p>
    <w:bookmarkStart w:id="254" w:name="page255"/>
    <w:bookmarkEnd w:id="254"/>
    <w:p>
      <w:pPr>
        <w:spacing w:after="0"/>
        <w:rPr>
          <w:sz w:val="20"/>
          <w:szCs w:val="20"/>
          <w:color w:val="auto"/>
        </w:rPr>
      </w:pPr>
      <w:r>
        <w:rPr>
          <w:rFonts w:ascii="Calibri" w:cs="Calibri" w:eastAsia="Calibri" w:hAnsi="Calibri"/>
          <w:sz w:val="18"/>
          <w:szCs w:val="18"/>
          <w:color w:val="auto"/>
        </w:rPr>
        <w:t>without limitaton, the Commitee’s rights to make certain determinatons and electons with respect to the Phantom Units.</w:t>
      </w:r>
    </w:p>
    <w:p>
      <w:pPr>
        <w:spacing w:after="0" w:line="266" w:lineRule="exact"/>
        <w:rPr>
          <w:sz w:val="20"/>
          <w:szCs w:val="20"/>
          <w:color w:val="auto"/>
        </w:rPr>
      </w:pPr>
    </w:p>
    <w:p>
      <w:pPr>
        <w:ind w:firstLine="1259"/>
        <w:spacing w:after="0" w:line="227" w:lineRule="auto"/>
        <w:tabs>
          <w:tab w:leader="none" w:pos="1877" w:val="left"/>
        </w:tabs>
        <w:numPr>
          <w:ilvl w:val="0"/>
          <w:numId w:val="308"/>
        </w:numPr>
        <w:rPr>
          <w:rFonts w:ascii="Times New Roman" w:cs="Times New Roman" w:eastAsia="Times New Roman" w:hAnsi="Times New Roman"/>
          <w:sz w:val="21"/>
          <w:szCs w:val="21"/>
          <w:color w:val="auto"/>
        </w:rPr>
      </w:pPr>
      <w:r>
        <w:rPr>
          <w:rFonts w:ascii="Calibri" w:cs="Calibri" w:eastAsia="Calibri" w:hAnsi="Calibri"/>
          <w:sz w:val="18"/>
          <w:szCs w:val="18"/>
          <w:b w:val="1"/>
          <w:bCs w:val="1"/>
          <w:color w:val="auto"/>
        </w:rPr>
        <w:t>13. Amendment</w:t>
      </w:r>
      <w:r>
        <w:rPr>
          <w:rFonts w:ascii="Calibri" w:cs="Calibri" w:eastAsia="Calibri" w:hAnsi="Calibri"/>
          <w:sz w:val="18"/>
          <w:szCs w:val="18"/>
          <w:color w:val="auto"/>
        </w:rPr>
        <w:t>. This Agreement cannot be modifed, altered or amended, except by an agreement, in writng, signed 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both the Company and the Partcipant.</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940" w:type="dxa"/>
            <w:vAlign w:val="bottom"/>
            <w:gridSpan w:val="5"/>
          </w:tcPr>
          <w:p>
            <w:pPr>
              <w:ind w:left="5020"/>
              <w:spacing w:after="0"/>
              <w:rPr>
                <w:sz w:val="20"/>
                <w:szCs w:val="20"/>
                <w:color w:val="auto"/>
              </w:rPr>
            </w:pPr>
            <w:r>
              <w:rPr>
                <w:rFonts w:ascii="Calibri" w:cs="Calibri" w:eastAsia="Calibri" w:hAnsi="Calibri"/>
                <w:sz w:val="18"/>
                <w:szCs w:val="18"/>
                <w:b w:val="1"/>
                <w:bCs w:val="1"/>
                <w:color w:val="auto"/>
              </w:rPr>
              <w:t>CIVEO CORPORATION</w:t>
            </w:r>
          </w:p>
        </w:tc>
        <w:tc>
          <w:tcPr>
            <w:tcW w:w="0" w:type="dxa"/>
            <w:vAlign w:val="bottom"/>
          </w:tcPr>
          <w:p>
            <w:pPr>
              <w:spacing w:after="0"/>
              <w:rPr>
                <w:sz w:val="1"/>
                <w:szCs w:val="1"/>
                <w:color w:val="auto"/>
              </w:rPr>
            </w:pPr>
          </w:p>
        </w:tc>
      </w:tr>
      <w:tr>
        <w:trPr>
          <w:trHeight w:val="431"/>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40" w:type="dxa"/>
            <w:vAlign w:val="bottom"/>
            <w:gridSpan w:val="5"/>
          </w:tcPr>
          <w:p>
            <w:pPr>
              <w:ind w:left="5020"/>
              <w:spacing w:after="0"/>
              <w:rPr>
                <w:sz w:val="20"/>
                <w:szCs w:val="20"/>
                <w:color w:val="auto"/>
              </w:rPr>
            </w:pPr>
            <w:r>
              <w:rPr>
                <w:rFonts w:ascii="Calibri" w:cs="Calibri" w:eastAsia="Calibri" w:hAnsi="Calibri"/>
                <w:sz w:val="18"/>
                <w:szCs w:val="18"/>
                <w:color w:val="auto"/>
              </w:rPr>
              <w:t>By: ________________________________________</w:t>
            </w:r>
          </w:p>
        </w:tc>
        <w:tc>
          <w:tcPr>
            <w:tcW w:w="0" w:type="dxa"/>
            <w:vAlign w:val="bottom"/>
          </w:tcPr>
          <w:p>
            <w:pPr>
              <w:spacing w:after="0"/>
              <w:rPr>
                <w:sz w:val="1"/>
                <w:szCs w:val="1"/>
                <w:color w:val="auto"/>
              </w:rPr>
            </w:pPr>
          </w:p>
        </w:tc>
      </w:tr>
      <w:tr>
        <w:trPr>
          <w:trHeight w:val="296"/>
        </w:trPr>
        <w:tc>
          <w:tcPr>
            <w:tcW w:w="440" w:type="dxa"/>
            <w:vAlign w:val="bottom"/>
          </w:tcPr>
          <w:p>
            <w:pPr>
              <w:spacing w:after="0"/>
              <w:rPr>
                <w:sz w:val="20"/>
                <w:szCs w:val="20"/>
                <w:color w:val="auto"/>
              </w:rPr>
            </w:pPr>
            <w:r>
              <w:rPr>
                <w:rFonts w:ascii="Calibri" w:cs="Calibri" w:eastAsia="Calibri" w:hAnsi="Calibri"/>
                <w:sz w:val="18"/>
                <w:szCs w:val="18"/>
                <w:color w:val="auto"/>
              </w:rPr>
              <w:t>Date:</w:t>
            </w:r>
          </w:p>
        </w:tc>
        <w:tc>
          <w:tcPr>
            <w:tcW w:w="180" w:type="dxa"/>
            <w:vAlign w:val="bottom"/>
            <w:tcBorders>
              <w:bottom w:val="single" w:sz="8" w:color="auto"/>
            </w:tcBorders>
          </w:tcPr>
          <w:p>
            <w:pPr>
              <w:spacing w:after="0"/>
              <w:rPr>
                <w:sz w:val="24"/>
                <w:szCs w:val="24"/>
                <w:color w:val="auto"/>
              </w:rPr>
            </w:pPr>
          </w:p>
        </w:tc>
        <w:tc>
          <w:tcPr>
            <w:tcW w:w="5560" w:type="dxa"/>
            <w:vAlign w:val="bottom"/>
            <w:gridSpan w:val="2"/>
            <w:vMerge w:val="restart"/>
          </w:tcPr>
          <w:p>
            <w:pPr>
              <w:ind w:left="5020"/>
              <w:spacing w:after="0"/>
              <w:rPr>
                <w:sz w:val="20"/>
                <w:szCs w:val="20"/>
                <w:color w:val="auto"/>
              </w:rPr>
            </w:pPr>
            <w:r>
              <w:rPr>
                <w:rFonts w:ascii="Calibri" w:cs="Calibri" w:eastAsia="Calibri" w:hAnsi="Calibri"/>
                <w:sz w:val="18"/>
                <w:szCs w:val="18"/>
                <w:color w:val="auto"/>
              </w:rPr>
              <w:t>Name:</w:t>
            </w:r>
          </w:p>
        </w:tc>
        <w:tc>
          <w:tcPr>
            <w:tcW w:w="160" w:type="dxa"/>
            <w:vAlign w:val="bottom"/>
            <w:gridSpan w:val="2"/>
            <w:vMerge w:val="restart"/>
          </w:tcPr>
          <w:p>
            <w:pPr>
              <w:spacing w:after="0"/>
              <w:rPr>
                <w:sz w:val="24"/>
                <w:szCs w:val="24"/>
                <w:color w:val="auto"/>
              </w:rPr>
            </w:pPr>
          </w:p>
        </w:tc>
        <w:tc>
          <w:tcPr>
            <w:tcW w:w="3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560" w:type="dxa"/>
            <w:vAlign w:val="bottom"/>
            <w:gridSpan w:val="2"/>
            <w:vMerge w:val="continue"/>
          </w:tcPr>
          <w:p>
            <w:pPr>
              <w:spacing w:after="0"/>
              <w:rPr>
                <w:sz w:val="7"/>
                <w:szCs w:val="7"/>
                <w:color w:val="auto"/>
              </w:rPr>
            </w:pPr>
          </w:p>
        </w:tc>
        <w:tc>
          <w:tcPr>
            <w:tcW w:w="160" w:type="dxa"/>
            <w:vAlign w:val="bottom"/>
            <w:tcBorders>
              <w:bottom w:val="single" w:sz="8" w:color="auto"/>
            </w:tcBorders>
            <w:gridSpan w:val="2"/>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1"/>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tcPr>
          <w:p>
            <w:pPr>
              <w:ind w:left="5020"/>
              <w:spacing w:after="0"/>
              <w:rPr>
                <w:sz w:val="20"/>
                <w:szCs w:val="20"/>
                <w:color w:val="auto"/>
              </w:rPr>
            </w:pPr>
            <w:r>
              <w:rPr>
                <w:rFonts w:ascii="Calibri" w:cs="Calibri" w:eastAsia="Calibri" w:hAnsi="Calibri"/>
                <w:sz w:val="18"/>
                <w:szCs w:val="18"/>
                <w:color w:val="auto"/>
              </w:rPr>
              <w:t>Title:</w:t>
            </w:r>
          </w:p>
        </w:tc>
        <w:tc>
          <w:tcPr>
            <w:tcW w:w="160" w:type="dxa"/>
            <w:vAlign w:val="bottom"/>
            <w:tcBorders>
              <w:bottom w:val="single" w:sz="8" w:color="auto"/>
            </w:tcBorders>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00" w:right="720" w:firstLine="1259"/>
        <w:spacing w:after="0" w:line="239" w:lineRule="auto"/>
        <w:rPr>
          <w:sz w:val="20"/>
          <w:szCs w:val="20"/>
          <w:color w:val="auto"/>
        </w:rPr>
      </w:pPr>
      <w:r>
        <w:rPr>
          <w:rFonts w:ascii="Calibri" w:cs="Calibri" w:eastAsia="Calibri" w:hAnsi="Calibri"/>
          <w:sz w:val="18"/>
          <w:szCs w:val="18"/>
          <w:color w:val="auto"/>
        </w:rPr>
        <w:t>The Partcipant hereby accepts the foregoing Agreement, subject to the terms and provisions of the Plan and administratve interpretatons thereof referred to above.</w:t>
      </w:r>
    </w:p>
    <w:p>
      <w:pPr>
        <w:spacing w:after="0" w:line="305" w:lineRule="exact"/>
        <w:rPr>
          <w:sz w:val="20"/>
          <w:szCs w:val="20"/>
          <w:color w:val="auto"/>
        </w:rPr>
      </w:pPr>
    </w:p>
    <w:p>
      <w:pPr>
        <w:ind w:left="5580"/>
        <w:spacing w:after="0"/>
        <w:rPr>
          <w:sz w:val="20"/>
          <w:szCs w:val="20"/>
          <w:color w:val="auto"/>
        </w:rPr>
      </w:pPr>
      <w:r>
        <w:rPr>
          <w:rFonts w:ascii="Calibri" w:cs="Calibri" w:eastAsia="Calibri" w:hAnsi="Calibri"/>
          <w:sz w:val="18"/>
          <w:szCs w:val="18"/>
          <w:b w:val="1"/>
          <w:bCs w:val="1"/>
          <w:color w:val="auto"/>
        </w:rPr>
        <w:t>PARTICIPANT:</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-19050</wp:posOffset>
            </wp:positionV>
            <wp:extent cx="1047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-27305</wp:posOffset>
            </wp:positionV>
            <wp:extent cx="1047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04775" cy="825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380"/>
        <w:spacing w:after="0"/>
        <w:rPr>
          <w:sz w:val="20"/>
          <w:szCs w:val="20"/>
          <w:color w:val="auto"/>
        </w:rPr>
      </w:pPr>
      <w:r>
        <w:rPr>
          <w:rFonts w:ascii="Calibri" w:cs="Calibri" w:eastAsia="Calibri" w:hAnsi="Calibri"/>
          <w:sz w:val="18"/>
          <w:szCs w:val="18"/>
          <w:color w:val="auto"/>
        </w:rPr>
        <w:t>Exhibit 10.3</w:t>
      </w:r>
    </w:p>
    <w:p>
      <w:pPr>
        <w:spacing w:after="0" w:line="243" w:lineRule="exact"/>
        <w:rPr>
          <w:sz w:val="20"/>
          <w:szCs w:val="20"/>
          <w:color w:val="auto"/>
        </w:rPr>
      </w:pPr>
    </w:p>
    <w:p>
      <w:pPr>
        <w:jc w:val="center"/>
        <w:spacing w:after="0"/>
        <w:rPr>
          <w:sz w:val="20"/>
          <w:szCs w:val="20"/>
          <w:color w:val="auto"/>
        </w:rPr>
      </w:pPr>
      <w:r>
        <w:rPr>
          <w:sz w:val="1"/>
          <w:szCs w:val="1"/>
          <w:color w:val="auto"/>
        </w:rPr>
        <w:drawing>
          <wp:inline distT="0" distB="0" distL="0" distR="0">
            <wp:extent cx="5178425" cy="23241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178425" cy="232410"/>
                    </a:xfrm>
                    <a:prstGeom prst="rect">
                      <a:avLst/>
                    </a:prstGeom>
                    <a:noFill/>
                    <a:ln>
                      <a:noFill/>
                    </a:ln>
                  </pic:spPr>
                </pic:pic>
              </a:graphicData>
            </a:graphic>
          </wp:inline>
        </w:drawing>
      </w:r>
      <w:r>
        <w:rPr>
          <w:rFonts w:ascii="Calibri" w:cs="Calibri" w:eastAsia="Calibri" w:hAnsi="Calibri"/>
          <w:sz w:val="18"/>
          <w:szCs w:val="18"/>
          <w:b w:val="1"/>
          <w:bCs w:val="1"/>
          <w:color w:val="auto"/>
        </w:rPr>
        <w:t>DIRECTOR</w:t>
      </w:r>
    </w:p>
    <w:p>
      <w:pPr>
        <w:spacing w:after="0" w:line="3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RESTRICTED STOCK AGREEMENT</w:t>
      </w:r>
    </w:p>
    <w:p>
      <w:pPr>
        <w:spacing w:after="0" w:line="212" w:lineRule="exact"/>
        <w:rPr>
          <w:sz w:val="20"/>
          <w:szCs w:val="20"/>
          <w:color w:val="auto"/>
        </w:rPr>
      </w:pPr>
    </w:p>
    <w:p>
      <w:pPr>
        <w:ind w:left="640"/>
        <w:spacing w:after="0"/>
        <w:rPr>
          <w:sz w:val="20"/>
          <w:szCs w:val="20"/>
          <w:color w:val="auto"/>
        </w:rPr>
      </w:pPr>
      <w:r>
        <w:rPr>
          <w:rFonts w:ascii="Calibri" w:cs="Calibri" w:eastAsia="Calibri" w:hAnsi="Calibri"/>
          <w:sz w:val="18"/>
          <w:szCs w:val="18"/>
          <w:color w:val="auto"/>
        </w:rPr>
        <w:t>THIS AGREEMENT is made as of [_____] (the “</w:t>
      </w:r>
      <w:r>
        <w:rPr>
          <w:rFonts w:ascii="Calibri" w:cs="Calibri" w:eastAsia="Calibri" w:hAnsi="Calibri"/>
          <w:sz w:val="18"/>
          <w:szCs w:val="18"/>
          <w:b w:val="1"/>
          <w:bCs w:val="1"/>
          <w:color w:val="auto"/>
        </w:rPr>
        <w:t>Efectve Date</w:t>
      </w:r>
      <w:r>
        <w:rPr>
          <w:rFonts w:ascii="Calibri" w:cs="Calibri" w:eastAsia="Calibri" w:hAnsi="Calibri"/>
          <w:sz w:val="18"/>
          <w:szCs w:val="18"/>
          <w:color w:val="auto"/>
        </w:rPr>
        <w:t>”) between Civeo Corporaton, a Britsh Columbia corporaton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w:t>
      </w:r>
    </w:p>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color w:val="auto"/>
        </w:rPr>
        <w:t>and [_______] (“</w:t>
      </w:r>
      <w:r>
        <w:rPr>
          <w:rFonts w:ascii="Calibri" w:cs="Calibri" w:eastAsia="Calibri" w:hAnsi="Calibri"/>
          <w:sz w:val="18"/>
          <w:szCs w:val="18"/>
          <w:b w:val="1"/>
          <w:bCs w:val="1"/>
          <w:color w:val="auto"/>
        </w:rPr>
        <w:t>Director</w:t>
      </w:r>
      <w:r>
        <w:rPr>
          <w:rFonts w:ascii="Calibri" w:cs="Calibri" w:eastAsia="Calibri" w:hAnsi="Calibri"/>
          <w:sz w:val="18"/>
          <w:szCs w:val="18"/>
          <w:color w:val="auto"/>
        </w:rPr>
        <w:t>”).</w:t>
      </w:r>
    </w:p>
    <w:p>
      <w:pPr>
        <w:spacing w:after="0" w:line="214" w:lineRule="exact"/>
        <w:rPr>
          <w:sz w:val="20"/>
          <w:szCs w:val="20"/>
          <w:color w:val="auto"/>
        </w:rPr>
      </w:pPr>
    </w:p>
    <w:p>
      <w:pPr>
        <w:jc w:val="both"/>
        <w:ind w:firstLine="627"/>
        <w:spacing w:after="0" w:line="236" w:lineRule="auto"/>
        <w:rPr>
          <w:sz w:val="20"/>
          <w:szCs w:val="20"/>
          <w:color w:val="auto"/>
        </w:rPr>
      </w:pPr>
      <w:r>
        <w:rPr>
          <w:rFonts w:ascii="Calibri" w:cs="Calibri" w:eastAsia="Calibri" w:hAnsi="Calibri"/>
          <w:sz w:val="18"/>
          <w:szCs w:val="18"/>
          <w:color w:val="auto"/>
        </w:rPr>
        <w:t>To carry out the purposes of the Amended and Restated 2014 Equity Partcipaton Plan of Civeo Corporaton (as amended from tme to tme, the “</w:t>
      </w:r>
      <w:r>
        <w:rPr>
          <w:rFonts w:ascii="Calibri" w:cs="Calibri" w:eastAsia="Calibri" w:hAnsi="Calibri"/>
          <w:sz w:val="18"/>
          <w:szCs w:val="18"/>
          <w:b w:val="1"/>
          <w:bCs w:val="1"/>
          <w:color w:val="auto"/>
        </w:rPr>
        <w:t>Plan</w:t>
      </w:r>
      <w:r>
        <w:rPr>
          <w:rFonts w:ascii="Calibri" w:cs="Calibri" w:eastAsia="Calibri" w:hAnsi="Calibri"/>
          <w:sz w:val="18"/>
          <w:szCs w:val="18"/>
          <w:color w:val="auto"/>
        </w:rPr>
        <w:t>”), by afording Director the opportunity to acquire shares of common stock of the Company (“</w:t>
      </w:r>
      <w:r>
        <w:rPr>
          <w:rFonts w:ascii="Calibri" w:cs="Calibri" w:eastAsia="Calibri" w:hAnsi="Calibri"/>
          <w:sz w:val="18"/>
          <w:szCs w:val="18"/>
          <w:b w:val="1"/>
          <w:bCs w:val="1"/>
          <w:color w:val="auto"/>
        </w:rPr>
        <w:t>Stock</w:t>
      </w:r>
      <w:r>
        <w:rPr>
          <w:rFonts w:ascii="Calibri" w:cs="Calibri" w:eastAsia="Calibri" w:hAnsi="Calibri"/>
          <w:sz w:val="18"/>
          <w:szCs w:val="18"/>
          <w:color w:val="auto"/>
        </w:rPr>
        <w:t>”), and in consideraton of the mutual agreements and other maters set forth herein and in the Plan, the Company and Director hereby agree as follows:</w:t>
      </w:r>
    </w:p>
    <w:p>
      <w:pPr>
        <w:spacing w:after="0" w:line="267" w:lineRule="exact"/>
        <w:rPr>
          <w:sz w:val="20"/>
          <w:szCs w:val="20"/>
          <w:color w:val="auto"/>
        </w:rPr>
      </w:pPr>
    </w:p>
    <w:p>
      <w:pPr>
        <w:jc w:val="both"/>
        <w:ind w:left="640" w:firstLine="619"/>
        <w:spacing w:after="0"/>
        <w:tabs>
          <w:tab w:leader="none" w:pos="1889" w:val="left"/>
        </w:tabs>
        <w:numPr>
          <w:ilvl w:val="0"/>
          <w:numId w:val="309"/>
        </w:numPr>
        <w:rPr>
          <w:rFonts w:ascii="Times New Roman" w:cs="Times New Roman" w:eastAsia="Times New Roman" w:hAnsi="Times New Roman"/>
          <w:sz w:val="21"/>
          <w:szCs w:val="21"/>
          <w:color w:val="auto"/>
        </w:rPr>
      </w:pPr>
      <w:r>
        <w:rPr>
          <w:rFonts w:ascii="Calibri" w:cs="Calibri" w:eastAsia="Calibri" w:hAnsi="Calibri"/>
          <w:sz w:val="18"/>
          <w:szCs w:val="18"/>
          <w:color w:val="auto"/>
        </w:rPr>
        <w:t>1. AWARD OF SHARES. Upon executon of this Agreement, the Company shall issue [X] shares of Stock to Director. Director acknowledges receipt of a copy of the Plan, and agrees that this award of Stock shall be subject to all of the terms and conditons set forth herein and in the Plan, including future amendments thereto, if any, pursuant to the terms thereof, which Plan is incorporated herein by reference as a part of this Agreement. In the event of any confict between the terms of this Agreement and the Plan, the terms of the Plan shall govern.</w:t>
      </w:r>
    </w:p>
    <w:p>
      <w:pPr>
        <w:spacing w:after="0" w:line="200" w:lineRule="exact"/>
        <w:rPr>
          <w:rFonts w:ascii="Times New Roman" w:cs="Times New Roman" w:eastAsia="Times New Roman" w:hAnsi="Times New Roman"/>
          <w:sz w:val="21"/>
          <w:szCs w:val="21"/>
          <w:color w:val="auto"/>
        </w:rPr>
      </w:pPr>
    </w:p>
    <w:p>
      <w:pPr>
        <w:spacing w:after="0" w:line="255" w:lineRule="exact"/>
        <w:rPr>
          <w:rFonts w:ascii="Times New Roman" w:cs="Times New Roman" w:eastAsia="Times New Roman" w:hAnsi="Times New Roman"/>
          <w:sz w:val="21"/>
          <w:szCs w:val="21"/>
          <w:color w:val="auto"/>
        </w:rPr>
      </w:pPr>
    </w:p>
    <w:p>
      <w:pPr>
        <w:jc w:val="both"/>
        <w:ind w:left="640" w:firstLine="619"/>
        <w:spacing w:after="0" w:line="237" w:lineRule="auto"/>
        <w:tabs>
          <w:tab w:leader="none" w:pos="1889" w:val="left"/>
        </w:tabs>
        <w:numPr>
          <w:ilvl w:val="0"/>
          <w:numId w:val="309"/>
        </w:numPr>
        <w:rPr>
          <w:rFonts w:ascii="Times New Roman" w:cs="Times New Roman" w:eastAsia="Times New Roman" w:hAnsi="Times New Roman"/>
          <w:sz w:val="21"/>
          <w:szCs w:val="21"/>
          <w:color w:val="auto"/>
        </w:rPr>
      </w:pPr>
      <w:r>
        <w:rPr>
          <w:rFonts w:ascii="Calibri" w:cs="Calibri" w:eastAsia="Calibri" w:hAnsi="Calibri"/>
          <w:sz w:val="18"/>
          <w:szCs w:val="18"/>
          <w:color w:val="auto"/>
        </w:rPr>
        <w:t>2. FORFEITURE RESTRICTIONS. The Stock issued to Director pursuant to this Agreement may not be sold, assigned, pledged, exchanged, hypothecated or otherwise transferred, encumbered or disposed of other than by will or the laws of descent and distributon to the extent then subject to the Forfeiture Restrictons (as hereinafer defned), and in the event of terminaton of Director’s service on the Board of Directors of the Company (the “</w:t>
      </w:r>
      <w:r>
        <w:rPr>
          <w:rFonts w:ascii="Calibri" w:cs="Calibri" w:eastAsia="Calibri" w:hAnsi="Calibri"/>
          <w:sz w:val="18"/>
          <w:szCs w:val="18"/>
          <w:b w:val="1"/>
          <w:bCs w:val="1"/>
          <w:color w:val="auto"/>
        </w:rPr>
        <w:t>Board</w:t>
      </w:r>
      <w:r>
        <w:rPr>
          <w:rFonts w:ascii="Calibri" w:cs="Calibri" w:eastAsia="Calibri" w:hAnsi="Calibri"/>
          <w:sz w:val="18"/>
          <w:szCs w:val="18"/>
          <w:color w:val="auto"/>
        </w:rPr>
        <w:t>”) for any reason (other than as provided below), automatcally upon such terminaton Director shall, for no consideraton, forfeit to the Company all such Stock to the extent then subject to the Forfeiture Restrictons. The prohibiton against transfer and the obligaton to forfeit and surrender Stock to the Company upon terminaton of service on the Board are herein referred to as “</w:t>
      </w:r>
      <w:r>
        <w:rPr>
          <w:rFonts w:ascii="Calibri" w:cs="Calibri" w:eastAsia="Calibri" w:hAnsi="Calibri"/>
          <w:sz w:val="18"/>
          <w:szCs w:val="18"/>
          <w:b w:val="1"/>
          <w:bCs w:val="1"/>
          <w:color w:val="auto"/>
        </w:rPr>
        <w:t>Forfeiture Restrictons</w:t>
      </w:r>
      <w:r>
        <w:rPr>
          <w:rFonts w:ascii="Calibri" w:cs="Calibri" w:eastAsia="Calibri" w:hAnsi="Calibri"/>
          <w:sz w:val="18"/>
          <w:szCs w:val="18"/>
          <w:color w:val="auto"/>
        </w:rPr>
        <w:t>,” and the shares which are then subject to the Forfeiture Restrictons are herein sometmes referred to as “</w:t>
      </w:r>
      <w:r>
        <w:rPr>
          <w:rFonts w:ascii="Calibri" w:cs="Calibri" w:eastAsia="Calibri" w:hAnsi="Calibri"/>
          <w:sz w:val="18"/>
          <w:szCs w:val="18"/>
          <w:b w:val="1"/>
          <w:bCs w:val="1"/>
          <w:color w:val="auto"/>
        </w:rPr>
        <w:t>Restricted Shares</w:t>
      </w:r>
      <w:r>
        <w:rPr>
          <w:rFonts w:ascii="Calibri" w:cs="Calibri" w:eastAsia="Calibri" w:hAnsi="Calibri"/>
          <w:sz w:val="18"/>
          <w:szCs w:val="18"/>
          <w:color w:val="auto"/>
        </w:rPr>
        <w:t>.” The Forfeiture Restrictons shall be binding upon and enforceable against any transferee of such Stock. The Forfeiture Restrictons shall lapse as to the Restricted Shares on the earlier of one year from the date of grant or the next Annual Shareholder’s Meetng date of the Company following their issuance. Notwithstanding the foregoing, the Forfeiture Restrictons shall lapse as to the Restricted Shares as of (i) the date a Change of Control occurs or (ii) the date of terminaton of Director’s service on the Board due to his death or due to disability such that Director is incapable of serving on the Board for physical or mental reasons, as shall be determined by the Commitee in its sole discreton, and its determinaton shall be fnal.</w:t>
      </w:r>
    </w:p>
    <w:p>
      <w:pPr>
        <w:spacing w:after="0" w:line="265" w:lineRule="exact"/>
        <w:rPr>
          <w:rFonts w:ascii="Times New Roman" w:cs="Times New Roman" w:eastAsia="Times New Roman" w:hAnsi="Times New Roman"/>
          <w:sz w:val="21"/>
          <w:szCs w:val="21"/>
          <w:color w:val="auto"/>
        </w:rPr>
      </w:pPr>
    </w:p>
    <w:p>
      <w:pPr>
        <w:jc w:val="both"/>
        <w:ind w:left="640" w:firstLine="619"/>
        <w:spacing w:after="0" w:line="236" w:lineRule="auto"/>
        <w:tabs>
          <w:tab w:leader="none" w:pos="1889" w:val="left"/>
        </w:tabs>
        <w:numPr>
          <w:ilvl w:val="0"/>
          <w:numId w:val="309"/>
        </w:numPr>
        <w:rPr>
          <w:rFonts w:ascii="Times New Roman" w:cs="Times New Roman" w:eastAsia="Times New Roman" w:hAnsi="Times New Roman"/>
          <w:sz w:val="21"/>
          <w:szCs w:val="21"/>
          <w:color w:val="auto"/>
        </w:rPr>
      </w:pPr>
      <w:r>
        <w:rPr>
          <w:rFonts w:ascii="Calibri" w:cs="Calibri" w:eastAsia="Calibri" w:hAnsi="Calibri"/>
          <w:sz w:val="18"/>
          <w:szCs w:val="18"/>
          <w:color w:val="auto"/>
        </w:rPr>
        <w:t>3. CERTIFICATES. A certfcate evidencing the Restricted Shares shall be issued by the Company in Director’s name, pursuant to which Director shall have votng rights and shall be enttled to receive dividends and other distributons (provided, however, that any such dividends or other distributons declared during the period between the Efectve Date and the lapse of the Forfeiture Restrictons shall be accumulated as evidenced by entry in a Company bookkepping account and either (i) paid in cash, without interest, upon the lapse of the Forfeiture Restrictons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1</w:t>
      </w:r>
    </w:p>
    <w:p>
      <w:pPr>
        <w:sectPr>
          <w:pgSz w:w="11900" w:h="16838" w:orient="portrait"/>
          <w:cols w:equalWidth="0" w:num="1">
            <w:col w:w="11240"/>
          </w:cols>
          <w:pgMar w:left="320" w:top="125"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Calibri" w:cs="Calibri" w:eastAsia="Calibri" w:hAnsi="Calibri"/>
          <w:sz w:val="18"/>
          <w:szCs w:val="18"/>
          <w:color w:val="auto"/>
        </w:rPr>
        <w:t>without forfeiture, or (ii) forfeited in the event the underlying Retricted Shares are forfeited as and when such Restricted Shares are forfeited).</w:t>
      </w:r>
    </w:p>
    <w:p>
      <w:pPr>
        <w:spacing w:after="0" w:line="2" w:lineRule="exact"/>
        <w:rPr>
          <w:sz w:val="20"/>
          <w:szCs w:val="20"/>
          <w:color w:val="auto"/>
        </w:rPr>
      </w:pPr>
    </w:p>
    <w:p>
      <w:pPr>
        <w:ind w:left="640"/>
        <w:spacing w:after="0"/>
        <w:rPr>
          <w:sz w:val="20"/>
          <w:szCs w:val="20"/>
          <w:color w:val="auto"/>
        </w:rPr>
      </w:pPr>
      <w:r>
        <w:rPr>
          <w:rFonts w:ascii="Calibri" w:cs="Calibri" w:eastAsia="Calibri" w:hAnsi="Calibri"/>
          <w:sz w:val="18"/>
          <w:szCs w:val="18"/>
          <w:color w:val="auto"/>
        </w:rPr>
        <w:t>The certfcate shall bear the following legend:</w:t>
      </w:r>
    </w:p>
    <w:p>
      <w:pPr>
        <w:spacing w:after="0" w:line="212" w:lineRule="exact"/>
        <w:rPr>
          <w:sz w:val="20"/>
          <w:szCs w:val="20"/>
          <w:color w:val="auto"/>
        </w:rPr>
      </w:pPr>
    </w:p>
    <w:p>
      <w:pPr>
        <w:ind w:left="1340"/>
        <w:spacing w:after="0"/>
        <w:rPr>
          <w:sz w:val="20"/>
          <w:szCs w:val="20"/>
          <w:color w:val="auto"/>
        </w:rPr>
      </w:pPr>
      <w:r>
        <w:rPr>
          <w:rFonts w:ascii="Calibri" w:cs="Calibri" w:eastAsia="Calibri" w:hAnsi="Calibri"/>
          <w:sz w:val="18"/>
          <w:szCs w:val="18"/>
          <w:color w:val="auto"/>
        </w:rPr>
        <w:t>The shares evidenced by this certfcate have been issued pursuant to an agreement made as of [_______], a copy of which is</w:t>
      </w:r>
    </w:p>
    <w:p>
      <w:pPr>
        <w:jc w:val="both"/>
        <w:ind w:left="1340" w:right="620"/>
        <w:spacing w:after="0" w:line="239" w:lineRule="auto"/>
        <w:rPr>
          <w:sz w:val="20"/>
          <w:szCs w:val="20"/>
          <w:color w:val="auto"/>
        </w:rPr>
      </w:pPr>
      <w:r>
        <w:rPr>
          <w:rFonts w:ascii="Calibri" w:cs="Calibri" w:eastAsia="Calibri" w:hAnsi="Calibri"/>
          <w:sz w:val="18"/>
          <w:szCs w:val="18"/>
          <w:color w:val="auto"/>
        </w:rPr>
        <w:t>atached hereto and incorporated herein, between the Company and the registered holder of the shares. The shares are subject to forfeiture to the Company under certain circumstances described in such agreement. The sale, assignment, pledge or other transfer of the shares evidenced by this certfcate is prohibited under the terms and conditons of such agreement, and such shares may not be sold, assigned, pledged or otherwise transferred except as provided in such agreement.</w:t>
      </w:r>
    </w:p>
    <w:p>
      <w:pPr>
        <w:spacing w:after="0" w:line="214" w:lineRule="exact"/>
        <w:rPr>
          <w:sz w:val="20"/>
          <w:szCs w:val="20"/>
          <w:color w:val="auto"/>
        </w:rPr>
      </w:pPr>
    </w:p>
    <w:p>
      <w:pPr>
        <w:jc w:val="both"/>
        <w:ind w:left="720" w:firstLine="627"/>
        <w:spacing w:after="0" w:line="232" w:lineRule="auto"/>
        <w:rPr>
          <w:sz w:val="20"/>
          <w:szCs w:val="20"/>
          <w:color w:val="auto"/>
        </w:rPr>
      </w:pPr>
      <w:r>
        <w:rPr>
          <w:rFonts w:ascii="Calibri" w:cs="Calibri" w:eastAsia="Calibri" w:hAnsi="Calibri"/>
          <w:sz w:val="18"/>
          <w:szCs w:val="18"/>
          <w:color w:val="auto"/>
        </w:rPr>
        <w:t>Notwithstanding the foregoing, the Company may, in its discreton, elect to complete the delivery of the Restricted Shares by means of electronic, book-entry statement, rather than issuing physical share certfcates.</w:t>
      </w:r>
    </w:p>
    <w:p>
      <w:pPr>
        <w:spacing w:after="0" w:line="216" w:lineRule="exact"/>
        <w:rPr>
          <w:sz w:val="20"/>
          <w:szCs w:val="20"/>
          <w:color w:val="auto"/>
        </w:rPr>
      </w:pPr>
    </w:p>
    <w:p>
      <w:pPr>
        <w:jc w:val="both"/>
        <w:ind w:left="720" w:firstLine="627"/>
        <w:spacing w:after="0" w:line="239" w:lineRule="auto"/>
        <w:rPr>
          <w:sz w:val="20"/>
          <w:szCs w:val="20"/>
          <w:color w:val="auto"/>
        </w:rPr>
      </w:pPr>
      <w:r>
        <w:rPr>
          <w:rFonts w:ascii="Calibri" w:cs="Calibri" w:eastAsia="Calibri" w:hAnsi="Calibri"/>
          <w:sz w:val="18"/>
          <w:szCs w:val="18"/>
          <w:color w:val="auto"/>
        </w:rPr>
        <w:t>The Company may cause the certfcate, if any, to be delivered upon issuance to the Secretary of the Company as a depository for safekeeping untl the forfeiture occurs or the Forfeiture Restrictons lapse pursuant to the terms of this Agreement. Upon request of the Company, Director shall deliver to the Company a stock power, endorsed in blank, relatng to the Restricted Shares then subject to the Forfeiture Restrictons. Upon the lapse of the Forfeiture Restrictons without forfeiture, the Company shall cause a new certfcate to be issued without legend in the name of Director for the Stock issued to Director pursuant to this Agreement in exchange for the certfcate evidencing the Forfeiture Restrictons or, as may be the case, the Company shall issue appropriate instructons to the transfer agent if the electronic, book-entry method is utlized.</w:t>
      </w:r>
    </w:p>
    <w:p>
      <w:pPr>
        <w:spacing w:after="0" w:line="272" w:lineRule="exact"/>
        <w:rPr>
          <w:sz w:val="20"/>
          <w:szCs w:val="20"/>
          <w:color w:val="auto"/>
        </w:rPr>
      </w:pPr>
    </w:p>
    <w:p>
      <w:pPr>
        <w:ind w:left="640" w:firstLine="619"/>
        <w:spacing w:after="0" w:line="227" w:lineRule="auto"/>
        <w:tabs>
          <w:tab w:leader="none" w:pos="1889" w:val="left"/>
        </w:tabs>
        <w:numPr>
          <w:ilvl w:val="0"/>
          <w:numId w:val="310"/>
        </w:numPr>
        <w:rPr>
          <w:rFonts w:ascii="Times New Roman" w:cs="Times New Roman" w:eastAsia="Times New Roman" w:hAnsi="Times New Roman"/>
          <w:sz w:val="21"/>
          <w:szCs w:val="21"/>
          <w:color w:val="auto"/>
        </w:rPr>
      </w:pPr>
      <w:r>
        <w:rPr>
          <w:rFonts w:ascii="Calibri" w:cs="Calibri" w:eastAsia="Calibri" w:hAnsi="Calibri"/>
          <w:sz w:val="18"/>
          <w:szCs w:val="18"/>
          <w:color w:val="auto"/>
        </w:rPr>
        <w:t>4. CONSIDERATION. It is understood that the consideraton for the issuance of Restricted Shares shall be Director’s agreement to render future services on the Board, which services shall have a value not less than the par value of such Restricted Shares.</w:t>
      </w:r>
    </w:p>
    <w:p>
      <w:pPr>
        <w:spacing w:after="0" w:line="253" w:lineRule="exact"/>
        <w:rPr>
          <w:rFonts w:ascii="Times New Roman" w:cs="Times New Roman" w:eastAsia="Times New Roman" w:hAnsi="Times New Roman"/>
          <w:sz w:val="21"/>
          <w:szCs w:val="21"/>
          <w:color w:val="auto"/>
        </w:rPr>
      </w:pPr>
    </w:p>
    <w:p>
      <w:pPr>
        <w:jc w:val="both"/>
        <w:ind w:left="640" w:firstLine="619"/>
        <w:spacing w:after="0" w:line="234" w:lineRule="auto"/>
        <w:tabs>
          <w:tab w:leader="none" w:pos="1889" w:val="left"/>
        </w:tabs>
        <w:numPr>
          <w:ilvl w:val="0"/>
          <w:numId w:val="310"/>
        </w:numPr>
        <w:rPr>
          <w:rFonts w:ascii="Times New Roman" w:cs="Times New Roman" w:eastAsia="Times New Roman" w:hAnsi="Times New Roman"/>
          <w:sz w:val="21"/>
          <w:szCs w:val="21"/>
          <w:color w:val="auto"/>
        </w:rPr>
      </w:pPr>
      <w:r>
        <w:rPr>
          <w:rFonts w:ascii="Calibri" w:cs="Calibri" w:eastAsia="Calibri" w:hAnsi="Calibri"/>
          <w:sz w:val="18"/>
          <w:szCs w:val="18"/>
          <w:color w:val="auto"/>
        </w:rPr>
        <w:t>5. STATUS OF STOCK. Director agrees that the Restricted Shares will not be sold or otherwise disposed of in any manner that would consttute a violaton of any applicable federal or state securites laws. Director also agrees (i) that the certfcates representng the Restricted Shares may bear such legend or legends as the Commitee deems appropriate in order to ensure compliance with applicable securites laws, (ii) that the Company may refuse to register the transfer of the Restricted Shares on the stock transfer records of the Company if such proposed transfer would in the opinion of counsel satsfactory to the Company consttute a violaton of any applicable securites laws and (iii) that the Company may give related instructons to its transfer agent, if any, to stop registraton of the transfer of the Restricted Shares.</w:t>
      </w:r>
    </w:p>
    <w:p>
      <w:pPr>
        <w:spacing w:after="0" w:line="271" w:lineRule="exact"/>
        <w:rPr>
          <w:rFonts w:ascii="Times New Roman" w:cs="Times New Roman" w:eastAsia="Times New Roman" w:hAnsi="Times New Roman"/>
          <w:sz w:val="21"/>
          <w:szCs w:val="21"/>
          <w:color w:val="auto"/>
        </w:rPr>
      </w:pPr>
    </w:p>
    <w:p>
      <w:pPr>
        <w:jc w:val="both"/>
        <w:ind w:left="640" w:firstLine="619"/>
        <w:spacing w:after="0"/>
        <w:tabs>
          <w:tab w:leader="none" w:pos="1889" w:val="left"/>
        </w:tabs>
        <w:numPr>
          <w:ilvl w:val="0"/>
          <w:numId w:val="310"/>
        </w:numPr>
        <w:rPr>
          <w:rFonts w:ascii="Times New Roman" w:cs="Times New Roman" w:eastAsia="Times New Roman" w:hAnsi="Times New Roman"/>
          <w:sz w:val="21"/>
          <w:szCs w:val="21"/>
          <w:color w:val="auto"/>
        </w:rPr>
      </w:pPr>
      <w:r>
        <w:rPr>
          <w:rFonts w:ascii="Calibri" w:cs="Calibri" w:eastAsia="Calibri" w:hAnsi="Calibri"/>
          <w:sz w:val="18"/>
          <w:szCs w:val="18"/>
          <w:color w:val="auto"/>
        </w:rPr>
        <w:t>6. SERVICE RELATIONSHIP. For purposes of this Agreement, Director shall be considered to be in service on the Board as long as Director remains a Director of the Company, or any successor thereto. Any queston as to whether and when there has been a terminaton of such service, and the cause of such terminaton, shall be determined by the Commitee in its sole discreton, and its determinaton shall be fnal.</w:t>
      </w:r>
    </w:p>
    <w:p>
      <w:pPr>
        <w:spacing w:after="0" w:line="200" w:lineRule="exact"/>
        <w:rPr>
          <w:rFonts w:ascii="Times New Roman" w:cs="Times New Roman" w:eastAsia="Times New Roman" w:hAnsi="Times New Roman"/>
          <w:sz w:val="21"/>
          <w:szCs w:val="21"/>
          <w:color w:val="auto"/>
        </w:rPr>
      </w:pPr>
    </w:p>
    <w:p>
      <w:pPr>
        <w:spacing w:after="0" w:line="253" w:lineRule="exact"/>
        <w:rPr>
          <w:rFonts w:ascii="Times New Roman" w:cs="Times New Roman" w:eastAsia="Times New Roman" w:hAnsi="Times New Roman"/>
          <w:sz w:val="21"/>
          <w:szCs w:val="21"/>
          <w:color w:val="auto"/>
        </w:rPr>
      </w:pPr>
    </w:p>
    <w:p>
      <w:pPr>
        <w:jc w:val="both"/>
        <w:ind w:left="640" w:firstLine="619"/>
        <w:spacing w:after="0" w:line="232" w:lineRule="auto"/>
        <w:tabs>
          <w:tab w:leader="none" w:pos="1889" w:val="left"/>
        </w:tabs>
        <w:numPr>
          <w:ilvl w:val="0"/>
          <w:numId w:val="310"/>
        </w:numPr>
        <w:rPr>
          <w:rFonts w:ascii="Times New Roman" w:cs="Times New Roman" w:eastAsia="Times New Roman" w:hAnsi="Times New Roman"/>
          <w:sz w:val="21"/>
          <w:szCs w:val="21"/>
          <w:color w:val="auto"/>
        </w:rPr>
      </w:pPr>
      <w:r>
        <w:rPr>
          <w:rFonts w:ascii="Calibri" w:cs="Calibri" w:eastAsia="Calibri" w:hAnsi="Calibri"/>
          <w:sz w:val="18"/>
          <w:szCs w:val="18"/>
          <w:color w:val="auto"/>
        </w:rPr>
        <w:t>7. COMMITTEE’S POWERS. No provision contained in this Agreement shall in any way terminate, modify or alter, or be construed or interpreted as terminatng, modifying or altering any of the powers, rights or authority vested in the Commitee pursuant to the terms of the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2</w:t>
      </w:r>
    </w:p>
    <w:p>
      <w:pPr>
        <w:sectPr>
          <w:pgSz w:w="11900" w:h="16838" w:orient="portrait"/>
          <w:cols w:equalWidth="0" w:num="1">
            <w:col w:w="11240"/>
          </w:cols>
          <w:pgMar w:left="320" w:top="125"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Calibri" w:cs="Calibri" w:eastAsia="Calibri" w:hAnsi="Calibri"/>
          <w:sz w:val="18"/>
          <w:szCs w:val="18"/>
          <w:color w:val="auto"/>
        </w:rPr>
        <w:t>Plan, including, without limitaton, the Commitee’s rights to make certain determinatons and electons with respect to the Restricted Shares.</w:t>
      </w:r>
    </w:p>
    <w:p>
      <w:pPr>
        <w:spacing w:after="0" w:line="266" w:lineRule="exact"/>
        <w:rPr>
          <w:sz w:val="20"/>
          <w:szCs w:val="20"/>
          <w:color w:val="auto"/>
        </w:rPr>
      </w:pPr>
    </w:p>
    <w:p>
      <w:pPr>
        <w:jc w:val="both"/>
        <w:ind w:left="640" w:firstLine="619"/>
        <w:spacing w:after="0" w:line="231" w:lineRule="auto"/>
        <w:tabs>
          <w:tab w:leader="none" w:pos="1889" w:val="left"/>
        </w:tabs>
        <w:numPr>
          <w:ilvl w:val="0"/>
          <w:numId w:val="311"/>
        </w:numPr>
        <w:rPr>
          <w:rFonts w:ascii="Times New Roman" w:cs="Times New Roman" w:eastAsia="Times New Roman" w:hAnsi="Times New Roman"/>
          <w:sz w:val="21"/>
          <w:szCs w:val="21"/>
          <w:color w:val="auto"/>
        </w:rPr>
      </w:pPr>
      <w:r>
        <w:rPr>
          <w:rFonts w:ascii="Calibri" w:cs="Calibri" w:eastAsia="Calibri" w:hAnsi="Calibri"/>
          <w:sz w:val="18"/>
          <w:szCs w:val="18"/>
          <w:color w:val="auto"/>
        </w:rPr>
        <w:t>8. TAXES. Director is ultmately liable and responsible for all taxes owed in connecton with the Restricted Shares. The Company makes no representaton or undertaking regarding the tax treatment of the grant or vestng of the Restricted Shares or the subsequent sale of Restricted Shares following the lapse of the Forfeiture Restrictons. The Company does not commit and is under no obligaton to structure this Agreement to reduce or eliminate Director’s tax liability.</w:t>
      </w:r>
    </w:p>
    <w:p>
      <w:pPr>
        <w:spacing w:after="0" w:line="267" w:lineRule="exact"/>
        <w:rPr>
          <w:rFonts w:ascii="Times New Roman" w:cs="Times New Roman" w:eastAsia="Times New Roman" w:hAnsi="Times New Roman"/>
          <w:sz w:val="21"/>
          <w:szCs w:val="21"/>
          <w:color w:val="auto"/>
        </w:rPr>
      </w:pPr>
    </w:p>
    <w:p>
      <w:pPr>
        <w:ind w:left="640" w:firstLine="619"/>
        <w:spacing w:after="0" w:line="227" w:lineRule="auto"/>
        <w:tabs>
          <w:tab w:leader="none" w:pos="1889" w:val="left"/>
        </w:tabs>
        <w:numPr>
          <w:ilvl w:val="0"/>
          <w:numId w:val="311"/>
        </w:numPr>
        <w:rPr>
          <w:rFonts w:ascii="Times New Roman" w:cs="Times New Roman" w:eastAsia="Times New Roman" w:hAnsi="Times New Roman"/>
          <w:sz w:val="21"/>
          <w:szCs w:val="21"/>
          <w:color w:val="auto"/>
        </w:rPr>
      </w:pPr>
      <w:r>
        <w:rPr>
          <w:rFonts w:ascii="Calibri" w:cs="Calibri" w:eastAsia="Calibri" w:hAnsi="Calibri"/>
          <w:sz w:val="18"/>
          <w:szCs w:val="18"/>
          <w:color w:val="auto"/>
        </w:rPr>
        <w:t>9. BINDING EFFECT. This Agreement shall be binding upon and inure to the beneft of any successors to the Company and all persons lawfully claiming under Director.</w:t>
      </w:r>
    </w:p>
    <w:p>
      <w:pPr>
        <w:spacing w:after="0" w:line="266" w:lineRule="exact"/>
        <w:rPr>
          <w:rFonts w:ascii="Times New Roman" w:cs="Times New Roman" w:eastAsia="Times New Roman" w:hAnsi="Times New Roman"/>
          <w:sz w:val="21"/>
          <w:szCs w:val="21"/>
          <w:color w:val="auto"/>
        </w:rPr>
      </w:pPr>
    </w:p>
    <w:p>
      <w:pPr>
        <w:ind w:left="640" w:firstLine="619"/>
        <w:spacing w:after="0" w:line="220" w:lineRule="auto"/>
        <w:tabs>
          <w:tab w:leader="none" w:pos="1889" w:val="left"/>
        </w:tabs>
        <w:numPr>
          <w:ilvl w:val="0"/>
          <w:numId w:val="311"/>
        </w:numPr>
        <w:rPr>
          <w:rFonts w:ascii="Times New Roman" w:cs="Times New Roman" w:eastAsia="Times New Roman" w:hAnsi="Times New Roman"/>
          <w:sz w:val="21"/>
          <w:szCs w:val="21"/>
          <w:color w:val="auto"/>
        </w:rPr>
      </w:pPr>
      <w:r>
        <w:rPr>
          <w:rFonts w:ascii="Calibri" w:cs="Calibri" w:eastAsia="Calibri" w:hAnsi="Calibri"/>
          <w:sz w:val="18"/>
          <w:szCs w:val="18"/>
          <w:color w:val="auto"/>
        </w:rPr>
        <w:t>10. NON-ALIENATION. Director shall not have any right to pledge, hypothecate, antcipate or assign this Agreement or the rights hereunder, except by will or the laws of descent and distributon.</w:t>
      </w:r>
    </w:p>
    <w:p>
      <w:pPr>
        <w:spacing w:after="0" w:line="267" w:lineRule="exact"/>
        <w:rPr>
          <w:rFonts w:ascii="Times New Roman" w:cs="Times New Roman" w:eastAsia="Times New Roman" w:hAnsi="Times New Roman"/>
          <w:sz w:val="21"/>
          <w:szCs w:val="21"/>
          <w:color w:val="auto"/>
        </w:rPr>
      </w:pPr>
    </w:p>
    <w:p>
      <w:pPr>
        <w:jc w:val="both"/>
        <w:ind w:left="640" w:firstLine="619"/>
        <w:spacing w:after="0" w:line="232" w:lineRule="auto"/>
        <w:tabs>
          <w:tab w:leader="none" w:pos="1889" w:val="left"/>
        </w:tabs>
        <w:numPr>
          <w:ilvl w:val="0"/>
          <w:numId w:val="311"/>
        </w:numPr>
        <w:rPr>
          <w:rFonts w:ascii="Times New Roman" w:cs="Times New Roman" w:eastAsia="Times New Roman" w:hAnsi="Times New Roman"/>
          <w:sz w:val="21"/>
          <w:szCs w:val="21"/>
          <w:color w:val="auto"/>
        </w:rPr>
      </w:pPr>
      <w:r>
        <w:rPr>
          <w:rFonts w:ascii="Calibri" w:cs="Calibri" w:eastAsia="Calibri" w:hAnsi="Calibri"/>
          <w:sz w:val="18"/>
          <w:szCs w:val="18"/>
          <w:color w:val="auto"/>
        </w:rPr>
        <w:t>11. NOT A SERVICE CONTRACT. This Agreement shall not be deemed to consttute a service contract, nor shall any provision hereof afect (i) the right to terminate Director’s service on the Board in accordance with the Company’s by-laws and applicable law or (ii) the terms and conditons of any other agreement between the Company and Director except as expressly provided herein.</w:t>
      </w:r>
    </w:p>
    <w:p>
      <w:pPr>
        <w:spacing w:after="0" w:line="266" w:lineRule="exact"/>
        <w:rPr>
          <w:rFonts w:ascii="Times New Roman" w:cs="Times New Roman" w:eastAsia="Times New Roman" w:hAnsi="Times New Roman"/>
          <w:sz w:val="21"/>
          <w:szCs w:val="21"/>
          <w:color w:val="auto"/>
        </w:rPr>
      </w:pPr>
    </w:p>
    <w:p>
      <w:pPr>
        <w:ind w:left="640" w:firstLine="619"/>
        <w:spacing w:after="0" w:line="220" w:lineRule="auto"/>
        <w:tabs>
          <w:tab w:leader="none" w:pos="1889" w:val="left"/>
        </w:tabs>
        <w:numPr>
          <w:ilvl w:val="0"/>
          <w:numId w:val="311"/>
        </w:numPr>
        <w:rPr>
          <w:rFonts w:ascii="Times New Roman" w:cs="Times New Roman" w:eastAsia="Times New Roman" w:hAnsi="Times New Roman"/>
          <w:sz w:val="21"/>
          <w:szCs w:val="21"/>
          <w:color w:val="auto"/>
        </w:rPr>
      </w:pPr>
      <w:r>
        <w:rPr>
          <w:rFonts w:ascii="Calibri" w:cs="Calibri" w:eastAsia="Calibri" w:hAnsi="Calibri"/>
          <w:sz w:val="18"/>
          <w:szCs w:val="18"/>
          <w:color w:val="auto"/>
        </w:rPr>
        <w:t>12. COUNTERPARTS. This Agreement may be executed in one or more counterparts, each of which shall be deemed to be an original, but all of which together will consttute one and the same Agreement.</w:t>
      </w:r>
    </w:p>
    <w:p>
      <w:pPr>
        <w:spacing w:after="0" w:line="240"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0"/>
          <w:numId w:val="311"/>
        </w:numPr>
        <w:rPr>
          <w:rFonts w:ascii="Times New Roman" w:cs="Times New Roman" w:eastAsia="Times New Roman" w:hAnsi="Times New Roman"/>
          <w:sz w:val="21"/>
          <w:szCs w:val="21"/>
          <w:color w:val="auto"/>
        </w:rPr>
      </w:pPr>
      <w:r>
        <w:rPr>
          <w:rFonts w:ascii="Calibri" w:cs="Calibri" w:eastAsia="Calibri" w:hAnsi="Calibri"/>
          <w:sz w:val="18"/>
          <w:szCs w:val="18"/>
          <w:color w:val="auto"/>
        </w:rPr>
        <w:t>13.   GOVERNING LAW. This Agreement shall be governed by, and construed in accordance with, the laws of the State of</w:t>
      </w:r>
    </w:p>
    <w:p>
      <w:pPr>
        <w:spacing w:after="0" w:line="17" w:lineRule="exact"/>
        <w:rPr>
          <w:rFonts w:ascii="Times New Roman" w:cs="Times New Roman" w:eastAsia="Times New Roman" w:hAnsi="Times New Roman"/>
          <w:sz w:val="21"/>
          <w:szCs w:val="21"/>
          <w:color w:val="auto"/>
        </w:rPr>
      </w:pPr>
    </w:p>
    <w:p>
      <w:pPr>
        <w:ind w:left="640"/>
        <w:spacing w:after="0" w:line="222" w:lineRule="auto"/>
        <w:rPr>
          <w:rFonts w:ascii="Times New Roman" w:cs="Times New Roman" w:eastAsia="Times New Roman" w:hAnsi="Times New Roman"/>
          <w:sz w:val="21"/>
          <w:szCs w:val="21"/>
          <w:color w:val="auto"/>
        </w:rPr>
      </w:pPr>
      <w:r>
        <w:rPr>
          <w:rFonts w:ascii="Calibri" w:cs="Calibri" w:eastAsia="Calibri" w:hAnsi="Calibri"/>
          <w:sz w:val="18"/>
          <w:szCs w:val="18"/>
          <w:color w:val="auto"/>
        </w:rPr>
        <w:t>Texas.</w:t>
      </w:r>
    </w:p>
    <w:p>
      <w:pPr>
        <w:spacing w:after="0" w:line="267" w:lineRule="exact"/>
        <w:rPr>
          <w:rFonts w:ascii="Times New Roman" w:cs="Times New Roman" w:eastAsia="Times New Roman" w:hAnsi="Times New Roman"/>
          <w:sz w:val="21"/>
          <w:szCs w:val="21"/>
          <w:color w:val="auto"/>
        </w:rPr>
      </w:pPr>
    </w:p>
    <w:p>
      <w:pPr>
        <w:ind w:left="640" w:firstLine="619"/>
        <w:spacing w:after="0" w:line="227" w:lineRule="auto"/>
        <w:tabs>
          <w:tab w:leader="none" w:pos="1889" w:val="left"/>
        </w:tabs>
        <w:numPr>
          <w:ilvl w:val="0"/>
          <w:numId w:val="311"/>
        </w:numPr>
        <w:rPr>
          <w:rFonts w:ascii="Times New Roman" w:cs="Times New Roman" w:eastAsia="Times New Roman" w:hAnsi="Times New Roman"/>
          <w:sz w:val="21"/>
          <w:szCs w:val="21"/>
          <w:color w:val="auto"/>
        </w:rPr>
      </w:pPr>
      <w:r>
        <w:rPr>
          <w:rFonts w:ascii="Calibri" w:cs="Calibri" w:eastAsia="Calibri" w:hAnsi="Calibri"/>
          <w:sz w:val="18"/>
          <w:szCs w:val="18"/>
          <w:color w:val="auto"/>
        </w:rPr>
        <w:t>14. REFERENCES. Capitalized terms used and not otherwise defned herein shall have the meanings set forth in the Plan unless the context clearly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3</w:t>
      </w:r>
    </w:p>
    <w:p>
      <w:pPr>
        <w:sectPr>
          <w:pgSz w:w="11900" w:h="16838" w:orient="portrait"/>
          <w:cols w:equalWidth="0" w:num="1">
            <w:col w:w="11240"/>
          </w:cols>
          <w:pgMar w:left="320" w:top="125"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5"/>
        <w:spacing w:after="0" w:line="227" w:lineRule="auto"/>
        <w:tabs>
          <w:tab w:leader="none" w:pos="622" w:val="left"/>
        </w:tabs>
        <w:numPr>
          <w:ilvl w:val="0"/>
          <w:numId w:val="312"/>
        </w:numPr>
        <w:rPr>
          <w:rFonts w:ascii="Times New Roman" w:cs="Times New Roman" w:eastAsia="Times New Roman" w:hAnsi="Times New Roman"/>
          <w:sz w:val="21"/>
          <w:szCs w:val="21"/>
          <w:color w:val="auto"/>
        </w:rPr>
      </w:pPr>
      <w:r>
        <w:rPr>
          <w:rFonts w:ascii="Calibri" w:cs="Calibri" w:eastAsia="Calibri" w:hAnsi="Calibri"/>
          <w:sz w:val="18"/>
          <w:szCs w:val="18"/>
          <w:color w:val="auto"/>
        </w:rPr>
        <w:t>IN WITNESS WHEREOF, the Company has caused this Agreement to be duly executed by an ofcer thereunto duly authorized, and Director has executed this Agreement, all efectve as of the Efectve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60"/>
        <w:spacing w:after="0"/>
        <w:rPr>
          <w:sz w:val="20"/>
          <w:szCs w:val="20"/>
          <w:color w:val="auto"/>
        </w:rPr>
      </w:pPr>
      <w:r>
        <w:rPr>
          <w:rFonts w:ascii="Calibri" w:cs="Calibri" w:eastAsia="Calibri" w:hAnsi="Calibri"/>
          <w:sz w:val="18"/>
          <w:szCs w:val="18"/>
          <w:b w:val="1"/>
          <w:bCs w:val="1"/>
          <w:color w:val="auto"/>
        </w:rPr>
        <w:t>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113030</wp:posOffset>
            </wp:positionV>
            <wp:extent cx="2101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-135255</wp:posOffset>
            </wp:positionV>
            <wp:extent cx="38423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842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4</w:t>
      </w:r>
    </w:p>
    <w:p>
      <w:pPr>
        <w:sectPr>
          <w:pgSz w:w="11900" w:h="16838" w:orient="portrait"/>
          <w:cols w:equalWidth="0" w:num="1">
            <w:col w:w="11240"/>
          </w:cols>
          <w:pgMar w:left="320" w:top="125" w:right="339" w:bottom="1440" w:gutter="0" w:footer="0" w:header="0"/>
        </w:sectPr>
      </w:pPr>
    </w:p>
    <w:bookmarkStart w:id="259" w:name="page260"/>
    <w:bookmarkEnd w:id="259"/>
    <w:p>
      <w:pPr>
        <w:jc w:val="right"/>
        <w:spacing w:after="0"/>
        <w:rPr>
          <w:sz w:val="20"/>
          <w:szCs w:val="20"/>
          <w:color w:val="auto"/>
        </w:rPr>
      </w:pPr>
      <w:r>
        <w:rPr>
          <w:rFonts w:ascii="Calibri" w:cs="Calibri" w:eastAsia="Calibri" w:hAnsi="Calibri"/>
          <w:sz w:val="18"/>
          <w:szCs w:val="18"/>
          <w:color w:val="auto"/>
        </w:rPr>
        <w:t>Exhibit 10.4</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DIRECTOR</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DEFERRED SHARE AGREEMENT</w:t>
      </w:r>
    </w:p>
    <w:p>
      <w:pPr>
        <w:spacing w:after="0" w:line="212" w:lineRule="exact"/>
        <w:rPr>
          <w:sz w:val="20"/>
          <w:szCs w:val="20"/>
          <w:color w:val="auto"/>
        </w:rPr>
      </w:pPr>
    </w:p>
    <w:p>
      <w:pPr>
        <w:ind w:left="640"/>
        <w:spacing w:after="0"/>
        <w:rPr>
          <w:sz w:val="20"/>
          <w:szCs w:val="20"/>
          <w:color w:val="auto"/>
        </w:rPr>
      </w:pPr>
      <w:r>
        <w:rPr>
          <w:rFonts w:ascii="Calibri" w:cs="Calibri" w:eastAsia="Calibri" w:hAnsi="Calibri"/>
          <w:sz w:val="18"/>
          <w:szCs w:val="18"/>
          <w:color w:val="auto"/>
        </w:rPr>
        <w:t>THIS AGREEMENT is made as of the ___ day of _____________ (the “</w:t>
      </w:r>
      <w:r>
        <w:rPr>
          <w:rFonts w:ascii="Calibri" w:cs="Calibri" w:eastAsia="Calibri" w:hAnsi="Calibri"/>
          <w:sz w:val="18"/>
          <w:szCs w:val="18"/>
          <w:b w:val="1"/>
          <w:bCs w:val="1"/>
          <w:color w:val="auto"/>
        </w:rPr>
        <w:t>Efectve Date</w:t>
      </w:r>
      <w:r>
        <w:rPr>
          <w:rFonts w:ascii="Calibri" w:cs="Calibri" w:eastAsia="Calibri" w:hAnsi="Calibri"/>
          <w:sz w:val="18"/>
          <w:szCs w:val="18"/>
          <w:color w:val="auto"/>
        </w:rPr>
        <w:t>”) between Civeo Corporaton, a Britsh Columbia</w:t>
      </w:r>
    </w:p>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color w:val="auto"/>
        </w:rPr>
        <w:t>corporaton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and _________________ (“</w:t>
      </w:r>
      <w:r>
        <w:rPr>
          <w:rFonts w:ascii="Calibri" w:cs="Calibri" w:eastAsia="Calibri" w:hAnsi="Calibri"/>
          <w:sz w:val="18"/>
          <w:szCs w:val="18"/>
          <w:b w:val="1"/>
          <w:bCs w:val="1"/>
          <w:color w:val="auto"/>
        </w:rPr>
        <w:t>Director</w:t>
      </w:r>
      <w:r>
        <w:rPr>
          <w:rFonts w:ascii="Calibri" w:cs="Calibri" w:eastAsia="Calibri" w:hAnsi="Calibri"/>
          <w:sz w:val="18"/>
          <w:szCs w:val="18"/>
          <w:color w:val="auto"/>
        </w:rPr>
        <w:t>”).</w:t>
      </w:r>
    </w:p>
    <w:p>
      <w:pPr>
        <w:spacing w:after="0" w:line="227" w:lineRule="exact"/>
        <w:rPr>
          <w:sz w:val="20"/>
          <w:szCs w:val="20"/>
          <w:color w:val="auto"/>
        </w:rPr>
      </w:pPr>
    </w:p>
    <w:p>
      <w:pPr>
        <w:jc w:val="both"/>
        <w:ind w:firstLine="627"/>
        <w:spacing w:after="0" w:line="236" w:lineRule="auto"/>
        <w:rPr>
          <w:sz w:val="20"/>
          <w:szCs w:val="20"/>
          <w:color w:val="auto"/>
        </w:rPr>
      </w:pPr>
      <w:r>
        <w:rPr>
          <w:rFonts w:ascii="Calibri" w:cs="Calibri" w:eastAsia="Calibri" w:hAnsi="Calibri"/>
          <w:sz w:val="18"/>
          <w:szCs w:val="18"/>
          <w:color w:val="auto"/>
        </w:rPr>
        <w:t>To carry out the purposes of the Amended and Restated 2014 Equity Partcipaton Plan of Civeo Corporaton (as amended from tme to tme, the “</w:t>
      </w:r>
      <w:r>
        <w:rPr>
          <w:rFonts w:ascii="Calibri" w:cs="Calibri" w:eastAsia="Calibri" w:hAnsi="Calibri"/>
          <w:sz w:val="18"/>
          <w:szCs w:val="18"/>
          <w:b w:val="1"/>
          <w:bCs w:val="1"/>
          <w:color w:val="auto"/>
        </w:rPr>
        <w:t>Plan</w:t>
      </w:r>
      <w:r>
        <w:rPr>
          <w:rFonts w:ascii="Calibri" w:cs="Calibri" w:eastAsia="Calibri" w:hAnsi="Calibri"/>
          <w:sz w:val="18"/>
          <w:szCs w:val="18"/>
          <w:color w:val="auto"/>
        </w:rPr>
        <w:t>”), by afording Director the opportunity to acquire shares of common stock of the Company (“</w:t>
      </w:r>
      <w:r>
        <w:rPr>
          <w:rFonts w:ascii="Calibri" w:cs="Calibri" w:eastAsia="Calibri" w:hAnsi="Calibri"/>
          <w:sz w:val="18"/>
          <w:szCs w:val="18"/>
          <w:b w:val="1"/>
          <w:bCs w:val="1"/>
          <w:color w:val="auto"/>
        </w:rPr>
        <w:t>Stock</w:t>
      </w:r>
      <w:r>
        <w:rPr>
          <w:rFonts w:ascii="Calibri" w:cs="Calibri" w:eastAsia="Calibri" w:hAnsi="Calibri"/>
          <w:sz w:val="18"/>
          <w:szCs w:val="18"/>
          <w:color w:val="auto"/>
        </w:rPr>
        <w:t>”), and in consideraton of the mutual agreements and other maters set forth herein and in the Plan, the Company and Director hereby agree as follows:</w:t>
      </w:r>
    </w:p>
    <w:p>
      <w:pPr>
        <w:spacing w:after="0" w:line="227" w:lineRule="exact"/>
        <w:rPr>
          <w:sz w:val="20"/>
          <w:szCs w:val="20"/>
          <w:color w:val="auto"/>
        </w:rPr>
      </w:pPr>
    </w:p>
    <w:p>
      <w:pPr>
        <w:jc w:val="both"/>
        <w:ind w:firstLine="632"/>
        <w:spacing w:after="0"/>
        <w:tabs>
          <w:tab w:leader="none" w:pos="1001" w:val="left"/>
        </w:tabs>
        <w:numPr>
          <w:ilvl w:val="0"/>
          <w:numId w:val="313"/>
        </w:numPr>
        <w:rPr>
          <w:rFonts w:ascii="Calibri" w:cs="Calibri" w:eastAsia="Calibri" w:hAnsi="Calibri"/>
          <w:sz w:val="18"/>
          <w:szCs w:val="18"/>
          <w:color w:val="auto"/>
        </w:rPr>
      </w:pPr>
      <w:r>
        <w:rPr>
          <w:rFonts w:ascii="Calibri" w:cs="Calibri" w:eastAsia="Calibri" w:hAnsi="Calibri"/>
          <w:sz w:val="18"/>
          <w:szCs w:val="18"/>
          <w:color w:val="auto"/>
        </w:rPr>
        <w:t>AWARD OF DEFERRED SHARES. Upon executon of this Agreement, the Company shall grant _____ Deferred Shares and any applicable Dividend Equivalents (as provided in Secton 5 below) to Director. Director acknowledges receipt of a copy of the Plan, and agrees that this award of Deferred Shares shall be subject to all of the terms and conditons set forth herein and in the Plan, which Plan is incorporated herein by reference as a part of this Agreement. In the event of any confict between the terms of this Agreement and the Plan, the terms of the Plan shall govern. Director further acknowledges and confrms that Director's partcipaton in the Plan, executon of this Agreement and receipt of the Deferred Shares is voluntary.</w:t>
      </w:r>
    </w:p>
    <w:p>
      <w:pPr>
        <w:spacing w:after="0" w:line="200" w:lineRule="exact"/>
        <w:rPr>
          <w:rFonts w:ascii="Calibri" w:cs="Calibri" w:eastAsia="Calibri" w:hAnsi="Calibri"/>
          <w:sz w:val="18"/>
          <w:szCs w:val="18"/>
          <w:color w:val="auto"/>
        </w:rPr>
      </w:pPr>
    </w:p>
    <w:p>
      <w:pPr>
        <w:spacing w:after="0" w:line="256" w:lineRule="exact"/>
        <w:rPr>
          <w:rFonts w:ascii="Calibri" w:cs="Calibri" w:eastAsia="Calibri" w:hAnsi="Calibri"/>
          <w:sz w:val="18"/>
          <w:szCs w:val="18"/>
          <w:color w:val="auto"/>
        </w:rPr>
      </w:pPr>
    </w:p>
    <w:p>
      <w:pPr>
        <w:jc w:val="both"/>
        <w:ind w:firstLine="632"/>
        <w:spacing w:after="0" w:line="239" w:lineRule="auto"/>
        <w:tabs>
          <w:tab w:leader="none" w:pos="947" w:val="left"/>
        </w:tabs>
        <w:numPr>
          <w:ilvl w:val="0"/>
          <w:numId w:val="313"/>
        </w:numPr>
        <w:rPr>
          <w:rFonts w:ascii="Calibri" w:cs="Calibri" w:eastAsia="Calibri" w:hAnsi="Calibri"/>
          <w:sz w:val="18"/>
          <w:szCs w:val="18"/>
          <w:color w:val="auto"/>
        </w:rPr>
      </w:pPr>
      <w:r>
        <w:rPr>
          <w:rFonts w:ascii="Calibri" w:cs="Calibri" w:eastAsia="Calibri" w:hAnsi="Calibri"/>
          <w:sz w:val="18"/>
          <w:szCs w:val="18"/>
          <w:color w:val="auto"/>
        </w:rPr>
        <w:t>RIGHTS ATTACHING TO DEFERRED SHARES. As used herein, the term “</w:t>
      </w:r>
      <w:r>
        <w:rPr>
          <w:rFonts w:ascii="Calibri" w:cs="Calibri" w:eastAsia="Calibri" w:hAnsi="Calibri"/>
          <w:sz w:val="18"/>
          <w:szCs w:val="18"/>
          <w:b w:val="1"/>
          <w:bCs w:val="1"/>
          <w:color w:val="auto"/>
        </w:rPr>
        <w:t>Deferred Share</w:t>
      </w:r>
      <w:r>
        <w:rPr>
          <w:rFonts w:ascii="Calibri" w:cs="Calibri" w:eastAsia="Calibri" w:hAnsi="Calibri"/>
          <w:sz w:val="18"/>
          <w:szCs w:val="18"/>
          <w:color w:val="auto"/>
        </w:rPr>
        <w:t>” means an unfunded and unsecured right to acquire a share of Stock upon lapse of the Vestng Conditons contained herein and in accordance with the setlement provisions described below. Director shall have no rights as a shareholder of the Company, no dividend rights, and no votng rights with respect to the Deferred Shares or any share underlying the Deferred Shares or issuable in respect of such Deferred Shares untl such shares are actually issued to and held of record by Director. Except as expressly provided in Secton 5 below, no adjustment will be made for dividends or other rights of a holder for which the record date is prior to the date of issuance of the stock certfcate or book entry evidencing such shares.</w:t>
      </w:r>
    </w:p>
    <w:p>
      <w:pPr>
        <w:spacing w:after="0" w:line="216" w:lineRule="exact"/>
        <w:rPr>
          <w:rFonts w:ascii="Calibri" w:cs="Calibri" w:eastAsia="Calibri" w:hAnsi="Calibri"/>
          <w:sz w:val="18"/>
          <w:szCs w:val="18"/>
          <w:color w:val="auto"/>
        </w:rPr>
      </w:pPr>
    </w:p>
    <w:p>
      <w:pPr>
        <w:jc w:val="both"/>
        <w:ind w:firstLine="632"/>
        <w:spacing w:after="0" w:line="239" w:lineRule="auto"/>
        <w:tabs>
          <w:tab w:leader="none" w:pos="943" w:val="left"/>
        </w:tabs>
        <w:numPr>
          <w:ilvl w:val="0"/>
          <w:numId w:val="313"/>
        </w:numPr>
        <w:rPr>
          <w:rFonts w:ascii="Calibri" w:cs="Calibri" w:eastAsia="Calibri" w:hAnsi="Calibri"/>
          <w:sz w:val="18"/>
          <w:szCs w:val="18"/>
          <w:color w:val="auto"/>
        </w:rPr>
      </w:pPr>
      <w:r>
        <w:rPr>
          <w:rFonts w:ascii="Calibri" w:cs="Calibri" w:eastAsia="Calibri" w:hAnsi="Calibri"/>
          <w:sz w:val="18"/>
          <w:szCs w:val="18"/>
          <w:color w:val="auto"/>
        </w:rPr>
        <w:t>VESTING CONDITIONS. The Deferred Shares issued to Director pursuant to this Agreement may not be sold, assigned, pledged, exchanged, hypothecated or otherwise transferred, encumbered or disposed of other than by will or the laws of descent and distributon. In the event of terminaton of Director’s service on the Board of Directors of the Company (the “</w:t>
      </w:r>
      <w:r>
        <w:rPr>
          <w:rFonts w:ascii="Calibri" w:cs="Calibri" w:eastAsia="Calibri" w:hAnsi="Calibri"/>
          <w:sz w:val="18"/>
          <w:szCs w:val="18"/>
          <w:b w:val="1"/>
          <w:bCs w:val="1"/>
          <w:color w:val="auto"/>
        </w:rPr>
        <w:t>Board</w:t>
      </w:r>
      <w:r>
        <w:rPr>
          <w:rFonts w:ascii="Calibri" w:cs="Calibri" w:eastAsia="Calibri" w:hAnsi="Calibri"/>
          <w:sz w:val="18"/>
          <w:szCs w:val="18"/>
          <w:color w:val="auto"/>
        </w:rPr>
        <w:t>”) for any reason (other than as provided below), automatcally upon such terminaton Director shall, for no consideraton, forfeit to the Company all Deferred Shares granted hereunder to the extent such Deferred Shares are then subject to the Vestng Conditons. For purposes of this Agreement, Director shall be considered to be in service on the Board as long as Director remains a Director of the Company, or any successor thereto. Any queston as to whether and when there has been a terminaton of such service, and the cause of such terminaton, shall be determined by the Commitee in its sole discreton, and its determinaton shall be fnal. The obligatons to forfeit and surrender Deferred Shares to the Company upon terminaton from service on the Board are herein referred to as Vestng Conditons. The Vestng Conditons shall be binding upon and enforceable against any transferee of such Deferred Shares. The Vestng Conditons shall lapse as to the Deferred Shares granted hereunder on the earlier of (i) the frst anniversary of the Efectve Date or (ii) the date of the next Annual Shareholder’s Meetng of the Company following the Efectve Date. Notwithstanding the foregoing, the Vestng Conditons shall lapse as to the Deferred Shares (a) immediately prior to the consummaton of a Change of Control or (b) as of the date of terminaton of Director’s service on the Board due to his death or due to disability such that Director is incapable of serving on the Board for physical or mental reasons, as shall be determined by the Commitee in its sole discreton, and its determinaton shall be fnal.</w:t>
      </w:r>
    </w:p>
    <w:p>
      <w:pPr>
        <w:spacing w:after="0" w:line="242" w:lineRule="exact"/>
        <w:rPr>
          <w:rFonts w:ascii="Calibri" w:cs="Calibri" w:eastAsia="Calibri" w:hAnsi="Calibri"/>
          <w:sz w:val="18"/>
          <w:szCs w:val="18"/>
          <w:color w:val="auto"/>
        </w:rPr>
      </w:pPr>
    </w:p>
    <w:p>
      <w:pPr>
        <w:ind w:firstLine="632"/>
        <w:spacing w:after="0" w:line="239" w:lineRule="auto"/>
        <w:tabs>
          <w:tab w:leader="none" w:pos="996" w:val="left"/>
        </w:tabs>
        <w:numPr>
          <w:ilvl w:val="0"/>
          <w:numId w:val="313"/>
        </w:numPr>
        <w:rPr>
          <w:rFonts w:ascii="Calibri" w:cs="Calibri" w:eastAsia="Calibri" w:hAnsi="Calibri"/>
          <w:sz w:val="18"/>
          <w:szCs w:val="18"/>
          <w:color w:val="auto"/>
        </w:rPr>
      </w:pPr>
      <w:r>
        <w:rPr>
          <w:rFonts w:ascii="Calibri" w:cs="Calibri" w:eastAsia="Calibri" w:hAnsi="Calibri"/>
          <w:sz w:val="18"/>
          <w:szCs w:val="18"/>
          <w:color w:val="auto"/>
        </w:rPr>
        <w:t>SETTLEMENT OF DEFERRED SHARES; DELIVERY OF SHARES. Subject to the lapse of the Vestng Conditons, the Deferred Shares granted hereunder will be setled upon the earlier of (i) Director’s</w:t>
      </w:r>
    </w:p>
    <w:p>
      <w:pPr>
        <w:sectPr>
          <w:pgSz w:w="11900" w:h="16838" w:orient="portrait"/>
          <w:cols w:equalWidth="0" w:num="1">
            <w:col w:w="11240"/>
          </w:cols>
          <w:pgMar w:left="320" w:top="1362" w:right="339" w:bottom="1440" w:gutter="0" w:footer="0" w:header="0"/>
        </w:sectPr>
      </w:pPr>
    </w:p>
    <w:bookmarkStart w:id="260" w:name="page261"/>
    <w:bookmarkEnd w:id="260"/>
    <w:p>
      <w:pPr>
        <w:jc w:val="both"/>
        <w:spacing w:after="0" w:line="238"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Separaton of Service”</w:t>
      </w:r>
      <w:r>
        <w:rPr>
          <w:rFonts w:ascii="Calibri" w:cs="Calibri" w:eastAsia="Calibri" w:hAnsi="Calibri"/>
          <w:sz w:val="18"/>
          <w:szCs w:val="18"/>
          <w:color w:val="auto"/>
        </w:rPr>
        <w:t xml:space="preserve"> with the Company within the meaning of Secton 409A(a)(2)(A)(i) of the Internal Revenue Code of 1986, as amended (the “</w:t>
      </w:r>
      <w:r>
        <w:rPr>
          <w:rFonts w:ascii="Calibri" w:cs="Calibri" w:eastAsia="Calibri" w:hAnsi="Calibri"/>
          <w:sz w:val="18"/>
          <w:szCs w:val="18"/>
          <w:b w:val="1"/>
          <w:bCs w:val="1"/>
          <w:color w:val="auto"/>
        </w:rPr>
        <w:t>Code</w:t>
      </w:r>
      <w:r>
        <w:rPr>
          <w:rFonts w:ascii="Calibri" w:cs="Calibri" w:eastAsia="Calibri" w:hAnsi="Calibri"/>
          <w:sz w:val="18"/>
          <w:szCs w:val="18"/>
          <w:color w:val="auto"/>
        </w:rPr>
        <w:t>”), which will generally occur upon Director’s cessaton of providing services to the Company, or (ii) upon the consummaton of a Change of Control, provided that such Change of Control is also a change in the ownership or efectve control of the Company or in the ownership of a substantal porton of the assets of the Company within the meaning of Secton 409A(a)(2)(A)(v) of the Code. On setlement of the Deferred Shares, the Company shall issue to Director an equivalent number of shares of Stock.</w:t>
      </w:r>
    </w:p>
    <w:p>
      <w:pPr>
        <w:spacing w:after="0" w:line="243" w:lineRule="exact"/>
        <w:rPr>
          <w:sz w:val="20"/>
          <w:szCs w:val="20"/>
          <w:color w:val="auto"/>
        </w:rPr>
      </w:pPr>
    </w:p>
    <w:p>
      <w:pPr>
        <w:jc w:val="both"/>
        <w:ind w:firstLine="632"/>
        <w:spacing w:after="0" w:line="239" w:lineRule="auto"/>
        <w:tabs>
          <w:tab w:leader="none" w:pos="1008"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DIVIDEND EQUIVALENTS. This grant of Deferred Shares includes a tandem right to Dividend Equivalents with respect to each Deferred Share. During the period between the Efectve Date and the date the Deferred Shares granted hereunder are setled, each “</w:t>
      </w:r>
      <w:r>
        <w:rPr>
          <w:rFonts w:ascii="Calibri" w:cs="Calibri" w:eastAsia="Calibri" w:hAnsi="Calibri"/>
          <w:sz w:val="18"/>
          <w:szCs w:val="18"/>
          <w:b w:val="1"/>
          <w:bCs w:val="1"/>
          <w:color w:val="auto"/>
        </w:rPr>
        <w:t>Dividend Equivalent</w:t>
      </w:r>
      <w:r>
        <w:rPr>
          <w:rFonts w:ascii="Calibri" w:cs="Calibri" w:eastAsia="Calibri" w:hAnsi="Calibri"/>
          <w:sz w:val="18"/>
          <w:szCs w:val="18"/>
          <w:color w:val="auto"/>
        </w:rPr>
        <w:t>” shall enttle Director to receive, as evidenced by entry in a bookkeeping account in the form of additonal Deferred Shares, the equivalent value in cash of dividends paid on Stock, if and when declared. Dividend Equivalents shall be credited to Director’s bookkeeping account at the same tme as dividends are paid to shareholders of the Company and shall be subject to the same Vestng Conditons as apply to the Deferred Shares to which they are atached. Accrued Dividend Equivalents will be satsfed in the form of newly-issued shares from treasury, without interest, at the same tme as the underlying Deferred Shares are setled pursuant to Secton 4.</w:t>
      </w:r>
    </w:p>
    <w:p>
      <w:pPr>
        <w:spacing w:after="0" w:line="219" w:lineRule="exact"/>
        <w:rPr>
          <w:rFonts w:ascii="Calibri" w:cs="Calibri" w:eastAsia="Calibri" w:hAnsi="Calibri"/>
          <w:sz w:val="18"/>
          <w:szCs w:val="18"/>
          <w:color w:val="auto"/>
        </w:rPr>
      </w:pPr>
    </w:p>
    <w:p>
      <w:pPr>
        <w:ind w:firstLine="632"/>
        <w:spacing w:after="0" w:line="239" w:lineRule="auto"/>
        <w:tabs>
          <w:tab w:leader="none" w:pos="1020"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CONSIDERATION. It is understood that the consideraton for the issuance of Deferred Shares is Director’s agreement to render future services on the Board, which services shall have a value not less than the value of such Deferred Shares.</w:t>
      </w:r>
    </w:p>
    <w:p>
      <w:pPr>
        <w:spacing w:after="0" w:line="228" w:lineRule="exact"/>
        <w:rPr>
          <w:rFonts w:ascii="Calibri" w:cs="Calibri" w:eastAsia="Calibri" w:hAnsi="Calibri"/>
          <w:sz w:val="18"/>
          <w:szCs w:val="18"/>
          <w:color w:val="auto"/>
        </w:rPr>
      </w:pPr>
    </w:p>
    <w:p>
      <w:pPr>
        <w:jc w:val="both"/>
        <w:ind w:firstLine="632"/>
        <w:spacing w:after="0" w:line="239" w:lineRule="auto"/>
        <w:tabs>
          <w:tab w:leader="none" w:pos="976"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STATUS OF DEFERRED SHARES. Director agrees that the Deferred Shares and the shares of Stock issued in setlement thereof will not be sold or otherwise disposed of in any manner that would consttute a violaton of any applicable federal, provincial or state securites laws. Director also agrees (i) that the Company may refuse to register the transfer of the shares of Stock issued in setlement of the Deferred Shares on the stock transfer records of the Company if such proposed transfer would in the opinion of counsel satsfactory to the Company consttute a violaton of any applicable securites laws and (ii) that the Company may give related instructons to its transfer agent, if any, to stop registraton of the transfer of the shares of Stock issued in setlement of the Deferred Shares.</w:t>
      </w:r>
    </w:p>
    <w:p>
      <w:pPr>
        <w:spacing w:after="0" w:line="216" w:lineRule="exact"/>
        <w:rPr>
          <w:rFonts w:ascii="Calibri" w:cs="Calibri" w:eastAsia="Calibri" w:hAnsi="Calibri"/>
          <w:sz w:val="18"/>
          <w:szCs w:val="18"/>
          <w:color w:val="auto"/>
        </w:rPr>
      </w:pPr>
    </w:p>
    <w:p>
      <w:pPr>
        <w:jc w:val="both"/>
        <w:ind w:firstLine="632"/>
        <w:spacing w:after="0" w:line="241" w:lineRule="auto"/>
        <w:tabs>
          <w:tab w:leader="none" w:pos="1063"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COMMITTEE’S POWERS. No provision contained in this Agreement shall in any way terminate, modify or alter, or be construed or interpreted as terminatng, modifying or altering any of the powers, rights or authority vested in the Commitee pursuant to the terms of the Plan, including, without limitaton, the Commitee’s rights to make certain determinatons and electons with respect to the Deferred Shares.</w:t>
      </w:r>
    </w:p>
    <w:p>
      <w:pPr>
        <w:spacing w:after="0" w:line="239" w:lineRule="exact"/>
        <w:rPr>
          <w:rFonts w:ascii="Calibri" w:cs="Calibri" w:eastAsia="Calibri" w:hAnsi="Calibri"/>
          <w:sz w:val="18"/>
          <w:szCs w:val="18"/>
          <w:color w:val="auto"/>
        </w:rPr>
      </w:pPr>
    </w:p>
    <w:p>
      <w:pPr>
        <w:jc w:val="both"/>
        <w:ind w:firstLine="632"/>
        <w:spacing w:after="0" w:line="237" w:lineRule="auto"/>
        <w:tabs>
          <w:tab w:leader="none" w:pos="1003"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TAXES. Director is ultmately liable and responsible for all taxes owed in connecton with the Deferred Shares and any shares issued in setlement of such Deferred Shares. The Company makes no representaton or undertaking regarding the tax treatment of the grant, vestng, or setlement of the Deferred Shares or the subsequent sale of any of the underlying shares of Stock. The Company does not commit and is under no obligaton to structure this Agreement to reduce or eliminate Director’s tax liability.</w:t>
      </w:r>
    </w:p>
    <w:p>
      <w:pPr>
        <w:spacing w:after="0" w:line="229" w:lineRule="exact"/>
        <w:rPr>
          <w:rFonts w:ascii="Calibri" w:cs="Calibri" w:eastAsia="Calibri" w:hAnsi="Calibri"/>
          <w:sz w:val="18"/>
          <w:szCs w:val="18"/>
          <w:color w:val="auto"/>
        </w:rPr>
      </w:pPr>
    </w:p>
    <w:p>
      <w:pPr>
        <w:ind w:firstLine="632"/>
        <w:spacing w:after="0" w:line="239" w:lineRule="auto"/>
        <w:tabs>
          <w:tab w:leader="none" w:pos="1118"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BINDING EFFECT. This Agreement shall be binding upon and inure to the beneft of any successors to the Company and all persons lawfully claiming under Director.</w:t>
      </w:r>
    </w:p>
    <w:p>
      <w:pPr>
        <w:spacing w:after="0" w:line="215" w:lineRule="exact"/>
        <w:rPr>
          <w:rFonts w:ascii="Calibri" w:cs="Calibri" w:eastAsia="Calibri" w:hAnsi="Calibri"/>
          <w:sz w:val="18"/>
          <w:szCs w:val="18"/>
          <w:color w:val="auto"/>
        </w:rPr>
      </w:pPr>
    </w:p>
    <w:p>
      <w:pPr>
        <w:ind w:firstLine="632"/>
        <w:spacing w:after="0" w:line="239" w:lineRule="auto"/>
        <w:tabs>
          <w:tab w:leader="none" w:pos="1055" w:val="left"/>
        </w:tabs>
        <w:numPr>
          <w:ilvl w:val="0"/>
          <w:numId w:val="314"/>
        </w:numPr>
        <w:rPr>
          <w:rFonts w:ascii="Calibri" w:cs="Calibri" w:eastAsia="Calibri" w:hAnsi="Calibri"/>
          <w:sz w:val="18"/>
          <w:szCs w:val="18"/>
          <w:color w:val="auto"/>
        </w:rPr>
      </w:pPr>
      <w:r>
        <w:rPr>
          <w:rFonts w:ascii="Calibri" w:cs="Calibri" w:eastAsia="Calibri" w:hAnsi="Calibri"/>
          <w:sz w:val="18"/>
          <w:szCs w:val="18"/>
          <w:color w:val="auto"/>
        </w:rPr>
        <w:t>NON-ALIENATION. Director shall not have any right to pledge, hypothecate, antcipate or assign this Agreement or the rights hereunder, except by will or the laws of descent and distributon.</w:t>
      </w:r>
    </w:p>
    <w:p>
      <w:pPr>
        <w:sectPr>
          <w:pgSz w:w="11900" w:h="16838" w:orient="portrait"/>
          <w:cols w:equalWidth="0" w:num="1">
            <w:col w:w="11240"/>
          </w:cols>
          <w:pgMar w:left="320" w:top="1365" w:right="339" w:bottom="1440" w:gutter="0" w:footer="0" w:header="0"/>
        </w:sectPr>
      </w:pPr>
    </w:p>
    <w:bookmarkStart w:id="261" w:name="page262"/>
    <w:bookmarkEnd w:id="261"/>
    <w:p>
      <w:pPr>
        <w:jc w:val="both"/>
        <w:ind w:left="-632" w:firstLine="632"/>
        <w:spacing w:after="0" w:line="241" w:lineRule="auto"/>
        <w:tabs>
          <w:tab w:leader="none" w:pos="418" w:val="left"/>
        </w:tabs>
        <w:numPr>
          <w:ilvl w:val="0"/>
          <w:numId w:val="315"/>
        </w:numPr>
        <w:rPr>
          <w:rFonts w:ascii="Calibri" w:cs="Calibri" w:eastAsia="Calibri" w:hAnsi="Calibri"/>
          <w:sz w:val="18"/>
          <w:szCs w:val="18"/>
          <w:color w:val="auto"/>
        </w:rPr>
      </w:pPr>
      <w:r>
        <w:rPr>
          <w:rFonts w:ascii="Calibri" w:cs="Calibri" w:eastAsia="Calibri" w:hAnsi="Calibri"/>
          <w:sz w:val="18"/>
          <w:szCs w:val="18"/>
          <w:color w:val="auto"/>
        </w:rPr>
        <w:t>NOT A SERVICE CONTRACT. This Agreement shall not be deemed to consttute a service contract, nor shall any provision hereof afect (i) the right to terminate Director’s service on the Board in accordance with the Company’s by-laws and applicable law or (ii) the terms and conditons of any other agreement between the Company and Director except as expressly provided herein.</w:t>
      </w:r>
    </w:p>
    <w:p>
      <w:pPr>
        <w:spacing w:after="0" w:line="213" w:lineRule="exact"/>
        <w:rPr>
          <w:rFonts w:ascii="Calibri" w:cs="Calibri" w:eastAsia="Calibri" w:hAnsi="Calibri"/>
          <w:sz w:val="18"/>
          <w:szCs w:val="18"/>
          <w:color w:val="auto"/>
        </w:rPr>
      </w:pPr>
    </w:p>
    <w:p>
      <w:pPr>
        <w:ind w:left="-632" w:firstLine="632"/>
        <w:spacing w:after="0" w:line="239" w:lineRule="auto"/>
        <w:tabs>
          <w:tab w:leader="none" w:pos="415" w:val="left"/>
        </w:tabs>
        <w:numPr>
          <w:ilvl w:val="0"/>
          <w:numId w:val="315"/>
        </w:numPr>
        <w:rPr>
          <w:rFonts w:ascii="Calibri" w:cs="Calibri" w:eastAsia="Calibri" w:hAnsi="Calibri"/>
          <w:sz w:val="18"/>
          <w:szCs w:val="18"/>
          <w:color w:val="auto"/>
        </w:rPr>
      </w:pPr>
      <w:r>
        <w:rPr>
          <w:rFonts w:ascii="Calibri" w:cs="Calibri" w:eastAsia="Calibri" w:hAnsi="Calibri"/>
          <w:sz w:val="18"/>
          <w:szCs w:val="18"/>
          <w:color w:val="auto"/>
        </w:rPr>
        <w:t>COUNTERPARTS. This Agreement may be executed in one or more counterparts, each of which shall be deemed to be an original, but all of which together will consttute one and the same Agreement.</w:t>
      </w:r>
    </w:p>
    <w:p>
      <w:pPr>
        <w:spacing w:after="0" w:line="226" w:lineRule="exact"/>
        <w:rPr>
          <w:rFonts w:ascii="Calibri" w:cs="Calibri" w:eastAsia="Calibri" w:hAnsi="Calibri"/>
          <w:sz w:val="18"/>
          <w:szCs w:val="18"/>
          <w:color w:val="auto"/>
        </w:rPr>
      </w:pPr>
    </w:p>
    <w:p>
      <w:pPr>
        <w:ind w:left="388" w:hanging="388"/>
        <w:spacing w:after="0"/>
        <w:tabs>
          <w:tab w:leader="none" w:pos="388" w:val="left"/>
        </w:tabs>
        <w:numPr>
          <w:ilvl w:val="0"/>
          <w:numId w:val="315"/>
        </w:numPr>
        <w:rPr>
          <w:rFonts w:ascii="Calibri" w:cs="Calibri" w:eastAsia="Calibri" w:hAnsi="Calibri"/>
          <w:sz w:val="18"/>
          <w:szCs w:val="18"/>
          <w:color w:val="auto"/>
        </w:rPr>
      </w:pPr>
      <w:r>
        <w:rPr>
          <w:rFonts w:ascii="Calibri" w:cs="Calibri" w:eastAsia="Calibri" w:hAnsi="Calibri"/>
          <w:sz w:val="18"/>
          <w:szCs w:val="18"/>
          <w:color w:val="auto"/>
        </w:rPr>
        <w:t>GOVERNING LAW. This Agreement shall be governed by, and construed in accordance with, the laws of the State of Texas.</w:t>
      </w:r>
    </w:p>
    <w:p>
      <w:pPr>
        <w:spacing w:after="0" w:line="227" w:lineRule="exact"/>
        <w:rPr>
          <w:rFonts w:ascii="Calibri" w:cs="Calibri" w:eastAsia="Calibri" w:hAnsi="Calibri"/>
          <w:sz w:val="18"/>
          <w:szCs w:val="18"/>
          <w:color w:val="auto"/>
        </w:rPr>
      </w:pPr>
    </w:p>
    <w:p>
      <w:pPr>
        <w:ind w:left="-632" w:firstLine="632"/>
        <w:spacing w:after="0" w:line="239" w:lineRule="auto"/>
        <w:tabs>
          <w:tab w:leader="none" w:pos="434" w:val="left"/>
        </w:tabs>
        <w:numPr>
          <w:ilvl w:val="0"/>
          <w:numId w:val="315"/>
        </w:numPr>
        <w:rPr>
          <w:rFonts w:ascii="Calibri" w:cs="Calibri" w:eastAsia="Calibri" w:hAnsi="Calibri"/>
          <w:sz w:val="18"/>
          <w:szCs w:val="18"/>
          <w:color w:val="auto"/>
        </w:rPr>
      </w:pPr>
      <w:r>
        <w:rPr>
          <w:rFonts w:ascii="Calibri" w:cs="Calibri" w:eastAsia="Calibri" w:hAnsi="Calibri"/>
          <w:sz w:val="18"/>
          <w:szCs w:val="18"/>
          <w:color w:val="auto"/>
        </w:rPr>
        <w:t>REFERENCES. Capitalized terms used and not otherwise defned herein shall have the meanings set forth in the Plan unless the context clearly requires otherwise.</w:t>
      </w:r>
    </w:p>
    <w:p>
      <w:pPr>
        <w:spacing w:after="0" w:line="241" w:lineRule="exact"/>
        <w:rPr>
          <w:rFonts w:ascii="Calibri" w:cs="Calibri" w:eastAsia="Calibri" w:hAnsi="Calibri"/>
          <w:sz w:val="18"/>
          <w:szCs w:val="18"/>
          <w:color w:val="auto"/>
        </w:rPr>
      </w:pPr>
    </w:p>
    <w:p>
      <w:pPr>
        <w:jc w:val="both"/>
        <w:ind w:left="-632" w:firstLine="632"/>
        <w:spacing w:after="0" w:line="239" w:lineRule="auto"/>
        <w:tabs>
          <w:tab w:leader="none" w:pos="486" w:val="left"/>
        </w:tabs>
        <w:numPr>
          <w:ilvl w:val="0"/>
          <w:numId w:val="315"/>
        </w:numPr>
        <w:rPr>
          <w:rFonts w:ascii="Calibri" w:cs="Calibri" w:eastAsia="Calibri" w:hAnsi="Calibri"/>
          <w:sz w:val="18"/>
          <w:szCs w:val="18"/>
          <w:color w:val="auto"/>
        </w:rPr>
      </w:pPr>
      <w:r>
        <w:rPr>
          <w:rFonts w:ascii="Calibri" w:cs="Calibri" w:eastAsia="Calibri" w:hAnsi="Calibri"/>
          <w:sz w:val="18"/>
          <w:szCs w:val="18"/>
          <w:color w:val="auto"/>
        </w:rPr>
        <w:t>CODE SECTION 409A. To the extent applicable, this Agreement is intended to be interpreted and applied so that the payments and benefts set forth herein comply with the requirements of Code Secton 409A, and, accordingly, to the maximum extent permited, this Agreement shall be interpreted to be in compliance with Code Secton 409A. Notwithstanding the foregoing, the Company make no representatons concerning Director’s tax consequences under this Agreement under Code Secton 409A, or any other foreign, federal, state, or local tax law. Director’s tax consequences will depend, in part, upon the applicaton of relevant tax law to the relevant facts and circumstances. Director should consult a competent and independent tax advisor regarding his tax consequences under this Agreement.</w:t>
      </w:r>
    </w:p>
    <w:p>
      <w:pPr>
        <w:spacing w:after="0" w:line="242" w:lineRule="exact"/>
        <w:rPr>
          <w:rFonts w:ascii="Calibri" w:cs="Calibri" w:eastAsia="Calibri" w:hAnsi="Calibri"/>
          <w:sz w:val="18"/>
          <w:szCs w:val="18"/>
          <w:color w:val="auto"/>
        </w:rPr>
      </w:pPr>
    </w:p>
    <w:p>
      <w:pPr>
        <w:jc w:val="both"/>
        <w:ind w:left="-632" w:firstLine="632"/>
        <w:spacing w:after="0" w:line="237" w:lineRule="auto"/>
        <w:tabs>
          <w:tab w:leader="none" w:pos="445" w:val="left"/>
        </w:tabs>
        <w:numPr>
          <w:ilvl w:val="0"/>
          <w:numId w:val="315"/>
        </w:numPr>
        <w:rPr>
          <w:rFonts w:ascii="Calibri" w:cs="Calibri" w:eastAsia="Calibri" w:hAnsi="Calibri"/>
          <w:sz w:val="18"/>
          <w:szCs w:val="18"/>
          <w:color w:val="auto"/>
        </w:rPr>
      </w:pPr>
      <w:r>
        <w:rPr>
          <w:rFonts w:ascii="Calibri" w:cs="Calibri" w:eastAsia="Calibri" w:hAnsi="Calibri"/>
          <w:sz w:val="18"/>
          <w:szCs w:val="18"/>
          <w:color w:val="auto"/>
        </w:rPr>
        <w:t>INCOME TAX ACT SECTION 7. To the extent applicable, this Agreement and the Deferred Shares granted hereunder are intended to be interpreted and applied so that the provisions of Secton 7 of the Income Tax Act (Canada) apply. Notwithstanding the foregoing, the Company makes no representatons concerning the applicaton of such provisions or otherwise concerning Director's tax consequence under this Agreement. Director should consult a competent and independent tax advisor regarding his/her tax consequences.</w:t>
      </w:r>
    </w:p>
    <w:p>
      <w:pPr>
        <w:spacing w:after="0" w:line="242" w:lineRule="exact"/>
        <w:rPr>
          <w:rFonts w:ascii="Calibri" w:cs="Calibri" w:eastAsia="Calibri" w:hAnsi="Calibri"/>
          <w:sz w:val="18"/>
          <w:szCs w:val="18"/>
          <w:color w:val="auto"/>
        </w:rPr>
      </w:pPr>
    </w:p>
    <w:p>
      <w:pPr>
        <w:jc w:val="both"/>
        <w:ind w:left="-632" w:firstLine="632"/>
        <w:spacing w:after="0" w:line="238" w:lineRule="auto"/>
        <w:tabs>
          <w:tab w:leader="none" w:pos="399" w:val="left"/>
        </w:tabs>
        <w:numPr>
          <w:ilvl w:val="0"/>
          <w:numId w:val="315"/>
        </w:numPr>
        <w:rPr>
          <w:rFonts w:ascii="Calibri" w:cs="Calibri" w:eastAsia="Calibri" w:hAnsi="Calibri"/>
          <w:sz w:val="18"/>
          <w:szCs w:val="18"/>
          <w:color w:val="auto"/>
        </w:rPr>
      </w:pPr>
      <w:r>
        <w:rPr>
          <w:rFonts w:ascii="Calibri" w:cs="Calibri" w:eastAsia="Calibri" w:hAnsi="Calibri"/>
          <w:sz w:val="18"/>
          <w:szCs w:val="18"/>
          <w:color w:val="auto"/>
        </w:rPr>
        <w:t>RESTRICTIONS ON RESALE. Director acknowledges and agrees that the issuance of any Stock upon the setlement of Deferred Shares shall be made in Canada only in reliance on an available exempton from the prospectus requirements under applicable Canadian securites laws. As such, the resale of any such issued Stock is restricted and Director will only be able to resell such Stock to the extent such resale relies on an available exempton from the prospectus requirements under applicable Canadian securites laws. It is the responsibility of Director to consult with independent legal counsel prior to the resale of any such Stock as to the applicaton of any such resale restrictons.</w:t>
      </w:r>
    </w:p>
    <w:p>
      <w:pPr>
        <w:sectPr>
          <w:pgSz w:w="11900" w:h="16838" w:orient="portrait"/>
          <w:cols w:equalWidth="0" w:num="1">
            <w:col w:w="10608"/>
          </w:cols>
          <w:pgMar w:left="952" w:top="1364" w:right="339" w:bottom="1440" w:gutter="0" w:footer="0" w:header="0"/>
        </w:sectPr>
      </w:pPr>
    </w:p>
    <w:bookmarkStart w:id="262" w:name="page263"/>
    <w:bookmarkEnd w:id="262"/>
    <w:p>
      <w:pPr>
        <w:ind w:firstLine="627"/>
        <w:spacing w:after="0" w:line="239" w:lineRule="auto"/>
        <w:rPr>
          <w:sz w:val="20"/>
          <w:szCs w:val="20"/>
          <w:color w:val="auto"/>
        </w:rPr>
      </w:pPr>
      <w:r>
        <w:rPr>
          <w:rFonts w:ascii="Calibri" w:cs="Calibri" w:eastAsia="Calibri" w:hAnsi="Calibri"/>
          <w:sz w:val="18"/>
          <w:szCs w:val="18"/>
          <w:color w:val="auto"/>
        </w:rPr>
        <w:t>IN WITNESS WHEREOF, the Company has caused this Agreement to be duly executed by an ofcer thereunto duly authorized, and Director has executed this Agreement, all efectve as of the Efectve Date.</w:t>
      </w:r>
    </w:p>
    <w:p>
      <w:pPr>
        <w:spacing w:after="0" w:line="252" w:lineRule="exact"/>
        <w:rPr>
          <w:sz w:val="20"/>
          <w:szCs w:val="20"/>
          <w:color w:val="auto"/>
        </w:rPr>
      </w:pPr>
    </w:p>
    <w:p>
      <w:pPr>
        <w:ind w:left="5360"/>
        <w:spacing w:after="0"/>
        <w:rPr>
          <w:sz w:val="20"/>
          <w:szCs w:val="20"/>
          <w:color w:val="auto"/>
        </w:rPr>
      </w:pPr>
      <w:r>
        <w:rPr>
          <w:rFonts w:ascii="Calibri" w:cs="Calibri" w:eastAsia="Calibri" w:hAnsi="Calibri"/>
          <w:sz w:val="18"/>
          <w:szCs w:val="18"/>
          <w:color w:val="auto"/>
        </w:rPr>
        <w:t>CIVEO CORPORATION</w:t>
      </w:r>
    </w:p>
    <w:p>
      <w:pPr>
        <w:spacing w:after="0" w:line="200" w:lineRule="exact"/>
        <w:rPr>
          <w:sz w:val="20"/>
          <w:szCs w:val="20"/>
          <w:color w:val="auto"/>
        </w:rPr>
      </w:pPr>
    </w:p>
    <w:p>
      <w:pPr>
        <w:spacing w:after="0" w:line="286" w:lineRule="exact"/>
        <w:rPr>
          <w:sz w:val="20"/>
          <w:szCs w:val="20"/>
          <w:color w:val="auto"/>
        </w:rPr>
      </w:pPr>
    </w:p>
    <w:p>
      <w:pPr>
        <w:jc w:val="center"/>
        <w:ind w:right="320"/>
        <w:spacing w:after="0"/>
        <w:rPr>
          <w:sz w:val="20"/>
          <w:szCs w:val="20"/>
          <w:color w:val="auto"/>
        </w:rPr>
      </w:pPr>
      <w:r>
        <w:rPr>
          <w:rFonts w:ascii="Calibri" w:cs="Calibri" w:eastAsia="Calibri" w:hAnsi="Calibri"/>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21590</wp:posOffset>
            </wp:positionV>
            <wp:extent cx="31699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21590</wp:posOffset>
            </wp:positionV>
            <wp:extent cx="31699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244"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21590</wp:posOffset>
            </wp:positionV>
            <wp:extent cx="31699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-135255</wp:posOffset>
            </wp:positionV>
            <wp:extent cx="3750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750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Share Award Agreement Signature Page</w:t>
      </w:r>
    </w:p>
    <w:p>
      <w:pPr>
        <w:sectPr>
          <w:pgSz w:w="11900" w:h="16838" w:orient="portrait"/>
          <w:cols w:equalWidth="0" w:num="1">
            <w:col w:w="11240"/>
          </w:cols>
          <w:pgMar w:left="320" w:top="1365" w:right="339" w:bottom="1440" w:gutter="0" w:footer="0" w:header="0"/>
        </w:sectPr>
      </w:pPr>
    </w:p>
    <w:bookmarkStart w:id="263" w:name="page264"/>
    <w:bookmarkEnd w:id="263"/>
    <w:p>
      <w:pPr>
        <w:jc w:val="right"/>
        <w:spacing w:after="0"/>
        <w:rPr>
          <w:sz w:val="20"/>
          <w:szCs w:val="20"/>
          <w:color w:val="auto"/>
        </w:rPr>
      </w:pPr>
      <w:r>
        <w:rPr>
          <w:rFonts w:ascii="Calibri" w:cs="Calibri" w:eastAsia="Calibri" w:hAnsi="Calibri"/>
          <w:sz w:val="18"/>
          <w:szCs w:val="18"/>
          <w:color w:val="auto"/>
        </w:rPr>
        <w:t>Exhibit 10.5</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DIRECTOR</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DEFERRED SHARE AGREEMENT</w:t>
      </w:r>
    </w:p>
    <w:p>
      <w:pPr>
        <w:spacing w:after="0" w:line="212" w:lineRule="exact"/>
        <w:rPr>
          <w:sz w:val="20"/>
          <w:szCs w:val="20"/>
          <w:color w:val="auto"/>
        </w:rPr>
      </w:pPr>
    </w:p>
    <w:p>
      <w:pPr>
        <w:ind w:left="640"/>
        <w:spacing w:after="0"/>
        <w:rPr>
          <w:sz w:val="20"/>
          <w:szCs w:val="20"/>
          <w:color w:val="auto"/>
        </w:rPr>
      </w:pPr>
      <w:r>
        <w:rPr>
          <w:rFonts w:ascii="Calibri" w:cs="Calibri" w:eastAsia="Calibri" w:hAnsi="Calibri"/>
          <w:sz w:val="18"/>
          <w:szCs w:val="18"/>
          <w:color w:val="auto"/>
        </w:rPr>
        <w:t>THIS AGREEMENT is made as of the ___ day of _____________ (the “</w:t>
      </w:r>
      <w:r>
        <w:rPr>
          <w:rFonts w:ascii="Calibri" w:cs="Calibri" w:eastAsia="Calibri" w:hAnsi="Calibri"/>
          <w:sz w:val="18"/>
          <w:szCs w:val="18"/>
          <w:b w:val="1"/>
          <w:bCs w:val="1"/>
          <w:color w:val="auto"/>
        </w:rPr>
        <w:t>Efectve Date</w:t>
      </w:r>
      <w:r>
        <w:rPr>
          <w:rFonts w:ascii="Calibri" w:cs="Calibri" w:eastAsia="Calibri" w:hAnsi="Calibri"/>
          <w:sz w:val="18"/>
          <w:szCs w:val="18"/>
          <w:color w:val="auto"/>
        </w:rPr>
        <w:t>”) between Civeo Corporaton, a Britsh Columbia</w:t>
      </w:r>
    </w:p>
    <w:p>
      <w:pPr>
        <w:spacing w:after="0" w:line="2" w:lineRule="exact"/>
        <w:rPr>
          <w:sz w:val="20"/>
          <w:szCs w:val="20"/>
          <w:color w:val="auto"/>
        </w:rPr>
      </w:pPr>
    </w:p>
    <w:p>
      <w:pPr>
        <w:spacing w:after="0"/>
        <w:rPr>
          <w:sz w:val="20"/>
          <w:szCs w:val="20"/>
          <w:color w:val="auto"/>
        </w:rPr>
      </w:pPr>
      <w:r>
        <w:rPr>
          <w:rFonts w:ascii="Calibri" w:cs="Calibri" w:eastAsia="Calibri" w:hAnsi="Calibri"/>
          <w:sz w:val="18"/>
          <w:szCs w:val="18"/>
          <w:color w:val="auto"/>
        </w:rPr>
        <w:t>corporaton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and _________________ (“</w:t>
      </w:r>
      <w:r>
        <w:rPr>
          <w:rFonts w:ascii="Calibri" w:cs="Calibri" w:eastAsia="Calibri" w:hAnsi="Calibri"/>
          <w:sz w:val="18"/>
          <w:szCs w:val="18"/>
          <w:b w:val="1"/>
          <w:bCs w:val="1"/>
          <w:color w:val="auto"/>
        </w:rPr>
        <w:t>Director</w:t>
      </w:r>
      <w:r>
        <w:rPr>
          <w:rFonts w:ascii="Calibri" w:cs="Calibri" w:eastAsia="Calibri" w:hAnsi="Calibri"/>
          <w:sz w:val="18"/>
          <w:szCs w:val="18"/>
          <w:color w:val="auto"/>
        </w:rPr>
        <w:t>”).</w:t>
      </w:r>
    </w:p>
    <w:p>
      <w:pPr>
        <w:spacing w:after="0" w:line="227" w:lineRule="exact"/>
        <w:rPr>
          <w:sz w:val="20"/>
          <w:szCs w:val="20"/>
          <w:color w:val="auto"/>
        </w:rPr>
      </w:pPr>
    </w:p>
    <w:p>
      <w:pPr>
        <w:jc w:val="both"/>
        <w:ind w:firstLine="627"/>
        <w:spacing w:after="0" w:line="236" w:lineRule="auto"/>
        <w:rPr>
          <w:sz w:val="20"/>
          <w:szCs w:val="20"/>
          <w:color w:val="auto"/>
        </w:rPr>
      </w:pPr>
      <w:r>
        <w:rPr>
          <w:rFonts w:ascii="Calibri" w:cs="Calibri" w:eastAsia="Calibri" w:hAnsi="Calibri"/>
          <w:sz w:val="18"/>
          <w:szCs w:val="18"/>
          <w:color w:val="auto"/>
        </w:rPr>
        <w:t>To carry out the purposes of the Amended and Restated 2014 Equity Partcipaton Plan of Civeo Corporaton (as amended from tme to tme, the “</w:t>
      </w:r>
      <w:r>
        <w:rPr>
          <w:rFonts w:ascii="Calibri" w:cs="Calibri" w:eastAsia="Calibri" w:hAnsi="Calibri"/>
          <w:sz w:val="18"/>
          <w:szCs w:val="18"/>
          <w:b w:val="1"/>
          <w:bCs w:val="1"/>
          <w:color w:val="auto"/>
        </w:rPr>
        <w:t>Plan</w:t>
      </w:r>
      <w:r>
        <w:rPr>
          <w:rFonts w:ascii="Calibri" w:cs="Calibri" w:eastAsia="Calibri" w:hAnsi="Calibri"/>
          <w:sz w:val="18"/>
          <w:szCs w:val="18"/>
          <w:color w:val="auto"/>
        </w:rPr>
        <w:t>”), by afording Director the opportunity to acquire shares of common stock of the Company (“</w:t>
      </w:r>
      <w:r>
        <w:rPr>
          <w:rFonts w:ascii="Calibri" w:cs="Calibri" w:eastAsia="Calibri" w:hAnsi="Calibri"/>
          <w:sz w:val="18"/>
          <w:szCs w:val="18"/>
          <w:b w:val="1"/>
          <w:bCs w:val="1"/>
          <w:color w:val="auto"/>
        </w:rPr>
        <w:t>Stock</w:t>
      </w:r>
      <w:r>
        <w:rPr>
          <w:rFonts w:ascii="Calibri" w:cs="Calibri" w:eastAsia="Calibri" w:hAnsi="Calibri"/>
          <w:sz w:val="18"/>
          <w:szCs w:val="18"/>
          <w:color w:val="auto"/>
        </w:rPr>
        <w:t>”), and in consideraton of the mutual agreements and other maters set forth herein and in the Plan, the Company and Director hereby agree as follows:</w:t>
      </w:r>
    </w:p>
    <w:p>
      <w:pPr>
        <w:spacing w:after="0" w:line="227" w:lineRule="exact"/>
        <w:rPr>
          <w:sz w:val="20"/>
          <w:szCs w:val="20"/>
          <w:color w:val="auto"/>
        </w:rPr>
      </w:pPr>
    </w:p>
    <w:p>
      <w:pPr>
        <w:jc w:val="both"/>
        <w:ind w:firstLine="632"/>
        <w:spacing w:after="0" w:line="237" w:lineRule="auto"/>
        <w:tabs>
          <w:tab w:leader="none" w:pos="1050" w:val="left"/>
        </w:tabs>
        <w:numPr>
          <w:ilvl w:val="0"/>
          <w:numId w:val="316"/>
        </w:numPr>
        <w:rPr>
          <w:rFonts w:ascii="Calibri" w:cs="Calibri" w:eastAsia="Calibri" w:hAnsi="Calibri"/>
          <w:sz w:val="18"/>
          <w:szCs w:val="18"/>
          <w:color w:val="auto"/>
        </w:rPr>
      </w:pPr>
      <w:r>
        <w:rPr>
          <w:rFonts w:ascii="Calibri" w:cs="Calibri" w:eastAsia="Calibri" w:hAnsi="Calibri"/>
          <w:sz w:val="18"/>
          <w:szCs w:val="18"/>
          <w:color w:val="auto"/>
        </w:rPr>
        <w:t>AWARD OF DEFERRED SHARES. Upon executon of this Agreement, the Company shall issue _____ Deferred Shares and any applicable Dividend Equivalents (as provided in Secton 5 below) to Director. Director acknowledges receipt of a copy of the Plan, and agrees that this award of Deferred Shares shall be subject to all of the terms and conditons set forth herein and in the Plan, which Plan is incorporated herein by reference as a part of this Agreement. In the event of any confict between the terms of this Agreement and the Plan, the terms of the Plan shall govern.</w:t>
      </w:r>
    </w:p>
    <w:p>
      <w:pPr>
        <w:spacing w:after="0" w:line="242" w:lineRule="exact"/>
        <w:rPr>
          <w:rFonts w:ascii="Calibri" w:cs="Calibri" w:eastAsia="Calibri" w:hAnsi="Calibri"/>
          <w:sz w:val="18"/>
          <w:szCs w:val="18"/>
          <w:color w:val="auto"/>
        </w:rPr>
      </w:pPr>
    </w:p>
    <w:p>
      <w:pPr>
        <w:jc w:val="both"/>
        <w:ind w:firstLine="632"/>
        <w:spacing w:after="0" w:line="239" w:lineRule="auto"/>
        <w:tabs>
          <w:tab w:leader="none" w:pos="982" w:val="left"/>
        </w:tabs>
        <w:numPr>
          <w:ilvl w:val="0"/>
          <w:numId w:val="316"/>
        </w:numPr>
        <w:rPr>
          <w:rFonts w:ascii="Calibri" w:cs="Calibri" w:eastAsia="Calibri" w:hAnsi="Calibri"/>
          <w:sz w:val="18"/>
          <w:szCs w:val="18"/>
          <w:color w:val="auto"/>
        </w:rPr>
      </w:pPr>
      <w:r>
        <w:rPr>
          <w:rFonts w:ascii="Calibri" w:cs="Calibri" w:eastAsia="Calibri" w:hAnsi="Calibri"/>
          <w:sz w:val="18"/>
          <w:szCs w:val="18"/>
          <w:color w:val="auto"/>
        </w:rPr>
        <w:t>RIGHTS ATTACHING TO DEFERRED SHARES. As used herein, the term “</w:t>
      </w:r>
      <w:r>
        <w:rPr>
          <w:rFonts w:ascii="Calibri" w:cs="Calibri" w:eastAsia="Calibri" w:hAnsi="Calibri"/>
          <w:sz w:val="18"/>
          <w:szCs w:val="18"/>
          <w:b w:val="1"/>
          <w:bCs w:val="1"/>
          <w:color w:val="auto"/>
        </w:rPr>
        <w:t>Deferred Share</w:t>
      </w:r>
      <w:r>
        <w:rPr>
          <w:rFonts w:ascii="Calibri" w:cs="Calibri" w:eastAsia="Calibri" w:hAnsi="Calibri"/>
          <w:sz w:val="18"/>
          <w:szCs w:val="18"/>
          <w:color w:val="auto"/>
        </w:rPr>
        <w:t>” means an unfunded and unsecured right to acquire a share of Stock upon lapse of the Forfeiture Restrictons contained herein and in accordance with the setlement provisions described below. Director shall have no rights as a shareholder of the Company, no dividend rights, and no votng rights with respect to the Deferred Shares or any share underlying the Deferred Shares or issuable in respect of such Deferred Shares untl such shares are actually issued to and held of record by Director. Except as expressly provided in Secton 5 below, no adjustment will be made for dividends or other rights of a holder for which the record date is prior to the date of issuance of the stock certfcate or book entry evidencing such shares.</w:t>
      </w:r>
    </w:p>
    <w:p>
      <w:pPr>
        <w:spacing w:after="0" w:line="229" w:lineRule="exact"/>
        <w:rPr>
          <w:rFonts w:ascii="Calibri" w:cs="Calibri" w:eastAsia="Calibri" w:hAnsi="Calibri"/>
          <w:sz w:val="18"/>
          <w:szCs w:val="18"/>
          <w:color w:val="auto"/>
        </w:rPr>
      </w:pPr>
    </w:p>
    <w:p>
      <w:pPr>
        <w:jc w:val="both"/>
        <w:ind w:firstLine="632"/>
        <w:spacing w:after="0" w:line="239" w:lineRule="auto"/>
        <w:tabs>
          <w:tab w:leader="none" w:pos="1092" w:val="left"/>
        </w:tabs>
        <w:numPr>
          <w:ilvl w:val="0"/>
          <w:numId w:val="316"/>
        </w:numPr>
        <w:rPr>
          <w:rFonts w:ascii="Calibri" w:cs="Calibri" w:eastAsia="Calibri" w:hAnsi="Calibri"/>
          <w:sz w:val="18"/>
          <w:szCs w:val="18"/>
          <w:color w:val="auto"/>
        </w:rPr>
      </w:pPr>
      <w:r>
        <w:rPr>
          <w:rFonts w:ascii="Calibri" w:cs="Calibri" w:eastAsia="Calibri" w:hAnsi="Calibri"/>
          <w:sz w:val="18"/>
          <w:szCs w:val="18"/>
          <w:color w:val="auto"/>
        </w:rPr>
        <w:t>FORFEITURE RESTRICTIONS. The Deferred Shares issued to Director pursuant to this Agreement may not be sold, assigned, pledged, exchanged, hypothecated or otherwise transferred, encumbered or disposed of other than by will or the laws of descent and distributon. In the event of terminaton of Director’s service on the Board of Directors of the Company (the “</w:t>
      </w:r>
      <w:r>
        <w:rPr>
          <w:rFonts w:ascii="Calibri" w:cs="Calibri" w:eastAsia="Calibri" w:hAnsi="Calibri"/>
          <w:sz w:val="18"/>
          <w:szCs w:val="18"/>
          <w:b w:val="1"/>
          <w:bCs w:val="1"/>
          <w:color w:val="auto"/>
        </w:rPr>
        <w:t>Board</w:t>
      </w:r>
      <w:r>
        <w:rPr>
          <w:rFonts w:ascii="Calibri" w:cs="Calibri" w:eastAsia="Calibri" w:hAnsi="Calibri"/>
          <w:sz w:val="18"/>
          <w:szCs w:val="18"/>
          <w:color w:val="auto"/>
        </w:rPr>
        <w:t>”) for any reason (other than as provided below), automatcally upon such terminaton Director shall, for no consideraton, forfeit to the Company all Deferred Shares granted hereunder to the extent such Deferred Shares are then subject to the Forfeiture Restrictons. For purposes of this Agreement, Director shall be considered to be in service on the Board as long as Director remains a Director of the Company, or any successor thereto. Any queston as to whether and when there has been a terminaton of such service, and the cause of such terminaton, shall be determined by the Commitee in its sole discreton, and its determinaton shall be fnal. The obligatons to forfeit and surrender Deferred Shares to the Company upon terminaton from service on the Board are herein referred to as “</w:t>
      </w:r>
      <w:r>
        <w:rPr>
          <w:rFonts w:ascii="Calibri" w:cs="Calibri" w:eastAsia="Calibri" w:hAnsi="Calibri"/>
          <w:sz w:val="18"/>
          <w:szCs w:val="18"/>
          <w:b w:val="1"/>
          <w:bCs w:val="1"/>
          <w:color w:val="auto"/>
        </w:rPr>
        <w:t>Forfeiture Restrictons</w:t>
      </w:r>
      <w:r>
        <w:rPr>
          <w:rFonts w:ascii="Calibri" w:cs="Calibri" w:eastAsia="Calibri" w:hAnsi="Calibri"/>
          <w:sz w:val="18"/>
          <w:szCs w:val="18"/>
          <w:color w:val="auto"/>
        </w:rPr>
        <w:t>.” The Forfeiture Restrictons shall be binding upon and enforceable against any transferee of such Deferred Shares. The Forfeiture Restrictons shall lapse as to the Deferred Shares granted hereunder on the earlier of (i) the frst anniversary of the Efectve Date or (ii) the date of the next Annual Shareholder’s Meetng of the Company following the Efectve Date. Notwithstanding the foregoing, the Forfeiture Restrictons shall lapse as to the Deferred Shares (a) immediately prior to the consummaton of a Change of Control or (b) as of the date of terminaton of Director’s service on the Board due to his death or due to disability such that Director is incapable of serving on the Board for physical or mental reasons, as shall be determined by the Commitee in its sole discreton, and its determinaton shall be fnal.</w:t>
      </w:r>
    </w:p>
    <w:p>
      <w:pPr>
        <w:spacing w:after="0" w:line="242" w:lineRule="exact"/>
        <w:rPr>
          <w:rFonts w:ascii="Calibri" w:cs="Calibri" w:eastAsia="Calibri" w:hAnsi="Calibri"/>
          <w:sz w:val="18"/>
          <w:szCs w:val="18"/>
          <w:color w:val="auto"/>
        </w:rPr>
      </w:pPr>
    </w:p>
    <w:p>
      <w:pPr>
        <w:ind w:firstLine="632"/>
        <w:spacing w:after="0" w:line="232" w:lineRule="auto"/>
        <w:tabs>
          <w:tab w:leader="none" w:pos="981" w:val="left"/>
        </w:tabs>
        <w:numPr>
          <w:ilvl w:val="0"/>
          <w:numId w:val="316"/>
        </w:numPr>
        <w:rPr>
          <w:rFonts w:ascii="Calibri" w:cs="Calibri" w:eastAsia="Calibri" w:hAnsi="Calibri"/>
          <w:sz w:val="18"/>
          <w:szCs w:val="18"/>
          <w:color w:val="auto"/>
        </w:rPr>
      </w:pPr>
      <w:r>
        <w:rPr>
          <w:rFonts w:ascii="Calibri" w:cs="Calibri" w:eastAsia="Calibri" w:hAnsi="Calibri"/>
          <w:sz w:val="18"/>
          <w:szCs w:val="18"/>
          <w:color w:val="auto"/>
        </w:rPr>
        <w:t>SETTLEMENT OF DEFERRED SHARES; DELIVERY OF SHARES. Subject to the lapse of the Forfeiture Restrictons, the Deferred Shares granted hereunder will be setled upon the earlier of (i) Director’s</w:t>
      </w:r>
    </w:p>
    <w:p>
      <w:pPr>
        <w:sectPr>
          <w:pgSz w:w="11900" w:h="16838" w:orient="portrait"/>
          <w:cols w:equalWidth="0" w:num="1">
            <w:col w:w="11240"/>
          </w:cols>
          <w:pgMar w:left="320" w:top="1362" w:right="339" w:bottom="1440" w:gutter="0" w:footer="0" w:header="0"/>
        </w:sectPr>
      </w:pPr>
    </w:p>
    <w:bookmarkStart w:id="264" w:name="page265"/>
    <w:bookmarkEnd w:id="264"/>
    <w:p>
      <w:pPr>
        <w:jc w:val="both"/>
        <w:spacing w:after="0" w:line="237"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Separaton of Service”</w:t>
      </w:r>
      <w:r>
        <w:rPr>
          <w:rFonts w:ascii="Calibri" w:cs="Calibri" w:eastAsia="Calibri" w:hAnsi="Calibri"/>
          <w:sz w:val="18"/>
          <w:szCs w:val="18"/>
          <w:color w:val="auto"/>
        </w:rPr>
        <w:t xml:space="preserve"> with the Company within the meaning of Secton 409A(a)(2)(A)(i) of the Internal Revenue Code of 1986, as amended (the “</w:t>
      </w:r>
      <w:r>
        <w:rPr>
          <w:rFonts w:ascii="Calibri" w:cs="Calibri" w:eastAsia="Calibri" w:hAnsi="Calibri"/>
          <w:sz w:val="18"/>
          <w:szCs w:val="18"/>
          <w:b w:val="1"/>
          <w:bCs w:val="1"/>
          <w:color w:val="auto"/>
        </w:rPr>
        <w:t>Code</w:t>
      </w:r>
      <w:r>
        <w:rPr>
          <w:rFonts w:ascii="Calibri" w:cs="Calibri" w:eastAsia="Calibri" w:hAnsi="Calibri"/>
          <w:sz w:val="18"/>
          <w:szCs w:val="18"/>
          <w:color w:val="auto"/>
        </w:rPr>
        <w:t>”), which will generally occur upon Director’s cessaton of providing services to the Company, or (ii) upon the consummaton of a Change of Control, provided that such Change of Control is also a change in the ownership or efectve control of the Company or in the ownership of a substantal porton of the assets of the Company within the meaning of Secton 409A(a)(2)(A)(v) of the Code.</w:t>
      </w:r>
    </w:p>
    <w:p>
      <w:pPr>
        <w:spacing w:after="0" w:line="243" w:lineRule="exact"/>
        <w:rPr>
          <w:sz w:val="20"/>
          <w:szCs w:val="20"/>
          <w:color w:val="auto"/>
        </w:rPr>
      </w:pPr>
    </w:p>
    <w:p>
      <w:pPr>
        <w:jc w:val="both"/>
        <w:ind w:firstLine="632"/>
        <w:spacing w:after="0" w:line="239" w:lineRule="auto"/>
        <w:tabs>
          <w:tab w:leader="none" w:pos="1055"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DIVIDEND EQUIVALENTS. This grant of Deferred Shares includes a tandem right to Dividend Equivalents with respect to each Deferred Share. During the period between the Efectve Date and the date the Deferred Shares granted hereunder are setled, each “</w:t>
      </w:r>
      <w:r>
        <w:rPr>
          <w:rFonts w:ascii="Calibri" w:cs="Calibri" w:eastAsia="Calibri" w:hAnsi="Calibri"/>
          <w:sz w:val="18"/>
          <w:szCs w:val="18"/>
          <w:b w:val="1"/>
          <w:bCs w:val="1"/>
          <w:color w:val="auto"/>
        </w:rPr>
        <w:t>Dividend Equivalent</w:t>
      </w:r>
      <w:r>
        <w:rPr>
          <w:rFonts w:ascii="Calibri" w:cs="Calibri" w:eastAsia="Calibri" w:hAnsi="Calibri"/>
          <w:sz w:val="18"/>
          <w:szCs w:val="18"/>
          <w:color w:val="auto"/>
        </w:rPr>
        <w:t>” shall enttle Director to receive, as evidenced by entry in a bookkeeping account, the equivalent value in cash of dividends paid on Stock, if and when declared. Dividend Equivalents shall be credited to Director’s bookkeeping account at the same tme as dividends are paid to shareholders of the Company and shall be subject to the same Forfeiture Restrictons as apply to the Deferred Shares to which they are atached. Accrued Dividend Equivalents will be paid in cash, without interest, at the same tme as the underlying Deferred Shares are setled pursuant to Secton 4.</w:t>
      </w:r>
    </w:p>
    <w:p>
      <w:pPr>
        <w:spacing w:after="0" w:line="242" w:lineRule="exact"/>
        <w:rPr>
          <w:rFonts w:ascii="Calibri" w:cs="Calibri" w:eastAsia="Calibri" w:hAnsi="Calibri"/>
          <w:sz w:val="18"/>
          <w:szCs w:val="18"/>
          <w:color w:val="auto"/>
        </w:rPr>
      </w:pPr>
    </w:p>
    <w:p>
      <w:pPr>
        <w:ind w:firstLine="632"/>
        <w:spacing w:after="0" w:line="239" w:lineRule="auto"/>
        <w:tabs>
          <w:tab w:leader="none" w:pos="1070"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CONSIDERATION. It is understood that the consideraton for the issuance of Deferred Shares is Director’s agreement to render future services on the Board, which services shall have a value not less than the par value of such Deferred Shares.</w:t>
      </w:r>
    </w:p>
    <w:p>
      <w:pPr>
        <w:spacing w:after="0" w:line="215" w:lineRule="exact"/>
        <w:rPr>
          <w:rFonts w:ascii="Calibri" w:cs="Calibri" w:eastAsia="Calibri" w:hAnsi="Calibri"/>
          <w:sz w:val="18"/>
          <w:szCs w:val="18"/>
          <w:color w:val="auto"/>
        </w:rPr>
      </w:pPr>
    </w:p>
    <w:p>
      <w:pPr>
        <w:jc w:val="both"/>
        <w:ind w:firstLine="632"/>
        <w:spacing w:after="0" w:line="239" w:lineRule="auto"/>
        <w:tabs>
          <w:tab w:leader="none" w:pos="1018"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STATUS OF DEFERRED SHARES. Director agrees that the Deferred Shares and the shares of Stock issued in setlement thereof will not be sold or otherwise disposed of in any manner that would consttute a violaton of any applicable federal or state securites laws. Director also agrees (i) that the Company may refuse to register the transfer of the shares of Stock issued in setlement of the Deferred Shares on the stock transfer records of the Company if such proposed transfer would in the opinion of counsel satsfactory to the Company consttute a violaton of any applicable securites laws and (ii) that the Company may give related instructons to its transfer agent, if any, to stop registraton of the transfer of the shares of Stock issued in setlement of the Deferred Shares.</w:t>
      </w:r>
    </w:p>
    <w:p>
      <w:pPr>
        <w:spacing w:after="0" w:line="229" w:lineRule="exact"/>
        <w:rPr>
          <w:rFonts w:ascii="Calibri" w:cs="Calibri" w:eastAsia="Calibri" w:hAnsi="Calibri"/>
          <w:sz w:val="18"/>
          <w:szCs w:val="18"/>
          <w:color w:val="auto"/>
        </w:rPr>
      </w:pPr>
    </w:p>
    <w:p>
      <w:pPr>
        <w:jc w:val="both"/>
        <w:ind w:firstLine="632"/>
        <w:spacing w:after="0" w:line="241" w:lineRule="auto"/>
        <w:tabs>
          <w:tab w:leader="none" w:pos="1123"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COMMITTEE’S POWERS. No provision contained in this Agreement shall in any way terminate, modify or alter, or be construed or interpreted as terminatng, modifying or altering any of the powers, rights or authority vested in the Commitee pursuant to the terms of the Plan, including, without limitaton, the Commitee’s rights to make certain determinatons and electons with respect to the Deferred Shares.</w:t>
      </w:r>
    </w:p>
    <w:p>
      <w:pPr>
        <w:spacing w:after="0" w:line="226" w:lineRule="exact"/>
        <w:rPr>
          <w:rFonts w:ascii="Calibri" w:cs="Calibri" w:eastAsia="Calibri" w:hAnsi="Calibri"/>
          <w:sz w:val="18"/>
          <w:szCs w:val="18"/>
          <w:color w:val="auto"/>
        </w:rPr>
      </w:pPr>
    </w:p>
    <w:p>
      <w:pPr>
        <w:jc w:val="both"/>
        <w:ind w:firstLine="632"/>
        <w:spacing w:after="0" w:line="241" w:lineRule="auto"/>
        <w:tabs>
          <w:tab w:leader="none" w:pos="1047"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TAXES. Director is ultmately liable and responsible for all taxes owed in connecton with the Deferred Shares. The Company makes no representaton or undertaking regarding the tax treatment of the grant, vestng, or setlement of the Deferred Shares or the subsequent sale of any of the underlying shares of Stock. The Company does not commit and is under no obligaton to structure this Agreement to reduce or eliminate Director’s tax liability.</w:t>
      </w:r>
    </w:p>
    <w:p>
      <w:pPr>
        <w:spacing w:after="0" w:line="215" w:lineRule="exact"/>
        <w:rPr>
          <w:rFonts w:ascii="Calibri" w:cs="Calibri" w:eastAsia="Calibri" w:hAnsi="Calibri"/>
          <w:sz w:val="18"/>
          <w:szCs w:val="18"/>
          <w:color w:val="auto"/>
        </w:rPr>
      </w:pPr>
    </w:p>
    <w:p>
      <w:pPr>
        <w:ind w:firstLine="632"/>
        <w:spacing w:after="0" w:line="239" w:lineRule="auto"/>
        <w:tabs>
          <w:tab w:leader="none" w:pos="1266"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BINDING EFFECT. This Agreement shall be binding upon and inure to the beneft of any successors to the Company and all persons lawfully claiming under Director.</w:t>
      </w:r>
    </w:p>
    <w:p>
      <w:pPr>
        <w:spacing w:after="0" w:line="228" w:lineRule="exact"/>
        <w:rPr>
          <w:rFonts w:ascii="Calibri" w:cs="Calibri" w:eastAsia="Calibri" w:hAnsi="Calibri"/>
          <w:sz w:val="18"/>
          <w:szCs w:val="18"/>
          <w:color w:val="auto"/>
        </w:rPr>
      </w:pPr>
    </w:p>
    <w:p>
      <w:pPr>
        <w:ind w:firstLine="632"/>
        <w:spacing w:after="0" w:line="239" w:lineRule="auto"/>
        <w:tabs>
          <w:tab w:leader="none" w:pos="1130"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NON-ALIENATION. Director shall not have any right to pledge, hypothecate, antcipate or assign this Agreement or the rights hereunder, except by will or the laws of descent and distributon.</w:t>
      </w:r>
    </w:p>
    <w:p>
      <w:pPr>
        <w:spacing w:after="0" w:line="215" w:lineRule="exact"/>
        <w:rPr>
          <w:rFonts w:ascii="Calibri" w:cs="Calibri" w:eastAsia="Calibri" w:hAnsi="Calibri"/>
          <w:sz w:val="18"/>
          <w:szCs w:val="18"/>
          <w:color w:val="auto"/>
        </w:rPr>
      </w:pPr>
    </w:p>
    <w:p>
      <w:pPr>
        <w:jc w:val="both"/>
        <w:ind w:firstLine="632"/>
        <w:spacing w:after="0" w:line="241" w:lineRule="auto"/>
        <w:tabs>
          <w:tab w:leader="none" w:pos="1088" w:val="left"/>
        </w:tabs>
        <w:numPr>
          <w:ilvl w:val="0"/>
          <w:numId w:val="317"/>
        </w:numPr>
        <w:rPr>
          <w:rFonts w:ascii="Calibri" w:cs="Calibri" w:eastAsia="Calibri" w:hAnsi="Calibri"/>
          <w:sz w:val="18"/>
          <w:szCs w:val="18"/>
          <w:color w:val="auto"/>
        </w:rPr>
      </w:pPr>
      <w:r>
        <w:rPr>
          <w:rFonts w:ascii="Calibri" w:cs="Calibri" w:eastAsia="Calibri" w:hAnsi="Calibri"/>
          <w:sz w:val="18"/>
          <w:szCs w:val="18"/>
          <w:color w:val="auto"/>
        </w:rPr>
        <w:t>NOT A SERVICE CONTRACT. This Agreement shall not be deemed to consttute a service contract, nor shall any provision hereof afect (i) the right to terminate Director’s service on the Board in accordance with the Company’s by-laws and applicable law or (ii) the terms and conditons of any other agreement between the Company and Director except as expressly provided herein.</w:t>
      </w:r>
    </w:p>
    <w:p>
      <w:pPr>
        <w:sectPr>
          <w:pgSz w:w="11900" w:h="16838" w:orient="portrait"/>
          <w:cols w:equalWidth="0" w:num="1">
            <w:col w:w="11240"/>
          </w:cols>
          <w:pgMar w:left="320" w:top="1365" w:right="339" w:bottom="1440" w:gutter="0" w:footer="0" w:header="0"/>
        </w:sectPr>
      </w:pPr>
    </w:p>
    <w:bookmarkStart w:id="265" w:name="page266"/>
    <w:bookmarkEnd w:id="265"/>
    <w:p>
      <w:pPr>
        <w:spacing w:after="0" w:line="147" w:lineRule="exact"/>
        <w:rPr>
          <w:sz w:val="20"/>
          <w:szCs w:val="20"/>
          <w:color w:val="auto"/>
        </w:rPr>
      </w:pPr>
    </w:p>
    <w:p>
      <w:pPr>
        <w:ind w:left="-632" w:firstLine="632"/>
        <w:spacing w:after="0" w:line="239" w:lineRule="auto"/>
        <w:tabs>
          <w:tab w:leader="none" w:pos="453"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COUNTERPARTS. This Agreement may be executed in one or more counterparts, each of which shall be deemed to be an original, but all of which together will consttute one and the same Agreement.</w:t>
      </w:r>
    </w:p>
    <w:p>
      <w:pPr>
        <w:spacing w:after="0" w:line="213" w:lineRule="exact"/>
        <w:rPr>
          <w:rFonts w:ascii="Calibri" w:cs="Calibri" w:eastAsia="Calibri" w:hAnsi="Calibri"/>
          <w:sz w:val="18"/>
          <w:szCs w:val="18"/>
          <w:color w:val="auto"/>
        </w:rPr>
      </w:pPr>
    </w:p>
    <w:p>
      <w:pPr>
        <w:ind w:left="448" w:hanging="448"/>
        <w:spacing w:after="0"/>
        <w:tabs>
          <w:tab w:leader="none" w:pos="448"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GOVERNING LAW. This Agreement shall be governed by, and construed in accordance with, the laws of the State of Texas.</w:t>
      </w:r>
    </w:p>
    <w:p>
      <w:pPr>
        <w:spacing w:after="0" w:line="240" w:lineRule="exact"/>
        <w:rPr>
          <w:rFonts w:ascii="Calibri" w:cs="Calibri" w:eastAsia="Calibri" w:hAnsi="Calibri"/>
          <w:sz w:val="18"/>
          <w:szCs w:val="18"/>
          <w:color w:val="auto"/>
        </w:rPr>
      </w:pPr>
    </w:p>
    <w:p>
      <w:pPr>
        <w:ind w:left="-632" w:firstLine="632"/>
        <w:spacing w:after="0" w:line="239" w:lineRule="auto"/>
        <w:tabs>
          <w:tab w:leader="none" w:pos="282"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REFERENCES. Capitalized terms used and not otherwise defned herein shall have the meanings set forth in the Plan unless the context clearly requires otherwise.</w:t>
      </w:r>
    </w:p>
    <w:p>
      <w:pPr>
        <w:spacing w:after="0" w:line="241" w:lineRule="exact"/>
        <w:rPr>
          <w:rFonts w:ascii="Calibri" w:cs="Calibri" w:eastAsia="Calibri" w:hAnsi="Calibri"/>
          <w:sz w:val="18"/>
          <w:szCs w:val="18"/>
          <w:color w:val="auto"/>
        </w:rPr>
      </w:pPr>
    </w:p>
    <w:p>
      <w:pPr>
        <w:jc w:val="both"/>
        <w:ind w:left="-632" w:firstLine="632"/>
        <w:spacing w:after="0" w:line="239" w:lineRule="auto"/>
        <w:tabs>
          <w:tab w:leader="none" w:pos="532" w:val="left"/>
        </w:tabs>
        <w:numPr>
          <w:ilvl w:val="0"/>
          <w:numId w:val="318"/>
        </w:numPr>
        <w:rPr>
          <w:rFonts w:ascii="Calibri" w:cs="Calibri" w:eastAsia="Calibri" w:hAnsi="Calibri"/>
          <w:sz w:val="18"/>
          <w:szCs w:val="18"/>
          <w:color w:val="auto"/>
        </w:rPr>
      </w:pPr>
      <w:r>
        <w:rPr>
          <w:rFonts w:ascii="Calibri" w:cs="Calibri" w:eastAsia="Calibri" w:hAnsi="Calibri"/>
          <w:sz w:val="18"/>
          <w:szCs w:val="18"/>
          <w:color w:val="auto"/>
        </w:rPr>
        <w:t>CODE SECTION 409A. To the extent applicable, this Agreement is intended to be interpreted and applied so that the payments and benefts set forth herein comply with the requirements of Code Secton 409A, and, accordingly, to the maximum extent permited, this Agreement shall be interpreted to be in compliance with Code Secton 409A. Notwithstanding the foregoing, the Company make no representatons concerning Director’s tax consequences under this Agreement under Code Secton 409A, or any other foreign, federal, state, or local tax law. Director’s tax consequences will depend, in part, upon the applicaton of relevant tax law to the relevant facts and circumstances. Director should consult a competent and independent tax advisor regarding his tax consequences under this Agreement.</w:t>
      </w:r>
    </w:p>
    <w:p>
      <w:pPr>
        <w:sectPr>
          <w:pgSz w:w="11900" w:h="16838" w:orient="portrait"/>
          <w:cols w:equalWidth="0" w:num="1">
            <w:col w:w="10608"/>
          </w:cols>
          <w:pgMar w:left="952" w:top="1440" w:right="339" w:bottom="1440" w:gutter="0" w:footer="0" w:header="0"/>
        </w:sectPr>
      </w:pPr>
    </w:p>
    <w:bookmarkStart w:id="266" w:name="page267"/>
    <w:bookmarkEnd w:id="266"/>
    <w:p>
      <w:pPr>
        <w:spacing w:after="0" w:line="160" w:lineRule="exact"/>
        <w:rPr>
          <w:sz w:val="20"/>
          <w:szCs w:val="20"/>
          <w:color w:val="auto"/>
        </w:rPr>
      </w:pPr>
    </w:p>
    <w:p>
      <w:pPr>
        <w:ind w:firstLine="627"/>
        <w:spacing w:after="0" w:line="239" w:lineRule="auto"/>
        <w:rPr>
          <w:sz w:val="20"/>
          <w:szCs w:val="20"/>
          <w:color w:val="auto"/>
        </w:rPr>
      </w:pPr>
      <w:r>
        <w:rPr>
          <w:rFonts w:ascii="Calibri" w:cs="Calibri" w:eastAsia="Calibri" w:hAnsi="Calibri"/>
          <w:sz w:val="18"/>
          <w:szCs w:val="18"/>
          <w:color w:val="auto"/>
        </w:rPr>
        <w:t>IN WITNESS WHEREOF, the Company has caused this Agreement to be duly executed by an ofcer thereunto duly authorized, and Director has executed this Agreement, all efectve as of the Efectve Date.</w:t>
      </w:r>
    </w:p>
    <w:p>
      <w:pPr>
        <w:spacing w:after="0" w:line="252" w:lineRule="exact"/>
        <w:rPr>
          <w:sz w:val="20"/>
          <w:szCs w:val="20"/>
          <w:color w:val="auto"/>
        </w:rPr>
      </w:pPr>
    </w:p>
    <w:p>
      <w:pPr>
        <w:ind w:left="5360"/>
        <w:spacing w:after="0"/>
        <w:rPr>
          <w:sz w:val="20"/>
          <w:szCs w:val="20"/>
          <w:color w:val="auto"/>
        </w:rPr>
      </w:pPr>
      <w:r>
        <w:rPr>
          <w:rFonts w:ascii="Calibri" w:cs="Calibri" w:eastAsia="Calibri" w:hAnsi="Calibri"/>
          <w:sz w:val="18"/>
          <w:szCs w:val="18"/>
          <w:color w:val="auto"/>
        </w:rPr>
        <w:t>CIVEO CORPORATION</w:t>
      </w:r>
    </w:p>
    <w:p>
      <w:pPr>
        <w:spacing w:after="0" w:line="200" w:lineRule="exact"/>
        <w:rPr>
          <w:sz w:val="20"/>
          <w:szCs w:val="20"/>
          <w:color w:val="auto"/>
        </w:rPr>
      </w:pPr>
    </w:p>
    <w:p>
      <w:pPr>
        <w:spacing w:after="0" w:line="286" w:lineRule="exact"/>
        <w:rPr>
          <w:sz w:val="20"/>
          <w:szCs w:val="20"/>
          <w:color w:val="auto"/>
        </w:rPr>
      </w:pPr>
    </w:p>
    <w:p>
      <w:pPr>
        <w:jc w:val="center"/>
        <w:ind w:right="320"/>
        <w:spacing w:after="0"/>
        <w:rPr>
          <w:sz w:val="20"/>
          <w:szCs w:val="20"/>
          <w:color w:val="auto"/>
        </w:rPr>
      </w:pPr>
      <w:r>
        <w:rPr>
          <w:rFonts w:ascii="Calibri" w:cs="Calibri" w:eastAsia="Calibri" w:hAnsi="Calibri"/>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21590</wp:posOffset>
            </wp:positionV>
            <wp:extent cx="31699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21590</wp:posOffset>
            </wp:positionV>
            <wp:extent cx="31699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244"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21590</wp:posOffset>
            </wp:positionV>
            <wp:extent cx="31699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-135255</wp:posOffset>
            </wp:positionV>
            <wp:extent cx="37509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750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Deferred Share Award Agreement Signature Page</w:t>
      </w:r>
    </w:p>
    <w:p>
      <w:pPr>
        <w:sectPr>
          <w:pgSz w:w="11900" w:h="16838" w:orient="portrait"/>
          <w:cols w:equalWidth="0" w:num="1">
            <w:col w:w="11240"/>
          </w:cols>
          <w:pgMar w:left="320" w:top="1440"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53" w:lineRule="exact"/>
        <w:rPr>
          <w:sz w:val="20"/>
          <w:szCs w:val="20"/>
          <w:color w:val="auto"/>
        </w:rPr>
      </w:pPr>
    </w:p>
    <w:p>
      <w:pPr>
        <w:ind w:left="340" w:hanging="318"/>
        <w:spacing w:after="0"/>
        <w:tabs>
          <w:tab w:leader="none" w:pos="340"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40" w:hanging="318"/>
        <w:spacing w:after="0" w:line="232" w:lineRule="auto"/>
        <w:tabs>
          <w:tab w:leader="none" w:pos="340"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00" w:right="232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7"/>
          <w:szCs w:val="17"/>
          <w:color w:val="auto"/>
        </w:rPr>
      </w:pPr>
    </w:p>
    <w:p>
      <w:pPr>
        <w:ind w:left="700" w:right="234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700" w:right="2320" w:hanging="366"/>
        <w:spacing w:after="0" w:line="2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sz w:val="20"/>
          <w:szCs w:val="20"/>
          <w:color w:val="auto"/>
        </w:rPr>
      </w:pPr>
    </w:p>
    <w:p>
      <w:pPr>
        <w:jc w:val="both"/>
        <w:ind w:left="700" w:right="2340" w:hanging="364"/>
        <w:spacing w:after="0" w:line="230" w:lineRule="auto"/>
        <w:tabs>
          <w:tab w:leader="none" w:pos="700"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40" w:right="2320" w:hanging="318"/>
        <w:spacing w:after="0" w:line="232" w:lineRule="auto"/>
        <w:tabs>
          <w:tab w:leader="none" w:pos="340"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00" w:right="2340" w:hanging="366"/>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00" w:right="2320" w:hanging="366"/>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30, 2024</w:t>
      </w:r>
    </w:p>
    <w:p>
      <w:pPr>
        <w:spacing w:after="0" w:line="14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4"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INTERIM 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Barclay Brewer, certify that:</w:t>
      </w:r>
    </w:p>
    <w:p>
      <w:pPr>
        <w:spacing w:after="0" w:line="353" w:lineRule="exact"/>
        <w:rPr>
          <w:sz w:val="20"/>
          <w:szCs w:val="20"/>
          <w:color w:val="auto"/>
        </w:rPr>
      </w:pPr>
    </w:p>
    <w:p>
      <w:pPr>
        <w:ind w:left="320" w:hanging="298"/>
        <w:spacing w:after="0"/>
        <w:tabs>
          <w:tab w:leader="none" w:pos="320"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20" w:hanging="298"/>
        <w:spacing w:after="0" w:line="232" w:lineRule="auto"/>
        <w:tabs>
          <w:tab w:leader="none" w:pos="320"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Times New Roman" w:cs="Times New Roman" w:eastAsia="Times New Roman" w:hAnsi="Times New Roman"/>
          <w:sz w:val="17"/>
          <w:szCs w:val="17"/>
          <w:color w:val="auto"/>
        </w:rPr>
      </w:pPr>
    </w:p>
    <w:p>
      <w:pPr>
        <w:ind w:left="720" w:right="2420" w:hanging="3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sz w:val="20"/>
          <w:szCs w:val="20"/>
          <w:color w:val="auto"/>
        </w:rPr>
      </w:pPr>
    </w:p>
    <w:p>
      <w:pPr>
        <w:jc w:val="both"/>
        <w:ind w:left="720" w:right="2420" w:hanging="398"/>
        <w:spacing w:after="0" w:line="230" w:lineRule="auto"/>
        <w:tabs>
          <w:tab w:leader="none" w:pos="72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20" w:right="2420" w:hanging="298"/>
        <w:spacing w:after="0" w:line="232" w:lineRule="auto"/>
        <w:tabs>
          <w:tab w:leader="none" w:pos="32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20" w:right="2420" w:hanging="392"/>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30, 2024</w:t>
      </w:r>
    </w:p>
    <w:p>
      <w:pPr>
        <w:spacing w:after="0" w:line="35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Barclay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Barclay Brewer</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Interim Chief Financial Officer</w:t>
      </w:r>
    </w:p>
    <w:p>
      <w:pPr>
        <w:sectPr>
          <w:pgSz w:w="11900" w:h="16838" w:orient="portrait"/>
          <w:cols w:equalWidth="0" w:num="1">
            <w:col w:w="11240"/>
          </w:cols>
          <w:pgMar w:left="320" w:top="864"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ind w:firstLine="784"/>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June 30, 2024,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93"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47" w:lineRule="auto"/>
        <w:tabs>
          <w:tab w:leader="none" w:pos="280"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32" w:lineRule="exact"/>
        <w:rPr>
          <w:sz w:val="20"/>
          <w:szCs w:val="20"/>
          <w:color w:val="auto"/>
        </w:rPr>
      </w:pPr>
    </w:p>
    <w:tbl>
      <w:tblPr>
        <w:tblLayout w:type="fixed"/>
        <w:tblInd w:w="5920" w:type="dxa"/>
        <w:tblCellMar>
          <w:top w:w="0" w:type="dxa"/>
          <w:left w:w="0" w:type="dxa"/>
          <w:bottom w:w="0" w:type="dxa"/>
          <w:right w:w="0" w:type="dxa"/>
        </w:tblCellMar>
      </w:tblPr>
      <w:tr>
        <w:trPr>
          <w:trHeight w:val="210"/>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Bradley</w:t>
            </w:r>
          </w:p>
        </w:tc>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 Dodson</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July 30,</w:t>
            </w:r>
          </w:p>
        </w:tc>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r>
    </w:tbl>
    <w:p>
      <w:pPr>
        <w:sectPr>
          <w:pgSz w:w="11900" w:h="16838" w:orient="portrait"/>
          <w:cols w:equalWidth="0" w:num="1">
            <w:col w:w="11240"/>
          </w:cols>
          <w:pgMar w:left="320" w:top="864"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INTERIM 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ind w:right="100" w:firstLine="784"/>
        <w:spacing w:after="0" w:line="260"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June 30, 2024, as filed with the Securities and Exchange Commission on the date hereof (the “Report”), I, Barclay Brewer, Interim Chief Financial Officer of the Company, hereby certify, pursuant to 18 U.S.C. Section 1350, as adopted pursuant to Section 906 of the Sarbanes-Oxley Act of 2002, to the best of my knowledge, that:</w:t>
      </w:r>
    </w:p>
    <w:p>
      <w:pPr>
        <w:spacing w:after="0" w:line="293"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63" w:lineRule="auto"/>
        <w:tabs>
          <w:tab w:leader="none" w:pos="28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Barclay Brewer</w:t>
      </w:r>
    </w:p>
    <w:p>
      <w:pPr>
        <w:spacing w:after="0" w:line="32" w:lineRule="exact"/>
        <w:rPr>
          <w:sz w:val="20"/>
          <w:szCs w:val="20"/>
          <w:color w:val="auto"/>
        </w:rPr>
      </w:pPr>
    </w:p>
    <w:tbl>
      <w:tblPr>
        <w:tblLayout w:type="fixed"/>
        <w:tblInd w:w="5760" w:type="dxa"/>
        <w:tblCellMar>
          <w:top w:w="0" w:type="dxa"/>
          <w:left w:w="0" w:type="dxa"/>
          <w:bottom w:w="0" w:type="dxa"/>
          <w:right w:w="0" w:type="dxa"/>
        </w:tblCellMar>
      </w:tblPr>
      <w:tr>
        <w:trPr>
          <w:trHeight w:val="210"/>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Barclay Brewer</w:t>
            </w:r>
          </w:p>
        </w:tc>
      </w:tr>
      <w:tr>
        <w:trPr>
          <w:trHeight w:val="22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July 30, 2024</w:t>
            </w:r>
          </w:p>
        </w:tc>
      </w:tr>
    </w:tbl>
    <w:p>
      <w:pPr>
        <w:spacing w:after="0" w:line="1" w:lineRule="exact"/>
        <w:rPr>
          <w:sz w:val="20"/>
          <w:szCs w:val="20"/>
          <w:color w:val="auto"/>
        </w:rPr>
      </w:pP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1D2C14"/>
    <w:multiLevelType w:val="hybridMultilevel"/>
    <w:lvl w:ilvl="0">
      <w:lvlJc w:val="left"/>
      <w:lvlText w:val="☒"/>
      <w:numFmt w:val="bullet"/>
      <w:start w:val="1"/>
    </w:lvl>
  </w:abstractNum>
  <w:abstractNum w:abstractNumId="1">
    <w:nsid w:val="68B867D3"/>
    <w:multiLevelType w:val="hybridMultilevel"/>
    <w:lvl w:ilvl="0">
      <w:lvlJc w:val="left"/>
      <w:lvlText w:val="☐"/>
      <w:numFmt w:val="bullet"/>
      <w:start w:val="1"/>
    </w:lvl>
  </w:abstractNum>
  <w:abstractNum w:abstractNumId="2">
    <w:nsid w:val="3F7F5DD9"/>
    <w:multiLevelType w:val="hybridMultilevel"/>
    <w:lvl w:ilvl="0">
      <w:lvlJc w:val="left"/>
      <w:lvlText w:val="%1."/>
      <w:numFmt w:val="decimal"/>
      <w:start w:val="1"/>
    </w:lvl>
  </w:abstractNum>
  <w:abstractNum w:abstractNumId="3">
    <w:nsid w:val="2AE05A34"/>
    <w:multiLevelType w:val="hybridMultilevel"/>
    <w:lvl w:ilvl="0">
      <w:lvlJc w:val="left"/>
      <w:lvlText w:val="%1."/>
      <w:numFmt w:val="decimal"/>
      <w:start w:val="2"/>
    </w:lvl>
  </w:abstractNum>
  <w:abstractNum w:abstractNumId="4">
    <w:nsid w:val="32794FF7"/>
    <w:multiLevelType w:val="hybridMultilevel"/>
    <w:lvl w:ilvl="0">
      <w:lvlJc w:val="left"/>
      <w:lvlText w:val="%1."/>
      <w:numFmt w:val="decimal"/>
      <w:start w:val="3"/>
    </w:lvl>
  </w:abstractNum>
  <w:abstractNum w:abstractNumId="5">
    <w:nsid w:val="5454945E"/>
    <w:multiLevelType w:val="hybridMultilevel"/>
    <w:lvl w:ilvl="0">
      <w:lvlJc w:val="left"/>
      <w:lvlText w:val="%1."/>
      <w:numFmt w:val="decimal"/>
      <w:start w:val="4"/>
    </w:lvl>
  </w:abstractNum>
  <w:abstractNum w:abstractNumId="6">
    <w:nsid w:val="4DEFDFA0"/>
    <w:multiLevelType w:val="hybridMultilevel"/>
    <w:lvl w:ilvl="0">
      <w:lvlJc w:val="left"/>
      <w:lvlText w:val="%1."/>
      <w:numFmt w:val="decimal"/>
      <w:start w:val="5"/>
    </w:lvl>
  </w:abstractNum>
  <w:abstractNum w:abstractNumId="7">
    <w:nsid w:val="2123D5F2"/>
    <w:multiLevelType w:val="hybridMultilevel"/>
    <w:lvl w:ilvl="0">
      <w:lvlJc w:val="left"/>
      <w:lvlText w:val="(%1)"/>
      <w:numFmt w:val="decimal"/>
      <w:start w:val="1"/>
    </w:lvl>
  </w:abstractNum>
  <w:abstractNum w:abstractNumId="8">
    <w:nsid w:val="135B8110"/>
    <w:multiLevelType w:val="hybridMultilevel"/>
    <w:lvl w:ilvl="0">
      <w:lvlJc w:val="left"/>
      <w:lvlText w:val="%1."/>
      <w:numFmt w:val="decimal"/>
      <w:start w:val="6"/>
    </w:lvl>
  </w:abstractNum>
  <w:abstractNum w:abstractNumId="9">
    <w:nsid w:val="94927A8"/>
    <w:multiLevelType w:val="hybridMultilevel"/>
    <w:lvl w:ilvl="0">
      <w:lvlJc w:val="left"/>
      <w:lvlText w:val="%1."/>
      <w:numFmt w:val="decimal"/>
      <w:start w:val="7"/>
    </w:lvl>
  </w:abstractNum>
  <w:abstractNum w:abstractNumId="10">
    <w:nsid w:val="DCDF8F6"/>
    <w:multiLevelType w:val="hybridMultilevel"/>
    <w:lvl w:ilvl="0">
      <w:lvlJc w:val="left"/>
      <w:lvlText w:val="%1."/>
      <w:numFmt w:val="decimal"/>
      <w:start w:val="8"/>
    </w:lvl>
  </w:abstractNum>
  <w:abstractNum w:abstractNumId="11">
    <w:nsid w:val="52D7B105"/>
    <w:multiLevelType w:val="hybridMultilevel"/>
    <w:lvl w:ilvl="0">
      <w:lvlJc w:val="left"/>
      <w:lvlText w:val="%1."/>
      <w:numFmt w:val="decimal"/>
      <w:start w:val="9"/>
    </w:lvl>
  </w:abstractNum>
  <w:abstractNum w:abstractNumId="12">
    <w:nsid w:val="2E8A6394"/>
    <w:multiLevelType w:val="hybridMultilevel"/>
    <w:lvl w:ilvl="0">
      <w:lvlJc w:val="left"/>
      <w:lvlText w:val="(%1)"/>
      <w:numFmt w:val="decimal"/>
      <w:start w:val="1"/>
    </w:lvl>
  </w:abstractNum>
  <w:abstractNum w:abstractNumId="13">
    <w:nsid w:val="24E60401"/>
    <w:multiLevelType w:val="hybridMultilevel"/>
    <w:lvl w:ilvl="0">
      <w:lvlJc w:val="left"/>
      <w:lvlText w:val="(%1)"/>
      <w:numFmt w:val="decimal"/>
      <w:start w:val="1"/>
    </w:lvl>
  </w:abstractNum>
  <w:abstractNum w:abstractNumId="14">
    <w:nsid w:val="2A6AD9BE"/>
    <w:multiLevelType w:val="hybridMultilevel"/>
    <w:lvl w:ilvl="0">
      <w:lvlJc w:val="left"/>
      <w:lvlText w:val="(%1)"/>
      <w:numFmt w:val="decimal"/>
      <w:start w:val="1"/>
    </w:lvl>
  </w:abstractNum>
  <w:abstractNum w:abstractNumId="15">
    <w:nsid w:val="BAAC1B4"/>
    <w:multiLevelType w:val="hybridMultilevel"/>
    <w:lvl w:ilvl="0">
      <w:lvlJc w:val="left"/>
      <w:lvlText w:val="(%1)"/>
      <w:numFmt w:val="decimal"/>
      <w:start w:val="1"/>
    </w:lvl>
  </w:abstractNum>
  <w:abstractNum w:abstractNumId="16">
    <w:nsid w:val="36B2ACBC"/>
    <w:multiLevelType w:val="hybridMultilevel"/>
    <w:lvl w:ilvl="0">
      <w:lvlJc w:val="left"/>
      <w:lvlText w:val="(%1)"/>
      <w:numFmt w:val="decimal"/>
      <w:start w:val="1"/>
    </w:lvl>
  </w:abstractNum>
  <w:abstractNum w:abstractNumId="17">
    <w:nsid w:val="779D8544"/>
    <w:multiLevelType w:val="hybridMultilevel"/>
    <w:lvl w:ilvl="0">
      <w:lvlJc w:val="left"/>
      <w:lvlText w:val="$"/>
      <w:numFmt w:val="bullet"/>
      <w:start w:val="1"/>
    </w:lvl>
  </w:abstractNum>
  <w:abstractNum w:abstractNumId="18">
    <w:nsid w:val="4AB26E78"/>
    <w:multiLevelType w:val="hybridMultilevel"/>
    <w:lvl w:ilvl="0">
      <w:lvlJc w:val="left"/>
      <w:lvlText w:val="$"/>
      <w:numFmt w:val="bullet"/>
      <w:start w:val="1"/>
    </w:lvl>
  </w:abstractNum>
  <w:abstractNum w:abstractNumId="19">
    <w:nsid w:val="21FAA2FA"/>
    <w:multiLevelType w:val="hybridMultilevel"/>
    <w:lvl w:ilvl="0">
      <w:lvlJc w:val="left"/>
      <w:lvlText w:val="(%1)"/>
      <w:numFmt w:val="decimal"/>
      <w:start w:val="1"/>
    </w:lvl>
  </w:abstractNum>
  <w:abstractNum w:abstractNumId="20">
    <w:nsid w:val="5451CF49"/>
    <w:multiLevelType w:val="hybridMultilevel"/>
    <w:lvl w:ilvl="0">
      <w:lvlJc w:val="left"/>
      <w:lvlText w:val="(%1)"/>
      <w:numFmt w:val="lowerLetter"/>
      <w:start w:val="1"/>
    </w:lvl>
  </w:abstractNum>
  <w:abstractNum w:abstractNumId="21">
    <w:nsid w:val="6181EF69"/>
    <w:multiLevelType w:val="hybridMultilevel"/>
    <w:lvl w:ilvl="0">
      <w:lvlJc w:val="left"/>
      <w:lvlText w:val="*"/>
      <w:numFmt w:val="bullet"/>
      <w:start w:val="1"/>
    </w:lvl>
    <w:lvl w:ilvl="1">
      <w:lvlJc w:val="left"/>
      <w:lvlText w:val="%2"/>
      <w:numFmt w:val="decimal"/>
      <w:start w:val="104"/>
    </w:lvl>
  </w:abstractNum>
  <w:abstractNum w:abstractNumId="22">
    <w:nsid w:val="3E6400E6"/>
    <w:multiLevelType w:val="hybridMultilevel"/>
    <w:lvl w:ilvl="0">
      <w:lvlJc w:val="left"/>
      <w:lvlText w:val="**"/>
      <w:numFmt w:val="bullet"/>
      <w:start w:val="1"/>
    </w:lvl>
    <w:lvl w:ilvl="1">
      <w:lvlJc w:val="left"/>
      <w:lvlText w:val="%2"/>
      <w:numFmt w:val="decimal"/>
      <w:start w:val="1"/>
    </w:lvl>
  </w:abstractNum>
  <w:abstractNum w:abstractNumId="23">
    <w:nsid w:val="14217E23"/>
    <w:multiLevelType w:val="hybridMultilevel"/>
    <w:lvl w:ilvl="0">
      <w:lvlJc w:val="left"/>
      <w:lvlText w:val="†"/>
      <w:numFmt w:val="bullet"/>
      <w:start w:val="1"/>
    </w:lvl>
  </w:abstractNum>
  <w:abstractNum w:abstractNumId="24">
    <w:nsid w:val="710757D0"/>
    <w:multiLevelType w:val="hybridMultilevel"/>
    <w:lvl w:ilvl="0">
      <w:lvlJc w:val="left"/>
      <w:lvlText w:val="%1."/>
      <w:numFmt w:val="upperLetter"/>
      <w:start w:val="1"/>
    </w:lvl>
  </w:abstractNum>
  <w:abstractNum w:abstractNumId="25">
    <w:nsid w:val="5015CD1A"/>
    <w:multiLevelType w:val="hybridMultilevel"/>
    <w:lvl w:ilvl="0">
      <w:lvlJc w:val="left"/>
      <w:lvlText w:val="(%1)"/>
      <w:numFmt w:val="lowerLetter"/>
      <w:start w:val="1"/>
    </w:lvl>
  </w:abstractNum>
  <w:abstractNum w:abstractNumId="26">
    <w:nsid w:val="424479DA"/>
    <w:multiLevelType w:val="hybridMultilevel"/>
    <w:lvl w:ilvl="0">
      <w:lvlJc w:val="left"/>
      <w:lvlText w:val="(%1)"/>
      <w:numFmt w:val="lowerLetter"/>
      <w:start w:val="1"/>
    </w:lvl>
  </w:abstractNum>
  <w:abstractNum w:abstractNumId="27">
    <w:nsid w:val="1A9A9E69"/>
    <w:multiLevelType w:val="hybridMultilevel"/>
    <w:lvl w:ilvl="0">
      <w:lvlJc w:val="left"/>
      <w:lvlText w:val="(%1)"/>
      <w:numFmt w:val="lowerLetter"/>
      <w:start w:val="1"/>
    </w:lvl>
  </w:abstractNum>
  <w:abstractNum w:abstractNumId="28">
    <w:nsid w:val="475E256A"/>
    <w:multiLevelType w:val="hybridMultilevel"/>
    <w:lvl w:ilvl="0">
      <w:lvlJc w:val="left"/>
      <w:lvlText w:val="1"/>
      <w:numFmt w:val="bullet"/>
      <w:start w:val="1"/>
    </w:lvl>
  </w:abstractNum>
  <w:abstractNum w:abstractNumId="29">
    <w:nsid w:val="368DB37E"/>
    <w:multiLevelType w:val="hybridMultilevel"/>
    <w:lvl w:ilvl="0">
      <w:lvlJc w:val="left"/>
      <w:lvlText w:val="•"/>
      <w:numFmt w:val="bullet"/>
      <w:start w:val="1"/>
    </w:lvl>
  </w:abstractNum>
  <w:abstractNum w:abstractNumId="30">
    <w:nsid w:val="6A3B714C"/>
    <w:multiLevelType w:val="hybridMultilevel"/>
    <w:lvl w:ilvl="0">
      <w:lvlJc w:val="left"/>
      <w:lvlText w:val="•"/>
      <w:numFmt w:val="bullet"/>
      <w:start w:val="1"/>
    </w:lvl>
  </w:abstractNum>
  <w:abstractNum w:abstractNumId="31">
    <w:nsid w:val="327B517E"/>
    <w:multiLevelType w:val="hybridMultilevel"/>
    <w:lvl w:ilvl="0">
      <w:lvlJc w:val="left"/>
      <w:lvlText w:val="•"/>
      <w:numFmt w:val="bullet"/>
      <w:start w:val="1"/>
    </w:lvl>
  </w:abstractNum>
  <w:abstractNum w:abstractNumId="32">
    <w:nsid w:val="1F461B51"/>
    <w:multiLevelType w:val="hybridMultilevel"/>
    <w:lvl w:ilvl="0">
      <w:lvlJc w:val="left"/>
      <w:lvlText w:val="•"/>
      <w:numFmt w:val="bullet"/>
      <w:start w:val="1"/>
    </w:lvl>
  </w:abstractNum>
  <w:abstractNum w:abstractNumId="33">
    <w:nsid w:val="29BACF25"/>
    <w:multiLevelType w:val="hybridMultilevel"/>
    <w:lvl w:ilvl="0">
      <w:lvlJc w:val="left"/>
      <w:lvlText w:val="•"/>
      <w:numFmt w:val="bullet"/>
      <w:start w:val="1"/>
    </w:lvl>
  </w:abstractNum>
  <w:abstractNum w:abstractNumId="34">
    <w:nsid w:val="5D5BABB3"/>
    <w:multiLevelType w:val="hybridMultilevel"/>
    <w:lvl w:ilvl="0">
      <w:lvlJc w:val="left"/>
      <w:lvlText w:val="•"/>
      <w:numFmt w:val="bullet"/>
      <w:start w:val="1"/>
    </w:lvl>
  </w:abstractNum>
  <w:abstractNum w:abstractNumId="35">
    <w:nsid w:val="51BF6B48"/>
    <w:multiLevelType w:val="hybridMultilevel"/>
    <w:lvl w:ilvl="0">
      <w:lvlJc w:val="left"/>
      <w:lvlText w:val="(%1)"/>
      <w:numFmt w:val="lowerLetter"/>
      <w:start w:val="2"/>
    </w:lvl>
    <w:lvl w:ilvl="1">
      <w:lvlJc w:val="left"/>
      <w:lvlText w:val="•"/>
      <w:numFmt w:val="bullet"/>
      <w:start w:val="1"/>
    </w:lvl>
  </w:abstractNum>
  <w:abstractNum w:abstractNumId="36">
    <w:nsid w:val="7E0F6384"/>
    <w:multiLevelType w:val="hybridMultilevel"/>
    <w:lvl w:ilvl="0">
      <w:lvlJc w:val="left"/>
      <w:lvlText w:val="(%1)"/>
      <w:numFmt w:val="lowerLetter"/>
      <w:start w:val="3"/>
    </w:lvl>
    <w:lvl w:ilvl="1">
      <w:lvlJc w:val="left"/>
      <w:lvlText w:val="•"/>
      <w:numFmt w:val="bullet"/>
      <w:start w:val="1"/>
    </w:lvl>
  </w:abstractNum>
  <w:abstractNum w:abstractNumId="37">
    <w:nsid w:val="2B4B8B53"/>
    <w:multiLevelType w:val="hybridMultilevel"/>
    <w:lvl w:ilvl="0">
      <w:lvlJc w:val="left"/>
      <w:lvlText w:val="•"/>
      <w:numFmt w:val="bullet"/>
      <w:start w:val="1"/>
    </w:lvl>
  </w:abstractNum>
  <w:abstractNum w:abstractNumId="38">
    <w:nsid w:val="72E3413A"/>
    <w:multiLevelType w:val="hybridMultilevel"/>
    <w:lvl w:ilvl="0">
      <w:lvlJc w:val="left"/>
      <w:lvlText w:val="•"/>
      <w:numFmt w:val="bullet"/>
      <w:start w:val="1"/>
    </w:lvl>
  </w:abstractNum>
  <w:abstractNum w:abstractNumId="39">
    <w:nsid w:val="116AE494"/>
    <w:multiLevelType w:val="hybridMultilevel"/>
    <w:lvl w:ilvl="0">
      <w:lvlJc w:val="left"/>
      <w:lvlText w:val="•"/>
      <w:numFmt w:val="bullet"/>
      <w:start w:val="1"/>
    </w:lvl>
  </w:abstractNum>
  <w:abstractNum w:abstractNumId="40">
    <w:nsid w:val="3494B2FB"/>
    <w:multiLevelType w:val="hybridMultilevel"/>
    <w:lvl w:ilvl="0">
      <w:lvlJc w:val="left"/>
      <w:lvlText w:val="(%1)"/>
      <w:numFmt w:val="lowerLetter"/>
      <w:start w:val="1"/>
    </w:lvl>
  </w:abstractNum>
  <w:abstractNum w:abstractNumId="41">
    <w:nsid w:val="B13A31"/>
    <w:multiLevelType w:val="hybridMultilevel"/>
    <w:lvl w:ilvl="0">
      <w:lvlJc w:val="left"/>
      <w:lvlText w:val="•"/>
      <w:numFmt w:val="bullet"/>
      <w:start w:val="1"/>
    </w:lvl>
  </w:abstractNum>
  <w:abstractNum w:abstractNumId="42">
    <w:nsid w:val="64429599"/>
    <w:multiLevelType w:val="hybridMultilevel"/>
    <w:lvl w:ilvl="0">
      <w:lvlJc w:val="left"/>
      <w:lvlText w:val="(%1)"/>
      <w:numFmt w:val="lowerLetter"/>
    </w:lvl>
    <w:lvl w:ilvl="1">
      <w:lvlJc w:val="left"/>
      <w:lvlText w:val="•"/>
      <w:numFmt w:val="bullet"/>
      <w:start w:val="1"/>
    </w:lvl>
  </w:abstractNum>
  <w:abstractNum w:abstractNumId="43">
    <w:nsid w:val="631F1690"/>
    <w:multiLevelType w:val="hybridMultilevel"/>
    <w:lvl w:ilvl="0">
      <w:lvlJc w:val="left"/>
      <w:lvlText w:val="(%1)"/>
      <w:numFmt w:val="decimal"/>
      <w:start w:val="1"/>
    </w:lvl>
  </w:abstractNum>
  <w:abstractNum w:abstractNumId="44">
    <w:nsid w:val="25973E32"/>
    <w:multiLevelType w:val="hybridMultilevel"/>
    <w:lvl w:ilvl="0">
      <w:lvlJc w:val="left"/>
      <w:lvlText w:val="(%1)"/>
      <w:numFmt w:val="decimal"/>
      <w:start w:val="2"/>
    </w:lvl>
  </w:abstractNum>
  <w:abstractNum w:abstractNumId="45">
    <w:nsid w:val="EAD6F57"/>
    <w:multiLevelType w:val="hybridMultilevel"/>
    <w:lvl w:ilvl="0">
      <w:lvlJc w:val="left"/>
      <w:lvlText w:val="(%1)"/>
      <w:numFmt w:val="decimal"/>
      <w:start w:val="2"/>
    </w:lvl>
  </w:abstractNum>
  <w:abstractNum w:abstractNumId="46">
    <w:nsid w:val="6EC9D844"/>
    <w:multiLevelType w:val="hybridMultilevel"/>
    <w:lvl w:ilvl="0">
      <w:lvlJc w:val="left"/>
      <w:lvlText w:val="(%1)"/>
      <w:numFmt w:val="decimal"/>
      <w:start w:val="1"/>
    </w:lvl>
  </w:abstractNum>
  <w:abstractNum w:abstractNumId="47">
    <w:nsid w:val="5C49EAEE"/>
    <w:multiLevelType w:val="hybridMultilevel"/>
    <w:lvl w:ilvl="0">
      <w:lvlJc w:val="left"/>
      <w:lvlText w:val="•"/>
      <w:numFmt w:val="bullet"/>
      <w:start w:val="1"/>
    </w:lvl>
  </w:abstractNum>
  <w:abstractNum w:abstractNumId="48">
    <w:nsid w:val="64AF49B"/>
    <w:multiLevelType w:val="hybridMultilevel"/>
    <w:lvl w:ilvl="0">
      <w:lvlJc w:val="left"/>
      <w:lvlText w:val="(%1)"/>
      <w:numFmt w:val="lowerLetter"/>
      <w:start w:val="1"/>
    </w:lvl>
    <w:lvl w:ilvl="1">
      <w:lvlJc w:val="left"/>
      <w:lvlText w:val="•"/>
      <w:numFmt w:val="bullet"/>
      <w:start w:val="1"/>
    </w:lvl>
  </w:abstractNum>
  <w:abstractNum w:abstractNumId="49">
    <w:nsid w:val="397C46BC"/>
    <w:multiLevelType w:val="hybridMultilevel"/>
    <w:lvl w:ilvl="0">
      <w:lvlJc w:val="left"/>
      <w:lvlText w:val="•"/>
      <w:numFmt w:val="bullet"/>
      <w:start w:val="1"/>
    </w:lvl>
  </w:abstractNum>
  <w:abstractNum w:abstractNumId="50">
    <w:nsid w:val="7E448DE9"/>
    <w:multiLevelType w:val="hybridMultilevel"/>
    <w:lvl w:ilvl="0">
      <w:lvlJc w:val="left"/>
      <w:lvlText w:val="(%1)"/>
      <w:numFmt w:val="lowerRoman"/>
      <w:start w:val="1"/>
    </w:lvl>
    <w:lvl w:ilvl="1">
      <w:lvlJc w:val="left"/>
      <w:lvlText w:val="•"/>
      <w:numFmt w:val="bullet"/>
      <w:start w:val="1"/>
    </w:lvl>
  </w:abstractNum>
  <w:abstractNum w:abstractNumId="51">
    <w:nsid w:val="5A9CC3E5"/>
    <w:multiLevelType w:val="hybridMultilevel"/>
    <w:lvl w:ilvl="0">
      <w:lvlJc w:val="left"/>
      <w:lvlText w:val="•"/>
      <w:numFmt w:val="bullet"/>
      <w:start w:val="1"/>
    </w:lvl>
  </w:abstractNum>
  <w:abstractNum w:abstractNumId="52">
    <w:nsid w:val="1AFE3625"/>
    <w:multiLevelType w:val="hybridMultilevel"/>
    <w:lvl w:ilvl="0">
      <w:lvlJc w:val="left"/>
      <w:lvlText w:val="•"/>
      <w:numFmt w:val="bullet"/>
      <w:start w:val="1"/>
    </w:lvl>
  </w:abstractNum>
  <w:abstractNum w:abstractNumId="53">
    <w:nsid w:val="3CA88ECF"/>
    <w:multiLevelType w:val="hybridMultilevel"/>
    <w:lvl w:ilvl="0">
      <w:lvlJc w:val="left"/>
      <w:lvlText w:val="•"/>
      <w:numFmt w:val="bullet"/>
      <w:start w:val="1"/>
    </w:lvl>
  </w:abstractNum>
  <w:abstractNum w:abstractNumId="54">
    <w:nsid w:val="6EBE4208"/>
    <w:multiLevelType w:val="hybridMultilevel"/>
    <w:lvl w:ilvl="0">
      <w:lvlJc w:val="left"/>
      <w:lvlText w:val="•"/>
      <w:numFmt w:val="bullet"/>
      <w:start w:val="1"/>
    </w:lvl>
  </w:abstractNum>
  <w:abstractNum w:abstractNumId="55">
    <w:nsid w:val="C058DF5"/>
    <w:multiLevelType w:val="hybridMultilevel"/>
    <w:lvl w:ilvl="0">
      <w:lvlJc w:val="left"/>
      <w:lvlText w:val="•"/>
      <w:numFmt w:val="bullet"/>
      <w:start w:val="1"/>
    </w:lvl>
  </w:abstractNum>
  <w:abstractNum w:abstractNumId="56">
    <w:nsid w:val="CBE5BE9"/>
    <w:multiLevelType w:val="hybridMultilevel"/>
    <w:lvl w:ilvl="0">
      <w:lvlJc w:val="left"/>
      <w:lvlText w:val="•"/>
      <w:numFmt w:val="bullet"/>
      <w:start w:val="1"/>
    </w:lvl>
  </w:abstractNum>
  <w:abstractNum w:abstractNumId="57">
    <w:nsid w:val="3102BBE2"/>
    <w:multiLevelType w:val="hybridMultilevel"/>
    <w:lvl w:ilvl="0">
      <w:lvlJc w:val="left"/>
      <w:lvlText w:val="•"/>
      <w:numFmt w:val="bullet"/>
      <w:start w:val="1"/>
    </w:lvl>
  </w:abstractNum>
  <w:abstractNum w:abstractNumId="58">
    <w:nsid w:val="26A02C5E"/>
    <w:multiLevelType w:val="hybridMultilevel"/>
    <w:lvl w:ilvl="0">
      <w:lvlJc w:val="left"/>
      <w:lvlText w:val="•"/>
      <w:numFmt w:val="bullet"/>
      <w:start w:val="1"/>
    </w:lvl>
  </w:abstractNum>
  <w:abstractNum w:abstractNumId="59">
    <w:nsid w:val="541C8153"/>
    <w:multiLevelType w:val="hybridMultilevel"/>
    <w:lvl w:ilvl="0">
      <w:lvlJc w:val="left"/>
      <w:lvlText w:val="•"/>
      <w:numFmt w:val="bullet"/>
      <w:start w:val="1"/>
    </w:lvl>
  </w:abstractNum>
  <w:abstractNum w:abstractNumId="60">
    <w:nsid w:val="67906F60"/>
    <w:multiLevelType w:val="hybridMultilevel"/>
    <w:lvl w:ilvl="0">
      <w:lvlJc w:val="left"/>
      <w:lvlText w:val="(%1)"/>
      <w:numFmt w:val="lowerLetter"/>
      <w:start w:val="1"/>
    </w:lvl>
  </w:abstractNum>
  <w:abstractNum w:abstractNumId="61">
    <w:nsid w:val="10DB9DAA"/>
    <w:multiLevelType w:val="hybridMultilevel"/>
    <w:lvl w:ilvl="0">
      <w:lvlJc w:val="left"/>
      <w:lvlText w:val="•"/>
      <w:numFmt w:val="bullet"/>
      <w:start w:val="1"/>
    </w:lvl>
  </w:abstractNum>
  <w:abstractNum w:abstractNumId="62">
    <w:nsid w:val="697D2D2"/>
    <w:multiLevelType w:val="hybridMultilevel"/>
    <w:lvl w:ilvl="0">
      <w:lvlJc w:val="left"/>
      <w:lvlText w:val="•"/>
      <w:numFmt w:val="bullet"/>
      <w:start w:val="1"/>
    </w:lvl>
    <w:lvl w:ilvl="1">
      <w:lvlJc w:val="left"/>
      <w:lvlText w:val="(%2)"/>
      <w:numFmt w:val="lowerLetter"/>
      <w:start w:val="1"/>
    </w:lvl>
  </w:abstractNum>
  <w:abstractNum w:abstractNumId="63">
    <w:nsid w:val="6D68AB2"/>
    <w:multiLevelType w:val="hybridMultilevel"/>
    <w:lvl w:ilvl="0">
      <w:lvlJc w:val="left"/>
      <w:lvlText w:val="•"/>
      <w:numFmt w:val="bullet"/>
      <w:start w:val="1"/>
    </w:lvl>
  </w:abstractNum>
  <w:abstractNum w:abstractNumId="64">
    <w:nsid w:val="3A966CD0"/>
    <w:multiLevelType w:val="hybridMultilevel"/>
    <w:lvl w:ilvl="0">
      <w:lvlJc w:val="left"/>
      <w:lvlText w:val="•"/>
      <w:numFmt w:val="bullet"/>
      <w:start w:val="1"/>
    </w:lvl>
  </w:abstractNum>
  <w:abstractNum w:abstractNumId="65">
    <w:nsid w:val="63F37E85"/>
    <w:multiLevelType w:val="hybridMultilevel"/>
    <w:lvl w:ilvl="0">
      <w:lvlJc w:val="left"/>
      <w:lvlText w:val="(%1)"/>
      <w:numFmt w:val="lowerLetter"/>
      <w:start w:val="1"/>
    </w:lvl>
    <w:lvl w:ilvl="1">
      <w:lvlJc w:val="left"/>
      <w:lvlText w:val="•"/>
      <w:numFmt w:val="bullet"/>
      <w:start w:val="1"/>
    </w:lvl>
  </w:abstractNum>
  <w:abstractNum w:abstractNumId="66">
    <w:nsid w:val="5895F5FA"/>
    <w:multiLevelType w:val="hybridMultilevel"/>
    <w:lvl w:ilvl="0">
      <w:lvlJc w:val="left"/>
      <w:lvlText w:val="(%1)"/>
      <w:numFmt w:val="lowerLetter"/>
      <w:start w:val="5"/>
    </w:lvl>
  </w:abstractNum>
  <w:abstractNum w:abstractNumId="67">
    <w:nsid w:val="38A5D054"/>
    <w:multiLevelType w:val="hybridMultilevel"/>
    <w:lvl w:ilvl="0">
      <w:lvlJc w:val="left"/>
      <w:lvlText w:val="(%1)"/>
      <w:numFmt w:val="lowerLetter"/>
      <w:start w:val="2"/>
    </w:lvl>
    <w:lvl w:ilvl="1">
      <w:lvlJc w:val="left"/>
      <w:lvlText w:val="•"/>
      <w:numFmt w:val="bullet"/>
      <w:start w:val="1"/>
    </w:lvl>
  </w:abstractNum>
  <w:abstractNum w:abstractNumId="68">
    <w:nsid w:val="F3F09D8"/>
    <w:multiLevelType w:val="hybridMultilevel"/>
    <w:lvl w:ilvl="0">
      <w:lvlJc w:val="left"/>
      <w:lvlText w:val="(%1)"/>
      <w:numFmt w:val="lowerRoman"/>
    </w:lvl>
    <w:lvl w:ilvl="1">
      <w:lvlJc w:val="left"/>
      <w:lvlText w:val="•"/>
      <w:numFmt w:val="bullet"/>
      <w:start w:val="1"/>
    </w:lvl>
  </w:abstractNum>
  <w:abstractNum w:abstractNumId="69">
    <w:nsid w:val="4B793735"/>
    <w:multiLevelType w:val="hybridMultilevel"/>
    <w:lvl w:ilvl="0">
      <w:lvlJc w:val="left"/>
      <w:lvlText w:val="(%1)"/>
      <w:numFmt w:val="lowerRoman"/>
      <w:start w:val="2"/>
    </w:lvl>
    <w:lvl w:ilvl="1">
      <w:lvlJc w:val="left"/>
      <w:lvlText w:val="•"/>
      <w:numFmt w:val="bullet"/>
      <w:start w:val="1"/>
    </w:lvl>
  </w:abstractNum>
  <w:abstractNum w:abstractNumId="70">
    <w:nsid w:val="4A10B4E8"/>
    <w:multiLevelType w:val="hybridMultilevel"/>
    <w:lvl w:ilvl="0">
      <w:lvlJc w:val="left"/>
      <w:lvlText w:val="•"/>
      <w:numFmt w:val="bullet"/>
      <w:start w:val="1"/>
    </w:lvl>
  </w:abstractNum>
  <w:abstractNum w:abstractNumId="71">
    <w:nsid w:val="43D3BCD4"/>
    <w:multiLevelType w:val="hybridMultilevel"/>
    <w:lvl w:ilvl="0">
      <w:lvlJc w:val="left"/>
      <w:lvlText w:val="•"/>
      <w:numFmt w:val="bullet"/>
      <w:start w:val="1"/>
    </w:lvl>
  </w:abstractNum>
  <w:abstractNum w:abstractNumId="72">
    <w:nsid w:val="4C2A7166"/>
    <w:multiLevelType w:val="hybridMultilevel"/>
    <w:lvl w:ilvl="0">
      <w:lvlJc w:val="left"/>
      <w:lvlText w:val="•"/>
      <w:numFmt w:val="bullet"/>
      <w:start w:val="1"/>
    </w:lvl>
  </w:abstractNum>
  <w:abstractNum w:abstractNumId="73">
    <w:nsid w:val="2E534A82"/>
    <w:multiLevelType w:val="hybridMultilevel"/>
    <w:lvl w:ilvl="0">
      <w:lvlJc w:val="left"/>
      <w:lvlText w:val="(%1)"/>
      <w:numFmt w:val="lowerLetter"/>
      <w:start w:val="1"/>
    </w:lvl>
    <w:lvl w:ilvl="1">
      <w:lvlJc w:val="left"/>
      <w:lvlText w:val="•"/>
      <w:numFmt w:val="bullet"/>
      <w:start w:val="1"/>
    </w:lvl>
  </w:abstractNum>
  <w:abstractNum w:abstractNumId="74">
    <w:nsid w:val="26F2D364"/>
    <w:multiLevelType w:val="hybridMultilevel"/>
    <w:lvl w:ilvl="0">
      <w:lvlJc w:val="left"/>
      <w:lvlText w:val="(%1)"/>
      <w:numFmt w:val="lowerLetter"/>
      <w:start w:val="4"/>
    </w:lvl>
    <w:lvl w:ilvl="1">
      <w:lvlJc w:val="left"/>
      <w:lvlText w:val="•"/>
      <w:numFmt w:val="bullet"/>
      <w:start w:val="1"/>
    </w:lvl>
  </w:abstractNum>
  <w:abstractNum w:abstractNumId="75">
    <w:nsid w:val="71C1AF98"/>
    <w:multiLevelType w:val="hybridMultilevel"/>
    <w:lvl w:ilvl="0">
      <w:lvlJc w:val="left"/>
      <w:lvlText w:val="•"/>
      <w:numFmt w:val="bullet"/>
      <w:start w:val="1"/>
    </w:lvl>
  </w:abstractNum>
  <w:abstractNum w:abstractNumId="76">
    <w:nsid w:val="3D00B9D9"/>
    <w:multiLevelType w:val="hybridMultilevel"/>
    <w:lvl w:ilvl="0">
      <w:lvlJc w:val="left"/>
      <w:lvlText w:val="(%1)"/>
      <w:numFmt w:val="lowerLetter"/>
      <w:start w:val="3"/>
    </w:lvl>
    <w:lvl w:ilvl="1">
      <w:lvlJc w:val="left"/>
      <w:lvlText w:val="•"/>
      <w:numFmt w:val="bullet"/>
      <w:start w:val="1"/>
    </w:lvl>
  </w:abstractNum>
  <w:abstractNum w:abstractNumId="77">
    <w:nsid w:val="15BCABA8"/>
    <w:multiLevelType w:val="hybridMultilevel"/>
    <w:lvl w:ilvl="0">
      <w:lvlJc w:val="left"/>
      <w:lvlText w:val="•"/>
      <w:numFmt w:val="bullet"/>
      <w:start w:val="1"/>
    </w:lvl>
  </w:abstractNum>
  <w:abstractNum w:abstractNumId="78">
    <w:nsid w:val="4E0B9A87"/>
    <w:multiLevelType w:val="hybridMultilevel"/>
    <w:lvl w:ilvl="0">
      <w:lvlJc w:val="left"/>
      <w:lvlText w:val="(%1)"/>
      <w:numFmt w:val="lowerLetter"/>
      <w:start w:val="2"/>
    </w:lvl>
    <w:lvl w:ilvl="1">
      <w:lvlJc w:val="left"/>
      <w:lvlText w:val="•"/>
      <w:numFmt w:val="bullet"/>
      <w:start w:val="1"/>
    </w:lvl>
  </w:abstractNum>
  <w:abstractNum w:abstractNumId="79">
    <w:nsid w:val="434BAE75"/>
    <w:multiLevelType w:val="hybridMultilevel"/>
    <w:lvl w:ilvl="0">
      <w:lvlJc w:val="left"/>
      <w:lvlText w:val="•"/>
      <w:numFmt w:val="bullet"/>
      <w:start w:val="1"/>
    </w:lvl>
  </w:abstractNum>
  <w:abstractNum w:abstractNumId="80">
    <w:nsid w:val="4F38F265"/>
    <w:multiLevelType w:val="hybridMultilevel"/>
    <w:lvl w:ilvl="0">
      <w:lvlJc w:val="left"/>
      <w:lvlText w:val="•"/>
      <w:numFmt w:val="bullet"/>
      <w:start w:val="1"/>
    </w:lvl>
    <w:lvl w:ilvl="1">
      <w:lvlJc w:val="left"/>
      <w:lvlText w:val="(%2)"/>
      <w:numFmt w:val="lowerLetter"/>
      <w:start w:val="1"/>
    </w:lvl>
  </w:abstractNum>
  <w:abstractNum w:abstractNumId="81">
    <w:nsid w:val="4C502870"/>
    <w:multiLevelType w:val="hybridMultilevel"/>
    <w:lvl w:ilvl="0">
      <w:lvlJc w:val="left"/>
      <w:lvlText w:val="•"/>
      <w:numFmt w:val="bullet"/>
      <w:start w:val="1"/>
    </w:lvl>
  </w:abstractNum>
  <w:abstractNum w:abstractNumId="82">
    <w:nsid w:val="1DE8725A"/>
    <w:multiLevelType w:val="hybridMultilevel"/>
    <w:lvl w:ilvl="0">
      <w:lvlJc w:val="left"/>
      <w:lvlText w:val="•"/>
      <w:numFmt w:val="bullet"/>
      <w:start w:val="1"/>
    </w:lvl>
  </w:abstractNum>
  <w:abstractNum w:abstractNumId="83">
    <w:nsid w:val="6A37288A"/>
    <w:multiLevelType w:val="hybridMultilevel"/>
    <w:lvl w:ilvl="0">
      <w:lvlJc w:val="left"/>
      <w:lvlText w:val="•"/>
      <w:numFmt w:val="bullet"/>
      <w:start w:val="1"/>
    </w:lvl>
  </w:abstractNum>
  <w:abstractNum w:abstractNumId="84">
    <w:nsid w:val="8F8B73F"/>
    <w:multiLevelType w:val="hybridMultilevel"/>
    <w:lvl w:ilvl="0">
      <w:lvlJc w:val="left"/>
      <w:lvlText w:val="•"/>
      <w:numFmt w:val="bullet"/>
      <w:start w:val="1"/>
    </w:lvl>
  </w:abstractNum>
  <w:abstractNum w:abstractNumId="85">
    <w:nsid w:val="CA6B462"/>
    <w:multiLevelType w:val="hybridMultilevel"/>
    <w:lvl w:ilvl="0">
      <w:lvlJc w:val="left"/>
      <w:lvlText w:val="•"/>
      <w:numFmt w:val="bullet"/>
      <w:start w:val="1"/>
    </w:lvl>
    <w:lvl w:ilvl="1">
      <w:lvlJc w:val="left"/>
      <w:lvlText w:val="(%2)"/>
      <w:numFmt w:val="lowerLetter"/>
      <w:start w:val="1"/>
    </w:lvl>
  </w:abstractNum>
  <w:abstractNum w:abstractNumId="86">
    <w:nsid w:val="763CB680"/>
    <w:multiLevelType w:val="hybridMultilevel"/>
    <w:lvl w:ilvl="0">
      <w:lvlJc w:val="left"/>
      <w:lvlText w:val="•"/>
      <w:numFmt w:val="bullet"/>
      <w:start w:val="1"/>
    </w:lvl>
  </w:abstractNum>
  <w:abstractNum w:abstractNumId="87">
    <w:nsid w:val="15B71329"/>
    <w:multiLevelType w:val="hybridMultilevel"/>
    <w:lvl w:ilvl="0">
      <w:lvlJc w:val="left"/>
      <w:lvlText w:val="•"/>
      <w:numFmt w:val="bullet"/>
      <w:start w:val="1"/>
    </w:lvl>
  </w:abstractNum>
  <w:abstractNum w:abstractNumId="88">
    <w:nsid w:val="3DA97044"/>
    <w:multiLevelType w:val="hybridMultilevel"/>
    <w:lvl w:ilvl="0">
      <w:lvlJc w:val="left"/>
      <w:lvlText w:val="•"/>
      <w:numFmt w:val="bullet"/>
      <w:start w:val="1"/>
    </w:lvl>
  </w:abstractNum>
  <w:abstractNum w:abstractNumId="89">
    <w:nsid w:val="1CDCE2DE"/>
    <w:multiLevelType w:val="hybridMultilevel"/>
    <w:lvl w:ilvl="0">
      <w:lvlJc w:val="left"/>
      <w:lvlText w:val="•"/>
      <w:numFmt w:val="bullet"/>
      <w:start w:val="1"/>
    </w:lvl>
  </w:abstractNum>
  <w:abstractNum w:abstractNumId="90">
    <w:nsid w:val="69D3947C"/>
    <w:multiLevelType w:val="hybridMultilevel"/>
    <w:lvl w:ilvl="0">
      <w:lvlJc w:val="left"/>
      <w:lvlText w:val="•"/>
      <w:numFmt w:val="bullet"/>
      <w:start w:val="1"/>
    </w:lvl>
  </w:abstractNum>
  <w:abstractNum w:abstractNumId="91">
    <w:nsid w:val="2539DFA5"/>
    <w:multiLevelType w:val="hybridMultilevel"/>
    <w:lvl w:ilvl="0">
      <w:lvlJc w:val="left"/>
      <w:lvlText w:val="•"/>
      <w:numFmt w:val="bullet"/>
      <w:start w:val="1"/>
    </w:lvl>
  </w:abstractNum>
  <w:abstractNum w:abstractNumId="92">
    <w:nsid w:val="2DB88089"/>
    <w:multiLevelType w:val="hybridMultilevel"/>
    <w:lvl w:ilvl="0">
      <w:lvlJc w:val="left"/>
      <w:lvlText w:val="(%1)"/>
      <w:numFmt w:val="lowerLetter"/>
      <w:start w:val="1"/>
    </w:lvl>
    <w:lvl w:ilvl="1">
      <w:lvlJc w:val="left"/>
      <w:lvlText w:val="•"/>
      <w:numFmt w:val="bullet"/>
      <w:start w:val="1"/>
    </w:lvl>
  </w:abstractNum>
  <w:abstractNum w:abstractNumId="93">
    <w:nsid w:val="706B674E"/>
    <w:multiLevelType w:val="hybridMultilevel"/>
    <w:lvl w:ilvl="0">
      <w:lvlJc w:val="left"/>
      <w:lvlText w:val="•"/>
      <w:numFmt w:val="bullet"/>
      <w:start w:val="1"/>
    </w:lvl>
  </w:abstractNum>
  <w:abstractNum w:abstractNumId="94">
    <w:nsid w:val="2C106A57"/>
    <w:multiLevelType w:val="hybridMultilevel"/>
    <w:lvl w:ilvl="0">
      <w:lvlJc w:val="left"/>
      <w:lvlText w:val="(%1)"/>
      <w:numFmt w:val="lowerLetter"/>
      <w:start w:val="1"/>
    </w:lvl>
    <w:lvl w:ilvl="1">
      <w:lvlJc w:val="left"/>
      <w:lvlText w:val="•"/>
      <w:numFmt w:val="bullet"/>
      <w:start w:val="1"/>
    </w:lvl>
  </w:abstractNum>
  <w:abstractNum w:abstractNumId="95">
    <w:nsid w:val="684EED59"/>
    <w:multiLevelType w:val="hybridMultilevel"/>
    <w:lvl w:ilvl="0">
      <w:lvlJc w:val="left"/>
      <w:lvlText w:val="•"/>
      <w:numFmt w:val="bullet"/>
      <w:start w:val="1"/>
    </w:lvl>
  </w:abstractNum>
  <w:abstractNum w:abstractNumId="96">
    <w:nsid w:val="545EE5D3"/>
    <w:multiLevelType w:val="hybridMultilevel"/>
    <w:lvl w:ilvl="0">
      <w:lvlJc w:val="left"/>
      <w:lvlText w:val="•"/>
      <w:numFmt w:val="bullet"/>
      <w:start w:val="1"/>
    </w:lvl>
  </w:abstractNum>
  <w:abstractNum w:abstractNumId="97">
    <w:nsid w:val="4A66051"/>
    <w:multiLevelType w:val="hybridMultilevel"/>
    <w:lvl w:ilvl="0">
      <w:lvlJc w:val="left"/>
      <w:lvlText w:val="•"/>
      <w:numFmt w:val="bullet"/>
      <w:start w:val="1"/>
    </w:lvl>
  </w:abstractNum>
  <w:abstractNum w:abstractNumId="98">
    <w:nsid w:val="20F4BDAD"/>
    <w:multiLevelType w:val="hybridMultilevel"/>
    <w:lvl w:ilvl="0">
      <w:lvlJc w:val="left"/>
      <w:lvlText w:val="•"/>
      <w:numFmt w:val="bullet"/>
      <w:start w:val="1"/>
    </w:lvl>
  </w:abstractNum>
  <w:abstractNum w:abstractNumId="99">
    <w:nsid w:val="639DEFAC"/>
    <w:multiLevelType w:val="hybridMultilevel"/>
    <w:lvl w:ilvl="0">
      <w:lvlJc w:val="left"/>
      <w:lvlText w:val="•"/>
      <w:numFmt w:val="bullet"/>
      <w:start w:val="1"/>
    </w:lvl>
  </w:abstractNum>
  <w:abstractNum w:abstractNumId="100">
    <w:nsid w:val="501F9786"/>
    <w:multiLevelType w:val="hybridMultilevel"/>
    <w:lvl w:ilvl="0">
      <w:lvlJc w:val="left"/>
      <w:lvlText w:val="•"/>
      <w:numFmt w:val="bullet"/>
      <w:start w:val="1"/>
    </w:lvl>
  </w:abstractNum>
  <w:abstractNum w:abstractNumId="101">
    <w:nsid w:val="6B057295"/>
    <w:multiLevelType w:val="hybridMultilevel"/>
    <w:lvl w:ilvl="0">
      <w:lvlJc w:val="left"/>
      <w:lvlText w:val="•"/>
      <w:numFmt w:val="bullet"/>
      <w:start w:val="1"/>
    </w:lvl>
  </w:abstractNum>
  <w:abstractNum w:abstractNumId="102">
    <w:nsid w:val="2771AC80"/>
    <w:multiLevelType w:val="hybridMultilevel"/>
    <w:lvl w:ilvl="0">
      <w:lvlJc w:val="left"/>
      <w:lvlText w:val="."/>
      <w:numFmt w:val="bullet"/>
      <w:start w:val="1"/>
    </w:lvl>
  </w:abstractNum>
  <w:abstractNum w:abstractNumId="103">
    <w:nsid w:val="1C4A08EC"/>
    <w:multiLevelType w:val="hybridMultilevel"/>
    <w:lvl w:ilvl="0">
      <w:lvlJc w:val="left"/>
      <w:lvlText w:val="(%1)"/>
      <w:numFmt w:val="lowerLetter"/>
      <w:start w:val="2"/>
    </w:lvl>
  </w:abstractNum>
  <w:abstractNum w:abstractNumId="104">
    <w:nsid w:val="1958BD17"/>
    <w:multiLevelType w:val="hybridMultilevel"/>
    <w:lvl w:ilvl="0">
      <w:lvlJc w:val="left"/>
      <w:lvlText w:val="(%1)"/>
      <w:numFmt w:val="lowerLetter"/>
      <w:start w:val="1"/>
    </w:lvl>
  </w:abstractNum>
  <w:abstractNum w:abstractNumId="105">
    <w:nsid w:val="4E647FE4"/>
    <w:multiLevelType w:val="hybridMultilevel"/>
    <w:lvl w:ilvl="0">
      <w:lvlJc w:val="left"/>
      <w:lvlText w:val="(%1)"/>
      <w:numFmt w:val="lowerLetter"/>
      <w:start w:val="6"/>
    </w:lvl>
  </w:abstractNum>
  <w:abstractNum w:abstractNumId="106">
    <w:nsid w:val="E0BB885"/>
    <w:multiLevelType w:val="hybridMultilevel"/>
    <w:lvl w:ilvl="0">
      <w:lvlJc w:val="left"/>
      <w:lvlText w:val="(%1)"/>
      <w:numFmt w:val="lowerLetter"/>
      <w:start w:val="2"/>
    </w:lvl>
  </w:abstractNum>
  <w:abstractNum w:abstractNumId="107">
    <w:nsid w:val="565976F1"/>
    <w:multiLevelType w:val="hybridMultilevel"/>
    <w:lvl w:ilvl="0">
      <w:lvlJc w:val="left"/>
      <w:lvlText w:val="(%1)"/>
      <w:numFmt w:val="lowerLetter"/>
      <w:start w:val="3"/>
    </w:lvl>
  </w:abstractNum>
  <w:abstractNum w:abstractNumId="108">
    <w:nsid w:val="64212B8C"/>
    <w:multiLevelType w:val="hybridMultilevel"/>
    <w:lvl w:ilvl="0">
      <w:lvlJc w:val="left"/>
      <w:lvlText w:val="(%1)"/>
      <w:numFmt w:val="lowerLetter"/>
      <w:start w:val="5"/>
    </w:lvl>
  </w:abstractNum>
  <w:abstractNum w:abstractNumId="109">
    <w:nsid w:val="5C17530C"/>
    <w:multiLevelType w:val="hybridMultilevel"/>
    <w:lvl w:ilvl="0">
      <w:lvlJc w:val="left"/>
      <w:lvlText w:val="(%1)"/>
      <w:numFmt w:val="lowerLetter"/>
      <w:start w:val="24"/>
    </w:lvl>
  </w:abstractNum>
  <w:abstractNum w:abstractNumId="110">
    <w:nsid w:val="19A52566"/>
    <w:multiLevelType w:val="hybridMultilevel"/>
    <w:lvl w:ilvl="0">
      <w:lvlJc w:val="left"/>
      <w:lvlText w:val="(%1)"/>
      <w:numFmt w:val="lowerLetter"/>
      <w:start w:val="2"/>
    </w:lvl>
  </w:abstractNum>
  <w:abstractNum w:abstractNumId="111">
    <w:nsid w:val="335A1DF1"/>
    <w:multiLevelType w:val="hybridMultilevel"/>
    <w:lvl w:ilvl="0">
      <w:lvlJc w:val="left"/>
      <w:lvlText w:val="%1"/>
      <w:numFmt w:val="lowerRoman"/>
      <w:start w:val="1"/>
    </w:lvl>
    <w:lvl w:ilvl="1">
      <w:lvlJc w:val="left"/>
      <w:lvlText w:val="(%2)"/>
      <w:numFmt w:val="lowerLetter"/>
      <w:start w:val="3"/>
    </w:lvl>
  </w:abstractNum>
  <w:abstractNum w:abstractNumId="112">
    <w:nsid w:val="28677B7C"/>
    <w:multiLevelType w:val="hybridMultilevel"/>
    <w:lvl w:ilvl="0">
      <w:lvlJc w:val="left"/>
      <w:lvlText w:val="(%1)"/>
      <w:numFmt w:val="lowerRoman"/>
      <w:start w:val="1"/>
    </w:lvl>
    <w:lvl w:ilvl="1">
      <w:lvlJc w:val="left"/>
      <w:lvlText w:val="%2"/>
      <w:numFmt w:val="lowerLetter"/>
      <w:start w:val="1"/>
    </w:lvl>
  </w:abstractNum>
  <w:abstractNum w:abstractNumId="113">
    <w:nsid w:val="378D97C0"/>
    <w:multiLevelType w:val="hybridMultilevel"/>
    <w:lvl w:ilvl="0">
      <w:lvlJc w:val="left"/>
      <w:lvlText w:val="(%1)"/>
      <w:numFmt w:val="lowerRoman"/>
      <w:start w:val="4"/>
    </w:lvl>
    <w:lvl w:ilvl="1">
      <w:lvlJc w:val="left"/>
      <w:lvlText w:val="%2"/>
      <w:numFmt w:val="lowerLetter"/>
      <w:start w:val="1"/>
    </w:lvl>
  </w:abstractNum>
  <w:abstractNum w:abstractNumId="114">
    <w:nsid w:val="1D91467C"/>
    <w:multiLevelType w:val="hybridMultilevel"/>
    <w:lvl w:ilvl="0">
      <w:lvlJc w:val="left"/>
      <w:lvlText w:val="(%1)"/>
      <w:numFmt w:val="lowerLetter"/>
      <w:start w:val="1"/>
    </w:lvl>
  </w:abstractNum>
  <w:abstractNum w:abstractNumId="115">
    <w:nsid w:val="316032BB"/>
    <w:multiLevelType w:val="hybridMultilevel"/>
    <w:lvl w:ilvl="0">
      <w:lvlJc w:val="left"/>
      <w:lvlText w:val="(%1)"/>
      <w:numFmt w:val="lowerLetter"/>
      <w:start w:val="4"/>
    </w:lvl>
  </w:abstractNum>
  <w:abstractNum w:abstractNumId="116">
    <w:nsid w:val="44344C22"/>
    <w:multiLevelType w:val="hybridMultilevel"/>
    <w:lvl w:ilvl="0">
      <w:lvlJc w:val="left"/>
      <w:lvlText w:val="(%1)"/>
      <w:numFmt w:val="lowerRoman"/>
      <w:start w:val="2"/>
    </w:lvl>
  </w:abstractNum>
  <w:abstractNum w:abstractNumId="117">
    <w:nsid w:val="13CDFCFC"/>
    <w:multiLevelType w:val="hybridMultilevel"/>
    <w:lvl w:ilvl="0">
      <w:lvlJc w:val="left"/>
      <w:lvlText w:val="%1"/>
      <w:numFmt w:val="lowerLetter"/>
      <w:start w:val="1"/>
    </w:lvl>
    <w:lvl w:ilvl="1">
      <w:lvlJc w:val="left"/>
      <w:lvlText w:val="(%2)"/>
      <w:numFmt w:val="lowerRoman"/>
      <w:start w:val="3"/>
    </w:lvl>
  </w:abstractNum>
  <w:abstractNum w:abstractNumId="118">
    <w:nsid w:val="471745E4"/>
    <w:multiLevelType w:val="hybridMultilevel"/>
    <w:lvl w:ilvl="0">
      <w:lvlJc w:val="left"/>
      <w:lvlText w:val="(%1)"/>
      <w:numFmt w:val="lowerLetter"/>
      <w:start w:val="2"/>
    </w:lvl>
    <w:lvl w:ilvl="1">
      <w:lvlJc w:val="left"/>
      <w:lvlText w:val="%2"/>
      <w:numFmt w:val="lowerRoman"/>
      <w:start w:val="1"/>
    </w:lvl>
  </w:abstractNum>
  <w:abstractNum w:abstractNumId="119">
    <w:nsid w:val="1DDBC66"/>
    <w:multiLevelType w:val="hybridMultilevel"/>
    <w:lvl w:ilvl="0">
      <w:lvlJc w:val="left"/>
      <w:lvlText w:val="(%1)"/>
      <w:numFmt w:val="lowerLetter"/>
      <w:start w:val="4"/>
    </w:lvl>
  </w:abstractNum>
  <w:abstractNum w:abstractNumId="120">
    <w:nsid w:val="30AADFDA"/>
    <w:multiLevelType w:val="hybridMultilevel"/>
    <w:lvl w:ilvl="0">
      <w:lvlJc w:val="left"/>
      <w:lvlText w:val="(%1)"/>
      <w:numFmt w:val="lowerLetter"/>
      <w:start w:val="2"/>
    </w:lvl>
  </w:abstractNum>
  <w:abstractNum w:abstractNumId="121">
    <w:nsid w:val="30EADA61"/>
    <w:multiLevelType w:val="hybridMultilevel"/>
    <w:lvl w:ilvl="0">
      <w:lvlJc w:val="left"/>
      <w:lvlText w:val="(%1)"/>
      <w:numFmt w:val="lowerLetter"/>
      <w:start w:val="8"/>
    </w:lvl>
  </w:abstractNum>
  <w:abstractNum w:abstractNumId="122">
    <w:nsid w:val="27179C0B"/>
    <w:multiLevelType w:val="hybridMultilevel"/>
    <w:lvl w:ilvl="0">
      <w:lvlJc w:val="left"/>
      <w:lvlText w:val="(%1)"/>
      <w:numFmt w:val="lowerLetter"/>
      <w:start w:val="2"/>
    </w:lvl>
  </w:abstractNum>
  <w:abstractNum w:abstractNumId="123">
    <w:nsid w:val="5E636063"/>
    <w:multiLevelType w:val="hybridMultilevel"/>
    <w:lvl w:ilvl="0">
      <w:lvlJc w:val="left"/>
      <w:lvlText w:val="(%1)"/>
      <w:numFmt w:val="lowerLetter"/>
      <w:start w:val="35"/>
    </w:lvl>
    <w:lvl w:ilvl="1">
      <w:lvlJc w:val="left"/>
      <w:lvlText w:val="(%2)"/>
      <w:numFmt w:val="lowerLetter"/>
      <w:start w:val="3"/>
    </w:lvl>
  </w:abstractNum>
  <w:abstractNum w:abstractNumId="124">
    <w:nsid w:val="215641AF"/>
    <w:multiLevelType w:val="hybridMultilevel"/>
    <w:lvl w:ilvl="0">
      <w:lvlJc w:val="left"/>
      <w:lvlText w:val="(%1)"/>
      <w:numFmt w:val="lowerLetter"/>
      <w:start w:val="2"/>
    </w:lvl>
  </w:abstractNum>
  <w:abstractNum w:abstractNumId="125">
    <w:nsid w:val="53280662"/>
    <w:multiLevelType w:val="hybridMultilevel"/>
    <w:lvl w:ilvl="0">
      <w:lvlJc w:val="left"/>
      <w:lvlText w:val="(%1)"/>
      <w:numFmt w:val="lowerRoman"/>
      <w:start w:val="1"/>
    </w:lvl>
  </w:abstractNum>
  <w:abstractNum w:abstractNumId="126">
    <w:nsid w:val="46B24DBC"/>
    <w:multiLevelType w:val="hybridMultilevel"/>
    <w:lvl w:ilvl="0">
      <w:lvlJc w:val="left"/>
      <w:lvlText w:val="(%1)"/>
      <w:numFmt w:val="lowerRoman"/>
      <w:start w:val="7"/>
    </w:lvl>
  </w:abstractNum>
  <w:abstractNum w:abstractNumId="127">
    <w:nsid w:val="75B52783"/>
    <w:multiLevelType w:val="hybridMultilevel"/>
    <w:lvl w:ilvl="0">
      <w:lvlJc w:val="left"/>
      <w:lvlText w:val="(%1)"/>
      <w:numFmt w:val="lowerRoman"/>
      <w:start w:val="1"/>
    </w:lvl>
  </w:abstractNum>
  <w:abstractNum w:abstractNumId="128">
    <w:nsid w:val="57CE66B4"/>
    <w:multiLevelType w:val="hybridMultilevel"/>
    <w:lvl w:ilvl="0">
      <w:lvlJc w:val="left"/>
      <w:lvlText w:val="(%1)"/>
      <w:numFmt w:val="lowerLetter"/>
      <w:start w:val="2"/>
    </w:lvl>
  </w:abstractNum>
  <w:abstractNum w:abstractNumId="129">
    <w:nsid w:val="67A70B69"/>
    <w:multiLevelType w:val="hybridMultilevel"/>
    <w:lvl w:ilvl="0">
      <w:lvlJc w:val="left"/>
      <w:lvlText w:val="(%1)"/>
      <w:numFmt w:val="lowerLetter"/>
      <w:start w:val="2"/>
    </w:lvl>
  </w:abstractNum>
  <w:abstractNum w:abstractNumId="130">
    <w:nsid w:val="5953172F"/>
    <w:multiLevelType w:val="hybridMultilevel"/>
    <w:lvl w:ilvl="0">
      <w:lvlJc w:val="left"/>
      <w:lvlText w:val="(%1)"/>
      <w:numFmt w:val="lowerLetter"/>
      <w:start w:val="3"/>
    </w:lvl>
  </w:abstractNum>
  <w:abstractNum w:abstractNumId="131">
    <w:nsid w:val="27EDFE3A"/>
    <w:multiLevelType w:val="hybridMultilevel"/>
    <w:lvl w:ilvl="0">
      <w:lvlJc w:val="left"/>
      <w:lvlText w:val="(%1)"/>
      <w:numFmt w:val="lowerLetter"/>
      <w:start w:val="2"/>
    </w:lvl>
  </w:abstractNum>
  <w:abstractNum w:abstractNumId="132">
    <w:nsid w:val="52AC7DFF"/>
    <w:multiLevelType w:val="hybridMultilevel"/>
    <w:lvl w:ilvl="0">
      <w:lvlJc w:val="left"/>
      <w:lvlText w:val="(%1)"/>
      <w:numFmt w:val="lowerLetter"/>
      <w:start w:val="1"/>
    </w:lvl>
  </w:abstractNum>
  <w:abstractNum w:abstractNumId="133">
    <w:nsid w:val="C4C3AF"/>
    <w:multiLevelType w:val="hybridMultilevel"/>
    <w:lvl w:ilvl="0">
      <w:lvlJc w:val="left"/>
      <w:lvlText w:val="(%1)"/>
      <w:numFmt w:val="lowerLetter"/>
      <w:start w:val="2"/>
    </w:lvl>
  </w:abstractNum>
  <w:abstractNum w:abstractNumId="134">
    <w:nsid w:val="44380727"/>
    <w:multiLevelType w:val="hybridMultilevel"/>
    <w:lvl w:ilvl="0">
      <w:lvlJc w:val="left"/>
      <w:lvlText w:val="(%1)"/>
      <w:numFmt w:val="lowerLetter"/>
      <w:start w:val="4"/>
    </w:lvl>
    <w:lvl w:ilvl="1">
      <w:lvlJc w:val="left"/>
      <w:lvlText w:val="(%2)"/>
      <w:numFmt w:val="lowerRoman"/>
      <w:start w:val="1"/>
    </w:lvl>
  </w:abstractNum>
  <w:abstractNum w:abstractNumId="135">
    <w:nsid w:val="6C053B16"/>
    <w:multiLevelType w:val="hybridMultilevel"/>
    <w:lvl w:ilvl="0">
      <w:lvlJc w:val="left"/>
      <w:lvlText w:val="(%1)"/>
      <w:numFmt w:val="lowerRoman"/>
      <w:start w:val="3"/>
    </w:lvl>
    <w:lvl w:ilvl="1">
      <w:lvlJc w:val="left"/>
      <w:lvlText w:val="(%2)"/>
      <w:numFmt w:val="upperLetter"/>
      <w:start w:val="1"/>
    </w:lvl>
  </w:abstractNum>
  <w:abstractNum w:abstractNumId="136">
    <w:nsid w:val="4F294393"/>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37">
    <w:nsid w:val="5243BFAC"/>
    <w:multiLevelType w:val="hybridMultilevel"/>
    <w:lvl w:ilvl="0">
      <w:lvlJc w:val="left"/>
      <w:lvlText w:val="(%1)"/>
      <w:numFmt w:val="lowerLetter"/>
      <w:start w:val="5"/>
    </w:lvl>
  </w:abstractNum>
  <w:abstractNum w:abstractNumId="138">
    <w:nsid w:val="425EB207"/>
    <w:multiLevelType w:val="hybridMultilevel"/>
    <w:lvl w:ilvl="0">
      <w:lvlJc w:val="left"/>
      <w:lvlText w:val="(%1)"/>
      <w:numFmt w:val="lowerLetter"/>
      <w:start w:val="6"/>
    </w:lvl>
  </w:abstractNum>
  <w:abstractNum w:abstractNumId="139">
    <w:nsid w:val="334A6F1F"/>
    <w:multiLevelType w:val="hybridMultilevel"/>
    <w:lvl w:ilvl="0">
      <w:lvlJc w:val="left"/>
      <w:lvlText w:val="(%1)"/>
      <w:numFmt w:val="lowerLetter"/>
      <w:start w:val="2"/>
    </w:lvl>
  </w:abstractNum>
  <w:abstractNum w:abstractNumId="140">
    <w:nsid w:val="2E5B12B8"/>
    <w:multiLevelType w:val="hybridMultilevel"/>
    <w:lvl w:ilvl="0">
      <w:lvlJc w:val="left"/>
      <w:lvlText w:val="(%1)"/>
      <w:numFmt w:val="lowerLetter"/>
      <w:start w:val="1"/>
    </w:lvl>
  </w:abstractNum>
  <w:abstractNum w:abstractNumId="141">
    <w:nsid w:val="5C03D76D"/>
    <w:multiLevelType w:val="hybridMultilevel"/>
    <w:lvl w:ilvl="0">
      <w:lvlJc w:val="left"/>
      <w:lvlText w:val="(%1)"/>
      <w:numFmt w:val="lowerLetter"/>
      <w:start w:val="3"/>
    </w:lvl>
  </w:abstractNum>
  <w:abstractNum w:abstractNumId="142">
    <w:nsid w:val="66A48D11"/>
    <w:multiLevelType w:val="hybridMultilevel"/>
    <w:lvl w:ilvl="0">
      <w:lvlJc w:val="left"/>
      <w:lvlText w:val="(%1)"/>
      <w:numFmt w:val="lowerLetter"/>
      <w:start w:val="7"/>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43">
    <w:nsid w:val="56C28E3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144">
    <w:nsid w:val="13916F2D"/>
    <w:multiLevelType w:val="hybridMultilevel"/>
    <w:lvl w:ilvl="0">
      <w:lvlJc w:val="left"/>
      <w:lvlText w:val="(%1)"/>
      <w:numFmt w:val="upperLetter"/>
      <w:start w:val="2"/>
    </w:lvl>
    <w:lvl w:ilvl="1">
      <w:lvlJc w:val="left"/>
      <w:lvlText w:val="(%2)"/>
      <w:numFmt w:val="upperLetter"/>
      <w:start w:val="2"/>
    </w:lvl>
    <w:lvl w:ilvl="2">
      <w:lvlJc w:val="left"/>
      <w:lvlText w:val="(%3)"/>
      <w:numFmt w:val="decimal"/>
      <w:start w:val="4"/>
    </w:lvl>
  </w:abstractNum>
  <w:abstractNum w:abstractNumId="145">
    <w:nsid w:val="435D38D"/>
    <w:multiLevelType w:val="hybridMultilevel"/>
    <w:lvl w:ilvl="0">
      <w:lvlJc w:val="left"/>
      <w:lvlText w:val="(%1)"/>
      <w:numFmt w:val="upperLetter"/>
      <w:start w:val="5"/>
    </w:lvl>
  </w:abstractNum>
  <w:abstractNum w:abstractNumId="146">
    <w:nsid w:val="822C0EF"/>
    <w:multiLevelType w:val="hybridMultilevel"/>
    <w:lvl w:ilvl="0">
      <w:lvlJc w:val="left"/>
      <w:lvlText w:val="(%1)"/>
      <w:numFmt w:val="lowerLetter"/>
      <w:start w:val="8"/>
    </w:lvl>
  </w:abstractNum>
  <w:abstractNum w:abstractNumId="147">
    <w:nsid w:val="57C5BB4F"/>
    <w:multiLevelType w:val="hybridMultilevel"/>
    <w:lvl w:ilvl="0">
      <w:lvlJc w:val="left"/>
      <w:lvlText w:val="(%1)"/>
      <w:numFmt w:val="lowerLetter"/>
      <w:start w:val="10"/>
    </w:lvl>
    <w:lvl w:ilvl="1">
      <w:lvlJc w:val="left"/>
      <w:lvlText w:val="(%2)"/>
      <w:numFmt w:val="lowerRoman"/>
      <w:start w:val="2"/>
    </w:lvl>
    <w:lvl w:ilvl="2">
      <w:lvlJc w:val="left"/>
      <w:lvlText w:val="(%3)"/>
      <w:numFmt w:val="upperLetter"/>
      <w:start w:val="1"/>
    </w:lvl>
  </w:abstractNum>
  <w:abstractNum w:abstractNumId="148">
    <w:nsid w:val="1803D089"/>
    <w:multiLevelType w:val="hybridMultilevel"/>
    <w:lvl w:ilvl="0">
      <w:lvlJc w:val="left"/>
      <w:lvlText w:val="(%1)"/>
      <w:numFmt w:val="lowerRoman"/>
      <w:start w:val="3"/>
    </w:lvl>
  </w:abstractNum>
  <w:abstractNum w:abstractNumId="149">
    <w:nsid w:val="4F3A06D4"/>
    <w:multiLevelType w:val="hybridMultilevel"/>
    <w:lvl w:ilvl="0">
      <w:lvlJc w:val="left"/>
      <w:lvlText w:val="(%1)"/>
      <w:numFmt w:val="lowerLetter"/>
      <w:start w:val="2"/>
    </w:lvl>
  </w:abstractNum>
  <w:abstractNum w:abstractNumId="150">
    <w:nsid w:val="59A377B6"/>
    <w:multiLevelType w:val="hybridMultilevel"/>
    <w:lvl w:ilvl="0">
      <w:lvlJc w:val="left"/>
      <w:lvlText w:val="(%1)"/>
      <w:numFmt w:val="lowerLetter"/>
      <w:start w:val="1"/>
    </w:lvl>
  </w:abstractNum>
  <w:abstractNum w:abstractNumId="151">
    <w:nsid w:val="48AEB063"/>
    <w:multiLevelType w:val="hybridMultilevel"/>
    <w:lvl w:ilvl="0">
      <w:lvlJc w:val="left"/>
      <w:lvlText w:val="(%1)"/>
      <w:numFmt w:val="lowerLetter"/>
      <w:start w:val="3"/>
    </w:lvl>
  </w:abstractNum>
  <w:abstractNum w:abstractNumId="152">
    <w:nsid w:val="24E135"/>
    <w:multiLevelType w:val="hybridMultilevel"/>
    <w:lvl w:ilvl="0">
      <w:lvlJc w:val="left"/>
      <w:lvlText w:val="(%1)"/>
      <w:numFmt w:val="lowerLetter"/>
      <w:start w:val="4"/>
    </w:lvl>
  </w:abstractNum>
  <w:abstractNum w:abstractNumId="153">
    <w:nsid w:val="BB13C1"/>
    <w:multiLevelType w:val="hybridMultilevel"/>
    <w:lvl w:ilvl="0">
      <w:lvlJc w:val="left"/>
      <w:lvlText w:val="(%1)"/>
      <w:numFmt w:val="lowerLetter"/>
      <w:start w:val="6"/>
    </w:lvl>
    <w:lvl w:ilvl="1">
      <w:lvlJc w:val="left"/>
      <w:lvlText w:val="(%2)"/>
      <w:numFmt w:val="lowerRoman"/>
      <w:start w:val="1"/>
    </w:lvl>
  </w:abstractNum>
  <w:abstractNum w:abstractNumId="154">
    <w:nsid w:val="271210C7"/>
    <w:multiLevelType w:val="hybridMultilevel"/>
    <w:lvl w:ilvl="0">
      <w:lvlJc w:val="left"/>
      <w:lvlText w:val="(%1)"/>
      <w:numFmt w:val="lowerLetter"/>
      <w:start w:val="7"/>
    </w:lvl>
    <w:lvl w:ilvl="1">
      <w:lvlJc w:val="left"/>
      <w:lvlText w:val="(%2)"/>
      <w:numFmt w:val="lowerRoman"/>
      <w:start w:val="1"/>
    </w:lvl>
  </w:abstractNum>
  <w:abstractNum w:abstractNumId="155">
    <w:nsid w:val="217B22E4"/>
    <w:multiLevelType w:val="hybridMultilevel"/>
    <w:lvl w:ilvl="0">
      <w:lvlJc w:val="left"/>
      <w:lvlText w:val="%1"/>
      <w:numFmt w:val="lowerLetter"/>
      <w:start w:val="1"/>
    </w:lvl>
    <w:lvl w:ilvl="1">
      <w:lvlJc w:val="left"/>
      <w:lvlText w:val="(%2)"/>
      <w:numFmt w:val="lowerLetter"/>
      <w:start w:val="8"/>
    </w:lvl>
  </w:abstractNum>
  <w:abstractNum w:abstractNumId="156">
    <w:nsid w:val="53E31A24"/>
    <w:multiLevelType w:val="hybridMultilevel"/>
    <w:lvl w:ilvl="0">
      <w:lvlJc w:val="left"/>
      <w:lvlText w:val="(%1)"/>
      <w:numFmt w:val="lowerLetter"/>
      <w:start w:val="35"/>
    </w:lvl>
    <w:lvl w:ilvl="1">
      <w:lvlJc w:val="left"/>
      <w:lvlText w:val="%2"/>
      <w:numFmt w:val="lowerLetter"/>
      <w:start w:val="1"/>
    </w:lvl>
  </w:abstractNum>
  <w:abstractNum w:abstractNumId="157">
    <w:nsid w:val="6DC45E83"/>
    <w:multiLevelType w:val="hybridMultilevel"/>
    <w:lvl w:ilvl="0">
      <w:lvlJc w:val="left"/>
      <w:lvlText w:val="(%1)"/>
      <w:numFmt w:val="lowerLetter"/>
      <w:start w:val="11"/>
    </w:lvl>
  </w:abstractNum>
  <w:abstractNum w:abstractNumId="158">
    <w:nsid w:val="17304A67"/>
    <w:multiLevelType w:val="hybridMultilevel"/>
    <w:lvl w:ilvl="0">
      <w:lvlJc w:val="left"/>
      <w:lvlText w:val="(%1)"/>
      <w:numFmt w:val="lowerLetter"/>
      <w:start w:val="12"/>
    </w:lvl>
  </w:abstractNum>
  <w:abstractNum w:abstractNumId="159">
    <w:nsid w:val="2BB180D8"/>
    <w:multiLevelType w:val="hybridMultilevel"/>
    <w:lvl w:ilvl="0">
      <w:lvlJc w:val="left"/>
      <w:lvlText w:val="."/>
      <w:numFmt w:val="bullet"/>
      <w:start w:val="1"/>
    </w:lvl>
    <w:lvl w:ilvl="1">
      <w:lvlJc w:val="left"/>
      <w:lvlText w:val="(%2)"/>
      <w:numFmt w:val="lowerLetter"/>
      <w:start w:val="2"/>
    </w:lvl>
  </w:abstractNum>
  <w:abstractNum w:abstractNumId="160">
    <w:nsid w:val="556B69ED"/>
    <w:multiLevelType w:val="hybridMultilevel"/>
    <w:lvl w:ilvl="0">
      <w:lvlJc w:val="left"/>
      <w:lvlText w:val="(%1)"/>
      <w:numFmt w:val="lowerLetter"/>
      <w:start w:val="5"/>
    </w:lvl>
  </w:abstractNum>
  <w:abstractNum w:abstractNumId="161">
    <w:nsid w:val="70836196"/>
    <w:multiLevelType w:val="hybridMultilevel"/>
    <w:lvl w:ilvl="0">
      <w:lvlJc w:val="left"/>
      <w:lvlText w:val="(%1)"/>
      <w:numFmt w:val="lowerLetter"/>
      <w:start w:val="9"/>
    </w:lvl>
  </w:abstractNum>
  <w:abstractNum w:abstractNumId="162">
    <w:nsid w:val="539F7F12"/>
    <w:multiLevelType w:val="hybridMultilevel"/>
    <w:lvl w:ilvl="0">
      <w:lvlJc w:val="left"/>
      <w:lvlText w:val="(%1)"/>
      <w:numFmt w:val="lowerLetter"/>
      <w:start w:val="1"/>
    </w:lvl>
    <w:lvl w:ilvl="1">
      <w:lvlJc w:val="left"/>
      <w:lvlText w:val="(%2)"/>
      <w:numFmt w:val="lowerRoman"/>
      <w:start w:val="1"/>
    </w:lvl>
  </w:abstractNum>
  <w:abstractNum w:abstractNumId="163">
    <w:nsid w:val="2817E7EC"/>
    <w:multiLevelType w:val="hybridMultilevel"/>
    <w:lvl w:ilvl="0">
      <w:lvlJc w:val="left"/>
      <w:lvlText w:val="%1"/>
      <w:numFmt w:val="lowerLetter"/>
      <w:start w:val="1"/>
    </w:lvl>
    <w:lvl w:ilvl="1">
      <w:lvlJc w:val="left"/>
      <w:lvlText w:val="(%2)"/>
      <w:numFmt w:val="lowerLetter"/>
      <w:start w:val="2"/>
    </w:lvl>
  </w:abstractNum>
  <w:abstractNum w:abstractNumId="164">
    <w:nsid w:val="71482545"/>
    <w:multiLevelType w:val="hybridMultilevel"/>
    <w:lvl w:ilvl="0">
      <w:lvlJc w:val="left"/>
      <w:lvlText w:val="(%1)"/>
      <w:numFmt w:val="lowerLetter"/>
      <w:start w:val="9"/>
    </w:lvl>
    <w:lvl w:ilvl="1">
      <w:lvlJc w:val="left"/>
      <w:lvlText w:val="%2"/>
      <w:numFmt w:val="lowerLetter"/>
      <w:start w:val="1"/>
    </w:lvl>
  </w:abstractNum>
  <w:abstractNum w:abstractNumId="165">
    <w:nsid w:val="17D78639"/>
    <w:multiLevelType w:val="hybridMultilevel"/>
    <w:lvl w:ilvl="0">
      <w:lvlJc w:val="left"/>
      <w:lvlText w:val="(%1)"/>
      <w:numFmt w:val="lowerLetter"/>
      <w:start w:val="3"/>
    </w:lvl>
    <w:lvl w:ilvl="1">
      <w:lvlJc w:val="left"/>
      <w:lvlText w:val="(%2)"/>
      <w:numFmt w:val="lowerLetter"/>
      <w:start w:val="35"/>
    </w:lvl>
  </w:abstractNum>
  <w:abstractNum w:abstractNumId="166">
    <w:nsid w:val="141D23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67">
    <w:nsid w:val="407168D8"/>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2"/>
    </w:lvl>
  </w:abstractNum>
  <w:abstractNum w:abstractNumId="168">
    <w:nsid w:val="6A1B45E5"/>
    <w:multiLevelType w:val="hybridMultilevel"/>
    <w:lvl w:ilvl="0">
      <w:lvlJc w:val="left"/>
      <w:lvlText w:val="(%1)"/>
      <w:numFmt w:val="lowerLetter"/>
      <w:start w:val="5"/>
    </w:lvl>
  </w:abstractNum>
  <w:abstractNum w:abstractNumId="169">
    <w:nsid w:val="567BD5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0">
    <w:nsid w:val="73BBD7F8"/>
    <w:multiLevelType w:val="hybridMultilevel"/>
    <w:lvl w:ilvl="0">
      <w:lvlJc w:val="left"/>
      <w:lvlText w:val="(%1)"/>
      <w:numFmt w:val="upperLetter"/>
      <w:start w:val="2"/>
    </w:lvl>
  </w:abstractNum>
  <w:abstractNum w:abstractNumId="171">
    <w:nsid w:val="1876589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2"/>
    </w:lvl>
  </w:abstractNum>
  <w:abstractNum w:abstractNumId="172">
    <w:nsid w:val="327FAC7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3">
    <w:nsid w:val="5A606509"/>
    <w:multiLevelType w:val="hybridMultilevel"/>
    <w:lvl w:ilvl="0">
      <w:lvlJc w:val="left"/>
      <w:lvlText w:val="(%1)"/>
      <w:numFmt w:val="lowerLetter"/>
      <w:start w:val="4"/>
    </w:lvl>
  </w:abstractNum>
  <w:abstractNum w:abstractNumId="174">
    <w:nsid w:val="6F38E6D1"/>
    <w:multiLevelType w:val="hybridMultilevel"/>
    <w:lvl w:ilvl="0">
      <w:lvlJc w:val="left"/>
      <w:lvlText w:val="(%1)"/>
      <w:numFmt w:val="lowerLetter"/>
      <w:start w:val="1"/>
    </w:lvl>
    <w:lvl w:ilvl="1">
      <w:lvlJc w:val="left"/>
      <w:lvlText w:val="(%2)"/>
      <w:numFmt w:val="upperLetter"/>
      <w:start w:val="1"/>
    </w:lvl>
  </w:abstractNum>
  <w:abstractNum w:abstractNumId="175">
    <w:nsid w:val="46111BA5"/>
    <w:multiLevelType w:val="hybridMultilevel"/>
    <w:lvl w:ilvl="0">
      <w:lvlJc w:val="left"/>
      <w:lvlText w:val="(%1)"/>
      <w:numFmt w:val="upperLetter"/>
      <w:start w:val="5"/>
    </w:lvl>
    <w:lvl w:ilvl="1">
      <w:lvlJc w:val="left"/>
      <w:lvlText w:val="(%2)"/>
      <w:numFmt w:val="decimal"/>
      <w:start w:val="1"/>
    </w:lvl>
  </w:abstractNum>
  <w:abstractNum w:abstractNumId="176">
    <w:nsid w:val="5E963896"/>
    <w:multiLevelType w:val="hybridMultilevel"/>
    <w:lvl w:ilvl="0">
      <w:lvlJc w:val="left"/>
      <w:lvlText w:val="%1"/>
      <w:numFmt w:val="lowerLetter"/>
      <w:start w:val="1"/>
    </w:lvl>
    <w:lvl w:ilvl="1">
      <w:lvlJc w:val="left"/>
      <w:lvlText w:val="(%2)"/>
      <w:numFmt w:val="upperLetter"/>
      <w:start w:val="8"/>
    </w:lvl>
  </w:abstractNum>
  <w:abstractNum w:abstractNumId="177">
    <w:nsid w:val="775BA7C1"/>
    <w:multiLevelType w:val="hybridMultilevel"/>
    <w:lvl w:ilvl="0">
      <w:lvlJc w:val="left"/>
      <w:lvlText w:val="(%1)"/>
      <w:numFmt w:val="lowerLetter"/>
      <w:start w:val="2"/>
    </w:lvl>
    <w:lvl w:ilvl="1">
      <w:lvlJc w:val="left"/>
      <w:lvlText w:val="%2"/>
      <w:numFmt w:val="upperLetter"/>
      <w:start w:val="1"/>
    </w:lvl>
  </w:abstractNum>
  <w:abstractNum w:abstractNumId="178">
    <w:nsid w:val="1DD6D6F4"/>
    <w:multiLevelType w:val="hybridMultilevel"/>
    <w:lvl w:ilvl="0">
      <w:lvlJc w:val="left"/>
      <w:lvlText w:val="(%1)"/>
      <w:numFmt w:val="lowerLetter"/>
      <w:start w:val="1"/>
    </w:lvl>
    <w:lvl w:ilvl="1">
      <w:lvlJc w:val="left"/>
      <w:lvlText w:val="(%2)"/>
      <w:numFmt w:val="lowerLetter"/>
      <w:start w:val="9"/>
    </w:lvl>
  </w:abstractNum>
  <w:abstractNum w:abstractNumId="179">
    <w:nsid w:val="769A091F"/>
    <w:multiLevelType w:val="hybridMultilevel"/>
    <w:lvl w:ilvl="0">
      <w:lvlJc w:val="left"/>
      <w:lvlText w:val="%1"/>
      <w:numFmt w:val="lowerLetter"/>
      <w:start w:val="1"/>
    </w:lvl>
    <w:lvl w:ilvl="1">
      <w:lvlJc w:val="left"/>
      <w:lvlText w:val="(%2)"/>
      <w:numFmt w:val="lowerLetter"/>
      <w:start w:val="35"/>
    </w:lvl>
  </w:abstractNum>
  <w:abstractNum w:abstractNumId="180">
    <w:nsid w:val="4695AE95"/>
    <w:multiLevelType w:val="hybridMultilevel"/>
    <w:lvl w:ilvl="0">
      <w:lvlJc w:val="left"/>
      <w:lvlText w:val="(%1)"/>
      <w:numFmt w:val="lowerLetter"/>
      <w:start w:val="2"/>
    </w:lvl>
    <w:lvl w:ilvl="1">
      <w:lvlJc w:val="left"/>
      <w:lvlText w:val="%2"/>
      <w:numFmt w:val="lowerLetter"/>
      <w:start w:val="1"/>
    </w:lvl>
  </w:abstractNum>
  <w:abstractNum w:abstractNumId="181">
    <w:nsid w:val="777A4EAA"/>
    <w:multiLevelType w:val="hybridMultilevel"/>
    <w:lvl w:ilvl="0">
      <w:lvlJc w:val="left"/>
      <w:lvlText w:val="(%1)"/>
      <w:numFmt w:val="lowerLetter"/>
      <w:start w:val="5"/>
    </w:lvl>
  </w:abstractNum>
  <w:abstractNum w:abstractNumId="182">
    <w:nsid w:val="3F48B982"/>
    <w:multiLevelType w:val="hybridMultilevel"/>
    <w:lvl w:ilvl="0">
      <w:lvlJc w:val="left"/>
      <w:lvlText w:val="(%1)"/>
      <w:numFmt w:val="lowerLetter"/>
      <w:start w:val="1"/>
    </w:lvl>
  </w:abstractNum>
  <w:abstractNum w:abstractNumId="183">
    <w:nsid w:val="46BA8FCA"/>
    <w:multiLevelType w:val="hybridMultilevel"/>
    <w:lvl w:ilvl="0">
      <w:lvlJc w:val="left"/>
      <w:lvlText w:val="."/>
      <w:numFmt w:val="bullet"/>
      <w:start w:val="1"/>
    </w:lvl>
  </w:abstractNum>
  <w:abstractNum w:abstractNumId="184">
    <w:nsid w:val="7835626C"/>
    <w:multiLevelType w:val="hybridMultilevel"/>
    <w:lvl w:ilvl="0">
      <w:lvlJc w:val="left"/>
      <w:lvlText w:val="(%1)"/>
      <w:numFmt w:val="lowerLetter"/>
      <w:start w:val="1"/>
    </w:lvl>
  </w:abstractNum>
  <w:abstractNum w:abstractNumId="185">
    <w:nsid w:val="665ACA49"/>
    <w:multiLevelType w:val="hybridMultilevel"/>
    <w:lvl w:ilvl="0">
      <w:lvlJc w:val="left"/>
      <w:lvlText w:val="(%1)"/>
      <w:numFmt w:val="lowerLetter"/>
      <w:start w:val="6"/>
    </w:lvl>
  </w:abstractNum>
  <w:abstractNum w:abstractNumId="186">
    <w:nsid w:val="6835B2AE"/>
    <w:multiLevelType w:val="hybridMultilevel"/>
    <w:lvl w:ilvl="0">
      <w:lvlJc w:val="left"/>
      <w:lvlText w:val="(%1)"/>
      <w:numFmt w:val="lowerLetter"/>
      <w:start w:val="5"/>
    </w:lvl>
  </w:abstractNum>
  <w:abstractNum w:abstractNumId="187">
    <w:nsid w:val="4C187C90"/>
    <w:multiLevelType w:val="hybridMultilevel"/>
    <w:lvl w:ilvl="0">
      <w:lvlJc w:val="left"/>
      <w:lvlText w:val="(%1)"/>
      <w:numFmt w:val="lowerLetter"/>
      <w:start w:val="7"/>
    </w:lvl>
  </w:abstractNum>
  <w:abstractNum w:abstractNumId="188">
    <w:nsid w:val="541F28CD"/>
    <w:multiLevelType w:val="hybridMultilevel"/>
    <w:lvl w:ilvl="0">
      <w:lvlJc w:val="left"/>
      <w:lvlText w:val="%1"/>
      <w:numFmt w:val="decimal"/>
      <w:start w:val="1"/>
    </w:lvl>
    <w:lvl w:ilvl="1">
      <w:lvlJc w:val="left"/>
      <w:lvlText w:val="(%2)"/>
      <w:numFmt w:val="lowerLetter"/>
      <w:start w:val="1"/>
    </w:lvl>
  </w:abstractNum>
  <w:abstractNum w:abstractNumId="189">
    <w:nsid w:val="7F65FD16"/>
    <w:multiLevelType w:val="hybridMultilevel"/>
    <w:lvl w:ilvl="0">
      <w:lvlJc w:val="left"/>
      <w:lvlText w:val="(%1)"/>
      <w:numFmt w:val="decimal"/>
      <w:start w:val="1"/>
    </w:lvl>
    <w:lvl w:ilvl="1">
      <w:lvlJc w:val="left"/>
      <w:lvlText w:val="(%2)"/>
      <w:numFmt w:val="lowerLetter"/>
      <w:start w:val="1"/>
    </w:lvl>
  </w:abstractNum>
  <w:abstractNum w:abstractNumId="190">
    <w:nsid w:val="77C9FD68"/>
    <w:multiLevelType w:val="hybridMultilevel"/>
    <w:lvl w:ilvl="0">
      <w:lvlJc w:val="left"/>
      <w:lvlText w:val="(%1)"/>
      <w:numFmt w:val="lowerLetter"/>
      <w:start w:val="1"/>
    </w:lvl>
  </w:abstractNum>
  <w:abstractNum w:abstractNumId="191">
    <w:nsid w:val="298A92BA"/>
    <w:multiLevelType w:val="hybridMultilevel"/>
    <w:lvl w:ilvl="0">
      <w:lvlJc w:val="left"/>
      <w:lvlText w:val="(%1)"/>
      <w:numFmt w:val="lowerLetter"/>
      <w:start w:val="2"/>
    </w:lvl>
  </w:abstractNum>
  <w:abstractNum w:abstractNumId="192">
    <w:nsid w:val="6FE95EAC"/>
    <w:multiLevelType w:val="hybridMultilevel"/>
    <w:lvl w:ilvl="0">
      <w:lvlJc w:val="left"/>
      <w:lvlText w:val="(%1)"/>
      <w:numFmt w:val="lowerLetter"/>
      <w:start w:val="2"/>
    </w:lvl>
  </w:abstractNum>
  <w:abstractNum w:abstractNumId="193">
    <w:nsid w:val="4B697C7A"/>
    <w:multiLevelType w:val="hybridMultilevel"/>
    <w:lvl w:ilvl="0">
      <w:lvlJc w:val="left"/>
      <w:lvlText w:val="(%1)"/>
      <w:numFmt w:val="lowerLetter"/>
      <w:start w:val="2"/>
    </w:lvl>
  </w:abstractNum>
  <w:abstractNum w:abstractNumId="194">
    <w:nsid w:val="51A27AA6"/>
    <w:multiLevelType w:val="hybridMultilevel"/>
    <w:lvl w:ilvl="0">
      <w:lvlJc w:val="left"/>
      <w:lvlText w:val="(%1)"/>
      <w:numFmt w:val="lowerLetter"/>
      <w:start w:val="2"/>
    </w:lvl>
    <w:lvl w:ilvl="1">
      <w:lvlJc w:val="left"/>
      <w:lvlText w:val="(%2)"/>
      <w:numFmt w:val="lowerRoman"/>
      <w:start w:val="1"/>
    </w:lvl>
  </w:abstractNum>
  <w:abstractNum w:abstractNumId="195">
    <w:nsid w:val="613183F2"/>
    <w:multiLevelType w:val="hybridMultilevel"/>
    <w:lvl w:ilvl="0">
      <w:lvlJc w:val="left"/>
      <w:lvlText w:val="(%1)"/>
      <w:numFmt w:val="lowerRoman"/>
      <w:start w:val="3"/>
    </w:lvl>
  </w:abstractNum>
  <w:abstractNum w:abstractNumId="196">
    <w:nsid w:val="634102B4"/>
    <w:multiLevelType w:val="hybridMultilevel"/>
    <w:lvl w:ilvl="0">
      <w:lvlJc w:val="left"/>
      <w:lvlText w:val="(%1)"/>
      <w:numFmt w:val="lowerLetter"/>
      <w:start w:val="2"/>
    </w:lvl>
  </w:abstractNum>
  <w:abstractNum w:abstractNumId="197">
    <w:nsid w:val="65BF9DA8"/>
    <w:multiLevelType w:val="hybridMultilevel"/>
    <w:lvl w:ilvl="0">
      <w:lvlJc w:val="left"/>
      <w:lvlText w:val="(%1)"/>
      <w:numFmt w:val="lowerLetter"/>
      <w:start w:val="2"/>
    </w:lvl>
  </w:abstractNum>
  <w:abstractNum w:abstractNumId="198">
    <w:nsid w:val="21A2ECCA"/>
    <w:multiLevelType w:val="hybridMultilevel"/>
    <w:lvl w:ilvl="0">
      <w:lvlJc w:val="left"/>
      <w:lvlText w:val="(%1)"/>
      <w:numFmt w:val="lowerLetter"/>
      <w:start w:val="1"/>
    </w:lvl>
  </w:abstractNum>
  <w:abstractNum w:abstractNumId="199">
    <w:nsid w:val="4D5C4899"/>
    <w:multiLevelType w:val="hybridMultilevel"/>
    <w:lvl w:ilvl="0">
      <w:lvlJc w:val="left"/>
      <w:lvlText w:val="(%1)"/>
      <w:numFmt w:val="lowerLetter"/>
      <w:start w:val="4"/>
    </w:lvl>
  </w:abstractNum>
  <w:abstractNum w:abstractNumId="200">
    <w:nsid w:val="3C3B72B2"/>
    <w:multiLevelType w:val="hybridMultilevel"/>
    <w:lvl w:ilvl="0">
      <w:lvlJc w:val="left"/>
      <w:lvlText w:val="(%1)"/>
      <w:numFmt w:val="lowerLetter"/>
      <w:start w:val="5"/>
    </w:lvl>
  </w:abstractNum>
  <w:abstractNum w:abstractNumId="201">
    <w:nsid w:val="155EC4C2"/>
    <w:multiLevelType w:val="hybridMultilevel"/>
    <w:lvl w:ilvl="0">
      <w:lvlJc w:val="left"/>
      <w:lvlText w:val="(%1)"/>
      <w:numFmt w:val="lowerLetter"/>
      <w:start w:val="1"/>
    </w:lvl>
    <w:lvl w:ilvl="1">
      <w:lvlJc w:val="left"/>
      <w:lvlText w:val="(%2)"/>
      <w:numFmt w:val="lowerRoman"/>
      <w:start w:val="1"/>
    </w:lvl>
  </w:abstractNum>
  <w:abstractNum w:abstractNumId="202">
    <w:nsid w:val="65D2A137"/>
    <w:multiLevelType w:val="hybridMultilevel"/>
    <w:lvl w:ilvl="0">
      <w:lvlJc w:val="left"/>
      <w:lvlText w:val="%1"/>
      <w:numFmt w:val="decimal"/>
      <w:start w:val="1"/>
    </w:lvl>
    <w:lvl w:ilvl="1">
      <w:lvlJc w:val="left"/>
      <w:lvlText w:val="(%2)"/>
      <w:numFmt w:val="lowerRoman"/>
      <w:start w:val="6"/>
    </w:lvl>
  </w:abstractNum>
  <w:abstractNum w:abstractNumId="203">
    <w:nsid w:val="6EBB1F2A"/>
    <w:multiLevelType w:val="hybridMultilevel"/>
    <w:lvl w:ilvl="0">
      <w:lvlJc w:val="left"/>
      <w:lvlText w:val="(%1)"/>
      <w:numFmt w:val="decimal"/>
      <w:start w:val="1"/>
    </w:lvl>
    <w:lvl w:ilvl="1">
      <w:lvlJc w:val="left"/>
      <w:lvlText w:val="(%2)"/>
      <w:numFmt w:val="lowerRoman"/>
      <w:start w:val="7"/>
    </w:lvl>
  </w:abstractNum>
  <w:abstractNum w:abstractNumId="204">
    <w:nsid w:val="6FBF29CB"/>
    <w:multiLevelType w:val="hybridMultilevel"/>
    <w:lvl w:ilvl="0">
      <w:lvlJc w:val="left"/>
      <w:lvlText w:val="(%1)"/>
      <w:numFmt w:val="lowerRoman"/>
      <w:start w:val="9"/>
    </w:lvl>
  </w:abstractNum>
  <w:abstractNum w:abstractNumId="205">
    <w:nsid w:val="550B8808"/>
    <w:multiLevelType w:val="hybridMultilevel"/>
    <w:lvl w:ilvl="0">
      <w:lvlJc w:val="left"/>
      <w:lvlText w:val="%1"/>
      <w:numFmt w:val="lowerLetter"/>
      <w:start w:val="1"/>
    </w:lvl>
    <w:lvl w:ilvl="1">
      <w:lvlJc w:val="left"/>
      <w:lvlText w:val="(%2)"/>
      <w:numFmt w:val="lowerRoman"/>
      <w:start w:val="14"/>
    </w:lvl>
  </w:abstractNum>
  <w:abstractNum w:abstractNumId="206">
    <w:nsid w:val="34CC3ACF"/>
    <w:multiLevelType w:val="hybridMultilevel"/>
    <w:lvl w:ilvl="0">
      <w:lvlJc w:val="left"/>
      <w:lvlText w:val="(%1)"/>
      <w:numFmt w:val="lowerLetter"/>
      <w:start w:val="2"/>
    </w:lvl>
    <w:lvl w:ilvl="1">
      <w:lvlJc w:val="left"/>
      <w:lvlText w:val="%2"/>
      <w:numFmt w:val="lowerRoman"/>
      <w:start w:val="1"/>
    </w:lvl>
  </w:abstractNum>
  <w:abstractNum w:abstractNumId="207">
    <w:nsid w:val="4E556261"/>
    <w:multiLevelType w:val="hybridMultilevel"/>
    <w:lvl w:ilvl="0">
      <w:lvlJc w:val="left"/>
      <w:lvlText w:val="(%1)"/>
      <w:numFmt w:val="lowerLetter"/>
      <w:start w:val="2"/>
    </w:lvl>
  </w:abstractNum>
  <w:abstractNum w:abstractNumId="208">
    <w:nsid w:val="4C672FC9"/>
    <w:multiLevelType w:val="hybridMultilevel"/>
    <w:lvl w:ilvl="0">
      <w:lvlJc w:val="left"/>
      <w:lvlText w:val="(%1)"/>
      <w:numFmt w:val="lowerLetter"/>
      <w:start w:val="2"/>
    </w:lvl>
  </w:abstractNum>
  <w:abstractNum w:abstractNumId="209">
    <w:nsid w:val="52A311C3"/>
    <w:multiLevelType w:val="hybridMultilevel"/>
    <w:lvl w:ilvl="0">
      <w:lvlJc w:val="left"/>
      <w:lvlText w:val="(%1)"/>
      <w:numFmt w:val="lowerLetter"/>
      <w:start w:val="3"/>
    </w:lvl>
  </w:abstractNum>
  <w:abstractNum w:abstractNumId="210">
    <w:nsid w:val="44EF6B80"/>
    <w:multiLevelType w:val="hybridMultilevel"/>
    <w:lvl w:ilvl="0">
      <w:lvlJc w:val="left"/>
      <w:lvlText w:val="(%1)"/>
      <w:numFmt w:val="lowerLetter"/>
      <w:start w:val="1"/>
    </w:lvl>
  </w:abstractNum>
  <w:abstractNum w:abstractNumId="211">
    <w:nsid w:val="12FCDE5E"/>
    <w:multiLevelType w:val="hybridMultilevel"/>
    <w:lvl w:ilvl="0">
      <w:lvlJc w:val="left"/>
      <w:lvlText w:val="(%1)"/>
      <w:numFmt w:val="lowerLetter"/>
      <w:start w:val="5"/>
    </w:lvl>
  </w:abstractNum>
  <w:abstractNum w:abstractNumId="212">
    <w:nsid w:val="4A1D606E"/>
    <w:multiLevelType w:val="hybridMultilevel"/>
    <w:lvl w:ilvl="0">
      <w:lvlJc w:val="left"/>
      <w:lvlText w:val="(%1)"/>
      <w:numFmt w:val="lowerLetter"/>
      <w:start w:val="1"/>
    </w:lvl>
  </w:abstractNum>
  <w:abstractNum w:abstractNumId="213">
    <w:nsid w:val="4382503"/>
    <w:multiLevelType w:val="hybridMultilevel"/>
    <w:lvl w:ilvl="0">
      <w:lvlJc w:val="left"/>
      <w:lvlText w:val="(%1)"/>
      <w:numFmt w:val="lowerLetter"/>
      <w:start w:val="1"/>
    </w:lvl>
  </w:abstractNum>
  <w:abstractNum w:abstractNumId="214">
    <w:nsid w:val="59B76E28"/>
    <w:multiLevelType w:val="hybridMultilevel"/>
    <w:lvl w:ilvl="0">
      <w:lvlJc w:val="left"/>
      <w:lvlText w:val="%1"/>
      <w:numFmt w:val="lowerLetter"/>
      <w:start w:val="1"/>
    </w:lvl>
    <w:lvl w:ilvl="1">
      <w:lvlJc w:val="left"/>
      <w:lvlText w:val="(%2)"/>
      <w:numFmt w:val="lowerLetter"/>
      <w:start w:val="4"/>
    </w:lvl>
  </w:abstractNum>
  <w:abstractNum w:abstractNumId="215">
    <w:nsid w:val="4252C2DA"/>
    <w:multiLevelType w:val="hybridMultilevel"/>
    <w:lvl w:ilvl="0">
      <w:lvlJc w:val="left"/>
      <w:lvlText w:val="(%1)"/>
      <w:numFmt w:val="lowerLetter"/>
      <w:start w:val="35"/>
    </w:lvl>
    <w:lvl w:ilvl="1">
      <w:lvlJc w:val="left"/>
      <w:lvlText w:val="(%2)"/>
      <w:numFmt w:val="lowerLetter"/>
      <w:start w:val="6"/>
    </w:lvl>
  </w:abstractNum>
  <w:abstractNum w:abstractNumId="216">
    <w:nsid w:val="6A92EF4C"/>
    <w:multiLevelType w:val="hybridMultilevel"/>
    <w:lvl w:ilvl="0">
      <w:lvlJc w:val="left"/>
      <w:lvlText w:val="(%1)"/>
      <w:numFmt w:val="lowerLetter"/>
      <w:start w:val="7"/>
    </w:lvl>
  </w:abstractNum>
  <w:abstractNum w:abstractNumId="217">
    <w:nsid w:val="41ED20D7"/>
    <w:multiLevelType w:val="hybridMultilevel"/>
    <w:lvl w:ilvl="0">
      <w:lvlJc w:val="left"/>
      <w:lvlText w:val="(%1)"/>
      <w:numFmt w:val="lowerLetter"/>
      <w:start w:val="1"/>
    </w:lvl>
  </w:abstractNum>
  <w:abstractNum w:abstractNumId="218">
    <w:nsid w:val="E6B3F6A"/>
    <w:multiLevelType w:val="hybridMultilevel"/>
    <w:lvl w:ilvl="0">
      <w:lvlJc w:val="left"/>
      <w:lvlText w:val="(%1)"/>
      <w:numFmt w:val="lowerLetter"/>
      <w:start w:val="4"/>
    </w:lvl>
  </w:abstractNum>
  <w:abstractNum w:abstractNumId="219">
    <w:nsid w:val="3EB21819"/>
    <w:multiLevelType w:val="hybridMultilevel"/>
    <w:lvl w:ilvl="0">
      <w:lvlJc w:val="left"/>
      <w:lvlText w:val="(%1)"/>
      <w:numFmt w:val="lowerLetter"/>
      <w:start w:val="1"/>
    </w:lvl>
  </w:abstractNum>
  <w:abstractNum w:abstractNumId="220">
    <w:nsid w:val="41531DED"/>
    <w:multiLevelType w:val="hybridMultilevel"/>
    <w:lvl w:ilvl="0">
      <w:lvlJc w:val="left"/>
      <w:lvlText w:val="(%1)"/>
      <w:numFmt w:val="lowerLetter"/>
      <w:start w:val="7"/>
    </w:lvl>
  </w:abstractNum>
  <w:abstractNum w:abstractNumId="221">
    <w:nsid w:val="6353CD2"/>
    <w:multiLevelType w:val="hybridMultilevel"/>
    <w:lvl w:ilvl="0">
      <w:lvlJc w:val="left"/>
      <w:lvlText w:val="(%1)"/>
      <w:numFmt w:val="lowerLetter"/>
      <w:start w:val="14"/>
    </w:lvl>
  </w:abstractNum>
  <w:abstractNum w:abstractNumId="222">
    <w:nsid w:val="683CAAD3"/>
    <w:multiLevelType w:val="hybridMultilevel"/>
    <w:lvl w:ilvl="0">
      <w:lvlJc w:val="left"/>
      <w:lvlText w:val="(%1)"/>
      <w:numFmt w:val="lowerLetter"/>
      <w:start w:val="1"/>
    </w:lvl>
  </w:abstractNum>
  <w:abstractNum w:abstractNumId="223">
    <w:nsid w:val="313C7C99"/>
    <w:multiLevelType w:val="hybridMultilevel"/>
    <w:lvl w:ilvl="0">
      <w:lvlJc w:val="left"/>
      <w:lvlText w:val="(%1)"/>
      <w:numFmt w:val="lowerLetter"/>
      <w:start w:val="5"/>
    </w:lvl>
    <w:lvl w:ilvl="1">
      <w:lvlJc w:val="left"/>
      <w:lvlText w:val="(%2)"/>
      <w:numFmt w:val="lowerRoman"/>
      <w:start w:val="1"/>
    </w:lvl>
  </w:abstractNum>
  <w:abstractNum w:abstractNumId="224">
    <w:nsid w:val="519EB94C"/>
    <w:multiLevelType w:val="hybridMultilevel"/>
    <w:lvl w:ilvl="0">
      <w:lvlJc w:val="left"/>
      <w:lvlText w:val="(%1)"/>
      <w:numFmt w:val="lowerRoman"/>
      <w:start w:val="3"/>
    </w:lvl>
  </w:abstractNum>
  <w:abstractNum w:abstractNumId="225">
    <w:nsid w:val="39DF2579"/>
    <w:multiLevelType w:val="hybridMultilevel"/>
    <w:lvl w:ilvl="0">
      <w:lvlJc w:val="left"/>
      <w:lvlText w:val="(%1)"/>
      <w:numFmt w:val="lowerLetter"/>
      <w:start w:val="10"/>
    </w:lvl>
    <w:lvl w:ilvl="1">
      <w:lvlJc w:val="left"/>
      <w:lvlText w:val="(%2)"/>
      <w:numFmt w:val="lowerRoman"/>
      <w:start w:val="1"/>
    </w:lvl>
  </w:abstractNum>
  <w:abstractNum w:abstractNumId="226">
    <w:nsid w:val="126E008B"/>
    <w:multiLevelType w:val="hybridMultilevel"/>
    <w:lvl w:ilvl="0">
      <w:lvlJc w:val="left"/>
      <w:lvlText w:val="(%1)"/>
      <w:numFmt w:val="lowerRoman"/>
      <w:start w:val="4"/>
    </w:lvl>
  </w:abstractNum>
  <w:abstractNum w:abstractNumId="227">
    <w:nsid w:val="34DFBC00"/>
    <w:multiLevelType w:val="hybridMultilevel"/>
    <w:lvl w:ilvl="0">
      <w:lvlJc w:val="left"/>
      <w:lvlText w:val="(%1)"/>
      <w:numFmt w:val="lowerLetter"/>
      <w:start w:val="1"/>
    </w:lvl>
  </w:abstractNum>
  <w:abstractNum w:abstractNumId="228">
    <w:nsid w:val="1F9EC322"/>
    <w:multiLevelType w:val="hybridMultilevel"/>
    <w:lvl w:ilvl="0">
      <w:lvlJc w:val="left"/>
      <w:lvlText w:val="(%1)"/>
      <w:numFmt w:val="lowerLetter"/>
      <w:start w:val="2"/>
    </w:lvl>
  </w:abstractNum>
  <w:abstractNum w:abstractNumId="229">
    <w:nsid w:val="3410ED56"/>
    <w:multiLevelType w:val="hybridMultilevel"/>
    <w:lvl w:ilvl="0">
      <w:lvlJc w:val="left"/>
      <w:lvlText w:val="(%1)"/>
      <w:numFmt w:val="lowerLetter"/>
      <w:start w:val="2"/>
    </w:lvl>
  </w:abstractNum>
  <w:abstractNum w:abstractNumId="230">
    <w:nsid w:val="23C049A"/>
    <w:multiLevelType w:val="hybridMultilevel"/>
    <w:lvl w:ilvl="0">
      <w:lvlJc w:val="left"/>
      <w:lvlText w:val="(%1)"/>
      <w:numFmt w:val="lowerLetter"/>
      <w:start w:val="2"/>
    </w:lvl>
  </w:abstractNum>
  <w:abstractNum w:abstractNumId="231">
    <w:nsid w:val="5BDA35D4"/>
    <w:multiLevelType w:val="hybridMultilevel"/>
    <w:lvl w:ilvl="0">
      <w:lvlJc w:val="left"/>
      <w:lvlText w:val="(%1)"/>
      <w:numFmt w:val="lowerLetter"/>
      <w:start w:val="1"/>
    </w:lvl>
  </w:abstractNum>
  <w:abstractNum w:abstractNumId="232">
    <w:nsid w:val="496FB218"/>
    <w:multiLevelType w:val="hybridMultilevel"/>
    <w:lvl w:ilvl="0">
      <w:lvlJc w:val="left"/>
      <w:lvlText w:val="(%1)"/>
      <w:numFmt w:val="lowerLetter"/>
      <w:start w:val="2"/>
    </w:lvl>
  </w:abstractNum>
  <w:abstractNum w:abstractNumId="233">
    <w:nsid w:val="680EA5D1"/>
    <w:multiLevelType w:val="hybridMultilevel"/>
    <w:lvl w:ilvl="0">
      <w:lvlJc w:val="left"/>
      <w:lvlText w:val="(%1)"/>
      <w:numFmt w:val="lowerLetter"/>
      <w:start w:val="2"/>
    </w:lvl>
  </w:abstractNum>
  <w:abstractNum w:abstractNumId="234">
    <w:nsid w:val="4A9554FE"/>
    <w:multiLevelType w:val="hybridMultilevel"/>
    <w:lvl w:ilvl="0">
      <w:lvlJc w:val="left"/>
      <w:lvlText w:val="(%1)"/>
      <w:numFmt w:val="lowerLetter"/>
      <w:start w:val="1"/>
    </w:lvl>
  </w:abstractNum>
  <w:abstractNum w:abstractNumId="235">
    <w:nsid w:val="392EDBE4"/>
    <w:multiLevelType w:val="hybridMultilevel"/>
    <w:lvl w:ilvl="0">
      <w:lvlJc w:val="left"/>
      <w:lvlText w:val="(%1)"/>
      <w:numFmt w:val="lowerLetter"/>
      <w:start w:val="8"/>
    </w:lvl>
  </w:abstractNum>
  <w:abstractNum w:abstractNumId="236">
    <w:nsid w:val="3D1A2DD9"/>
    <w:multiLevelType w:val="hybridMultilevel"/>
    <w:lvl w:ilvl="0">
      <w:lvlJc w:val="left"/>
      <w:lvlText w:val="(%1)"/>
      <w:numFmt w:val="lowerLetter"/>
      <w:start w:val="13"/>
    </w:lvl>
  </w:abstractNum>
  <w:abstractNum w:abstractNumId="237">
    <w:nsid w:val="7F618FCD"/>
    <w:multiLevelType w:val="hybridMultilevel"/>
    <w:lvl w:ilvl="0">
      <w:lvlJc w:val="left"/>
      <w:lvlText w:val="(%1)"/>
      <w:numFmt w:val="lowerLetter"/>
      <w:start w:val="1"/>
    </w:lvl>
  </w:abstractNum>
  <w:abstractNum w:abstractNumId="238">
    <w:nsid w:val="7843E45"/>
    <w:multiLevelType w:val="hybridMultilevel"/>
    <w:lvl w:ilvl="0">
      <w:lvlJc w:val="left"/>
      <w:lvlText w:val="(%1)"/>
      <w:numFmt w:val="lowerLetter"/>
      <w:start w:val="1"/>
    </w:lvl>
  </w:abstractNum>
  <w:abstractNum w:abstractNumId="239">
    <w:nsid w:val="9815DA3"/>
    <w:multiLevelType w:val="hybridMultilevel"/>
    <w:lvl w:ilvl="0">
      <w:lvlJc w:val="left"/>
      <w:lvlText w:val="(%1)"/>
      <w:numFmt w:val="lowerLetter"/>
      <w:start w:val="2"/>
    </w:lvl>
  </w:abstractNum>
  <w:abstractNum w:abstractNumId="240">
    <w:nsid w:val="5204A191"/>
    <w:multiLevelType w:val="hybridMultilevel"/>
    <w:lvl w:ilvl="0">
      <w:lvlJc w:val="left"/>
      <w:lvlText w:val="(%1)"/>
      <w:numFmt w:val="lowerLetter"/>
      <w:start w:val="1"/>
    </w:lvl>
  </w:abstractNum>
  <w:abstractNum w:abstractNumId="241">
    <w:nsid w:val="4C73A9C6"/>
    <w:multiLevelType w:val="hybridMultilevel"/>
    <w:lvl w:ilvl="0">
      <w:lvlJc w:val="left"/>
      <w:lvlText w:val="%1"/>
      <w:numFmt w:val="lowerLetter"/>
      <w:start w:val="1"/>
    </w:lvl>
    <w:lvl w:ilvl="1">
      <w:lvlJc w:val="left"/>
      <w:lvlText w:val="(%2)"/>
      <w:numFmt w:val="lowerLetter"/>
      <w:start w:val="6"/>
    </w:lvl>
  </w:abstractNum>
  <w:abstractNum w:abstractNumId="242">
    <w:nsid w:val="1C7E3C01"/>
    <w:multiLevelType w:val="hybridMultilevel"/>
    <w:lvl w:ilvl="0">
      <w:lvlJc w:val="left"/>
      <w:lvlText w:val="(%1)"/>
      <w:numFmt w:val="lowerLetter"/>
      <w:start w:val="61"/>
    </w:lvl>
    <w:lvl w:ilvl="1">
      <w:lvlJc w:val="left"/>
      <w:lvlText w:val="%2"/>
      <w:numFmt w:val="lowerLetter"/>
      <w:start w:val="1"/>
    </w:lvl>
  </w:abstractNum>
  <w:abstractNum w:abstractNumId="243">
    <w:nsid w:val="1C2201FF"/>
    <w:multiLevelType w:val="hybridMultilevel"/>
    <w:lvl w:ilvl="0">
      <w:lvlJc w:val="left"/>
      <w:lvlText w:val="(%1)"/>
      <w:numFmt w:val="lowerLetter"/>
      <w:start w:val="1"/>
    </w:lvl>
  </w:abstractNum>
  <w:abstractNum w:abstractNumId="244">
    <w:nsid w:val="50ABCEC9"/>
    <w:multiLevelType w:val="hybridMultilevel"/>
    <w:lvl w:ilvl="0">
      <w:lvlJc w:val="left"/>
      <w:lvlText w:val="(%1)"/>
      <w:numFmt w:val="lowerLetter"/>
      <w:start w:val="2"/>
    </w:lvl>
  </w:abstractNum>
  <w:abstractNum w:abstractNumId="245">
    <w:nsid w:val="7635AA2A"/>
    <w:multiLevelType w:val="hybridMultilevel"/>
    <w:lvl w:ilvl="0">
      <w:lvlJc w:val="left"/>
      <w:lvlText w:val="%1"/>
      <w:numFmt w:val="decimal"/>
      <w:start w:val="1"/>
    </w:lvl>
    <w:lvl w:ilvl="1">
      <w:lvlJc w:val="left"/>
      <w:lvlText w:val="(%2)"/>
      <w:numFmt w:val="lowerLetter"/>
      <w:start w:val="1"/>
    </w:lvl>
  </w:abstractNum>
  <w:abstractNum w:abstractNumId="246">
    <w:nsid w:val="5E74C4D9"/>
    <w:multiLevelType w:val="hybridMultilevel"/>
    <w:lvl w:ilvl="0">
      <w:lvlJc w:val="left"/>
      <w:lvlText w:val="(%1)"/>
      <w:numFmt w:val="decimal"/>
      <w:start w:val="45"/>
    </w:lvl>
    <w:lvl w:ilvl="1">
      <w:lvlJc w:val="left"/>
      <w:lvlText w:val="%2"/>
      <w:numFmt w:val="lowerLetter"/>
      <w:start w:val="1"/>
    </w:lvl>
  </w:abstractNum>
  <w:abstractNum w:abstractNumId="247">
    <w:nsid w:val="3B3EBE15"/>
    <w:multiLevelType w:val="hybridMultilevel"/>
    <w:lvl w:ilvl="0">
      <w:lvlJc w:val="left"/>
      <w:lvlText w:val="(%1)"/>
      <w:numFmt w:val="lowerLetter"/>
      <w:start w:val="2"/>
    </w:lvl>
  </w:abstractNum>
  <w:abstractNum w:abstractNumId="248">
    <w:nsid w:val="3822CB01"/>
    <w:multiLevelType w:val="hybridMultilevel"/>
    <w:lvl w:ilvl="0">
      <w:lvlJc w:val="left"/>
      <w:lvlText w:val="(%1)"/>
      <w:numFmt w:val="lowerLetter"/>
      <w:start w:val="3"/>
    </w:lvl>
  </w:abstractNum>
  <w:abstractNum w:abstractNumId="249">
    <w:nsid w:val="6CE00443"/>
    <w:multiLevelType w:val="hybridMultilevel"/>
    <w:lvl w:ilvl="0">
      <w:lvlJc w:val="left"/>
      <w:lvlText w:val="(%1)"/>
      <w:numFmt w:val="lowerLetter"/>
      <w:start w:val="1"/>
    </w:lvl>
  </w:abstractNum>
  <w:abstractNum w:abstractNumId="250">
    <w:nsid w:val="79F0D62F"/>
    <w:multiLevelType w:val="hybridMultilevel"/>
    <w:lvl w:ilvl="0">
      <w:lvlJc w:val="left"/>
      <w:lvlText w:val="(%1)"/>
      <w:numFmt w:val="lowerLetter"/>
      <w:start w:val="2"/>
    </w:lvl>
  </w:abstractNum>
  <w:abstractNum w:abstractNumId="251">
    <w:nsid w:val="7975E8EE"/>
    <w:multiLevelType w:val="hybridMultilevel"/>
    <w:lvl w:ilvl="0">
      <w:lvlJc w:val="left"/>
      <w:lvlText w:val="(%1)"/>
      <w:numFmt w:val="lowerLetter"/>
      <w:start w:val="1"/>
    </w:lvl>
  </w:abstractNum>
  <w:abstractNum w:abstractNumId="252">
    <w:nsid w:val="73154115"/>
    <w:multiLevelType w:val="hybridMultilevel"/>
    <w:lvl w:ilvl="0">
      <w:lvlJc w:val="left"/>
      <w:lvlText w:val="(%1)"/>
      <w:numFmt w:val="lowerLetter"/>
      <w:start w:val="2"/>
    </w:lvl>
    <w:lvl w:ilvl="1">
      <w:lvlJc w:val="left"/>
      <w:lvlText w:val="(%2)"/>
      <w:numFmt w:val="lowerRoman"/>
      <w:start w:val="1"/>
    </w:lvl>
  </w:abstractNum>
  <w:abstractNum w:abstractNumId="253">
    <w:nsid w:val="622D8102"/>
    <w:multiLevelType w:val="hybridMultilevel"/>
    <w:lvl w:ilvl="0">
      <w:lvlJc w:val="left"/>
      <w:lvlText w:val="(%1)"/>
      <w:numFmt w:val="lowerLetter"/>
      <w:start w:val="5"/>
    </w:lvl>
  </w:abstractNum>
  <w:abstractNum w:abstractNumId="254">
    <w:nsid w:val="2AB26587"/>
    <w:multiLevelType w:val="hybridMultilevel"/>
    <w:lvl w:ilvl="0">
      <w:lvlJc w:val="left"/>
      <w:lvlText w:val="(%1)"/>
      <w:numFmt w:val="lowerLetter"/>
      <w:start w:val="1"/>
    </w:lvl>
  </w:abstractNum>
  <w:abstractNum w:abstractNumId="255">
    <w:nsid w:val="44B3FA61"/>
    <w:multiLevelType w:val="hybridMultilevel"/>
    <w:lvl w:ilvl="0">
      <w:lvlJc w:val="left"/>
      <w:lvlText w:val="(%1)"/>
      <w:numFmt w:val="lowerLetter"/>
      <w:start w:val="1"/>
    </w:lvl>
  </w:abstractNum>
  <w:abstractNum w:abstractNumId="256">
    <w:nsid w:val="1C0CA67C"/>
    <w:multiLevelType w:val="hybridMultilevel"/>
    <w:lvl w:ilvl="0">
      <w:lvlJc w:val="left"/>
      <w:lvlText w:val="%1"/>
      <w:numFmt w:val="lowerLetter"/>
      <w:start w:val="1"/>
    </w:lvl>
    <w:lvl w:ilvl="1">
      <w:lvlJc w:val="left"/>
      <w:lvlText w:val="(%2)"/>
      <w:numFmt w:val="lowerRoman"/>
      <w:start w:val="1"/>
    </w:lvl>
  </w:abstractNum>
  <w:abstractNum w:abstractNumId="257">
    <w:nsid w:val="3D206613"/>
    <w:multiLevelType w:val="hybridMultilevel"/>
    <w:lvl w:ilvl="0">
      <w:lvlJc w:val="left"/>
      <w:lvlText w:val="(%1)"/>
      <w:numFmt w:val="lowerLetter"/>
      <w:start w:val="2"/>
    </w:lvl>
    <w:lvl w:ilvl="1">
      <w:lvlJc w:val="left"/>
      <w:lvlText w:val="%2"/>
      <w:numFmt w:val="lowerRoman"/>
      <w:start w:val="1"/>
    </w:lvl>
  </w:abstractNum>
  <w:abstractNum w:abstractNumId="258">
    <w:nsid w:val="7993B662"/>
    <w:multiLevelType w:val="hybridMultilevel"/>
    <w:lvl w:ilvl="0">
      <w:lvlJc w:val="left"/>
      <w:lvlText w:val="%1"/>
      <w:numFmt w:val="lowerLetter"/>
      <w:start w:val="1"/>
    </w:lvl>
    <w:lvl w:ilvl="1">
      <w:lvlJc w:val="left"/>
      <w:lvlText w:val="(%2)"/>
      <w:numFmt w:val="lowerLetter"/>
      <w:start w:val="1"/>
    </w:lvl>
  </w:abstractNum>
  <w:abstractNum w:abstractNumId="259">
    <w:nsid w:val="3BAB699E"/>
    <w:multiLevelType w:val="hybridMultilevel"/>
    <w:lvl w:ilvl="0">
      <w:lvlJc w:val="left"/>
      <w:lvlText w:val="(%1)"/>
      <w:numFmt w:val="lowerLetter"/>
      <w:start w:val="9"/>
    </w:lvl>
    <w:lvl w:ilvl="1">
      <w:lvlJc w:val="left"/>
      <w:lvlText w:val="%2"/>
      <w:numFmt w:val="lowerLetter"/>
      <w:start w:val="1"/>
    </w:lvl>
  </w:abstractNum>
  <w:abstractNum w:abstractNumId="260">
    <w:nsid w:val="71315369"/>
    <w:multiLevelType w:val="hybridMultilevel"/>
    <w:lvl w:ilvl="0">
      <w:lvlJc w:val="left"/>
      <w:lvlText w:val="(%1)"/>
      <w:numFmt w:val="lowerLetter"/>
      <w:start w:val="2"/>
    </w:lvl>
  </w:abstractNum>
  <w:abstractNum w:abstractNumId="261">
    <w:nsid w:val="7BCFBAFC"/>
    <w:multiLevelType w:val="hybridMultilevel"/>
    <w:lvl w:ilvl="0">
      <w:lvlJc w:val="left"/>
      <w:lvlText w:val="(%1)"/>
      <w:numFmt w:val="lowerLetter"/>
      <w:start w:val="5"/>
    </w:lvl>
    <w:lvl w:ilvl="1">
      <w:lvlJc w:val="left"/>
      <w:lvlText w:val="(%2)"/>
      <w:numFmt w:val="lowerRoman"/>
      <w:start w:val="1"/>
    </w:lvl>
  </w:abstractNum>
  <w:abstractNum w:abstractNumId="262">
    <w:nsid w:val="17859F7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3">
    <w:nsid w:val="3AA10581"/>
    <w:multiLevelType w:val="hybridMultilevel"/>
    <w:lvl w:ilvl="0">
      <w:lvlJc w:val="left"/>
      <w:lvlText w:val="(%1)"/>
      <w:numFmt w:val="decimal"/>
      <w:start w:val="416"/>
    </w:lvl>
    <w:lvl w:ilvl="1">
      <w:lvlJc w:val="left"/>
      <w:lvlText w:val="%2"/>
      <w:numFmt w:val="lowerLetter"/>
      <w:start w:val="1"/>
    </w:lvl>
    <w:lvl w:ilvl="2">
      <w:lvlJc w:val="left"/>
      <w:lvlText w:val="(%3)"/>
      <w:numFmt w:val="lowerRoman"/>
      <w:start w:val="6"/>
    </w:lvl>
  </w:abstractNum>
  <w:abstractNum w:abstractNumId="264">
    <w:nsid w:val="63DE60CD"/>
    <w:multiLevelType w:val="hybridMultilevel"/>
    <w:lvl w:ilvl="0">
      <w:lvlJc w:val="left"/>
      <w:lvlText w:val="(%1)"/>
      <w:numFmt w:val="lowerLetter"/>
      <w:start w:val="2"/>
    </w:lvl>
  </w:abstractNum>
  <w:abstractNum w:abstractNumId="265">
    <w:nsid w:val="621AF471"/>
    <w:multiLevelType w:val="hybridMultilevel"/>
    <w:lvl w:ilvl="0">
      <w:lvlJc w:val="left"/>
      <w:lvlText w:val="(%1)"/>
      <w:numFmt w:val="lowerLetter"/>
      <w:start w:val="3"/>
    </w:lvl>
  </w:abstractNum>
  <w:abstractNum w:abstractNumId="266">
    <w:nsid w:val="73CFE165"/>
    <w:multiLevelType w:val="hybridMultilevel"/>
    <w:lvl w:ilvl="0">
      <w:lvlJc w:val="left"/>
      <w:lvlText w:val="(%1)"/>
      <w:numFmt w:val="lowerLetter"/>
      <w:start w:val="5"/>
    </w:lvl>
  </w:abstractNum>
  <w:abstractNum w:abstractNumId="267">
    <w:nsid w:val="20F88EA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8">
    <w:nsid w:val="617C843E"/>
    <w:multiLevelType w:val="hybridMultilevel"/>
    <w:lvl w:ilvl="0">
      <w:lvlJc w:val="left"/>
      <w:lvlText w:val="(%1)"/>
      <w:numFmt w:val="lowerRoman"/>
      <w:start w:val="2"/>
    </w:lvl>
    <w:lvl w:ilvl="1">
      <w:lvlJc w:val="left"/>
      <w:lvlText w:val="(%2)"/>
      <w:numFmt w:val="upperLetter"/>
      <w:start w:val="1"/>
    </w:lvl>
  </w:abstractNum>
  <w:abstractNum w:abstractNumId="269">
    <w:nsid w:val="7B541FAB"/>
    <w:multiLevelType w:val="hybridMultilevel"/>
    <w:lvl w:ilvl="0">
      <w:lvlJc w:val="left"/>
      <w:lvlText w:val="%1"/>
      <w:numFmt w:val="lowerRoman"/>
      <w:start w:val="1"/>
    </w:lvl>
    <w:lvl w:ilvl="1">
      <w:lvlJc w:val="left"/>
      <w:lvlText w:val="(%2)"/>
      <w:numFmt w:val="upperLetter"/>
      <w:start w:val="4"/>
    </w:lvl>
  </w:abstractNum>
  <w:abstractNum w:abstractNumId="270">
    <w:nsid w:val="2A79EC49"/>
    <w:multiLevelType w:val="hybridMultilevel"/>
    <w:lvl w:ilvl="0">
      <w:lvlJc w:val="left"/>
      <w:lvlText w:val="(%1)"/>
      <w:numFmt w:val="lowerRoman"/>
      <w:start w:val="4"/>
    </w:lvl>
    <w:lvl w:ilvl="1">
      <w:lvlJc w:val="left"/>
      <w:lvlText w:val="%2"/>
      <w:numFmt w:val="upperLetter"/>
      <w:start w:val="1"/>
    </w:lvl>
  </w:abstractNum>
  <w:abstractNum w:abstractNumId="271">
    <w:nsid w:val="338125CF"/>
    <w:multiLevelType w:val="hybridMultilevel"/>
    <w:lvl w:ilvl="0">
      <w:lvlJc w:val="left"/>
      <w:lvlText w:val="(%1)"/>
      <w:numFmt w:val="lowerLetter"/>
      <w:start w:val="3"/>
    </w:lvl>
  </w:abstractNum>
  <w:abstractNum w:abstractNumId="272">
    <w:nsid w:val="47C7C971"/>
    <w:multiLevelType w:val="hybridMultilevel"/>
    <w:lvl w:ilvl="0">
      <w:lvlJc w:val="left"/>
      <w:lvlText w:val="(%1)"/>
      <w:numFmt w:val="lowerLetter"/>
      <w:start w:val="5"/>
    </w:lvl>
  </w:abstractNum>
  <w:abstractNum w:abstractNumId="273">
    <w:nsid w:val="46F8284B"/>
    <w:multiLevelType w:val="hybridMultilevel"/>
    <w:lvl w:ilvl="0">
      <w:lvlJc w:val="left"/>
      <w:lvlText w:val="(%1)"/>
      <w:numFmt w:val="lowerLetter"/>
      <w:start w:val="8"/>
    </w:lvl>
  </w:abstractNum>
  <w:abstractNum w:abstractNumId="274">
    <w:nsid w:val="4FA327CE"/>
    <w:multiLevelType w:val="hybridMultilevel"/>
    <w:lvl w:ilvl="0">
      <w:lvlJc w:val="left"/>
      <w:lvlText w:val="(%1)"/>
      <w:numFmt w:val="lowerLetter"/>
      <w:start w:val="1"/>
    </w:lvl>
  </w:abstractNum>
  <w:abstractNum w:abstractNumId="275">
    <w:nsid w:val="1873983A"/>
    <w:multiLevelType w:val="hybridMultilevel"/>
    <w:lvl w:ilvl="0">
      <w:lvlJc w:val="left"/>
      <w:lvlText w:val="(%1)"/>
      <w:numFmt w:val="lowerLetter"/>
      <w:start w:val="2"/>
    </w:lvl>
  </w:abstractNum>
  <w:abstractNum w:abstractNumId="276">
    <w:nsid w:val="3D2DD275"/>
    <w:multiLevelType w:val="hybridMultilevel"/>
    <w:lvl w:ilvl="0">
      <w:lvlJc w:val="left"/>
      <w:lvlText w:val="(%1)"/>
      <w:numFmt w:val="lowerLetter"/>
      <w:start w:val="3"/>
    </w:lvl>
  </w:abstractNum>
  <w:abstractNum w:abstractNumId="277">
    <w:nsid w:val="2E17ECA7"/>
    <w:multiLevelType w:val="hybridMultilevel"/>
    <w:lvl w:ilvl="0">
      <w:lvlJc w:val="left"/>
      <w:lvlText w:val="(%1)"/>
      <w:numFmt w:val="lowerLetter"/>
      <w:start w:val="4"/>
    </w:lvl>
  </w:abstractNum>
  <w:abstractNum w:abstractNumId="278">
    <w:nsid w:val="53B2564F"/>
    <w:multiLevelType w:val="hybridMultilevel"/>
    <w:lvl w:ilvl="0">
      <w:lvlJc w:val="left"/>
      <w:lvlText w:val="(%1)"/>
      <w:numFmt w:val="lowerLetter"/>
      <w:start w:val="2"/>
    </w:lvl>
    <w:lvl w:ilvl="1">
      <w:lvlJc w:val="left"/>
      <w:lvlText w:val="(%2)"/>
      <w:numFmt w:val="lowerRoman"/>
      <w:start w:val="1"/>
    </w:lvl>
  </w:abstractNum>
  <w:abstractNum w:abstractNumId="279">
    <w:nsid w:val="75509D76"/>
    <w:multiLevelType w:val="hybridMultilevel"/>
    <w:lvl w:ilvl="0">
      <w:lvlJc w:val="left"/>
      <w:lvlText w:val="(%1)"/>
      <w:numFmt w:val="lowerRoman"/>
      <w:start w:val="4"/>
    </w:lvl>
  </w:abstractNum>
  <w:abstractNum w:abstractNumId="280">
    <w:nsid w:val="1AF7F0EA"/>
    <w:multiLevelType w:val="hybridMultilevel"/>
    <w:lvl w:ilvl="0">
      <w:lvlJc w:val="left"/>
      <w:lvlText w:val="(%1)"/>
      <w:numFmt w:val="lowerRoman"/>
      <w:start w:val="7"/>
    </w:lvl>
  </w:abstractNum>
  <w:abstractNum w:abstractNumId="281">
    <w:nsid w:val="4DA32C7E"/>
    <w:multiLevelType w:val="hybridMultilevel"/>
    <w:lvl w:ilvl="0">
      <w:lvlJc w:val="left"/>
      <w:lvlText w:val="•"/>
      <w:numFmt w:val="bullet"/>
      <w:start w:val="1"/>
    </w:lvl>
  </w:abstractNum>
  <w:abstractNum w:abstractNumId="282">
    <w:nsid w:val="6EC68664"/>
    <w:multiLevelType w:val="hybridMultilevel"/>
    <w:lvl w:ilvl="0">
      <w:lvlJc w:val="left"/>
      <w:lvlText w:val="(%1)"/>
      <w:numFmt w:val="lowerLetter"/>
      <w:start w:val="2"/>
    </w:lvl>
  </w:abstractNum>
  <w:abstractNum w:abstractNumId="283">
    <w:nsid w:val="E0D31FF"/>
    <w:multiLevelType w:val="hybridMultilevel"/>
    <w:lvl w:ilvl="0">
      <w:lvlJc w:val="left"/>
      <w:lvlText w:val="(%1)"/>
      <w:numFmt w:val="lowerLetter"/>
      <w:start w:val="1"/>
    </w:lvl>
  </w:abstractNum>
  <w:abstractNum w:abstractNumId="284">
    <w:nsid w:val="2FD0AD81"/>
    <w:multiLevelType w:val="hybridMultilevel"/>
    <w:lvl w:ilvl="0">
      <w:lvlJc w:val="left"/>
      <w:lvlText w:val="(%1)"/>
      <w:numFmt w:val="lowerLetter"/>
      <w:start w:val="2"/>
    </w:lvl>
  </w:abstractNum>
  <w:abstractNum w:abstractNumId="285">
    <w:nsid w:val="1978EBEB"/>
    <w:multiLevelType w:val="hybridMultilevel"/>
    <w:lvl w:ilvl="0">
      <w:lvlJc w:val="left"/>
      <w:lvlText w:val="(%1)"/>
      <w:numFmt w:val="lowerLetter"/>
      <w:start w:val="2"/>
    </w:lvl>
  </w:abstractNum>
  <w:abstractNum w:abstractNumId="286">
    <w:nsid w:val="52C12C61"/>
    <w:multiLevelType w:val="hybridMultilevel"/>
    <w:lvl w:ilvl="0">
      <w:lvlJc w:val="left"/>
      <w:lvlText w:val="(%1)"/>
      <w:numFmt w:val="lowerLetter"/>
      <w:start w:val="2"/>
    </w:lvl>
  </w:abstractNum>
  <w:abstractNum w:abstractNumId="287">
    <w:nsid w:val="4BDD53FD"/>
    <w:multiLevelType w:val="hybridMultilevel"/>
    <w:lvl w:ilvl="0">
      <w:lvlJc w:val="left"/>
      <w:lvlText w:val="(%1)"/>
      <w:numFmt w:val="lowerLetter"/>
      <w:start w:val="1"/>
    </w:lvl>
    <w:lvl w:ilvl="1">
      <w:lvlJc w:val="left"/>
      <w:lvlText w:val="(%2)"/>
      <w:numFmt w:val="lowerRoman"/>
      <w:start w:val="1"/>
    </w:lvl>
  </w:abstractNum>
  <w:abstractNum w:abstractNumId="288">
    <w:nsid w:val="569951FE"/>
    <w:multiLevelType w:val="hybridMultilevel"/>
    <w:lvl w:ilvl="0">
      <w:lvlJc w:val="left"/>
      <w:lvlText w:val="(%1)"/>
      <w:numFmt w:val="lowerLetter"/>
      <w:start w:val="2"/>
    </w:lvl>
  </w:abstractNum>
  <w:abstractNum w:abstractNumId="289">
    <w:nsid w:val="4C54E2C3"/>
    <w:multiLevelType w:val="hybridMultilevel"/>
    <w:lvl w:ilvl="0">
      <w:lvlJc w:val="left"/>
      <w:lvlText w:val="(%1)"/>
      <w:numFmt w:val="lowerLetter"/>
      <w:start w:val="1"/>
    </w:lvl>
    <w:lvl w:ilvl="1">
      <w:lvlJc w:val="left"/>
      <w:lvlText w:val="(%2)"/>
      <w:numFmt w:val="lowerRoman"/>
      <w:start w:val="1"/>
    </w:lvl>
  </w:abstractNum>
  <w:abstractNum w:abstractNumId="290">
    <w:nsid w:val="788BD9B"/>
    <w:multiLevelType w:val="hybridMultilevel"/>
    <w:lvl w:ilvl="0">
      <w:lvlJc w:val="left"/>
      <w:lvlText w:val="•"/>
      <w:numFmt w:val="bullet"/>
      <w:start w:val="1"/>
    </w:lvl>
  </w:abstractNum>
  <w:abstractNum w:abstractNumId="291">
    <w:nsid w:val="47CAA567"/>
    <w:multiLevelType w:val="hybridMultilevel"/>
    <w:lvl w:ilvl="0">
      <w:lvlJc w:val="left"/>
      <w:lvlText w:val="(%1)"/>
      <w:numFmt w:val="lowerLetter"/>
      <w:start w:val="3"/>
    </w:lvl>
  </w:abstractNum>
  <w:abstractNum w:abstractNumId="292">
    <w:nsid w:val="48249DBF"/>
    <w:multiLevelType w:val="hybridMultilevel"/>
    <w:lvl w:ilvl="0">
      <w:lvlJc w:val="left"/>
      <w:lvlText w:val="(%1)"/>
      <w:numFmt w:val="lowerLetter"/>
      <w:start w:val="5"/>
    </w:lvl>
  </w:abstractNum>
  <w:abstractNum w:abstractNumId="293">
    <w:nsid w:val="1F0E5D0D"/>
    <w:multiLevelType w:val="hybridMultilevel"/>
    <w:lvl w:ilvl="0">
      <w:lvlJc w:val="left"/>
      <w:lvlText w:val="(%1)"/>
      <w:numFmt w:val="upperLetter"/>
      <w:start w:val="2"/>
    </w:lvl>
  </w:abstractNum>
  <w:abstractNum w:abstractNumId="294">
    <w:nsid w:val="26BAAE9"/>
    <w:multiLevelType w:val="hybridMultilevel"/>
    <w:lvl w:ilvl="0">
      <w:lvlJc w:val="left"/>
      <w:lvlText w:val="2"/>
      <w:numFmt w:val="bullet"/>
      <w:start w:val="1"/>
    </w:lvl>
  </w:abstractNum>
  <w:abstractNum w:abstractNumId="295">
    <w:nsid w:val="2C02FE8C"/>
    <w:multiLevelType w:val="hybridMultilevel"/>
    <w:lvl w:ilvl="0">
      <w:lvlJc w:val="left"/>
      <w:lvlText w:val="3"/>
      <w:numFmt w:val="bullet"/>
      <w:start w:val="1"/>
    </w:lvl>
  </w:abstractNum>
  <w:abstractNum w:abstractNumId="296">
    <w:nsid w:val="129517E"/>
    <w:multiLevelType w:val="hybridMultilevel"/>
    <w:lvl w:ilvl="0">
      <w:lvlJc w:val="left"/>
      <w:lvlText w:val="4"/>
      <w:numFmt w:val="bullet"/>
      <w:start w:val="1"/>
    </w:lvl>
  </w:abstractNum>
  <w:abstractNum w:abstractNumId="297">
    <w:nsid w:val="763B8C4E"/>
    <w:multiLevelType w:val="hybridMultilevel"/>
    <w:lvl w:ilvl="0">
      <w:lvlJc w:val="left"/>
      <w:lvlText w:val="(%1)"/>
      <w:numFmt w:val="upperLetter"/>
      <w:start w:val="3"/>
    </w:lvl>
  </w:abstractNum>
  <w:abstractNum w:abstractNumId="298">
    <w:nsid w:val="4CFB8D32"/>
    <w:multiLevelType w:val="hybridMultilevel"/>
    <w:lvl w:ilvl="0">
      <w:lvlJc w:val="left"/>
      <w:lvlText w:val="(%1)"/>
      <w:numFmt w:val="lowerRoman"/>
      <w:start w:val="2"/>
    </w:lvl>
    <w:lvl w:ilvl="1">
      <w:lvlJc w:val="left"/>
      <w:lvlText w:val="(%2)"/>
      <w:numFmt w:val="lowerRoman"/>
      <w:start w:val="3"/>
    </w:lvl>
  </w:abstractNum>
  <w:abstractNum w:abstractNumId="299">
    <w:nsid w:val="62A5D5BD"/>
    <w:multiLevelType w:val="hybridMultilevel"/>
    <w:lvl w:ilvl="0">
      <w:lvlJc w:val="left"/>
      <w:lvlText w:val="5"/>
      <w:numFmt w:val="bullet"/>
      <w:start w:val="1"/>
    </w:lvl>
  </w:abstractNum>
  <w:abstractNum w:abstractNumId="300">
    <w:nsid w:val="718FABF9"/>
    <w:multiLevelType w:val="hybridMultilevel"/>
    <w:lvl w:ilvl="0">
      <w:lvlJc w:val="left"/>
      <w:lvlText w:val="["/>
      <w:numFmt w:val="bullet"/>
      <w:start w:val="1"/>
    </w:lvl>
  </w:abstractNum>
  <w:abstractNum w:abstractNumId="301">
    <w:nsid w:val="7775797C"/>
    <w:multiLevelType w:val="hybridMultilevel"/>
    <w:lvl w:ilvl="0">
      <w:lvlJc w:val="left"/>
      <w:lvlText w:val="6"/>
      <w:numFmt w:val="bullet"/>
      <w:start w:val="1"/>
    </w:lvl>
  </w:abstractNum>
  <w:abstractNum w:abstractNumId="302">
    <w:nsid w:val="1626FB8C"/>
    <w:multiLevelType w:val="hybridMultilevel"/>
    <w:lvl w:ilvl="0">
      <w:lvlJc w:val="left"/>
      <w:lvlText w:val="•"/>
      <w:numFmt w:val="bullet"/>
      <w:start w:val="1"/>
    </w:lvl>
  </w:abstractNum>
  <w:abstractNum w:abstractNumId="303">
    <w:nsid w:val="3957756A"/>
    <w:multiLevelType w:val="hybridMultilevel"/>
    <w:lvl w:ilvl="0">
      <w:lvlJc w:val="left"/>
      <w:lvlText w:val="◦"/>
      <w:numFmt w:val="bullet"/>
      <w:start w:val="1"/>
    </w:lvl>
  </w:abstractNum>
  <w:abstractNum w:abstractNumId="304">
    <w:nsid w:val="3E6DA1C7"/>
    <w:multiLevelType w:val="hybridMultilevel"/>
    <w:lvl w:ilvl="0">
      <w:lvlJc w:val="left"/>
      <w:lvlText w:val="•"/>
      <w:numFmt w:val="bullet"/>
      <w:start w:val="1"/>
    </w:lvl>
  </w:abstractNum>
  <w:abstractNum w:abstractNumId="305">
    <w:nsid w:val="65CA235B"/>
    <w:multiLevelType w:val="hybridMultilevel"/>
    <w:lvl w:ilvl="0">
      <w:lvlJc w:val="left"/>
      <w:lvlText w:val="◦"/>
      <w:numFmt w:val="bullet"/>
      <w:start w:val="1"/>
    </w:lvl>
  </w:abstractNum>
  <w:abstractNum w:abstractNumId="306">
    <w:nsid w:val="51CB0DA4"/>
    <w:multiLevelType w:val="hybridMultilevel"/>
    <w:lvl w:ilvl="0">
      <w:lvlJc w:val="left"/>
      <w:lvlText w:val="•"/>
      <w:numFmt w:val="bullet"/>
      <w:start w:val="1"/>
    </w:lvl>
  </w:abstractNum>
  <w:abstractNum w:abstractNumId="307">
    <w:nsid w:val="7B9B743C"/>
    <w:multiLevelType w:val="hybridMultilevel"/>
    <w:lvl w:ilvl="0">
      <w:lvlJc w:val="left"/>
      <w:lvlText w:val="•"/>
      <w:numFmt w:val="bullet"/>
      <w:start w:val="1"/>
    </w:lvl>
  </w:abstractNum>
  <w:abstractNum w:abstractNumId="308">
    <w:nsid w:val="13E21002"/>
    <w:multiLevelType w:val="hybridMultilevel"/>
    <w:lvl w:ilvl="0">
      <w:lvlJc w:val="left"/>
      <w:lvlText w:val="•"/>
      <w:numFmt w:val="bullet"/>
      <w:start w:val="1"/>
    </w:lvl>
  </w:abstractNum>
  <w:abstractNum w:abstractNumId="309">
    <w:nsid w:val="257D63F4"/>
    <w:multiLevelType w:val="hybridMultilevel"/>
    <w:lvl w:ilvl="0">
      <w:lvlJc w:val="left"/>
      <w:lvlText w:val="•"/>
      <w:numFmt w:val="bullet"/>
      <w:start w:val="1"/>
    </w:lvl>
  </w:abstractNum>
  <w:abstractNum w:abstractNumId="310">
    <w:nsid w:val="70EC11B2"/>
    <w:multiLevelType w:val="hybridMultilevel"/>
    <w:lvl w:ilvl="0">
      <w:lvlJc w:val="left"/>
      <w:lvlText w:val="•"/>
      <w:numFmt w:val="bullet"/>
      <w:start w:val="1"/>
    </w:lvl>
  </w:abstractNum>
  <w:abstractNum w:abstractNumId="311">
    <w:nsid w:val="2EDA00ED"/>
    <w:multiLevelType w:val="hybridMultilevel"/>
    <w:lvl w:ilvl="0">
      <w:lvlJc w:val="left"/>
      <w:lvlText w:val="•"/>
      <w:numFmt w:val="bullet"/>
      <w:start w:val="1"/>
    </w:lvl>
  </w:abstractNum>
  <w:abstractNum w:abstractNumId="312">
    <w:nsid w:val="73209072"/>
    <w:multiLevelType w:val="hybridMultilevel"/>
    <w:lvl w:ilvl="0">
      <w:lvlJc w:val="left"/>
      <w:lvlText w:val="%1."/>
      <w:numFmt w:val="decimal"/>
      <w:start w:val="1"/>
    </w:lvl>
  </w:abstractNum>
  <w:abstractNum w:abstractNumId="313">
    <w:nsid w:val="5FB29816"/>
    <w:multiLevelType w:val="hybridMultilevel"/>
    <w:lvl w:ilvl="0">
      <w:lvlJc w:val="left"/>
      <w:lvlText w:val="%1."/>
      <w:numFmt w:val="decimal"/>
      <w:start w:val="5"/>
    </w:lvl>
  </w:abstractNum>
  <w:abstractNum w:abstractNumId="314">
    <w:nsid w:val="3CE732EC"/>
    <w:multiLevelType w:val="hybridMultilevel"/>
    <w:lvl w:ilvl="0">
      <w:lvlJc w:val="left"/>
      <w:lvlText w:val="%1."/>
      <w:numFmt w:val="decimal"/>
      <w:start w:val="12"/>
    </w:lvl>
  </w:abstractNum>
  <w:abstractNum w:abstractNumId="315">
    <w:nsid w:val="22F13DF3"/>
    <w:multiLevelType w:val="hybridMultilevel"/>
    <w:lvl w:ilvl="0">
      <w:lvlJc w:val="left"/>
      <w:lvlText w:val="%1."/>
      <w:numFmt w:val="decimal"/>
      <w:start w:val="1"/>
    </w:lvl>
  </w:abstractNum>
  <w:abstractNum w:abstractNumId="316">
    <w:nsid w:val="792B8401"/>
    <w:multiLevelType w:val="hybridMultilevel"/>
    <w:lvl w:ilvl="0">
      <w:lvlJc w:val="left"/>
      <w:lvlText w:val="%1."/>
      <w:numFmt w:val="decimal"/>
      <w:start w:val="5"/>
    </w:lvl>
  </w:abstractNum>
  <w:abstractNum w:abstractNumId="317">
    <w:nsid w:val="FA85F4D"/>
    <w:multiLevelType w:val="hybridMultilevel"/>
    <w:lvl w:ilvl="0">
      <w:lvlJc w:val="left"/>
      <w:lvlText w:val="%1."/>
      <w:numFmt w:val="decimal"/>
      <w:start w:val="13"/>
    </w:lvl>
  </w:abstractNum>
  <w:abstractNum w:abstractNumId="318">
    <w:nsid w:val="6ECE91F0"/>
    <w:multiLevelType w:val="hybridMultilevel"/>
    <w:lvl w:ilvl="0">
      <w:lvlJc w:val="left"/>
      <w:lvlText w:val="1"/>
      <w:numFmt w:val="bullet"/>
      <w:start w:val="1"/>
    </w:lvl>
  </w:abstractNum>
  <w:abstractNum w:abstractNumId="319">
    <w:nsid w:val="4FC4D600"/>
    <w:multiLevelType w:val="hybridMultilevel"/>
    <w:lvl w:ilvl="0">
      <w:lvlJc w:val="left"/>
      <w:lvlText w:val="2"/>
      <w:numFmt w:val="bullet"/>
      <w:start w:val="1"/>
    </w:lvl>
  </w:abstractNum>
  <w:abstractNum w:abstractNumId="320">
    <w:nsid w:val="5BFD4210"/>
    <w:multiLevelType w:val="hybridMultilevel"/>
    <w:lvl w:ilvl="0">
      <w:lvlJc w:val="left"/>
      <w:lvlText w:val="3"/>
      <w:numFmt w:val="bullet"/>
      <w:start w:val="1"/>
    </w:lvl>
  </w:abstractNum>
  <w:abstractNum w:abstractNumId="321">
    <w:nsid w:val="76574F8B"/>
    <w:multiLevelType w:val="hybridMultilevel"/>
    <w:lvl w:ilvl="0">
      <w:lvlJc w:val="left"/>
      <w:lvlText w:val="4"/>
      <w:numFmt w:val="bullet"/>
      <w:start w:val="1"/>
    </w:lvl>
  </w:abstractNum>
  <w:abstractNum w:abstractNumId="322">
    <w:nsid w:val="178F7B67"/>
    <w:multiLevelType w:val="hybridMultilevel"/>
    <w:lvl w:ilvl="0">
      <w:lvlJc w:val="left"/>
      <w:lvlText w:val="d"/>
      <w:numFmt w:val="bullet"/>
      <w:start w:val="1"/>
    </w:lvl>
  </w:abstractNum>
  <w:abstractNum w:abstractNumId="323">
    <w:nsid w:val="2421DFCF"/>
    <w:multiLevelType w:val="hybridMultilevel"/>
    <w:lvl w:ilvl="0">
      <w:lvlJc w:val="left"/>
      <w:lvlText w:val="5"/>
      <w:numFmt w:val="bullet"/>
      <w:start w:val="1"/>
    </w:lvl>
  </w:abstractNum>
  <w:abstractNum w:abstractNumId="324">
    <w:nsid w:val="1565AC99"/>
    <w:multiLevelType w:val="hybridMultilevel"/>
    <w:lvl w:ilvl="0">
      <w:lvlJc w:val="left"/>
      <w:lvlText w:val="1"/>
      <w:numFmt w:val="bullet"/>
      <w:start w:val="1"/>
    </w:lvl>
  </w:abstractNum>
  <w:abstractNum w:abstractNumId="325">
    <w:nsid w:val="19FB2650"/>
    <w:multiLevelType w:val="hybridMultilevel"/>
    <w:lvl w:ilvl="0">
      <w:lvlJc w:val="left"/>
      <w:lvlText w:val="2"/>
      <w:numFmt w:val="bullet"/>
      <w:start w:val="1"/>
    </w:lvl>
  </w:abstractNum>
  <w:abstractNum w:abstractNumId="326">
    <w:nsid w:val="5024DE5B"/>
    <w:multiLevelType w:val="hybridMultilevel"/>
    <w:lvl w:ilvl="0">
      <w:lvlJc w:val="left"/>
      <w:lvlText w:val="3"/>
      <w:numFmt w:val="bullet"/>
      <w:start w:val="1"/>
    </w:lvl>
  </w:abstractNum>
  <w:abstractNum w:abstractNumId="327">
    <w:nsid w:val="168EFE17"/>
    <w:multiLevelType w:val="hybridMultilevel"/>
    <w:lvl w:ilvl="0">
      <w:lvlJc w:val="left"/>
      <w:lvlText w:val="4"/>
      <w:numFmt w:val="bullet"/>
      <w:start w:val="1"/>
    </w:lvl>
  </w:abstractNum>
  <w:abstractNum w:abstractNumId="328">
    <w:nsid w:val="1036B29F"/>
    <w:multiLevelType w:val="hybridMultilevel"/>
    <w:lvl w:ilvl="0">
      <w:lvlJc w:val="left"/>
      <w:lvlText w:val="d"/>
      <w:numFmt w:val="bullet"/>
      <w:start w:val="1"/>
    </w:lvl>
  </w:abstractNum>
  <w:abstractNum w:abstractNumId="329">
    <w:nsid w:val="1D206B8E"/>
    <w:multiLevelType w:val="hybridMultilevel"/>
    <w:lvl w:ilvl="0">
      <w:lvlJc w:val="left"/>
      <w:lvlText w:val="5"/>
      <w:numFmt w:val="bullet"/>
      <w:start w:val="1"/>
    </w:lvl>
  </w:abstractNum>
  <w:abstractNum w:abstractNumId="330">
    <w:nsid w:val="7934D3D4"/>
    <w:multiLevelType w:val="hybridMultilevel"/>
    <w:lvl w:ilvl="0">
      <w:lvlJc w:val="left"/>
      <w:lvlText w:val="2"/>
      <w:numFmt w:val="bullet"/>
      <w:start w:val="1"/>
    </w:lvl>
  </w:abstractNum>
  <w:abstractNum w:abstractNumId="331">
    <w:nsid w:val="1C65E9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68" Type="http://schemas.openxmlformats.org/officeDocument/2006/relationships/hyperlink" Target="https://www.sec.gov/Archives/edgar/data/1590584/000159058424000111/amendedandrestatedarticl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2024-07-30T14:33:25Z</dcterms:created>
  <dcterms:modified xsi:type="dcterms:W3CDTF">2024-07-30T14:33:25Z</dcterms:modified>
</cp:coreProperties>
</file>