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216535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259715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33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rFonts w:ascii="MS PGothic" w:cs="MS PGothic" w:eastAsia="MS PGothic" w:hAnsi="MS PGothic"/>
          <w:sz w:val="18"/>
          <w:szCs w:val="18"/>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00" w:hanging="437"/>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00" w:right="280" w:hanging="437"/>
        <w:spacing w:after="0" w:line="282" w:lineRule="auto"/>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100" w:hanging="437"/>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00" w:hanging="437"/>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-1611630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-1165225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-582295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-136525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309245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sz w:val="24"/>
          <w:szCs w:val="24"/>
          <w:color w:val="auto"/>
        </w:rPr>
      </w:pPr>
    </w:p>
    <w:p>
      <w:pPr>
        <w:ind w:left="660" w:hanging="456"/>
        <w:spacing w:after="0" w:line="282" w:lineRule="auto"/>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1100" w:hanging="437"/>
        <w:spacing w:after="0"/>
        <w:tabs>
          <w:tab w:leader="none" w:pos="11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00" w:hanging="437"/>
        <w:spacing w:after="0"/>
        <w:tabs>
          <w:tab w:leader="none" w:pos="11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-136525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309245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180"/>
          </w:cols>
          <w:pgMar w:left="240" w:top="226" w:right="479" w:bottom="455" w:gutter="0" w:footer="0" w:header="0"/>
        </w:sectPr>
      </w:pPr>
    </w:p>
    <w:bookmarkStart w:id="1" w:name="page2"/>
    <w:bookmarkEnd w:id="1"/>
    <w:p>
      <w:pPr>
        <w:ind w:left="437" w:hanging="437"/>
        <w:spacing w:after="0"/>
        <w:tabs>
          <w:tab w:leader="none" w:pos="43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00" w:lineRule="exact"/>
        <w:rPr>
          <w:rFonts w:ascii="Times New Roman" w:cs="Times New Roman" w:eastAsia="Times New Roman" w:hAnsi="Times New Roman"/>
          <w:sz w:val="17"/>
          <w:szCs w:val="17"/>
          <w:color w:val="auto"/>
        </w:rPr>
      </w:pPr>
    </w:p>
    <w:p>
      <w:pPr>
        <w:spacing w:after="0" w:line="306" w:lineRule="exact"/>
        <w:rPr>
          <w:rFonts w:ascii="Times New Roman" w:cs="Times New Roman" w:eastAsia="Times New Roman" w:hAnsi="Times New Roman"/>
          <w:sz w:val="17"/>
          <w:szCs w:val="17"/>
          <w:color w:val="auto"/>
        </w:rPr>
      </w:pPr>
    </w:p>
    <w:p>
      <w:pPr>
        <w:ind w:left="437" w:hanging="437"/>
        <w:spacing w:after="0"/>
        <w:tabs>
          <w:tab w:leader="none" w:pos="4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-136525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309245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488950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532130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208280</wp:posOffset>
            </wp:positionV>
            <wp:extent cx="2495550" cy="1260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555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the special meeting of the shareholders of Civeo Corporation (“Civeo”) to be held at the Doubletree Houston at 400 Dallas Street, Houston, Texas 77002, on March 28, 2018 at 9:00 a.m., local time. At the special meeting, our shareholders will be asked to approve the issuance of common shares, no par value, of Civeo (“Common Shares”) and the Preferred Shares (as defined below), together with the issuance of Common Shares upon any conversion of the Preferred Shares, upon the consummation of the transactions contemplated by the Share Purchase Agreement, dated as of November 26, 2017 (the “Purchase Agreement”), by and among Civeo, Noralta Lodge Ltd. (“Noralta”), Torgerson Family Trust, 2073357 Alberta Ltd., 2073358 Alberta Ltd., 1818939 Alberta Ltd., 2040618 Alberta Ltd., 2040624 Alberta Ltd., 989677 Alberta Ltd. and Lance Torgerson, pursuant to which Civeo will acquire, directly or indirectly, all of the issued and outstanding shares of Noralta (the “Acquisition”). We refer to this proposal as the “share issuance proposal.”</w:t>
      </w:r>
    </w:p>
    <w:p>
      <w:pPr>
        <w:spacing w:after="0" w:line="181" w:lineRule="exact"/>
        <w:rPr>
          <w:sz w:val="20"/>
          <w:szCs w:val="20"/>
          <w:color w:val="auto"/>
        </w:rPr>
      </w:pPr>
    </w:p>
    <w:p>
      <w:pPr>
        <w:ind w:left="200" w:right="5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consideration, the board of directors of Civeo (the “Civeo Board”) has unanimously determined that the Purchase Agreement and the transactions contemplated thereby, including the Acquisition, are advisable and in the best interests of Civeo and its shareholders. The Civeo Board unanimously recommends that Civeo shareholders vote “FOR” the share issuance proposal at the special meeting.</w:t>
      </w:r>
    </w:p>
    <w:p>
      <w:pPr>
        <w:spacing w:after="0" w:line="181" w:lineRule="exact"/>
        <w:rPr>
          <w:sz w:val="20"/>
          <w:szCs w:val="20"/>
          <w:color w:val="auto"/>
        </w:rPr>
      </w:pPr>
    </w:p>
    <w:p>
      <w:pPr>
        <w:ind w:left="200" w:firstLine="441"/>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completion of the Acquisition, Civeo will acquire, directly or indirectly, all of the issued and outstanding shares of Noralta. The consideration for the Acquisition payable at closing will be an amount equal to (i) C$209,500,000 in cash, subject to customary adjustments for Noralta’s working capital, debt, cash and unpaid transaction expenses at closing, of which C$28,500,000 will be held in escrow by Alliance Trust Company (the “Escrow Agent”) to support the sellers’ indemnification obligations under the Purchase Agreement, (ii) 32,790,868 Common Shares, of which 13,491,100 shares will be held in escrow by the Escrow Agent and released in three equal installments from escrow upon the satisfaction of certain conditions related to a customer contract remaining in place in June 2021, June 2022 and June 2023, and (iii) 9,679 shares of Class A Series 1 Preferred Shares of Civeo (the “Preferred Shares”) with an initial liquidation preference of US$96,790,000. Based upon the closing price of Common Shares of US$3.58 on January 26, 2018, an exchange rate of 1.23 Canadian dollars to U.S. dollars as of that date and the estimated fair value of the Preferred Shares of 76% of the initial liquidation preference, the value of the consideration payable in the Acquisition is approximately US$361 million. Subject to obtaining regulatory approvals and Civeo shareholder approval of the share issuance proposal, and satisfying certain other closing conditions, it is anticipated that the Acquisition will be completed in the second quarter of 2018. This proxy statement provides you with detailed information about Civeo, Noralta, the Acquisition and the Purchase Agreement. Please give all of the information in this proxy statement your careful attention. </w:t>
      </w:r>
      <w:r>
        <w:rPr>
          <w:rFonts w:ascii="Times New Roman" w:cs="Times New Roman" w:eastAsia="Times New Roman" w:hAnsi="Times New Roman"/>
          <w:sz w:val="18"/>
          <w:szCs w:val="18"/>
          <w:b w:val="1"/>
          <w:bCs w:val="1"/>
          <w:color w:val="auto"/>
        </w:rPr>
        <w:t>Please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 particular attention to the section entitled “</w:t>
      </w:r>
      <w:hyperlink w:anchor="page24">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16 for a discussion of the risks related to the Acquisition and Civeo following completion of the Acquisition.</w:t>
      </w:r>
    </w:p>
    <w:p>
      <w:pPr>
        <w:sectPr>
          <w:pgSz w:w="11900" w:h="16838" w:orient="portrait"/>
          <w:cols w:equalWidth="0" w:num="1">
            <w:col w:w="11180"/>
          </w:cols>
          <w:pgMar w:left="24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Thank you for your cooperation and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250190</wp:posOffset>
            </wp:positionV>
            <wp:extent cx="80581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5815" cy="30861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250190</wp:posOffset>
            </wp:positionV>
            <wp:extent cx="1715135"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5135" cy="386080"/>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Bradley J. Dodson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Navarre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200" w:lineRule="exact"/>
        <w:rPr>
          <w:sz w:val="20"/>
          <w:szCs w:val="20"/>
          <w:color w:val="auto"/>
        </w:rPr>
      </w:pPr>
    </w:p>
    <w:p>
      <w:pPr>
        <w:sectPr>
          <w:pgSz w:w="11900" w:h="16838" w:orient="portrait"/>
          <w:cols w:equalWidth="0" w:num="2">
            <w:col w:w="5340" w:space="720"/>
            <w:col w:w="5080"/>
          </w:cols>
          <w:pgMar w:left="240" w:top="455" w:right="519" w:bottom="1440" w:gutter="0" w:footer="0" w:header="0"/>
          <w:type w:val="continuous"/>
        </w:sectPr>
      </w:pPr>
    </w:p>
    <w:p>
      <w:pPr>
        <w:spacing w:after="0" w:line="14" w:lineRule="exact"/>
        <w:rPr>
          <w:sz w:val="20"/>
          <w:szCs w:val="20"/>
          <w:color w:val="auto"/>
        </w:rPr>
      </w:pPr>
    </w:p>
    <w:p>
      <w:pPr>
        <w:jc w:val="both"/>
        <w:ind w:left="200" w:right="1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 has approved or disapproved of the proposed issuance of the Common Shares or the Preferred Shares in connection with the Acquisition described in this proxy statement or determined if this proxy statement is truthful or complete. Any representation to the contrary is a criminal offense.</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proxy statement is dated February 2, 2018 and is first being mailed or otherwise delivered to shareholders of Civeo on or about February 8, 2018.</w:t>
      </w:r>
    </w:p>
    <w:p>
      <w:pPr>
        <w:sectPr>
          <w:pgSz w:w="11900" w:h="16838" w:orient="portrait"/>
          <w:cols w:equalWidth="0" w:num="1">
            <w:col w:w="11140"/>
          </w:cols>
          <w:pgMar w:left="240" w:top="455" w:right="51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208280</wp:posOffset>
            </wp:positionV>
            <wp:extent cx="2495550" cy="1260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555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Three Allen Center</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333 Clay Street, Suite 4980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 Be Held On March 28, 2018</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Shareholders of Civeo Corporation:</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 special meeting of the shareholders of Civeo Corporation (“Civeo”) will be held at the Doubletree Houston</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 400 Dallas Street, Houston, Texas 77002, on March 28, 2018 at 9:00 am, local time to approve the issuance of common shares, no par value, of Civeo</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Shares”) and Class A Series 1 Preferred Shares of Civeo (the “Preferred Shares”), together with the issuance of Common Shares upon any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conversion of the Preferred Shares, upon the consummation of the transactions contemplated by the Share Purchase Agreement, dated as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November 26, 2017 (the “Purchase Agreement”), by and among Civeo, Noralta Lodge Ltd. (“Noralta”), Torgerson Family Trust, 2073357 Alberta Ltd.,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2073358 Alberta Ltd., 1818939 Alberta Ltd., 2040618 Alberta Ltd., 2040624 Alberta Ltd., 989677 Alberta Ltd. and Lance Torgerson, pursuant to which</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Civeo will acquire, directly or indirectly, all of the issued and outstanding shares of Noralta (the “Acquisition”). We refer to this proposal as the “share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issuance proposal.”</w:t>
      </w:r>
    </w:p>
    <w:p>
      <w:pPr>
        <w:spacing w:after="0" w:line="207"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board of directors of Civeo (the “Civeo Board”) has fixed the close of business on February 1, 2018 as the record date for determining Civeo shareholders entitled to receive notice of and to vote at the special meeting or any adjournments or postponements of the Civeo special meeting. Only holders of record of Common Shares at the close of business on the record date are entitled to notice of and to vote at the Civeo special meeting. At the close of business on the record date, Civeo had 132,253,185 Common Shares outstanding and entitled to vote.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Civeo Board, by unanimous vote, recommends that you vote “FOR” the share issuance proposal.</w:t>
      </w:r>
    </w:p>
    <w:p>
      <w:pPr>
        <w:spacing w:after="0" w:line="229"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The recommendation of the Civeo Board is based on various factors, including the opinion of Lazard Frères &amp; Co. LLC, financial advisor to the Civeo Board, to the effect that, as of the date of its opinion and based on and subject to the assumptions, procedures, factors, qualifications and limitations set forth therein, the consideration to be paid by Civeo in the Acquisition is fair, from a financial point of view, to Civeo. A copy of the opinion is included as Annex D to the accompanying proxy statement.</w:t>
      </w:r>
    </w:p>
    <w:p>
      <w:pPr>
        <w:spacing w:after="0" w:line="180"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Please note that space limitations make it necessary to limit attendance at the special meeting to shareholders, though each shareholder may be accompanied by one guest. Shareholders of record attending the special meeting should be prepared to present government-issued photo identification for admission. Shareholders owning Common Shares through a broker, bank or other record holder should be prepared to present government-issued photo identification and evidence of share ownership as of February 1, 2018, such as an account statement, voting instruction card issued by the broker, bank or other record holder, or other acceptable document, for admission into the special meeting. Check-in at special meeting will begin at 8:30 a.m., and you should plan to allow ample time for check-in procedures. Seating at the special meeting is limited and admission is on a first-come, first-served basis. Cameras, cell phones, recording equipment and other electronic devices will not be permitted at the special meeting.</w:t>
      </w:r>
    </w:p>
    <w:p>
      <w:pPr>
        <w:sectPr>
          <w:pgSz w:w="11900" w:h="16838" w:orient="portrait"/>
          <w:cols w:equalWidth="0" w:num="1">
            <w:col w:w="11200"/>
          </w:cols>
          <w:pgMar w:left="24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As shareholders of Civeo, your vote is important. Whether or not you are able to attend the special meeting in person, it is important that your shares be represented. Please vote as soon as possible. Voting promptly, regardless of the number of shares you hold, will aid us in reducing the expense of an extended proxy solicitation. Voting your shares by returning your proxy card or voting instruction card or voting through the Internet or by telephone does not affect your right to vote in person if you attend the special meeting. For specific information regarding the voting of your shares, please refer to the section entitled “Questions and Answers about the Acquisition,” beginning on page 1 of the accompanying proxy statement.</w:t>
      </w:r>
    </w:p>
    <w:p>
      <w:pPr>
        <w:spacing w:after="0" w:line="2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 Order of the Civeo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292100</wp:posOffset>
            </wp:positionV>
            <wp:extent cx="1226185"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61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Carolyn J. Stone</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Houston, Texas</w:t>
      </w:r>
    </w:p>
    <w:p>
      <w:pPr>
        <w:spacing w:after="0" w:line="23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February 2, 2018</w:t>
      </w:r>
    </w:p>
    <w:p>
      <w:pPr>
        <w:sectPr>
          <w:pgSz w:w="11900" w:h="16838" w:orient="portrait"/>
          <w:cols w:equalWidth="0" w:num="1">
            <w:col w:w="11160"/>
          </w:cols>
          <w:pgMar w:left="240" w:top="455"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600" w:type="dxa"/>
            <w:vAlign w:val="bottom"/>
            <w:gridSpan w:val="48"/>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Table of Contents</w:t>
              </w:r>
            </w:hyperlink>
          </w:p>
        </w:tc>
        <w:tc>
          <w:tcPr>
            <w:tcW w:w="15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9400" w:type="dxa"/>
            <w:vAlign w:val="bottom"/>
            <w:gridSpan w:val="47"/>
          </w:tcPr>
          <w:p>
            <w:pPr>
              <w:spacing w:after="0"/>
              <w:rPr>
                <w:rFonts w:ascii="Times New Roman" w:cs="Times New Roman" w:eastAsia="Times New Roman" w:hAnsi="Times New Roman"/>
                <w:sz w:val="18"/>
                <w:szCs w:val="18"/>
                <w:b w:val="1"/>
                <w:bCs w:val="1"/>
                <w:color w:val="0000EE"/>
              </w:rPr>
            </w:pPr>
            <w:hyperlink w:anchor="page9">
              <w:r>
                <w:rPr>
                  <w:rFonts w:ascii="Times New Roman" w:cs="Times New Roman" w:eastAsia="Times New Roman" w:hAnsi="Times New Roman"/>
                  <w:sz w:val="18"/>
                  <w:szCs w:val="18"/>
                  <w:b w:val="1"/>
                  <w:bCs w:val="1"/>
                  <w:color w:val="0000EE"/>
                </w:rPr>
                <w:t>QUESTIONS AND ANSWERS ABOUT THE ACQUISITION</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196"/>
        </w:trPr>
        <w:tc>
          <w:tcPr>
            <w:tcW w:w="20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97"/>
              </w:rPr>
            </w:pPr>
            <w:hyperlink w:anchor="page14">
              <w:r>
                <w:rPr>
                  <w:rFonts w:ascii="Times New Roman" w:cs="Times New Roman" w:eastAsia="Times New Roman" w:hAnsi="Times New Roman"/>
                  <w:sz w:val="18"/>
                  <w:szCs w:val="18"/>
                  <w:b w:val="1"/>
                  <w:bCs w:val="1"/>
                  <w:color w:val="0000EE"/>
                  <w:w w:val="97"/>
                </w:rPr>
                <w:t>SUMMARY</w:t>
              </w:r>
            </w:hyperlink>
          </w:p>
        </w:tc>
        <w:tc>
          <w:tcPr>
            <w:tcW w:w="3840" w:type="dxa"/>
            <w:vAlign w:val="bottom"/>
            <w:tcBorders>
              <w:top w:val="single" w:sz="8" w:color="0000EE"/>
            </w:tcBorders>
            <w:gridSpan w:val="41"/>
          </w:tcPr>
          <w:p>
            <w:pPr>
              <w:spacing w:after="0"/>
              <w:rPr>
                <w:sz w:val="17"/>
                <w:szCs w:val="17"/>
                <w:color w:val="auto"/>
              </w:rPr>
            </w:pPr>
          </w:p>
        </w:tc>
        <w:tc>
          <w:tcPr>
            <w:tcW w:w="460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The Companies and Other Parties to the Purchase Agreement</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tcBorders>
              <w:top w:val="single" w:sz="8" w:color="0000EE"/>
            </w:tcBorders>
            <w:gridSpan w:val="41"/>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Summary of the Acquisition</w:t>
              </w:r>
            </w:hyperlink>
          </w:p>
        </w:tc>
        <w:tc>
          <w:tcPr>
            <w:tcW w:w="462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The Special Meeting</w:t>
              </w:r>
            </w:hyperlink>
          </w:p>
        </w:tc>
        <w:tc>
          <w:tcPr>
            <w:tcW w:w="7000" w:type="dxa"/>
            <w:vAlign w:val="bottom"/>
            <w:gridSpan w:val="2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Recommendation of the Civeo Board</w:t>
              </w:r>
            </w:hyperlink>
          </w:p>
        </w:tc>
        <w:tc>
          <w:tcPr>
            <w:tcW w:w="6340" w:type="dxa"/>
            <w:vAlign w:val="bottom"/>
            <w:gridSpan w:val="1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Opinion of Civeo’s Financial Advisor</w:t>
              </w:r>
            </w:hyperlink>
          </w:p>
        </w:tc>
        <w:tc>
          <w:tcPr>
            <w:tcW w:w="6300" w:type="dxa"/>
            <w:vAlign w:val="bottom"/>
            <w:gridSpan w:val="1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20" w:type="dxa"/>
            <w:vAlign w:val="bottom"/>
            <w:tcBorders>
              <w:bottom w:val="single" w:sz="8" w:color="0000EE"/>
            </w:tcBorders>
            <w:gridSpan w:val="43"/>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Material U.S. and Canadian Federal Income Tax Considerations</w:t>
              </w:r>
            </w:hyperlink>
          </w:p>
        </w:tc>
        <w:tc>
          <w:tcPr>
            <w:tcW w:w="442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Overview of the Purchase Agreement</w:t>
              </w:r>
            </w:hyperlink>
          </w:p>
        </w:tc>
        <w:tc>
          <w:tcPr>
            <w:tcW w:w="632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Overview of the Registration Rights Agreements</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Preferred Shares</w:t>
              </w:r>
            </w:hyperlink>
          </w:p>
        </w:tc>
        <w:tc>
          <w:tcPr>
            <w:tcW w:w="2320" w:type="dxa"/>
            <w:vAlign w:val="bottom"/>
            <w:tcBorders>
              <w:top w:val="single" w:sz="8" w:color="0000EE"/>
            </w:tcBorders>
            <w:gridSpan w:val="33"/>
          </w:tcPr>
          <w:p>
            <w:pPr>
              <w:spacing w:after="0"/>
              <w:rPr>
                <w:sz w:val="17"/>
                <w:szCs w:val="17"/>
                <w:color w:val="auto"/>
              </w:rPr>
            </w:pPr>
          </w:p>
        </w:tc>
        <w:tc>
          <w:tcPr>
            <w:tcW w:w="5520" w:type="dxa"/>
            <w:vAlign w:val="bottom"/>
            <w:gridSpan w:val="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Directors of Civeo Following the Acquisition</w:t>
              </w:r>
            </w:hyperlink>
          </w:p>
        </w:tc>
        <w:tc>
          <w:tcPr>
            <w:tcW w:w="5760" w:type="dxa"/>
            <w:vAlign w:val="bottom"/>
            <w:gridSpan w:val="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Expected Timing of the Acquisition</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No Appraisal Rights</w:t>
              </w:r>
            </w:hyperlink>
          </w:p>
        </w:tc>
        <w:tc>
          <w:tcPr>
            <w:tcW w:w="6460" w:type="dxa"/>
            <w:vAlign w:val="bottom"/>
            <w:gridSpan w:val="2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Accounting Treatment</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Regulatory Approvals</w:t>
              </w:r>
            </w:hyperlink>
          </w:p>
        </w:tc>
        <w:tc>
          <w:tcPr>
            <w:tcW w:w="20" w:type="dxa"/>
            <w:vAlign w:val="bottom"/>
            <w:tcBorders>
              <w:top w:val="single" w:sz="8" w:color="0000EE"/>
            </w:tcBorders>
          </w:tcPr>
          <w:p>
            <w:pPr>
              <w:spacing w:after="0"/>
              <w:rPr>
                <w:sz w:val="17"/>
                <w:szCs w:val="17"/>
                <w:color w:val="auto"/>
              </w:rPr>
            </w:pPr>
          </w:p>
        </w:tc>
        <w:tc>
          <w:tcPr>
            <w:tcW w:w="7420" w:type="dxa"/>
            <w:vAlign w:val="bottom"/>
            <w:gridSpan w:val="3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Selected Historical Financial Data of Noralta</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Selected Historical Financial Data of Civeo</w:t>
              </w:r>
            </w:hyperlink>
          </w:p>
        </w:tc>
        <w:tc>
          <w:tcPr>
            <w:tcW w:w="100" w:type="dxa"/>
            <w:vAlign w:val="bottom"/>
            <w:tcBorders>
              <w:top w:val="single" w:sz="8" w:color="0000EE"/>
            </w:tcBorders>
            <w:gridSpan w:val="2"/>
          </w:tcPr>
          <w:p>
            <w:pPr>
              <w:spacing w:after="0"/>
              <w:rPr>
                <w:sz w:val="17"/>
                <w:szCs w:val="17"/>
                <w:color w:val="auto"/>
              </w:rPr>
            </w:pPr>
          </w:p>
        </w:tc>
        <w:tc>
          <w:tcPr>
            <w:tcW w:w="580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Comparative Per Share Data</w:t>
              </w:r>
            </w:hyperlink>
          </w:p>
        </w:tc>
        <w:tc>
          <w:tcPr>
            <w:tcW w:w="6980" w:type="dxa"/>
            <w:vAlign w:val="bottom"/>
            <w:gridSpan w:val="2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0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8"/>
              </w:rPr>
            </w:pPr>
            <w:hyperlink w:anchor="page24">
              <w:r>
                <w:rPr>
                  <w:rFonts w:ascii="Times New Roman" w:cs="Times New Roman" w:eastAsia="Times New Roman" w:hAnsi="Times New Roman"/>
                  <w:sz w:val="18"/>
                  <w:szCs w:val="18"/>
                  <w:b w:val="1"/>
                  <w:bCs w:val="1"/>
                  <w:color w:val="0000EE"/>
                  <w:w w:val="98"/>
                </w:rPr>
                <w:t>RISK FACTORS</w:t>
              </w:r>
            </w:hyperlink>
          </w:p>
        </w:tc>
        <w:tc>
          <w:tcPr>
            <w:tcW w:w="8060" w:type="dxa"/>
            <w:vAlign w:val="bottom"/>
            <w:gridSpan w:val="4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w:t>
            </w:r>
          </w:p>
        </w:tc>
      </w:tr>
      <w:tr>
        <w:trPr>
          <w:trHeight w:val="196"/>
        </w:trPr>
        <w:tc>
          <w:tcPr>
            <w:tcW w:w="200" w:type="dxa"/>
            <w:vAlign w:val="bottom"/>
          </w:tcPr>
          <w:p>
            <w:pPr>
              <w:spacing w:after="0"/>
              <w:rPr>
                <w:sz w:val="17"/>
                <w:szCs w:val="17"/>
                <w:color w:val="auto"/>
              </w:rPr>
            </w:pPr>
          </w:p>
        </w:tc>
        <w:tc>
          <w:tcPr>
            <w:tcW w:w="9400" w:type="dxa"/>
            <w:vAlign w:val="bottom"/>
            <w:gridSpan w:val="47"/>
          </w:tcPr>
          <w:p>
            <w:pPr>
              <w:spacing w:after="0" w:line="19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CAUTIONARY STATEMENT REGARDING FORWARD-LOOKING STATEMENTS</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r>
      <w:tr>
        <w:trPr>
          <w:trHeight w:val="196"/>
        </w:trPr>
        <w:tc>
          <w:tcPr>
            <w:tcW w:w="200" w:type="dxa"/>
            <w:vAlign w:val="bottom"/>
          </w:tcPr>
          <w:p>
            <w:pPr>
              <w:spacing w:after="0"/>
              <w:rPr>
                <w:sz w:val="17"/>
                <w:szCs w:val="17"/>
                <w:color w:val="auto"/>
              </w:rPr>
            </w:pPr>
          </w:p>
        </w:tc>
        <w:tc>
          <w:tcPr>
            <w:tcW w:w="6700" w:type="dxa"/>
            <w:vAlign w:val="bottom"/>
            <w:tcBorders>
              <w:top w:val="single" w:sz="8" w:color="0000EE"/>
            </w:tcBorders>
            <w:gridSpan w:val="45"/>
          </w:tcPr>
          <w:p>
            <w:pPr>
              <w:spacing w:after="0" w:line="196" w:lineRule="exact"/>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EXCHANGE RATE INFORMATION</w:t>
              </w:r>
            </w:hyperlink>
          </w:p>
        </w:tc>
        <w:tc>
          <w:tcPr>
            <w:tcW w:w="2700" w:type="dxa"/>
            <w:vAlign w:val="bottom"/>
            <w:gridSpan w:val="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w:t>
            </w:r>
          </w:p>
        </w:tc>
      </w:tr>
      <w:tr>
        <w:trPr>
          <w:trHeight w:val="196"/>
        </w:trPr>
        <w:tc>
          <w:tcPr>
            <w:tcW w:w="2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b w:val="1"/>
                <w:bCs w:val="1"/>
                <w:color w:val="0000EE"/>
                <w:w w:val="99"/>
              </w:rPr>
            </w:pPr>
            <w:hyperlink w:anchor="page34">
              <w:r>
                <w:rPr>
                  <w:rFonts w:ascii="Times New Roman" w:cs="Times New Roman" w:eastAsia="Times New Roman" w:hAnsi="Times New Roman"/>
                  <w:sz w:val="18"/>
                  <w:szCs w:val="18"/>
                  <w:b w:val="1"/>
                  <w:bCs w:val="1"/>
                  <w:color w:val="0000EE"/>
                  <w:w w:val="99"/>
                </w:rPr>
                <w:t>THE CIVEO SPECIAL MEETING</w:t>
              </w:r>
            </w:hyperlink>
          </w:p>
        </w:tc>
        <w:tc>
          <w:tcPr>
            <w:tcW w:w="180" w:type="dxa"/>
            <w:vAlign w:val="bottom"/>
            <w:tcBorders>
              <w:top w:val="single" w:sz="8" w:color="0000EE"/>
            </w:tcBorders>
            <w:gridSpan w:val="2"/>
          </w:tcPr>
          <w:p>
            <w:pPr>
              <w:spacing w:after="0"/>
              <w:rPr>
                <w:sz w:val="17"/>
                <w:szCs w:val="17"/>
                <w:color w:val="auto"/>
              </w:rPr>
            </w:pPr>
          </w:p>
        </w:tc>
        <w:tc>
          <w:tcPr>
            <w:tcW w:w="6460" w:type="dxa"/>
            <w:vAlign w:val="bottom"/>
            <w:gridSpan w:val="2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w:t>
            </w:r>
          </w:p>
        </w:tc>
      </w:tr>
      <w:tr>
        <w:trPr>
          <w:trHeight w:val="196"/>
        </w:trPr>
        <w:tc>
          <w:tcPr>
            <w:tcW w:w="200" w:type="dxa"/>
            <w:vAlign w:val="bottom"/>
          </w:tcPr>
          <w:p>
            <w:pPr>
              <w:spacing w:after="0"/>
              <w:rPr>
                <w:sz w:val="17"/>
                <w:szCs w:val="17"/>
                <w:color w:val="auto"/>
              </w:rPr>
            </w:pPr>
          </w:p>
        </w:tc>
        <w:tc>
          <w:tcPr>
            <w:tcW w:w="1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b w:val="1"/>
                <w:bCs w:val="1"/>
                <w:color w:val="0000EE"/>
                <w:w w:val="99"/>
              </w:rPr>
            </w:pPr>
            <w:hyperlink w:anchor="page37">
              <w:r>
                <w:rPr>
                  <w:rFonts w:ascii="Times New Roman" w:cs="Times New Roman" w:eastAsia="Times New Roman" w:hAnsi="Times New Roman"/>
                  <w:sz w:val="18"/>
                  <w:szCs w:val="18"/>
                  <w:b w:val="1"/>
                  <w:bCs w:val="1"/>
                  <w:color w:val="0000EE"/>
                  <w:w w:val="99"/>
                </w:rPr>
                <w:t>THE ACQUISITION</w:t>
              </w:r>
            </w:hyperlink>
          </w:p>
        </w:tc>
        <w:tc>
          <w:tcPr>
            <w:tcW w:w="7740" w:type="dxa"/>
            <w:vAlign w:val="bottom"/>
            <w:gridSpan w:val="3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Background of the Acquisition</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Reasons for the Acquisition</w:t>
              </w:r>
            </w:hyperlink>
          </w:p>
        </w:tc>
        <w:tc>
          <w:tcPr>
            <w:tcW w:w="6820" w:type="dxa"/>
            <w:vAlign w:val="bottom"/>
            <w:gridSpan w:val="2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Unaudited Financial Projections of Civeo</w:t>
              </w:r>
            </w:hyperlink>
          </w:p>
        </w:tc>
        <w:tc>
          <w:tcPr>
            <w:tcW w:w="6040" w:type="dxa"/>
            <w:vAlign w:val="bottom"/>
            <w:gridSpan w:val="1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Opinion of Civeo’s Financial Advisor</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Regulatory Approvals</w:t>
              </w:r>
            </w:hyperlink>
          </w:p>
        </w:tc>
        <w:tc>
          <w:tcPr>
            <w:tcW w:w="1120" w:type="dxa"/>
            <w:vAlign w:val="bottom"/>
            <w:tcBorders>
              <w:top w:val="single" w:sz="8" w:color="0000EE"/>
            </w:tcBorders>
            <w:gridSpan w:val="16"/>
          </w:tcPr>
          <w:p>
            <w:pPr>
              <w:spacing w:after="0"/>
              <w:rPr>
                <w:sz w:val="17"/>
                <w:szCs w:val="17"/>
                <w:color w:val="auto"/>
              </w:rPr>
            </w:pPr>
          </w:p>
        </w:tc>
        <w:tc>
          <w:tcPr>
            <w:tcW w:w="632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Listing of the Common Shares on the NYSE</w:t>
              </w:r>
            </w:hyperlink>
          </w:p>
        </w:tc>
        <w:tc>
          <w:tcPr>
            <w:tcW w:w="5820" w:type="dxa"/>
            <w:vAlign w:val="bottom"/>
            <w:gridSpan w:val="1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Material Canadian Federal Income Tax Consequences of the Acquisition to Civeo and Civeo Shareholders</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tcBorders>
              <w:top w:val="single" w:sz="8" w:color="0000EE"/>
            </w:tcBorders>
            <w:gridSpan w:val="45"/>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Anticipated Accounting Treatment</w:t>
              </w:r>
            </w:hyperlink>
          </w:p>
        </w:tc>
        <w:tc>
          <w:tcPr>
            <w:tcW w:w="138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57">
              <w:r>
                <w:rPr>
                  <w:rFonts w:ascii="Times New Roman" w:cs="Times New Roman" w:eastAsia="Times New Roman" w:hAnsi="Times New Roman"/>
                  <w:sz w:val="18"/>
                  <w:szCs w:val="18"/>
                  <w:color w:val="0000EE"/>
                  <w:w w:val="98"/>
                </w:rPr>
                <w:t>Appraisal Rights</w:t>
              </w:r>
            </w:hyperlink>
          </w:p>
        </w:tc>
        <w:tc>
          <w:tcPr>
            <w:tcW w:w="1280" w:type="dxa"/>
            <w:vAlign w:val="bottom"/>
            <w:tcBorders>
              <w:top w:val="single" w:sz="8" w:color="0000EE"/>
            </w:tcBorders>
            <w:gridSpan w:val="18"/>
          </w:tcPr>
          <w:p>
            <w:pPr>
              <w:spacing w:after="0"/>
              <w:rPr>
                <w:sz w:val="17"/>
                <w:szCs w:val="17"/>
                <w:color w:val="auto"/>
              </w:rPr>
            </w:pPr>
          </w:p>
        </w:tc>
        <w:tc>
          <w:tcPr>
            <w:tcW w:w="6540" w:type="dxa"/>
            <w:vAlign w:val="bottom"/>
            <w:gridSpan w:val="2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200" w:type="dxa"/>
            <w:vAlign w:val="bottom"/>
          </w:tcPr>
          <w:p>
            <w:pPr>
              <w:spacing w:after="0"/>
              <w:rPr>
                <w:sz w:val="17"/>
                <w:szCs w:val="17"/>
                <w:color w:val="auto"/>
              </w:rPr>
            </w:pPr>
          </w:p>
        </w:tc>
        <w:tc>
          <w:tcPr>
            <w:tcW w:w="26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b w:val="1"/>
                <w:bCs w:val="1"/>
                <w:color w:val="0000EE"/>
                <w:w w:val="99"/>
              </w:rPr>
            </w:pPr>
            <w:hyperlink w:anchor="page58">
              <w:r>
                <w:rPr>
                  <w:rFonts w:ascii="Times New Roman" w:cs="Times New Roman" w:eastAsia="Times New Roman" w:hAnsi="Times New Roman"/>
                  <w:sz w:val="18"/>
                  <w:szCs w:val="18"/>
                  <w:b w:val="1"/>
                  <w:bCs w:val="1"/>
                  <w:color w:val="0000EE"/>
                  <w:w w:val="99"/>
                </w:rPr>
                <w:t>THE PURCHASE AGREEMENT</w:t>
              </w:r>
            </w:hyperlink>
          </w:p>
        </w:tc>
        <w:tc>
          <w:tcPr>
            <w:tcW w:w="6740" w:type="dxa"/>
            <w:vAlign w:val="bottom"/>
            <w:gridSpan w:val="2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The Acquisition</w:t>
              </w:r>
            </w:hyperlink>
          </w:p>
        </w:tc>
        <w:tc>
          <w:tcPr>
            <w:tcW w:w="7860" w:type="dxa"/>
            <w:vAlign w:val="bottom"/>
            <w:gridSpan w:val="4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Purchase Consideration</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w:anchor="page58">
              <w:r>
                <w:rPr>
                  <w:rFonts w:ascii="Times New Roman" w:cs="Times New Roman" w:eastAsia="Times New Roman" w:hAnsi="Times New Roman"/>
                  <w:sz w:val="18"/>
                  <w:szCs w:val="18"/>
                  <w:color w:val="0000EE"/>
                  <w:w w:val="98"/>
                </w:rPr>
                <w:t>Representations and Warranties</w:t>
              </w:r>
            </w:hyperlink>
          </w:p>
        </w:tc>
        <w:tc>
          <w:tcPr>
            <w:tcW w:w="6760" w:type="dxa"/>
            <w:vAlign w:val="bottom"/>
            <w:gridSpan w:val="2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Material Adverse Effect</w:t>
              </w:r>
            </w:hyperlink>
          </w:p>
        </w:tc>
        <w:tc>
          <w:tcPr>
            <w:tcW w:w="7300" w:type="dxa"/>
            <w:vAlign w:val="bottom"/>
            <w:gridSpan w:val="2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8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Survival of Covenants, Representations and Warranties</w:t>
              </w:r>
            </w:hyperlink>
          </w:p>
        </w:tc>
        <w:tc>
          <w:tcPr>
            <w:tcW w:w="5060" w:type="dxa"/>
            <w:vAlign w:val="bottom"/>
            <w:gridSpan w:val="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Covenants of the Sellers and Noralta</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Covenants of Civeo</w:t>
              </w:r>
            </w:hyperlink>
          </w:p>
        </w:tc>
        <w:tc>
          <w:tcPr>
            <w:tcW w:w="1160" w:type="dxa"/>
            <w:vAlign w:val="bottom"/>
            <w:tcBorders>
              <w:top w:val="single" w:sz="8" w:color="0000EE"/>
            </w:tcBorders>
            <w:gridSpan w:val="15"/>
          </w:tcPr>
          <w:p>
            <w:pPr>
              <w:spacing w:after="0"/>
              <w:rPr>
                <w:sz w:val="17"/>
                <w:szCs w:val="17"/>
                <w:color w:val="auto"/>
              </w:rPr>
            </w:pPr>
          </w:p>
        </w:tc>
        <w:tc>
          <w:tcPr>
            <w:tcW w:w="6400" w:type="dxa"/>
            <w:vAlign w:val="bottom"/>
            <w:gridSpan w:val="1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Mutual Covenants</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Indemnification</w:t>
              </w:r>
            </w:hyperlink>
          </w:p>
        </w:tc>
        <w:tc>
          <w:tcPr>
            <w:tcW w:w="160" w:type="dxa"/>
            <w:vAlign w:val="bottom"/>
            <w:tcBorders>
              <w:top w:val="single" w:sz="8" w:color="0000EE"/>
            </w:tcBorders>
            <w:gridSpan w:val="6"/>
          </w:tcPr>
          <w:p>
            <w:pPr>
              <w:spacing w:after="0"/>
              <w:rPr>
                <w:sz w:val="17"/>
                <w:szCs w:val="17"/>
                <w:color w:val="auto"/>
              </w:rPr>
            </w:pPr>
          </w:p>
        </w:tc>
        <w:tc>
          <w:tcPr>
            <w:tcW w:w="7720" w:type="dxa"/>
            <w:vAlign w:val="bottom"/>
            <w:gridSpan w:val="3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Conditions Precedent to the Acquisition</w:t>
              </w:r>
            </w:hyperlink>
          </w:p>
        </w:tc>
        <w:tc>
          <w:tcPr>
            <w:tcW w:w="6140" w:type="dxa"/>
            <w:vAlign w:val="bottom"/>
            <w:gridSpan w:val="1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Termination of the Purchase Agreement</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Professional Fees</w:t>
              </w:r>
            </w:hyperlink>
          </w:p>
        </w:tc>
        <w:tc>
          <w:tcPr>
            <w:tcW w:w="6160" w:type="dxa"/>
            <w:vAlign w:val="bottom"/>
            <w:gridSpan w:val="1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140" w:type="dxa"/>
            <w:vAlign w:val="bottom"/>
            <w:gridSpan w:val="15"/>
          </w:tcPr>
          <w:p>
            <w:pPr>
              <w:spacing w:after="0" w:line="20" w:lineRule="exact"/>
              <w:rPr>
                <w:sz w:val="1"/>
                <w:szCs w:val="1"/>
                <w:color w:val="auto"/>
              </w:rPr>
            </w:pPr>
          </w:p>
        </w:tc>
        <w:tc>
          <w:tcPr>
            <w:tcW w:w="6180" w:type="dxa"/>
            <w:vAlign w:val="bottom"/>
            <w:gridSpan w:val="1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Dispute Resolution</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20" w:type="dxa"/>
            <w:vAlign w:val="bottom"/>
            <w:gridSpan w:val="7"/>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140" w:type="dxa"/>
            <w:vAlign w:val="bottom"/>
            <w:gridSpan w:val="15"/>
          </w:tcPr>
          <w:p>
            <w:pPr>
              <w:spacing w:after="0" w:line="20" w:lineRule="exact"/>
              <w:rPr>
                <w:sz w:val="1"/>
                <w:szCs w:val="1"/>
                <w:color w:val="auto"/>
              </w:rPr>
            </w:pPr>
          </w:p>
        </w:tc>
        <w:tc>
          <w:tcPr>
            <w:tcW w:w="6180" w:type="dxa"/>
            <w:vAlign w:val="bottom"/>
            <w:gridSpan w:val="1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Public Announcement/Proxy Statement</w:t>
              </w:r>
            </w:hyperlink>
          </w:p>
        </w:tc>
        <w:tc>
          <w:tcPr>
            <w:tcW w:w="6180" w:type="dxa"/>
            <w:vAlign w:val="bottom"/>
            <w:gridSpan w:val="1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Applicable Law</w:t>
              </w:r>
            </w:hyperlink>
          </w:p>
        </w:tc>
        <w:tc>
          <w:tcPr>
            <w:tcW w:w="7880" w:type="dxa"/>
            <w:vAlign w:val="bottom"/>
            <w:gridSpan w:val="4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Successors and Assigns</w:t>
              </w:r>
            </w:hyperlink>
          </w:p>
        </w:tc>
        <w:tc>
          <w:tcPr>
            <w:tcW w:w="7320" w:type="dxa"/>
            <w:vAlign w:val="bottom"/>
            <w:gridSpan w:val="3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bl>
    <w:p>
      <w:pPr>
        <w:jc w:val="right"/>
        <w:spacing w:after="0" w:line="196" w:lineRule="exact"/>
        <w:rPr>
          <w:sz w:val="20"/>
          <w:szCs w:val="20"/>
          <w:color w:val="auto"/>
        </w:rPr>
        <w:sectPr>
          <w:pgSz w:w="11900" w:h="16838" w:orient="portrait"/>
          <w:cols w:equalWidth="0" w:num="1">
            <w:col w:w="11160"/>
          </w:cols>
          <w:pgMar w:left="24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7">
              <w:r>
                <w:rPr>
                  <w:rFonts w:ascii="Times New Roman" w:cs="Times New Roman" w:eastAsia="Times New Roman" w:hAnsi="Times New Roman"/>
                  <w:sz w:val="18"/>
                  <w:szCs w:val="18"/>
                  <w:b w:val="1"/>
                  <w:bCs w:val="1"/>
                  <w:color w:val="0000EE"/>
                  <w:w w:val="97"/>
                </w:rPr>
                <w:t>Table of Contents</w:t>
              </w:r>
            </w:hyperlink>
          </w:p>
        </w:tc>
        <w:tc>
          <w:tcPr>
            <w:tcW w:w="6860" w:type="dxa"/>
            <w:vAlign w:val="bottom"/>
            <w:gridSpan w:val="24"/>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Amendment and Waiver</w:t>
              </w:r>
            </w:hyperlink>
          </w:p>
        </w:tc>
        <w:tc>
          <w:tcPr>
            <w:tcW w:w="5900" w:type="dxa"/>
            <w:vAlign w:val="bottom"/>
            <w:gridSpan w:val="20"/>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gridSpan w:val="25"/>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Civeo Board Following Closing</w:t>
              </w:r>
            </w:hyperlink>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69">
              <w:r>
                <w:rPr>
                  <w:rFonts w:ascii="Times New Roman" w:cs="Times New Roman" w:eastAsia="Times New Roman" w:hAnsi="Times New Roman"/>
                  <w:sz w:val="18"/>
                  <w:szCs w:val="18"/>
                  <w:color w:val="0000EE"/>
                  <w:w w:val="98"/>
                </w:rPr>
                <w:t>Third Parties</w:t>
              </w:r>
            </w:hyperlink>
          </w:p>
        </w:tc>
        <w:tc>
          <w:tcPr>
            <w:tcW w:w="1360" w:type="dxa"/>
            <w:vAlign w:val="bottom"/>
            <w:tcBorders>
              <w:top w:val="single" w:sz="8" w:color="0000EE"/>
            </w:tcBorders>
            <w:gridSpan w:val="6"/>
          </w:tcPr>
          <w:p>
            <w:pPr>
              <w:spacing w:after="0"/>
              <w:rPr>
                <w:sz w:val="17"/>
                <w:szCs w:val="17"/>
                <w:color w:val="auto"/>
              </w:rPr>
            </w:pPr>
          </w:p>
        </w:tc>
        <w:tc>
          <w:tcPr>
            <w:tcW w:w="5360" w:type="dxa"/>
            <w:vAlign w:val="bottom"/>
            <w:gridSpan w:val="1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b w:val="1"/>
                <w:bCs w:val="1"/>
                <w:color w:val="0000EE"/>
                <w:w w:val="99"/>
              </w:rPr>
            </w:pPr>
            <w:hyperlink w:anchor="page70">
              <w:r>
                <w:rPr>
                  <w:rFonts w:ascii="Times New Roman" w:cs="Times New Roman" w:eastAsia="Times New Roman" w:hAnsi="Times New Roman"/>
                  <w:sz w:val="18"/>
                  <w:szCs w:val="18"/>
                  <w:b w:val="1"/>
                  <w:bCs w:val="1"/>
                  <w:color w:val="0000EE"/>
                  <w:w w:val="99"/>
                </w:rPr>
                <w:t>THE REGISTRATION RIGHTS AGREEMENT</w:t>
              </w:r>
            </w:hyperlink>
          </w:p>
        </w:tc>
        <w:tc>
          <w:tcPr>
            <w:tcW w:w="422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Shelf Registration Statement</w:t>
              </w:r>
            </w:hyperlink>
          </w:p>
        </w:tc>
        <w:tc>
          <w:tcPr>
            <w:tcW w:w="5580" w:type="dxa"/>
            <w:vAlign w:val="bottom"/>
            <w:gridSpan w:val="1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70">
              <w:r>
                <w:rPr>
                  <w:rFonts w:ascii="Times New Roman" w:cs="Times New Roman" w:eastAsia="Times New Roman" w:hAnsi="Times New Roman"/>
                  <w:sz w:val="18"/>
                  <w:szCs w:val="18"/>
                  <w:color w:val="0000EE"/>
                  <w:w w:val="98"/>
                </w:rPr>
                <w:t>Piggyback Rights</w:t>
              </w:r>
            </w:hyperlink>
          </w:p>
        </w:tc>
        <w:tc>
          <w:tcPr>
            <w:tcW w:w="6380" w:type="dxa"/>
            <w:vAlign w:val="bottom"/>
            <w:gridSpan w:val="2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Limitations; Expenses; Indemnification</w:t>
              </w:r>
            </w:hyperlink>
          </w:p>
        </w:tc>
        <w:tc>
          <w:tcPr>
            <w:tcW w:w="480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71">
              <w:r>
                <w:rPr>
                  <w:rFonts w:ascii="Times New Roman" w:cs="Times New Roman" w:eastAsia="Times New Roman" w:hAnsi="Times New Roman"/>
                  <w:sz w:val="18"/>
                  <w:szCs w:val="18"/>
                  <w:color w:val="0000EE"/>
                  <w:w w:val="98"/>
                </w:rPr>
                <w:t>Standstill and Voting Restrictions</w:t>
              </w:r>
            </w:hyperlink>
          </w:p>
        </w:tc>
        <w:tc>
          <w:tcPr>
            <w:tcW w:w="5240" w:type="dxa"/>
            <w:vAlign w:val="bottom"/>
            <w:gridSpan w:val="1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71">
              <w:r>
                <w:rPr>
                  <w:rFonts w:ascii="Times New Roman" w:cs="Times New Roman" w:eastAsia="Times New Roman" w:hAnsi="Times New Roman"/>
                  <w:sz w:val="18"/>
                  <w:szCs w:val="18"/>
                  <w:color w:val="0000EE"/>
                  <w:w w:val="98"/>
                </w:rPr>
                <w:t>Restrictions on Transfer</w:t>
              </w:r>
            </w:hyperlink>
          </w:p>
        </w:tc>
        <w:tc>
          <w:tcPr>
            <w:tcW w:w="5920" w:type="dxa"/>
            <w:vAlign w:val="bottom"/>
            <w:gridSpan w:val="2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Times New Roman" w:cs="Times New Roman" w:eastAsia="Times New Roman" w:hAnsi="Times New Roman"/>
                <w:sz w:val="18"/>
                <w:szCs w:val="18"/>
                <w:b w:val="1"/>
                <w:bCs w:val="1"/>
                <w:color w:val="0000EE"/>
              </w:rPr>
            </w:pPr>
            <w:hyperlink w:anchor="page72">
              <w:r>
                <w:rPr>
                  <w:rFonts w:ascii="Times New Roman" w:cs="Times New Roman" w:eastAsia="Times New Roman" w:hAnsi="Times New Roman"/>
                  <w:sz w:val="18"/>
                  <w:szCs w:val="18"/>
                  <w:b w:val="1"/>
                  <w:bCs w:val="1"/>
                  <w:color w:val="0000EE"/>
                </w:rPr>
                <w:t>DESCRIPTION OF THE PREFERRED SHARES</w:t>
              </w:r>
            </w:hyperlink>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b w:val="1"/>
                <w:bCs w:val="1"/>
                <w:color w:val="0000EE"/>
                <w:w w:val="99"/>
              </w:rPr>
            </w:pPr>
            <w:hyperlink w:anchor="page73">
              <w:r>
                <w:rPr>
                  <w:rFonts w:ascii="Times New Roman" w:cs="Times New Roman" w:eastAsia="Times New Roman" w:hAnsi="Times New Roman"/>
                  <w:sz w:val="18"/>
                  <w:szCs w:val="18"/>
                  <w:b w:val="1"/>
                  <w:bCs w:val="1"/>
                  <w:color w:val="0000EE"/>
                  <w:w w:val="99"/>
                </w:rPr>
                <w:t>DESCRIPTION OF CIVEO SHARE CAPITAL</w:t>
              </w:r>
            </w:hyperlink>
          </w:p>
        </w:tc>
        <w:tc>
          <w:tcPr>
            <w:tcW w:w="180" w:type="dxa"/>
            <w:vAlign w:val="bottom"/>
            <w:tcBorders>
              <w:top w:val="single" w:sz="8" w:color="0000EE"/>
            </w:tcBorders>
            <w:gridSpan w:val="3"/>
          </w:tcPr>
          <w:p>
            <w:pPr>
              <w:spacing w:after="0"/>
              <w:rPr>
                <w:sz w:val="17"/>
                <w:szCs w:val="17"/>
                <w:color w:val="auto"/>
              </w:rPr>
            </w:pPr>
          </w:p>
        </w:tc>
        <w:tc>
          <w:tcPr>
            <w:tcW w:w="414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Times New Roman" w:cs="Times New Roman" w:eastAsia="Times New Roman" w:hAnsi="Times New Roman"/>
                <w:sz w:val="18"/>
                <w:szCs w:val="18"/>
                <w:b w:val="1"/>
                <w:bCs w:val="1"/>
                <w:color w:val="0000EE"/>
              </w:rPr>
            </w:pPr>
            <w:hyperlink w:anchor="page77">
              <w:r>
                <w:rPr>
                  <w:rFonts w:ascii="Times New Roman" w:cs="Times New Roman" w:eastAsia="Times New Roman" w:hAnsi="Times New Roman"/>
                  <w:sz w:val="18"/>
                  <w:szCs w:val="18"/>
                  <w:b w:val="1"/>
                  <w:bCs w:val="1"/>
                  <w:color w:val="0000EE"/>
                </w:rPr>
                <w:t>PRINCIPAL SHAREHOLDERS OF CIVEO AFTER THE ACQUISITION</w:t>
              </w:r>
            </w:hyperlink>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8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b w:val="1"/>
                <w:bCs w:val="1"/>
                <w:color w:val="0000EE"/>
              </w:rPr>
            </w:pPr>
            <w:hyperlink w:anchor="page78">
              <w:r>
                <w:rPr>
                  <w:rFonts w:ascii="Times New Roman" w:cs="Times New Roman" w:eastAsia="Times New Roman" w:hAnsi="Times New Roman"/>
                  <w:sz w:val="18"/>
                  <w:szCs w:val="18"/>
                  <w:b w:val="1"/>
                  <w:bCs w:val="1"/>
                  <w:color w:val="0000EE"/>
                </w:rPr>
                <w:t>MARKET PRICE AND DIVIDEND INFORMATION</w:t>
              </w:r>
            </w:hyperlink>
          </w:p>
        </w:tc>
        <w:tc>
          <w:tcPr>
            <w:tcW w:w="2200" w:type="dxa"/>
            <w:vAlign w:val="bottom"/>
            <w:gridSpan w:val="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9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b w:val="1"/>
                <w:bCs w:val="1"/>
                <w:color w:val="0000EE"/>
                <w:w w:val="99"/>
              </w:rPr>
            </w:pPr>
            <w:hyperlink w:anchor="page79">
              <w:r>
                <w:rPr>
                  <w:rFonts w:ascii="Times New Roman" w:cs="Times New Roman" w:eastAsia="Times New Roman" w:hAnsi="Times New Roman"/>
                  <w:sz w:val="18"/>
                  <w:szCs w:val="18"/>
                  <w:b w:val="1"/>
                  <w:bCs w:val="1"/>
                  <w:color w:val="0000EE"/>
                  <w:w w:val="99"/>
                </w:rPr>
                <w:t>UNAUDITED PRO FORMA COMBINED FINANCIAL DATA</w:t>
              </w:r>
            </w:hyperlink>
          </w:p>
        </w:tc>
        <w:tc>
          <w:tcPr>
            <w:tcW w:w="3120" w:type="dxa"/>
            <w:vAlign w:val="bottom"/>
            <w:gridSpan w:val="4"/>
          </w:tcPr>
          <w:p>
            <w:pPr>
              <w:spacing w:after="0"/>
              <w:rPr>
                <w:sz w:val="17"/>
                <w:szCs w:val="17"/>
                <w:color w:val="auto"/>
              </w:rPr>
            </w:pP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0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b w:val="1"/>
                <w:bCs w:val="1"/>
                <w:color w:val="0000EE"/>
                <w:w w:val="99"/>
              </w:rPr>
            </w:pPr>
            <w:hyperlink w:anchor="page92">
              <w:r>
                <w:rPr>
                  <w:rFonts w:ascii="Times New Roman" w:cs="Times New Roman" w:eastAsia="Times New Roman" w:hAnsi="Times New Roman"/>
                  <w:sz w:val="18"/>
                  <w:szCs w:val="18"/>
                  <w:b w:val="1"/>
                  <w:bCs w:val="1"/>
                  <w:color w:val="0000EE"/>
                  <w:w w:val="99"/>
                </w:rPr>
                <w:t>SECURITY OWNERSHIP OF CERTAIN BENEFICIAL OWNERS AND MANAGEMENT OF CIVEO</w:t>
              </w:r>
            </w:hyperlink>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Times New Roman" w:cs="Times New Roman" w:eastAsia="Times New Roman" w:hAnsi="Times New Roman"/>
                <w:sz w:val="18"/>
                <w:szCs w:val="18"/>
                <w:b w:val="1"/>
                <w:bCs w:val="1"/>
                <w:color w:val="0000EE"/>
              </w:rPr>
            </w:pPr>
            <w:hyperlink w:anchor="page94">
              <w:r>
                <w:rPr>
                  <w:rFonts w:ascii="Times New Roman" w:cs="Times New Roman" w:eastAsia="Times New Roman" w:hAnsi="Times New Roman"/>
                  <w:sz w:val="18"/>
                  <w:szCs w:val="18"/>
                  <w:b w:val="1"/>
                  <w:bCs w:val="1"/>
                  <w:color w:val="0000EE"/>
                </w:rPr>
                <w:t>ADDITIONAL INFORMATION</w:t>
              </w:r>
            </w:hyperlink>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b w:val="1"/>
                <w:bCs w:val="1"/>
                <w:color w:val="0000EE"/>
                <w:w w:val="99"/>
              </w:rPr>
            </w:pPr>
            <w:hyperlink w:anchor="page94">
              <w:r>
                <w:rPr>
                  <w:rFonts w:ascii="Times New Roman" w:cs="Times New Roman" w:eastAsia="Times New Roman" w:hAnsi="Times New Roman"/>
                  <w:sz w:val="18"/>
                  <w:szCs w:val="18"/>
                  <w:b w:val="1"/>
                  <w:bCs w:val="1"/>
                  <w:color w:val="0000EE"/>
                  <w:w w:val="99"/>
                </w:rPr>
                <w:t>FUTURE SHAREHOLDER PROPOSALS</w:t>
              </w:r>
            </w:hyperlink>
          </w:p>
        </w:tc>
        <w:tc>
          <w:tcPr>
            <w:tcW w:w="4700" w:type="dxa"/>
            <w:vAlign w:val="bottom"/>
            <w:gridSpan w:val="13"/>
          </w:tcPr>
          <w:p>
            <w:pPr>
              <w:spacing w:after="0"/>
              <w:rPr>
                <w:sz w:val="17"/>
                <w:szCs w:val="17"/>
                <w:color w:val="auto"/>
              </w:rPr>
            </w:pP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Times New Roman" w:cs="Times New Roman" w:eastAsia="Times New Roman" w:hAnsi="Times New Roman"/>
                <w:sz w:val="18"/>
                <w:szCs w:val="18"/>
                <w:b w:val="1"/>
                <w:bCs w:val="1"/>
                <w:color w:val="0000EE"/>
              </w:rPr>
            </w:pPr>
            <w:hyperlink w:anchor="page95">
              <w:r>
                <w:rPr>
                  <w:rFonts w:ascii="Times New Roman" w:cs="Times New Roman" w:eastAsia="Times New Roman" w:hAnsi="Times New Roman"/>
                  <w:sz w:val="18"/>
                  <w:szCs w:val="18"/>
                  <w:b w:val="1"/>
                  <w:bCs w:val="1"/>
                  <w:color w:val="0000EE"/>
                </w:rPr>
                <w:t>HOUSEHOLDING OF PROXY MATERIALS</w:t>
              </w:r>
            </w:hyperlink>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b w:val="1"/>
                <w:bCs w:val="1"/>
                <w:color w:val="0000EE"/>
                <w:w w:val="99"/>
              </w:rPr>
            </w:pPr>
            <w:hyperlink w:anchor="page96">
              <w:r>
                <w:rPr>
                  <w:rFonts w:ascii="Times New Roman" w:cs="Times New Roman" w:eastAsia="Times New Roman" w:hAnsi="Times New Roman"/>
                  <w:sz w:val="18"/>
                  <w:szCs w:val="18"/>
                  <w:b w:val="1"/>
                  <w:bCs w:val="1"/>
                  <w:color w:val="0000EE"/>
                  <w:w w:val="99"/>
                </w:rPr>
                <w:t>INCORPORATION BY REFERENCE</w:t>
              </w:r>
            </w:hyperlink>
          </w:p>
        </w:tc>
        <w:tc>
          <w:tcPr>
            <w:tcW w:w="580" w:type="dxa"/>
            <w:vAlign w:val="bottom"/>
            <w:tcBorders>
              <w:top w:val="single" w:sz="8" w:color="0000EE"/>
            </w:tcBorders>
            <w:gridSpan w:val="4"/>
          </w:tcPr>
          <w:p>
            <w:pPr>
              <w:spacing w:after="0"/>
              <w:rPr>
                <w:sz w:val="17"/>
                <w:szCs w:val="17"/>
                <w:color w:val="auto"/>
              </w:rPr>
            </w:pPr>
          </w:p>
        </w:tc>
        <w:tc>
          <w:tcPr>
            <w:tcW w:w="442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304"/>
        </w:trPr>
        <w:tc>
          <w:tcPr>
            <w:tcW w:w="200" w:type="dxa"/>
            <w:vAlign w:val="bottom"/>
          </w:tcPr>
          <w:p>
            <w:pPr>
              <w:spacing w:after="0"/>
              <w:rPr>
                <w:sz w:val="24"/>
                <w:szCs w:val="24"/>
                <w:color w:val="auto"/>
              </w:rPr>
            </w:pPr>
          </w:p>
        </w:tc>
        <w:tc>
          <w:tcPr>
            <w:tcW w:w="8020" w:type="dxa"/>
            <w:vAlign w:val="bottom"/>
            <w:gridSpan w:val="26"/>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ANNEX A – THE PURCHASE AGREEMENT</w:t>
              </w:r>
            </w:hyperlink>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60" w:type="dxa"/>
            <w:vAlign w:val="bottom"/>
            <w:gridSpan w:val="1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3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181">
              <w:r>
                <w:rPr>
                  <w:rFonts w:ascii="Times New Roman" w:cs="Times New Roman" w:eastAsia="Times New Roman" w:hAnsi="Times New Roman"/>
                  <w:sz w:val="18"/>
                  <w:szCs w:val="18"/>
                  <w:color w:val="0000EE"/>
                  <w:w w:val="99"/>
                </w:rPr>
                <w:t>ANNEX B – FORM OF REGISTRATION RIGHTS, LOCK-UP AND STANDSTILL AGREEMENT</w:t>
              </w:r>
            </w:hyperlink>
          </w:p>
        </w:tc>
        <w:tc>
          <w:tcPr>
            <w:tcW w:w="64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206">
              <w:r>
                <w:rPr>
                  <w:rFonts w:ascii="Times New Roman" w:cs="Times New Roman" w:eastAsia="Times New Roman" w:hAnsi="Times New Roman"/>
                  <w:sz w:val="18"/>
                  <w:szCs w:val="18"/>
                  <w:color w:val="0000EE"/>
                  <w:w w:val="99"/>
                </w:rPr>
                <w:t>ANNEX C – FORM OF AMENDMENT TO ARTICLES</w:t>
              </w:r>
            </w:hyperlink>
          </w:p>
        </w:tc>
        <w:tc>
          <w:tcPr>
            <w:tcW w:w="384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224">
              <w:r>
                <w:rPr>
                  <w:rFonts w:ascii="Times New Roman" w:cs="Times New Roman" w:eastAsia="Times New Roman" w:hAnsi="Times New Roman"/>
                  <w:sz w:val="18"/>
                  <w:szCs w:val="18"/>
                  <w:color w:val="0000EE"/>
                </w:rPr>
                <w:t>ANNEX D – OPINION OF LAZARD FRÈRES &amp; CO. LLC</w:t>
              </w:r>
            </w:hyperlink>
          </w:p>
        </w:tc>
        <w:tc>
          <w:tcPr>
            <w:tcW w:w="35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w:anchor="page228">
              <w:r>
                <w:rPr>
                  <w:rFonts w:ascii="Times New Roman" w:cs="Times New Roman" w:eastAsia="Times New Roman" w:hAnsi="Times New Roman"/>
                  <w:sz w:val="18"/>
                  <w:szCs w:val="18"/>
                  <w:color w:val="0000EE"/>
                  <w:w w:val="98"/>
                </w:rPr>
                <w:t>ANNEX E – NORALTA LODGE LTD. BUSINESS</w:t>
              </w:r>
            </w:hyperlink>
          </w:p>
        </w:tc>
        <w:tc>
          <w:tcPr>
            <w:tcW w:w="424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Times New Roman" w:cs="Times New Roman" w:eastAsia="Times New Roman" w:hAnsi="Times New Roman"/>
                <w:sz w:val="18"/>
                <w:szCs w:val="18"/>
                <w:color w:val="0000EE"/>
              </w:rPr>
            </w:pPr>
            <w:hyperlink w:anchor="page240">
              <w:r>
                <w:rPr>
                  <w:rFonts w:ascii="Times New Roman" w:cs="Times New Roman" w:eastAsia="Times New Roman" w:hAnsi="Times New Roman"/>
                  <w:sz w:val="18"/>
                  <w:szCs w:val="18"/>
                  <w:color w:val="0000EE"/>
                </w:rPr>
                <w:t>ANNEX F – NORALTA LODGE LTD. CONSOLIDATED FINANCIAL STATEMENTS</w:t>
              </w:r>
            </w:hyperlink>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QUESTIONS AND ANSWERS ABOUT THE ACQUISITION</w:t>
      </w:r>
    </w:p>
    <w:p>
      <w:pPr>
        <w:spacing w:after="0" w:line="227"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As used in this proxy statement, references to Civeo, we, us and our refer to Civeo Corporation, a corporation incorporated under the laws of the Province of British Columbia, references to Noralta refer to Noralta Lodge Ltd., a corporation incorporated under the laws of the Province of Alberta, or its successor following a pre-closing amalgamation contemplated by the Purchase Agreement, references to the Purchase Agreement refer to the Share Purchase Agreement dated November 26, 2017, by and among Civeo, Noralta, the Torgerson Family Trust, 2073357 Alberta Ltd., 2073358 Alberta Ltd., 1818939 Alberta Ltd., 2040618 Alberta Ltd., 2040624 Alberta Ltd., 989677 Alberta Ltd. and Lance Torgerson, a copy of which is attached as Annex A to this proxy statement, references to the Registration Rights Agreement refer to the Registration Rights, Lock-Up and Standstill Agreement to be entered into by and among Civeo, the Torgerson Family Trust and 989677 Alberta Ltd. at the closing of the Acquisition, a copy of which is attached as Annex B to this proxy statement, references to the Acquisition refer to the Acquisition of Noralta by Civeo contemplated under the Purchase Agreement whereby Noralta will become a wholly-owned subsidiary of Civeo, references to the Civeo Board refer to the board of directors of Civeo, references to Articles refer to the Amended and Restated Articles of Civeo, references to the closing date refer to the closing date of the Acquisition as contemplated under the Purchase Agreement, references to the Common Shares refer to the common shares, no par value, of Civeo, references to the Preferred Shares refer to the Class A Series 1 Preferred Shares, no par value, of Civeo having the terms contained in the proposed amendment to the Articles attached as Annex C to this proxy statement, and references to the special meeting refer to the special meeting of Civeo shareholders. All references to $, US$ or U.S. dollars in this proxy statement are to the currency of the United States, and references to C$ or CAD in this proxy statement are to the currency of Canada.</w:t>
      </w:r>
    </w:p>
    <w:p>
      <w:pPr>
        <w:spacing w:after="0" w:line="197" w:lineRule="exact"/>
        <w:rPr>
          <w:sz w:val="20"/>
          <w:szCs w:val="20"/>
          <w:color w:val="auto"/>
        </w:rPr>
      </w:pPr>
    </w:p>
    <w:p>
      <w:pPr>
        <w:jc w:val="both"/>
        <w:ind w:left="200" w:right="18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section provides answers to frequently asked questions about the Acquisition and the special meeting. This section, however, only provides summary information. Civeo urges you to carefully read the remainder of this proxy statement, including the annexes to this proxy statement, because the information in this section does not provide all of the information that might be important to you regarding the Acquisition and the other matters being considered at the special meeting.</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is the Acquisition?</w:t>
      </w:r>
    </w:p>
    <w:p>
      <w:pPr>
        <w:spacing w:after="0" w:line="121" w:lineRule="exact"/>
        <w:rPr>
          <w:sz w:val="20"/>
          <w:szCs w:val="20"/>
          <w:color w:val="auto"/>
        </w:rPr>
      </w:pPr>
    </w:p>
    <w:p>
      <w:pPr>
        <w:ind w:left="200" w:right="360" w:firstLine="4"/>
        <w:spacing w:after="0" w:line="282" w:lineRule="auto"/>
        <w:tabs>
          <w:tab w:leader="none" w:pos="4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and subject to the conditions set forth in the Purchase Agreement, at closing, Civeo will acquire, directly or indirectly, all of the issued and outstanding shares of Noralta.</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Why am I receiving this proxy statement?</w:t>
      </w:r>
    </w:p>
    <w:p>
      <w:pPr>
        <w:spacing w:after="0" w:line="121" w:lineRule="exact"/>
        <w:rPr>
          <w:sz w:val="20"/>
          <w:szCs w:val="20"/>
          <w:color w:val="auto"/>
        </w:rPr>
      </w:pPr>
    </w:p>
    <w:p>
      <w:pPr>
        <w:ind w:left="200" w:right="260" w:firstLine="4"/>
        <w:spacing w:after="0" w:line="282" w:lineRule="auto"/>
        <w:tabs>
          <w:tab w:leader="none" w:pos="4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you will be asked to approve the issuance of Common Shares and the Preferred Shares, together with the issuance of Common Shares upon any conversion of the Preferred Shares, upon the consummation of the transactions contemplated by the Purchase Agreement.</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We encourage you to read this proxy statement carefully, as it contains important information about the share issuance proposal and the special meeting.</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Your vote is important. You do not need to attend the special meeting in person to vote. We encourage you to vote as soon as possible.</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When and where is the Civeo special meeting?</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 The special meeting will be held at the Doubletree Houston at 400 Dallas Street, Houston, Texas 77002, on March 28, 2018 at 9:00 a.m., local time.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is required to consummate the Acquisition?</w:t>
      </w:r>
    </w:p>
    <w:p>
      <w:pPr>
        <w:spacing w:after="0" w:line="121" w:lineRule="exact"/>
        <w:rPr>
          <w:sz w:val="20"/>
          <w:szCs w:val="20"/>
          <w:color w:val="auto"/>
        </w:rPr>
      </w:pPr>
    </w:p>
    <w:p>
      <w:pPr>
        <w:ind w:left="200" w:right="100" w:firstLine="4"/>
        <w:spacing w:after="0" w:line="261" w:lineRule="auto"/>
        <w:tabs>
          <w:tab w:leader="none" w:pos="4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consummate the Acquisition, Civeo shareholders must approve the share issuance proposal. The affirmative vote of the holders of a majority of the Common Shares present in person or represented by proxy and entitled to vote at the special meeting, assuming a quorum is present, is required for the approval of the proposal. For more information, please see the sections entitled “Matters Being Submitted to a Vote” and “The Civeo Special Meeting – Record Date, Quorum, Voting Requirements and Outstanding Shares.”</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80"/>
          </w:cols>
          <w:pgMar w:left="240" w:top="455" w:right="4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In addition to the requirement of obtaining such shareholder approval and appropriate regulatory approvals, each of the other closing conditions set forth in the Purchase Agreement must be satisfied or waived. For a more complete description of the closing conditions under the Purchase Agreement, please see the section entitled “The Purchase Agreement – Conditions Precedent to the Acquisition.”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When does Civeo expect to complete the Acquisition?</w:t>
      </w:r>
    </w:p>
    <w:p>
      <w:pPr>
        <w:spacing w:after="0" w:line="121" w:lineRule="exact"/>
        <w:rPr>
          <w:sz w:val="20"/>
          <w:szCs w:val="20"/>
          <w:color w:val="auto"/>
        </w:rPr>
      </w:pPr>
    </w:p>
    <w:p>
      <w:pPr>
        <w:ind w:left="200" w:right="40" w:firstLine="4"/>
        <w:spacing w:after="0" w:line="258" w:lineRule="auto"/>
        <w:tabs>
          <w:tab w:leader="none" w:pos="4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and Noralta are working to complete the Acquisition as soon as reasonably possible. Civeo and Noralta must first obtain the necessary approvals, including the approval of Civeo’s shareholders of the share issuance proposal, and satisfy the other closing conditions described in the Purchase Agreement. There can be no assurance as to whether all the conditions to the Acquisition will be met, nor any prediction of the exact timing of the completion of the Acquisition. It is possible Civeo and Noralta will not complete the Acquisition. Civeo currently expects to complete the Acquisition during the second quarter of 2018.</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are the material U.S. and Canadian federal income tax consequences of the Acquisition to me?</w:t>
      </w:r>
    </w:p>
    <w:p>
      <w:pPr>
        <w:spacing w:after="0" w:line="121" w:lineRule="exact"/>
        <w:rPr>
          <w:sz w:val="20"/>
          <w:szCs w:val="20"/>
          <w:color w:val="auto"/>
        </w:rPr>
      </w:pPr>
    </w:p>
    <w:p>
      <w:pPr>
        <w:ind w:left="200" w:right="120" w:firstLine="4"/>
        <w:spacing w:after="0" w:line="261" w:lineRule="auto"/>
        <w:tabs>
          <w:tab w:leader="none" w:pos="4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shareholders will not exchange or surrender their Common Shares in the Acquisition or receive any separate consideration in the Acquisition. Accordingly, Civeo shareholders (excluding any Noralta sellers who also own Common Shares) will not recognize gain or loss as a result of the Acquisition. For more information on Canadian tax consequences of the Acquisition, please see the section entitled “The Acquisition – Material Canadian Federal Income Tax Consequences of the Acquisition to Civeo and Civeo Shareholders.”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risks should I consider in deciding whether to vote in favor of the proposals?</w:t>
      </w:r>
    </w:p>
    <w:p>
      <w:pPr>
        <w:spacing w:after="0" w:line="121" w:lineRule="exact"/>
        <w:rPr>
          <w:sz w:val="20"/>
          <w:szCs w:val="20"/>
          <w:color w:val="auto"/>
        </w:rPr>
      </w:pPr>
    </w:p>
    <w:p>
      <w:pPr>
        <w:ind w:left="200" w:right="120" w:firstLine="4"/>
        <w:spacing w:after="0" w:line="282" w:lineRule="auto"/>
        <w:tabs>
          <w:tab w:leader="none" w:pos="4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carefully review the section of this proxy statement entitled “Risk Factors,” which sets forth certain risks and uncertainties related to the Acquisition and risks and uncertainties to which Civeo’s business will be subject after the Acquisition if it is completed.</w:t>
      </w:r>
    </w:p>
    <w:p>
      <w:pPr>
        <w:spacing w:after="0" w:line="162" w:lineRule="exact"/>
        <w:rPr>
          <w:sz w:val="20"/>
          <w:szCs w:val="20"/>
          <w:color w:val="auto"/>
        </w:rPr>
      </w:pPr>
    </w:p>
    <w:p>
      <w:pPr>
        <w:ind w:left="200" w:right="8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Civeo in documents Civeo files with the U.S. Securities and Exchange Commission (“SEC”). See the section entitled “Additional Information.”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How does the Civeo Board recommend that I vote?</w:t>
      </w:r>
    </w:p>
    <w:p>
      <w:pPr>
        <w:spacing w:after="0" w:line="121" w:lineRule="exact"/>
        <w:rPr>
          <w:sz w:val="20"/>
          <w:szCs w:val="20"/>
          <w:color w:val="auto"/>
        </w:rPr>
      </w:pPr>
    </w:p>
    <w:p>
      <w:pPr>
        <w:jc w:val="both"/>
        <w:ind w:left="200" w:right="220" w:firstLine="4"/>
        <w:spacing w:after="0" w:line="266" w:lineRule="auto"/>
        <w:tabs>
          <w:tab w:leader="none" w:pos="4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the Civeo Board has unanimously determined that the Purchase Agreement and the transactions contemplated thereby, including the Acquisition, are advisable and in the best interests of Civeo and its shareholders. The Civeo Board unanimously recommends that Civeo shareholders vote “FOR” the share issuance proposal at the special meeting.</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121" w:lineRule="exact"/>
        <w:rPr>
          <w:sz w:val="20"/>
          <w:szCs w:val="20"/>
          <w:color w:val="auto"/>
        </w:rPr>
      </w:pPr>
    </w:p>
    <w:p>
      <w:pPr>
        <w:ind w:left="200" w:right="700" w:firstLine="4"/>
        <w:spacing w:after="0" w:line="282" w:lineRule="auto"/>
        <w:tabs>
          <w:tab w:leader="none" w:pos="4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shareholder of Civeo as of the close of business on the record date for the special meeting, you may vote in person by attending the special meeting or, to ensure your shares are represented at the special meeting, you may authorize a proxy to vote by: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Internet website specified on your proxy card;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the toll-free number specified on your proxy card;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your proxy card in the postage-paid envelope provided.</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 proxy card is being sent with this proxy statement to each shareholder of record as of the record date for the special meeting.</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through a stock brokerage account or through a bank or other nominee, please follow the voting instructions provided by your broker, bank or other nominee to ensure that your shares are represented at the special meeting.</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If my shares are held in “street name” by my nominee, will my nominee vote my shares for me?</w:t>
      </w:r>
    </w:p>
    <w:p>
      <w:pPr>
        <w:spacing w:after="0" w:line="121" w:lineRule="exact"/>
        <w:rPr>
          <w:sz w:val="20"/>
          <w:szCs w:val="20"/>
          <w:color w:val="auto"/>
        </w:rPr>
      </w:pPr>
    </w:p>
    <w:p>
      <w:pPr>
        <w:ind w:left="200" w:right="200" w:firstLine="4"/>
        <w:spacing w:after="0" w:line="266" w:lineRule="auto"/>
        <w:tabs>
          <w:tab w:leader="none" w:pos="4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the name of a bank, broker or other nominee as a custodian or in the general account of the broker or other organization, you are a “street name” holder, and your nominee will not be able to vote your shares unless your nominee receives appropriate instructions from you. We recommend that you contact your nominee. Your nominee can give you directions on how to instruct the voting of your shares.</w:t>
      </w:r>
    </w:p>
    <w:p>
      <w:pPr>
        <w:spacing w:after="0" w:line="176"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Please follow the voting instructions provided by your bank, broker or other nominee so that it may vote your shares on your behalf. Please note that you may not vote shares held in street name by returning a proxy card directly to Civeo or by voting in person at the special meeting unless you first obtain a proxy from your bank, broker or other nominee.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Are shareholders able to exercise appraisal rights?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 Appraisal rights are not available to shareholders in connection with the Acquisition.</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constitutes a quorum at the Civeo special meeting?</w:t>
      </w:r>
    </w:p>
    <w:p>
      <w:pPr>
        <w:spacing w:after="0" w:line="121" w:lineRule="exact"/>
        <w:rPr>
          <w:sz w:val="20"/>
          <w:szCs w:val="20"/>
          <w:color w:val="auto"/>
        </w:rPr>
      </w:pPr>
    </w:p>
    <w:p>
      <w:pPr>
        <w:ind w:left="200" w:firstLine="4"/>
        <w:spacing w:after="0" w:line="261" w:lineRule="auto"/>
        <w:tabs>
          <w:tab w:leader="none" w:pos="4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will be counted as present for purposes of determining whether there is a quorum.</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Who can vote at the special meeting?</w:t>
      </w:r>
    </w:p>
    <w:p>
      <w:pPr>
        <w:spacing w:after="0" w:line="121" w:lineRule="exact"/>
        <w:rPr>
          <w:sz w:val="20"/>
          <w:szCs w:val="20"/>
          <w:color w:val="auto"/>
        </w:rPr>
      </w:pPr>
    </w:p>
    <w:p>
      <w:pPr>
        <w:jc w:val="both"/>
        <w:ind w:left="200" w:right="20" w:firstLine="4"/>
        <w:spacing w:after="0" w:line="266" w:lineRule="auto"/>
        <w:tabs>
          <w:tab w:leader="none" w:pos="4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fixed February 1, 2018 as the record date for the special meeting. Civeo has one outstanding class of Common Shares that entitles holders to vote at meetings of Civeo’s shareholders. If you were a shareholder of Civeo as of the close of business, U.S. Eastern time, on such date, you are entitled to vote on matters that come before the special meeting.</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How many votes do I have?</w:t>
      </w:r>
    </w:p>
    <w:p>
      <w:pPr>
        <w:spacing w:after="0" w:line="121" w:lineRule="exact"/>
        <w:rPr>
          <w:sz w:val="20"/>
          <w:szCs w:val="20"/>
          <w:color w:val="auto"/>
        </w:rPr>
      </w:pPr>
    </w:p>
    <w:p>
      <w:pPr>
        <w:ind w:left="200" w:right="260" w:firstLine="4"/>
        <w:spacing w:after="0" w:line="282" w:lineRule="auto"/>
        <w:tabs>
          <w:tab w:leader="none" w:pos="4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one vote for each share you owned as of the close of business on the record date. As of the close of business on the record date, there were 132,253,185 Common Shares outstanding.</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Can I change my vote?</w:t>
      </w:r>
    </w:p>
    <w:p>
      <w:pPr>
        <w:spacing w:after="0" w:line="121" w:lineRule="exact"/>
        <w:rPr>
          <w:sz w:val="20"/>
          <w:szCs w:val="20"/>
          <w:color w:val="auto"/>
        </w:rPr>
      </w:pPr>
    </w:p>
    <w:p>
      <w:pPr>
        <w:ind w:left="200" w:right="80" w:firstLine="4"/>
        <w:spacing w:after="0" w:line="282" w:lineRule="auto"/>
        <w:tabs>
          <w:tab w:leader="none" w:pos="4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can change your vote at any time before your proxy is voted at the special meeting. In addition to revocation in any other manner permitted by law, you can revoke your proxy in one of the following ways:</w:t>
      </w:r>
    </w:p>
    <w:p>
      <w:pPr>
        <w:spacing w:after="0" w:line="67" w:lineRule="exact"/>
        <w:rPr>
          <w:rFonts w:ascii="Times New Roman" w:cs="Times New Roman" w:eastAsia="Times New Roman" w:hAnsi="Times New Roman"/>
          <w:sz w:val="18"/>
          <w:szCs w:val="18"/>
          <w:color w:val="auto"/>
        </w:rPr>
      </w:pPr>
    </w:p>
    <w:p>
      <w:pPr>
        <w:ind w:left="1060" w:right="280" w:hanging="316"/>
        <w:spacing w:after="0" w:line="282" w:lineRule="auto"/>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and signed revocation with the Corporate Secretary before the close of business on the last business before the date of the voting of such proxy;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a duly executed proxy bearing a later date;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a written and signed revocation to the chair of the special meeting at the special meeting;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in person.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Your attendance at the special meeting will not itself revoke your proxy.</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If you have instructed a broker to vote your shares, you must follow the procedure by your broker to change those instructions.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will happen if I fail to vote or I abstain from voting?</w:t>
      </w:r>
    </w:p>
    <w:p>
      <w:pPr>
        <w:spacing w:after="0" w:line="121" w:lineRule="exact"/>
        <w:rPr>
          <w:sz w:val="20"/>
          <w:szCs w:val="20"/>
          <w:color w:val="auto"/>
        </w:rPr>
      </w:pPr>
    </w:p>
    <w:p>
      <w:pPr>
        <w:jc w:val="both"/>
        <w:ind w:left="200" w:right="360" w:firstLine="4"/>
        <w:spacing w:after="0" w:line="289" w:lineRule="auto"/>
        <w:tabs>
          <w:tab w:leader="none" w:pos="4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shareholder of Civeo and (1) are not present in person at the special meeting and do not respond by proxy, or (2) fail to instruct your broker, bank or other nominee to vote, this will have no effect on the share issuance proposal. If you are present in person at the special meeting and abstain from voting or mark your proxy or voting instructions to abstain, this will have the same effect as votes against the share issuance proposal.</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will happen if I return my proxy card without indicating how to vote?</w:t>
      </w:r>
    </w:p>
    <w:p>
      <w:pPr>
        <w:spacing w:after="0" w:line="121" w:lineRule="exact"/>
        <w:rPr>
          <w:sz w:val="20"/>
          <w:szCs w:val="20"/>
          <w:color w:val="auto"/>
        </w:rPr>
      </w:pPr>
    </w:p>
    <w:p>
      <w:pPr>
        <w:ind w:left="200" w:right="240" w:firstLine="4"/>
        <w:spacing w:after="0" w:line="282" w:lineRule="auto"/>
        <w:tabs>
          <w:tab w:leader="none" w:pos="4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record of shares of Civeo and sign and return your proxy card without indicating how to vote on the share issuance proposal, the shares of Civeo represented by your proxy will be voted “FOR” the proposal.</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How can I find out the results of the special meeting?</w:t>
      </w:r>
    </w:p>
    <w:p>
      <w:pPr>
        <w:spacing w:after="0" w:line="121" w:lineRule="exact"/>
        <w:rPr>
          <w:sz w:val="20"/>
          <w:szCs w:val="20"/>
          <w:color w:val="auto"/>
        </w:rPr>
      </w:pPr>
    </w:p>
    <w:p>
      <w:pPr>
        <w:ind w:left="200" w:right="160" w:firstLine="4"/>
        <w:spacing w:after="0" w:line="282" w:lineRule="auto"/>
        <w:tabs>
          <w:tab w:leader="none" w:pos="4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voting results will be announced at the special meeting. Final voting results of the special meeting will be filed on the SEC’s website at www.sec.gov.</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will happen to my Common Shares in the Acquisition?</w:t>
      </w:r>
    </w:p>
    <w:p>
      <w:pPr>
        <w:spacing w:after="0" w:line="121" w:lineRule="exact"/>
        <w:rPr>
          <w:sz w:val="20"/>
          <w:szCs w:val="20"/>
          <w:color w:val="auto"/>
        </w:rPr>
      </w:pPr>
    </w:p>
    <w:p>
      <w:pPr>
        <w:ind w:left="200" w:right="40" w:firstLine="4"/>
        <w:spacing w:after="0" w:line="282" w:lineRule="auto"/>
        <w:tabs>
          <w:tab w:leader="none" w:pos="4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Each currently outstanding Common Share held by you will remain outstanding as a Common Share after the Acquisition and will continue to be listed on the New York Stock Exchange (the “NYSE”).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Who is soliciting my proxy?</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 Proxies are being solicited by the Civeo Board for use at the special meeting and any adjournment or postponement thereof.</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Who is paying for the cost of this proxy solicitation?</w:t>
      </w:r>
    </w:p>
    <w:p>
      <w:pPr>
        <w:spacing w:after="0" w:line="121" w:lineRule="exact"/>
        <w:rPr>
          <w:sz w:val="20"/>
          <w:szCs w:val="20"/>
          <w:color w:val="auto"/>
        </w:rPr>
      </w:pPr>
    </w:p>
    <w:p>
      <w:pPr>
        <w:ind w:left="200" w:right="360" w:firstLine="4"/>
        <w:spacing w:after="0" w:line="282" w:lineRule="auto"/>
        <w:tabs>
          <w:tab w:leader="none" w:pos="4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162"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In addition to soliciting proxies by mail, the Civeo Board, our officers and employees, or our transfer agent, may solicit proxies on our behalf, personally or by telephone, and we have engaged a proxy solicitor to solicit proxies on our behalf by telephone and by other means. We expect the cost of Okapi Partners LLC, our proxy solicitor, to be approximately $10,000. Computershare, our transfer agent, will serve as the inspector of election for the special meeting.</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What consideration is Civeo paying for Noralta in the Acquisition?</w:t>
      </w:r>
    </w:p>
    <w:p>
      <w:pPr>
        <w:spacing w:after="0" w:line="121" w:lineRule="exact"/>
        <w:rPr>
          <w:sz w:val="20"/>
          <w:szCs w:val="20"/>
          <w:color w:val="auto"/>
        </w:rPr>
      </w:pPr>
    </w:p>
    <w:p>
      <w:pPr>
        <w:ind w:left="200" w:right="40" w:firstLine="4"/>
        <w:spacing w:after="0" w:line="256" w:lineRule="auto"/>
        <w:tabs>
          <w:tab w:leader="none" w:pos="4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this proxy statement, the consideration for the Acquisition payable at closing will be an amount equal to (i) C$209,500,000 in cash, subject to customary adjustments for Noralta’s working capital, debt, cash and unpaid transaction expenses at closing, of which C$28,500,000 will be held in escrow by Alliance Trust Company (the “Escrow Agent”) to support the sellers’ indemnification obligations under the Purchase Agreement, (ii) 32,790,868 Common Shares, of which 13,491,100 shares will be held in escrow by the Escrow Agent and released in three equal installments from escrow upon the satisfaction of certain conditions related to a customer contract remaining in place in June 2021, June 2022 and June 2023, and (iii) 9,679 Preferred Shares with an initial liquidation preference of US$96,790,000.</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Will the sellers be able to trade the Common Shares that they receive in the Acquisition?</w:t>
      </w:r>
    </w:p>
    <w:p>
      <w:pPr>
        <w:spacing w:after="0" w:line="121" w:lineRule="exact"/>
        <w:rPr>
          <w:sz w:val="20"/>
          <w:szCs w:val="20"/>
          <w:color w:val="auto"/>
        </w:rPr>
      </w:pPr>
    </w:p>
    <w:p>
      <w:pPr>
        <w:ind w:left="200" w:right="100" w:firstLine="4"/>
        <w:spacing w:after="0" w:line="269" w:lineRule="auto"/>
        <w:tabs>
          <w:tab w:leader="none" w:pos="42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of the Acquisition, Civeo will enter into the Registration Rights Agreement with the Torgerson Family Trust (the “Torgerson Trust”) and 989677 Alberta Ltd (“989677”), under which, for a period of 18 months following the closing, the Torgerson Trust and 989677 will agree not to transfer any of the Common Shares they receive in the Acquisition without the prior written consent of Civeo, with certain limited exceptions for permitted transfers. Following such 18-month period, the Torgerson Trust and 989677 will be permitted to transfer their Common Shares under Rule 144 or an effective registration statement under the U.S. Securities Act of 1933, as amended, subject to a limitation restricting transfers during any</w:t>
      </w:r>
    </w:p>
    <w:p>
      <w:pPr>
        <w:spacing w:after="0" w:line="3" w:lineRule="exact"/>
        <w:rPr>
          <w:rFonts w:ascii="Times New Roman" w:cs="Times New Roman" w:eastAsia="Times New Roman" w:hAnsi="Times New Roman"/>
          <w:sz w:val="17"/>
          <w:szCs w:val="17"/>
          <w:color w:val="auto"/>
        </w:rPr>
      </w:pPr>
    </w:p>
    <w:p>
      <w:pPr>
        <w:ind w:left="2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90-day period of more than 10% of the Common Shares (including the Common Shares received upon conversion of the Preferred Shares) received by the Torgerson Trust and 989677 in the Acquisition. The transfer restrictions on shares held by the Torgerson Trust and 989677 terminate at such time as the shares beneficially owned by the Torgerson Trust and 989677 no longer constitute at least 5% of the Common Shares then outstanding (calculated assuming conversion of all of the outstanding Preferred Shares) or upon a bankruptcy or change of control of Civeo.</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 Who can help answer my questions?</w:t>
      </w:r>
    </w:p>
    <w:p>
      <w:pPr>
        <w:spacing w:after="0" w:line="121" w:lineRule="exact"/>
        <w:rPr>
          <w:sz w:val="20"/>
          <w:szCs w:val="20"/>
          <w:color w:val="auto"/>
        </w:rPr>
      </w:pPr>
    </w:p>
    <w:p>
      <w:pPr>
        <w:ind w:left="200" w:right="80" w:firstLine="4"/>
        <w:spacing w:after="0" w:line="266" w:lineRule="auto"/>
        <w:tabs>
          <w:tab w:leader="none" w:pos="4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would like additional copies, without charge, of this proxy statement or if you have questions about the special meeting, including the procedures for voting your Common Shares, please direct your request to Okapi Partners LLC at 1212 Avenue of the Americas,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NY 10036 or (877) 629-6355.</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240" w:top="455" w:right="5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256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256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80" w:right="60" w:firstLine="426"/>
        <w:spacing w:after="0" w:line="277" w:lineRule="auto"/>
        <w:rPr>
          <w:sz w:val="20"/>
          <w:szCs w:val="20"/>
          <w:color w:val="auto"/>
        </w:rPr>
      </w:pPr>
      <w:r>
        <w:rPr>
          <w:rFonts w:ascii="Times New Roman" w:cs="Times New Roman" w:eastAsia="Times New Roman" w:hAnsi="Times New Roman"/>
          <w:sz w:val="17"/>
          <w:szCs w:val="17"/>
          <w:color w:val="auto"/>
        </w:rPr>
        <w:t>This summary highlights selected information from this proxy statement and may not contain all of the information that is important to you. To understand the Purchase Agreement and the share issuance proposal more fully, you should carefully read this entire proxy statement, including its annexes. The Purchase Agreement is attached as Annex A to this proxy statement. We encourage you to read the Purchase Agreement completely, as it, and not this summary, is the legal document that governs the Acquisition. You may obtain the information incorporated by reference in this proxy statement without charge by following the instructions under Additional Information beginning on page 86.</w:t>
      </w: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Companies and Other Parties to the Purchase Agreement</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Civeo Corporation</w:t>
      </w:r>
    </w:p>
    <w:p>
      <w:pPr>
        <w:spacing w:after="0" w:line="121" w:lineRule="exact"/>
        <w:rPr>
          <w:sz w:val="20"/>
          <w:szCs w:val="20"/>
          <w:color w:val="auto"/>
        </w:rPr>
      </w:pPr>
    </w:p>
    <w:p>
      <w:pPr>
        <w:ind w:left="380" w:right="20" w:firstLine="426"/>
        <w:spacing w:after="0" w:line="255" w:lineRule="auto"/>
        <w:rPr>
          <w:sz w:val="20"/>
          <w:szCs w:val="20"/>
          <w:color w:val="auto"/>
        </w:rPr>
      </w:pPr>
      <w:r>
        <w:rPr>
          <w:rFonts w:ascii="Times New Roman" w:cs="Times New Roman" w:eastAsia="Times New Roman" w:hAnsi="Times New Roman"/>
          <w:sz w:val="18"/>
          <w:szCs w:val="18"/>
          <w:color w:val="auto"/>
        </w:rPr>
        <w:t>Civeo is one of the largest integrated providers of workforce accommodations, logistics and facility management services to the natural resource industry. Civeo’s scalable modular facilities provide long-term and temporary accommodations where traditional accommodations and related infrastructure is insufficient, inaccessible or not cost effective. Once facilities are deployed in the field, Civeo also provides catering and food services, housekeeping, laundry, facility management, water and wastewater treatment, power generation, communications and redeployment logistics. Civeo’s accommodations support its customers’ employees and contractors in the Canadian oil sands and in a variety of oil and natural gas drilling, mining and related natural resource applications as well as disaster relief efforts, primarily in Canada, Australia and the United States. Civeo operates in three principal reportable business segments – Canada, Australia and U.S. The Common Shares are listed on the NYSE under the symbol “CVEO.”</w:t>
      </w:r>
    </w:p>
    <w:p>
      <w:pPr>
        <w:spacing w:after="0" w:line="185" w:lineRule="exact"/>
        <w:rPr>
          <w:sz w:val="20"/>
          <w:szCs w:val="20"/>
          <w:color w:val="auto"/>
        </w:rPr>
      </w:pPr>
    </w:p>
    <w:p>
      <w:pPr>
        <w:ind w:left="380" w:right="60" w:firstLine="426"/>
        <w:spacing w:after="0" w:line="282" w:lineRule="auto"/>
        <w:rPr>
          <w:sz w:val="20"/>
          <w:szCs w:val="20"/>
          <w:color w:val="auto"/>
        </w:rPr>
      </w:pPr>
      <w:r>
        <w:rPr>
          <w:rFonts w:ascii="Times New Roman" w:cs="Times New Roman" w:eastAsia="Times New Roman" w:hAnsi="Times New Roman"/>
          <w:sz w:val="18"/>
          <w:szCs w:val="18"/>
          <w:color w:val="auto"/>
        </w:rPr>
        <w:t>The mailing address of Civeo’s principal executive offices is Three Allen Center, 333 Clay Street, Suite 4980, Houston, Texas 77002 and the telephone number of Civeo’s principal executive offices is (713) 510-2400.</w:t>
      </w:r>
    </w:p>
    <w:p>
      <w:pPr>
        <w:spacing w:after="0" w:line="2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Noralta Lodge Ltd.</w:t>
      </w:r>
    </w:p>
    <w:p>
      <w:pPr>
        <w:spacing w:after="0" w:line="121" w:lineRule="exact"/>
        <w:rPr>
          <w:sz w:val="20"/>
          <w:szCs w:val="20"/>
          <w:color w:val="auto"/>
        </w:rPr>
      </w:pPr>
    </w:p>
    <w:p>
      <w:pPr>
        <w:ind w:left="380" w:right="40" w:firstLine="426"/>
        <w:spacing w:after="0" w:line="256" w:lineRule="auto"/>
        <w:rPr>
          <w:sz w:val="20"/>
          <w:szCs w:val="20"/>
          <w:color w:val="auto"/>
        </w:rPr>
      </w:pPr>
      <w:r>
        <w:rPr>
          <w:rFonts w:ascii="Times New Roman" w:cs="Times New Roman" w:eastAsia="Times New Roman" w:hAnsi="Times New Roman"/>
          <w:sz w:val="18"/>
          <w:szCs w:val="18"/>
          <w:color w:val="auto"/>
        </w:rPr>
        <w:t>Noralta is a premier, Alberta-based provider of remote accommodations to the Canadian oil sands region. Through its full service open lodge accommodations, facilities management services and turnkey solutions, Noralta offers hospitality for thousands of workers in Western Canada’s energy sector. With eleven lodges comprised of over 5,600 owned rooms and 7,700 total rooms strategically located throughout Northern Alberta, Noralta has the capacity to house large workforces and the flexibility to meet its clients’ rapidly changing needs. Noralta also manages camp facilities and provides catering services that serve the Western Canadian energy market. Noralta leverages its expertise in planning, building and managing lodges and its strategic partnerships to act as a valuable partner to its clients.</w:t>
      </w:r>
    </w:p>
    <w:p>
      <w:pPr>
        <w:spacing w:after="0" w:line="188" w:lineRule="exact"/>
        <w:rPr>
          <w:sz w:val="20"/>
          <w:szCs w:val="20"/>
          <w:color w:val="auto"/>
        </w:rPr>
      </w:pPr>
    </w:p>
    <w:p>
      <w:pPr>
        <w:ind w:left="380" w:right="140" w:firstLine="426"/>
        <w:spacing w:after="0" w:line="282" w:lineRule="auto"/>
        <w:rPr>
          <w:sz w:val="20"/>
          <w:szCs w:val="20"/>
          <w:color w:val="auto"/>
        </w:rPr>
      </w:pPr>
      <w:r>
        <w:rPr>
          <w:rFonts w:ascii="Times New Roman" w:cs="Times New Roman" w:eastAsia="Times New Roman" w:hAnsi="Times New Roman"/>
          <w:sz w:val="18"/>
          <w:szCs w:val="18"/>
          <w:color w:val="auto"/>
        </w:rPr>
        <w:t>The mailing address of Noralta’s principal executive offices is 2710 5th Street, Nisku, Alberta, Canada, T9E 0H1 and the telephone number of Noralta’s principal executive offices is (866) 536-8590.</w:t>
      </w:r>
    </w:p>
    <w:p>
      <w:pPr>
        <w:spacing w:after="0" w:line="2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Torgerson Family Trust and other persons</w:t>
      </w:r>
    </w:p>
    <w:p>
      <w:pPr>
        <w:spacing w:after="0" w:line="121" w:lineRule="exact"/>
        <w:rPr>
          <w:sz w:val="20"/>
          <w:szCs w:val="20"/>
          <w:color w:val="auto"/>
        </w:rPr>
      </w:pPr>
    </w:p>
    <w:p>
      <w:pPr>
        <w:jc w:val="both"/>
        <w:ind w:left="380" w:right="180" w:firstLine="426"/>
        <w:spacing w:after="0" w:line="266" w:lineRule="auto"/>
        <w:rPr>
          <w:sz w:val="20"/>
          <w:szCs w:val="20"/>
          <w:color w:val="auto"/>
        </w:rPr>
      </w:pPr>
      <w:r>
        <w:rPr>
          <w:rFonts w:ascii="Times New Roman" w:cs="Times New Roman" w:eastAsia="Times New Roman" w:hAnsi="Times New Roman"/>
          <w:sz w:val="18"/>
          <w:szCs w:val="18"/>
          <w:color w:val="auto"/>
        </w:rPr>
        <w:t>The Torgerson Trust is a trust resident in the Province of British Columbia. The business of the Torgerson Trust is to hold shares of Noralta and other investments. The mailing address of the Torgerson Trust’s principal executive offices is 596 McClure Rd, Kelowna, British Columbia, Canada, V1W 1L3 and the telephone number of the Torgerson Trust’s principal executive offices is (866) 536-8590.</w:t>
      </w:r>
    </w:p>
    <w:p>
      <w:pPr>
        <w:spacing w:after="0" w:line="176" w:lineRule="exact"/>
        <w:rPr>
          <w:sz w:val="20"/>
          <w:szCs w:val="20"/>
          <w:color w:val="auto"/>
        </w:rPr>
      </w:pPr>
    </w:p>
    <w:p>
      <w:pPr>
        <w:ind w:left="380" w:firstLine="426"/>
        <w:spacing w:after="0" w:line="282" w:lineRule="auto"/>
        <w:rPr>
          <w:sz w:val="20"/>
          <w:szCs w:val="20"/>
          <w:color w:val="auto"/>
        </w:rPr>
      </w:pPr>
      <w:r>
        <w:rPr>
          <w:rFonts w:ascii="Times New Roman" w:cs="Times New Roman" w:eastAsia="Times New Roman" w:hAnsi="Times New Roman"/>
          <w:sz w:val="18"/>
          <w:szCs w:val="18"/>
          <w:color w:val="auto"/>
        </w:rPr>
        <w:t>2073357 Alberta Ltd., 2073358 Alberta Ltd., 1818939 Alberta Ltd., 2040618 Alberta Ltd., 2040624 Alberta Ltd. and 989677 Alberta Ltd. are each corporations incorporated under the Laws of the Province of Alberta. Each</w:t>
      </w: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24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844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0"/>
        <w:spacing w:after="0" w:line="313" w:lineRule="auto"/>
        <w:rPr>
          <w:sz w:val="20"/>
          <w:szCs w:val="20"/>
          <w:color w:val="auto"/>
        </w:rPr>
      </w:pPr>
      <w:r>
        <w:rPr>
          <w:rFonts w:ascii="Times New Roman" w:cs="Times New Roman" w:eastAsia="Times New Roman" w:hAnsi="Times New Roman"/>
          <w:sz w:val="17"/>
          <w:szCs w:val="17"/>
          <w:color w:val="auto"/>
        </w:rPr>
        <w:t>is a holding company that does not conduct any business other than owning Noralta shares and other investments. The mailing address of each corporation’s principal executive offices is 2710 5th Street, Nisku, Alberta, Canada, T9E 0H1 and the telephone number is (866) 536-8590.</w:t>
      </w:r>
    </w:p>
    <w:p>
      <w:pPr>
        <w:spacing w:after="0" w:line="30" w:lineRule="exact"/>
        <w:rPr>
          <w:sz w:val="20"/>
          <w:szCs w:val="20"/>
          <w:color w:val="auto"/>
        </w:rPr>
      </w:pPr>
    </w:p>
    <w:p>
      <w:pPr>
        <w:ind w:left="380" w:firstLine="426"/>
        <w:spacing w:after="0" w:line="282" w:lineRule="auto"/>
        <w:rPr>
          <w:sz w:val="20"/>
          <w:szCs w:val="20"/>
          <w:color w:val="auto"/>
        </w:rPr>
      </w:pPr>
      <w:r>
        <w:rPr>
          <w:rFonts w:ascii="Times New Roman" w:cs="Times New Roman" w:eastAsia="Times New Roman" w:hAnsi="Times New Roman"/>
          <w:sz w:val="18"/>
          <w:szCs w:val="18"/>
          <w:color w:val="auto"/>
        </w:rPr>
        <w:t>Lance Torgerson is an individual residing in the City of Kelowna, in the Province of British Columbia. His mailing address is 2710 5th Street, Nisku, Alberta, Canada, T9E 0H1 and telephone number is (866) 536-8590.</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Summary of the Acquisition</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Under the terms and subject to the conditions set forth in the Purchase Agreement, at closing, Civeo will acquire, directly or indirectly, all of</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issued and outstanding shares of Noralta. The consideration for the Acquisition payable at closing will be an amount equal to (i) C$209,500,000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cash, subject to customary adjustments for Noralta’s working capital, debt, cash and unpaid transaction expenses at closing, of which</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C$28,500,000 will be held in escrow by the Escrow Agent to support the sellers’ indemnification obligations under the Purchase Agreement, (ii)</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32,790,868 Common Shares, of which 13,491,100 shares will be held in escrow by the Escrow Agent and released in three equal installments from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escrow upon the satisfaction of certain conditions related to a customer contract remaining in place in June 2021, June 2022 and June 2023, and</w:t>
      </w:r>
    </w:p>
    <w:p>
      <w:pPr>
        <w:spacing w:after="0" w:line="9" w:lineRule="exact"/>
        <w:rPr>
          <w:sz w:val="20"/>
          <w:szCs w:val="20"/>
          <w:color w:val="auto"/>
        </w:rPr>
      </w:pPr>
    </w:p>
    <w:p>
      <w:pPr>
        <w:ind w:left="380" w:right="40" w:firstLine="6"/>
        <w:spacing w:after="0" w:line="25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9,679 Preferred Shares with an initial liquidation preference of US$96,790,000, initially convertible into 29,330,303 Common Shares. Based upon the closing price of Common Shares of US$3.58 on January 26, 2018, an exchange rate of 1.23 Canadian dollars to U.S. dollars as of that date and the estimated fair value of the Preferred Shares of 76% of the initial liquidation preference, the value of the consideration payable in the Acquisition is approximately US$361 million. After closing of the Acquisition, assuming all shares are released from escrow, current Civeo shareholders will own approximately 68% of the outstanding Common Shares and former Noralta shareholders will own approximately 32% of the outstanding Common Shares, in each case on an as converted and fully diluted basis.</w:t>
      </w:r>
    </w:p>
    <w:p>
      <w:pPr>
        <w:spacing w:after="0" w:line="190" w:lineRule="exact"/>
        <w:rPr>
          <w:sz w:val="20"/>
          <w:szCs w:val="20"/>
          <w:color w:val="auto"/>
        </w:rPr>
      </w:pPr>
    </w:p>
    <w:p>
      <w:pPr>
        <w:ind w:left="380" w:right="480" w:firstLine="426"/>
        <w:spacing w:after="0" w:line="266" w:lineRule="auto"/>
        <w:rPr>
          <w:sz w:val="20"/>
          <w:szCs w:val="20"/>
          <w:color w:val="auto"/>
        </w:rPr>
      </w:pPr>
      <w:r>
        <w:rPr>
          <w:rFonts w:ascii="Times New Roman" w:cs="Times New Roman" w:eastAsia="Times New Roman" w:hAnsi="Times New Roman"/>
          <w:sz w:val="18"/>
          <w:szCs w:val="18"/>
          <w:color w:val="auto"/>
        </w:rPr>
        <w:t>A copy of the Purchase Agreement is attached as Annex A to this proxy statement and is incorporated by reference herein. You are encouraged to read the Purchase Agreement in its entirety because it is the legal document that governs the Acquisition. For a more complete discussion of the Acquisition, see the sections entitled “The Acquisition” and “The Purchase Agreement.”</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21" w:lineRule="exact"/>
        <w:rPr>
          <w:sz w:val="20"/>
          <w:szCs w:val="20"/>
          <w:color w:val="auto"/>
        </w:rPr>
      </w:pPr>
    </w:p>
    <w:p>
      <w:pPr>
        <w:ind w:left="380" w:right="240" w:firstLine="426"/>
        <w:spacing w:after="0" w:line="266" w:lineRule="auto"/>
        <w:rPr>
          <w:sz w:val="20"/>
          <w:szCs w:val="20"/>
          <w:color w:val="auto"/>
        </w:rPr>
      </w:pPr>
      <w:r>
        <w:rPr>
          <w:rFonts w:ascii="Times New Roman" w:cs="Times New Roman" w:eastAsia="Times New Roman" w:hAnsi="Times New Roman"/>
          <w:sz w:val="18"/>
          <w:szCs w:val="18"/>
          <w:color w:val="auto"/>
        </w:rPr>
        <w:t>The special meeting will be held at the Doubletree Houston at 400 Dallas Street, Houston, Texas 77002, on March 28, 2018 at 9:00 a.m., local time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special meeting, and any adjournments or postponements thereof, Civeo shareholders will be asked to consider and vote on the share issuance proposal.</w:t>
      </w:r>
    </w:p>
    <w:p>
      <w:pPr>
        <w:spacing w:after="0" w:line="176" w:lineRule="exact"/>
        <w:rPr>
          <w:sz w:val="20"/>
          <w:szCs w:val="20"/>
          <w:color w:val="auto"/>
        </w:rPr>
      </w:pPr>
    </w:p>
    <w:p>
      <w:pPr>
        <w:ind w:left="380" w:firstLine="426"/>
        <w:spacing w:after="0" w:line="258" w:lineRule="auto"/>
        <w:rPr>
          <w:sz w:val="20"/>
          <w:szCs w:val="20"/>
          <w:color w:val="auto"/>
        </w:rPr>
      </w:pPr>
      <w:r>
        <w:rPr>
          <w:rFonts w:ascii="Times New Roman" w:cs="Times New Roman" w:eastAsia="Times New Roman" w:hAnsi="Times New Roman"/>
          <w:sz w:val="18"/>
          <w:szCs w:val="18"/>
          <w:color w:val="auto"/>
        </w:rPr>
        <w:t>The Civeo Board has fixed the close of business on February 1, 2018 as the record date for determination of Civeo shareholders entitled to notice of, and to vote at, the special meeting and any adjournment or postponement thereof. The affirmative vote of the holders of a majority of the Common Shares present in person or represented by proxy and entitled to vote at the special meeting, assuming a quorum is present, is required for the approval of the share issuance proposal. As of the close of business on the record date for the special meeting, there were 132,253,185 Common Shares outstanding.</w:t>
      </w:r>
    </w:p>
    <w:p>
      <w:pPr>
        <w:spacing w:after="0" w:line="184" w:lineRule="exact"/>
        <w:rPr>
          <w:sz w:val="20"/>
          <w:szCs w:val="20"/>
          <w:color w:val="auto"/>
        </w:rPr>
      </w:pPr>
    </w:p>
    <w:p>
      <w:pPr>
        <w:ind w:left="380" w:right="40" w:firstLine="426"/>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for the special meeting, directors and executive officers of Civeo and their affiliates were entitled to vote 1.8 million Common Shares, or approximately 1.4% of the Common Shares outstanding. Civeo currently expects that Civeo’s directors and executive officers will vote their shares in favor of the share issuance proposal, although none of them has entered into any agreement obligating them to do so.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240" w:top="455" w:right="6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136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136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Recommendation of the Civeo Board</w:t>
      </w:r>
    </w:p>
    <w:p>
      <w:pPr>
        <w:spacing w:after="0" w:line="121" w:lineRule="exact"/>
        <w:rPr>
          <w:sz w:val="20"/>
          <w:szCs w:val="20"/>
          <w:color w:val="auto"/>
        </w:rPr>
      </w:pPr>
    </w:p>
    <w:p>
      <w:pPr>
        <w:ind w:left="380" w:firstLine="426"/>
        <w:spacing w:after="0" w:line="266" w:lineRule="auto"/>
        <w:rPr>
          <w:sz w:val="20"/>
          <w:szCs w:val="20"/>
          <w:color w:val="auto"/>
        </w:rPr>
      </w:pPr>
      <w:r>
        <w:rPr>
          <w:rFonts w:ascii="Times New Roman" w:cs="Times New Roman" w:eastAsia="Times New Roman" w:hAnsi="Times New Roman"/>
          <w:sz w:val="18"/>
          <w:szCs w:val="18"/>
          <w:color w:val="auto"/>
        </w:rPr>
        <w:t>After careful consideration, the Civeo Board has unanimously determined that the Purchase Agreement and the transactions contemplated thereby, including the Acquisition, are advisable and in the best interests of Civeo and its shareholders. The Civeo Board unanimously recommends that Civeo shareholders vote “FOR” the share issuance proposal at the special meeting.</w:t>
      </w:r>
    </w:p>
    <w:p>
      <w:pPr>
        <w:spacing w:after="0" w:line="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a more complete discussion of the recommendation, see “The Acquisition – Reasons for the Acquisition.”</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Opinion of Civeo’s Financial Advisor</w:t>
      </w:r>
    </w:p>
    <w:p>
      <w:pPr>
        <w:spacing w:after="0" w:line="121" w:lineRule="exact"/>
        <w:rPr>
          <w:sz w:val="20"/>
          <w:szCs w:val="20"/>
          <w:color w:val="auto"/>
        </w:rPr>
      </w:pPr>
    </w:p>
    <w:p>
      <w:pPr>
        <w:ind w:left="380" w:right="100" w:firstLine="426"/>
        <w:spacing w:after="0" w:line="261" w:lineRule="auto"/>
        <w:rPr>
          <w:sz w:val="20"/>
          <w:szCs w:val="20"/>
          <w:color w:val="auto"/>
        </w:rPr>
      </w:pPr>
      <w:r>
        <w:rPr>
          <w:rFonts w:ascii="Times New Roman" w:cs="Times New Roman" w:eastAsia="Times New Roman" w:hAnsi="Times New Roman"/>
          <w:sz w:val="18"/>
          <w:szCs w:val="18"/>
          <w:color w:val="auto"/>
        </w:rPr>
        <w:t>On November 26, 2017, Lazard Frères &amp; Co. LLC (“Lazard”), financial advisor to Civeo, rendered its oral opinion, subsequently confirmed in writing by delivery of a written opinion, dated November 26, 2017, to the Civeo Board, that, as of such date, and based upon and subject to the assumptions, procedures, factors, qualifications and limitations set forth therein, the consideration payable in the Acquisition was fair, from a financial point of view, to Civeo.</w:t>
      </w:r>
    </w:p>
    <w:p>
      <w:pPr>
        <w:spacing w:after="0" w:line="176" w:lineRule="exact"/>
        <w:rPr>
          <w:sz w:val="20"/>
          <w:szCs w:val="20"/>
          <w:color w:val="auto"/>
        </w:rPr>
      </w:pPr>
    </w:p>
    <w:p>
      <w:pPr>
        <w:ind w:left="380" w:right="340" w:firstLine="426"/>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Lazard’s written opinion, dated November 26, 2017, which sets forth the assumptions made, procedures followed, factors considered and qualifications and limitations on the scope of review undertaken by Lazard in connection with its opinion, is attached to this proxy statement as Annex D and is incorporated into this proxy statement by reference. The description of Lazard’s opinion set forth in this proxy statement is qualified in its entirety by reference to the full text of Lazard’s written opinion attached as Annex D. You are encouraged to read Lazard’s opinion carefully and in its entirety.</w:t>
      </w:r>
    </w:p>
    <w:p>
      <w:pPr>
        <w:spacing w:after="0" w:line="184" w:lineRule="exact"/>
        <w:rPr>
          <w:sz w:val="20"/>
          <w:szCs w:val="20"/>
          <w:color w:val="auto"/>
        </w:rPr>
      </w:pPr>
    </w:p>
    <w:p>
      <w:pPr>
        <w:ind w:left="380" w:right="240" w:firstLine="426"/>
        <w:spacing w:after="0" w:line="258" w:lineRule="auto"/>
        <w:rPr>
          <w:sz w:val="20"/>
          <w:szCs w:val="20"/>
          <w:color w:val="auto"/>
        </w:rPr>
      </w:pPr>
      <w:r>
        <w:rPr>
          <w:rFonts w:ascii="Times New Roman" w:cs="Times New Roman" w:eastAsia="Times New Roman" w:hAnsi="Times New Roman"/>
          <w:sz w:val="18"/>
          <w:szCs w:val="18"/>
          <w:color w:val="auto"/>
        </w:rPr>
        <w:t>Lazard’s opinion was for the benefit of the Civeo Board (in its capacity as such) and Lazard’s opinion was rendered to the Civeo Board in connection with its evaluation of the Acquisition. Lazard’s opinion was not intended to and does not constitute a recommendation to any shareholder as to how such shareholder should vote or act with respect to the Acquisition or any matter relating thereto. For a more complete discussion of Lazard’s opinion, see the section entitled “The Acquisition – Opinion of Civeo’s Financial Advisor” and see the written opinion of Lazard attached as Annex D.</w:t>
      </w:r>
    </w:p>
    <w:p>
      <w:pPr>
        <w:spacing w:after="0" w:line="2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Material U.S. and Canadian Federal Income Tax Considerations</w:t>
      </w:r>
    </w:p>
    <w:p>
      <w:pPr>
        <w:spacing w:after="0" w:line="121" w:lineRule="exact"/>
        <w:rPr>
          <w:sz w:val="20"/>
          <w:szCs w:val="20"/>
          <w:color w:val="auto"/>
        </w:rPr>
      </w:pPr>
    </w:p>
    <w:p>
      <w:pPr>
        <w:ind w:left="380" w:firstLine="426"/>
        <w:spacing w:after="0" w:line="261" w:lineRule="auto"/>
        <w:rPr>
          <w:sz w:val="20"/>
          <w:szCs w:val="20"/>
          <w:color w:val="auto"/>
        </w:rPr>
      </w:pPr>
      <w:r>
        <w:rPr>
          <w:rFonts w:ascii="Times New Roman" w:cs="Times New Roman" w:eastAsia="Times New Roman" w:hAnsi="Times New Roman"/>
          <w:sz w:val="18"/>
          <w:szCs w:val="18"/>
          <w:color w:val="auto"/>
        </w:rPr>
        <w:t>Civeo shareholders will not exchange or surrender their Common Shares in the Acquisition or receive any separate consideration in the Acquisition. Accordingly, Civeo shareholders (excluding any Noralta sellers who also own Common Shares) will not recognize gain or loss as a result of the Acquisition. For more information on Canadian tax consequences of the Acquisition, please see the section entitled “The Acquisition – Material Canadian Federal Income Tax Consequences of the Acquisition to Civeo and Civeo Shareholders.”</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Overview of the Purchase Agreement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Conditions to Completion of the Acquisition</w:t>
      </w:r>
    </w:p>
    <w:p>
      <w:pPr>
        <w:spacing w:after="0" w:line="119" w:lineRule="exact"/>
        <w:rPr>
          <w:sz w:val="20"/>
          <w:szCs w:val="20"/>
          <w:color w:val="auto"/>
        </w:rPr>
      </w:pPr>
    </w:p>
    <w:p>
      <w:pPr>
        <w:ind w:left="380" w:right="460" w:firstLine="426"/>
        <w:spacing w:after="0" w:line="282" w:lineRule="auto"/>
        <w:rPr>
          <w:sz w:val="20"/>
          <w:szCs w:val="20"/>
          <w:color w:val="auto"/>
        </w:rPr>
      </w:pPr>
      <w:r>
        <w:rPr>
          <w:rFonts w:ascii="Times New Roman" w:cs="Times New Roman" w:eastAsia="Times New Roman" w:hAnsi="Times New Roman"/>
          <w:sz w:val="18"/>
          <w:szCs w:val="18"/>
          <w:color w:val="auto"/>
        </w:rPr>
        <w:t>As more fully described in this proxy statement and in the Purchase Agreement, each party’s obligation to consummate the Acquisition depends on a number of conditions being satisfied (or, if permitted by applicable law, waived), including, among others:</w:t>
      </w:r>
    </w:p>
    <w:p>
      <w:pPr>
        <w:spacing w:after="0" w:line="67" w:lineRule="exact"/>
        <w:rPr>
          <w:sz w:val="20"/>
          <w:szCs w:val="20"/>
          <w:color w:val="auto"/>
        </w:rPr>
      </w:pPr>
    </w:p>
    <w:p>
      <w:pPr>
        <w:ind w:left="1220" w:hanging="415"/>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share issuance proposal by Civeo shareholders;</w:t>
      </w:r>
    </w:p>
    <w:p>
      <w:pPr>
        <w:spacing w:after="0" w:line="130" w:lineRule="exact"/>
        <w:rPr>
          <w:rFonts w:ascii="Times New Roman" w:cs="Times New Roman" w:eastAsia="Times New Roman" w:hAnsi="Times New Roman"/>
          <w:sz w:val="18"/>
          <w:szCs w:val="18"/>
          <w:color w:val="auto"/>
        </w:rPr>
      </w:pPr>
    </w:p>
    <w:p>
      <w:pPr>
        <w:ind w:left="1220" w:right="460" w:hanging="415"/>
        <w:spacing w:after="0" w:line="282" w:lineRule="auto"/>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clearance under the Competition Act (Canada) and approval under the Investment Canada Act and from specified third parties;</w:t>
      </w: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240" w:top="455" w:right="6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238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6238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60" w:hanging="415"/>
        <w:spacing w:after="0" w:line="261"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all other approvals and consents from governmental entities and third parties in respect of the transactions contemplated by the Purchase Agreement on terms and conditions reasonably acceptable to the sellers and Civeo, and the expiration or termination of all applicable statutory and regulatory waiting periods, except in each case where the failure or failures to obtain such approvals and consents would not reasonably be expected to have a material adverse effect;</w:t>
      </w:r>
    </w:p>
    <w:p>
      <w:pPr>
        <w:spacing w:after="0" w:line="85" w:lineRule="exact"/>
        <w:rPr>
          <w:rFonts w:ascii="Times New Roman" w:cs="Times New Roman" w:eastAsia="Times New Roman" w:hAnsi="Times New Roman"/>
          <w:sz w:val="18"/>
          <w:szCs w:val="18"/>
          <w:color w:val="auto"/>
        </w:rPr>
      </w:pPr>
    </w:p>
    <w:p>
      <w:pPr>
        <w:ind w:left="1220" w:right="20" w:hanging="415"/>
        <w:spacing w:after="0" w:line="282"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 other party in all material respects of all of the obligations and covenants and conditions of the Purchase Agreement to be performed prior to the closing of the Acquisition; and</w:t>
      </w:r>
    </w:p>
    <w:p>
      <w:pPr>
        <w:spacing w:after="0" w:line="67" w:lineRule="exact"/>
        <w:rPr>
          <w:rFonts w:ascii="Times New Roman" w:cs="Times New Roman" w:eastAsia="Times New Roman" w:hAnsi="Times New Roman"/>
          <w:sz w:val="18"/>
          <w:szCs w:val="18"/>
          <w:color w:val="auto"/>
        </w:rPr>
      </w:pPr>
    </w:p>
    <w:p>
      <w:pPr>
        <w:ind w:left="1220" w:right="420" w:hanging="415"/>
        <w:spacing w:after="0" w:line="282"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representations and warranties made by the other party in the Purchase Agreement (subject generally to a material adverse effect standard, with different standards applicable to certain representations and warranties).</w:t>
      </w:r>
    </w:p>
    <w:p>
      <w:pPr>
        <w:spacing w:after="0" w:line="162" w:lineRule="exact"/>
        <w:rPr>
          <w:sz w:val="20"/>
          <w:szCs w:val="20"/>
          <w:color w:val="auto"/>
        </w:rPr>
      </w:pPr>
    </w:p>
    <w:p>
      <w:pPr>
        <w:ind w:left="440" w:right="500" w:firstLine="381"/>
        <w:spacing w:after="0" w:line="282" w:lineRule="auto"/>
        <w:rPr>
          <w:sz w:val="20"/>
          <w:szCs w:val="20"/>
          <w:color w:val="auto"/>
        </w:rPr>
      </w:pPr>
      <w:r>
        <w:rPr>
          <w:rFonts w:ascii="Times New Roman" w:cs="Times New Roman" w:eastAsia="Times New Roman" w:hAnsi="Times New Roman"/>
          <w:sz w:val="18"/>
          <w:szCs w:val="18"/>
          <w:color w:val="auto"/>
        </w:rPr>
        <w:t>For a more complete discussion of the conditions to completion of the Acquisition, see the section entitled “The Purchase Agreement – Conditions Precedent to the Acquisition.”</w:t>
      </w: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Termination of the Purchase Agreement</w:t>
      </w:r>
    </w:p>
    <w:p>
      <w:pPr>
        <w:spacing w:after="0" w:line="119" w:lineRule="exact"/>
        <w:rPr>
          <w:sz w:val="20"/>
          <w:szCs w:val="20"/>
          <w:color w:val="auto"/>
        </w:rPr>
      </w:pPr>
    </w:p>
    <w:p>
      <w:pPr>
        <w:ind w:left="380" w:right="280" w:firstLine="426"/>
        <w:spacing w:after="0" w:line="282" w:lineRule="auto"/>
        <w:rPr>
          <w:sz w:val="20"/>
          <w:szCs w:val="20"/>
          <w:color w:val="auto"/>
        </w:rPr>
      </w:pPr>
      <w:r>
        <w:rPr>
          <w:rFonts w:ascii="Times New Roman" w:cs="Times New Roman" w:eastAsia="Times New Roman" w:hAnsi="Times New Roman"/>
          <w:sz w:val="18"/>
          <w:szCs w:val="18"/>
          <w:color w:val="auto"/>
        </w:rPr>
        <w:t>The Purchase Agreement may, by notice in writing given prior to the closing of the Acquisition, be terminated on the earliest of any of the following:</w:t>
      </w:r>
    </w:p>
    <w:p>
      <w:pPr>
        <w:spacing w:after="0" w:line="67" w:lineRule="exact"/>
        <w:rPr>
          <w:sz w:val="20"/>
          <w:szCs w:val="20"/>
          <w:color w:val="auto"/>
        </w:rPr>
      </w:pPr>
    </w:p>
    <w:p>
      <w:pPr>
        <w:ind w:left="1220" w:hanging="415"/>
        <w:spacing w:after="0"/>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Civeo, on the one hand, and the sellers, on the other hand;</w:t>
      </w:r>
    </w:p>
    <w:p>
      <w:pPr>
        <w:spacing w:after="0" w:line="130" w:lineRule="exact"/>
        <w:rPr>
          <w:rFonts w:ascii="Times New Roman" w:cs="Times New Roman" w:eastAsia="Times New Roman" w:hAnsi="Times New Roman"/>
          <w:sz w:val="18"/>
          <w:szCs w:val="18"/>
          <w:color w:val="auto"/>
        </w:rPr>
      </w:pPr>
    </w:p>
    <w:p>
      <w:pPr>
        <w:ind w:left="1220" w:right="60" w:hanging="415"/>
        <w:spacing w:after="0" w:line="282" w:lineRule="auto"/>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Civeo, on the one hand, or the sellers, on the other hand, if the Acquisition is not consummated by 5:00 p.m. (Edmonton time) on May 31, 2018 or such later date as mutually agreed to by the parties to the Purchase Agreement;</w:t>
      </w:r>
    </w:p>
    <w:p>
      <w:pPr>
        <w:spacing w:after="0" w:line="67" w:lineRule="exact"/>
        <w:rPr>
          <w:rFonts w:ascii="Times New Roman" w:cs="Times New Roman" w:eastAsia="Times New Roman" w:hAnsi="Times New Roman"/>
          <w:sz w:val="18"/>
          <w:szCs w:val="18"/>
          <w:color w:val="auto"/>
        </w:rPr>
      </w:pPr>
    </w:p>
    <w:p>
      <w:pPr>
        <w:ind w:left="1220" w:right="340" w:hanging="415"/>
        <w:spacing w:after="0" w:line="266" w:lineRule="auto"/>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Civeo, on the one hand, or the sellers, on the other hand, if the share issuance proposal is not approved by Civeo’s shareholders at the special meeting or at any adjournment or postponement thereof at which a vote on the share issuance proposal is taken; or</w:t>
      </w:r>
    </w:p>
    <w:p>
      <w:pPr>
        <w:spacing w:after="0" w:line="81" w:lineRule="exact"/>
        <w:rPr>
          <w:rFonts w:ascii="Times New Roman" w:cs="Times New Roman" w:eastAsia="Times New Roman" w:hAnsi="Times New Roman"/>
          <w:sz w:val="18"/>
          <w:szCs w:val="18"/>
          <w:color w:val="auto"/>
        </w:rPr>
      </w:pPr>
    </w:p>
    <w:p>
      <w:pPr>
        <w:ind w:left="1220" w:hanging="415"/>
        <w:spacing w:after="0"/>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Civeo if any of the sellers materially breaches any of its non-solicitation covenants in the Purchase Agreement.</w:t>
      </w:r>
    </w:p>
    <w:p>
      <w:pPr>
        <w:spacing w:after="0" w:line="3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1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a more complete discussion of the Purchase Agreement, see the section entitled “The Purchase Agreement.”</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Overview of the Registration Rights Agreements</w:t>
      </w:r>
    </w:p>
    <w:p>
      <w:pPr>
        <w:spacing w:after="0" w:line="121" w:lineRule="exact"/>
        <w:rPr>
          <w:sz w:val="20"/>
          <w:szCs w:val="20"/>
          <w:color w:val="auto"/>
        </w:rPr>
      </w:pPr>
    </w:p>
    <w:p>
      <w:pPr>
        <w:ind w:left="380" w:firstLine="426"/>
        <w:spacing w:after="0" w:line="254" w:lineRule="auto"/>
        <w:rPr>
          <w:sz w:val="20"/>
          <w:szCs w:val="20"/>
          <w:color w:val="auto"/>
        </w:rPr>
      </w:pPr>
      <w:r>
        <w:rPr>
          <w:rFonts w:ascii="Times New Roman" w:cs="Times New Roman" w:eastAsia="Times New Roman" w:hAnsi="Times New Roman"/>
          <w:sz w:val="18"/>
          <w:szCs w:val="18"/>
          <w:color w:val="auto"/>
        </w:rPr>
        <w:t>At the closing, Civeo will enter into the Registration Rights Agreement with the shareholders of Noralta receiving Common Shares and the Preferred Shares in the Acquisition. Pursuant to the terms and conditions of the Registration Rights Agreement, for a period of 18 months following the closing, the Torgerson Trust and 989677 will agree not to transfer any of their Common Shares without the prior written consent of Civeo, with certain limited exceptions for permitted transfers. Following such 18-month period, the Torgerson Trust and 989677 will be permitted to transfer Common Shares under Rule 144 or an effective registration statement under the U.S. Securities Act of 1933, as amended (the “Securities Act”), subject to a limitation restricting transfers during any 90-day period of more than 10% of the Common Shares (including the Common Shares received upon conversion of the Preferred Shares) received by such shareholders in the Acquisition. The Registration Rights Agreement also provides that, as soon as practicable following the date that is 18 months after the date of the Registration Rights Agreement, but in no event more than 30 days thereafter, Civeo will use its commercially reasonable efforts to prepare and file a shelf registration statement under the Securities Act covering the public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240" w:top="455" w:right="6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7759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3" w:lineRule="auto"/>
        <w:rPr>
          <w:sz w:val="20"/>
          <w:szCs w:val="20"/>
          <w:color w:val="auto"/>
        </w:rPr>
      </w:pPr>
      <w:r>
        <w:rPr>
          <w:rFonts w:ascii="Times New Roman" w:cs="Times New Roman" w:eastAsia="Times New Roman" w:hAnsi="Times New Roman"/>
          <w:sz w:val="18"/>
          <w:szCs w:val="18"/>
          <w:color w:val="auto"/>
        </w:rPr>
        <w:t>offering of the registrable securities held by the Torgerson Trust and 989677 and cause such shelf registration statement to become effective within 150 days after filing. In the event the shelf registration statement does not become effective within the time period specified in the Registration Rights Agreement, the dividend rate of the Preferred Shares will be increased by (i) 0.25% per annum commencing on the first succeeding dividend payment date after such registration default and (ii) 0.25% per annum on each subsequent dividend payment date until such time as a shelf registration statement becomes effective (up to a maximum increase of 1.00% per annum). In addition, the Torgerson Trust and 989677 will have customary “piggy-back” rights with respect to public offerings of Common Shares by Civeo. Finally, the Torgerson Trust and 989677 each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of Civeo (other than the Torgerson Trust and 989677). The transfer, standstill and voting restrictions terminate at such time as the shares beneficially owned by the Torgerson Trust and 989677 no longer constitute at least 5% of the Common Shares then outstanding (calculated assuming conversion of all of the outstanding Preferred Shares) or upon a bankruptcy or change of control of Civeo.</w:t>
      </w:r>
    </w:p>
    <w:p>
      <w:pPr>
        <w:spacing w:after="0" w:line="191" w:lineRule="exact"/>
        <w:rPr>
          <w:sz w:val="20"/>
          <w:szCs w:val="20"/>
          <w:color w:val="auto"/>
        </w:rPr>
      </w:pPr>
    </w:p>
    <w:p>
      <w:pPr>
        <w:ind w:left="380" w:right="420" w:firstLine="426"/>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Registration Rights Agreement, see the section entitled “The Registration Rights Agreement.” The Registration Rights Agreement is attached as Annex B to this proxy statement.</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380" w:firstLine="426"/>
        <w:spacing w:after="0" w:line="253" w:lineRule="auto"/>
        <w:rPr>
          <w:sz w:val="20"/>
          <w:szCs w:val="20"/>
          <w:color w:val="auto"/>
        </w:rPr>
      </w:pPr>
      <w:r>
        <w:rPr>
          <w:rFonts w:ascii="Times New Roman" w:cs="Times New Roman" w:eastAsia="Times New Roman" w:hAnsi="Times New Roman"/>
          <w:sz w:val="18"/>
          <w:szCs w:val="18"/>
          <w:color w:val="auto"/>
        </w:rPr>
        <w:t>Holders of the Preferred Shares will be entitled to receive a 2% annual dividend on the liquidation preference, subject to increase to up to 3% in the circumstances described above under “– Overview of the Registration Rights Agreement”, paid quarterly in cash or, at Civeo’s option, by increasing the Preferred Shares’ liquidation preference or any combination thereof. The Preferred Shares are convertible into Common Shares at a conversion price of US$3.30 per Preferred Share, subject to certain anti-dilution adjustments (the “Conversion Price”). Civeo has the right to elect to convert the Preferred Shares into Common Shares if the 15-day volume weighted average price of the Common Shares is equal to or exceeds the Conversion Price. Holders of the Preferred Shares will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Civeo may, at any time and from time to time, redeem any or all of the Preferred Shares for cash at the liquidation preference, plus accrued and unpaid dividends. The Preferred Shares do not have voting rights, except as statutorily required. The terms of the Preferred Shares are included in the proposed amendment to the Articles attached as Annex C to this proxy statement.</w:t>
      </w:r>
    </w:p>
    <w:p>
      <w:pPr>
        <w:spacing w:after="0" w:line="1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a more detailed discussion of the Preferred Shares, see the section entitled “Description of the Preferred Shares.”</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Directors of Civeo Following the Acquisition</w:t>
      </w:r>
    </w:p>
    <w:p>
      <w:pPr>
        <w:spacing w:after="0" w:line="121" w:lineRule="exact"/>
        <w:rPr>
          <w:sz w:val="20"/>
          <w:szCs w:val="20"/>
          <w:color w:val="auto"/>
        </w:rPr>
      </w:pPr>
    </w:p>
    <w:p>
      <w:pPr>
        <w:ind w:left="380" w:right="60" w:firstLine="426"/>
        <w:spacing w:after="0" w:line="256" w:lineRule="auto"/>
        <w:rPr>
          <w:sz w:val="20"/>
          <w:szCs w:val="20"/>
          <w:color w:val="auto"/>
        </w:rPr>
      </w:pPr>
      <w:r>
        <w:rPr>
          <w:rFonts w:ascii="Times New Roman" w:cs="Times New Roman" w:eastAsia="Times New Roman" w:hAnsi="Times New Roman"/>
          <w:sz w:val="18"/>
          <w:szCs w:val="18"/>
          <w:color w:val="auto"/>
        </w:rPr>
        <w:t>Following the Acquisition, and pursuant to the Purchase Agreement, the Civeo Board will comprise eight members, which will include the seven members of the Civeo Board at the time immediately prior to the closing and also Lance Torgerson, or with the prior written consent of Civeo, following the review and approval of the proposed nominee by the nominating committee of the Civeo Board, an alternate nominee of the Torgerson Trust (Lance Torgerson or such alternate nominee being, the “Torgerson Nominee”). The Torgerson Nominee will be added to the Civeo Board as a Class 1 director. Civeo has agreed that, after the closing, Civeo will take all necessary actions to nominate the Torgerson Nominee for election to the Civeo Board at the 2018 annual general meeting of Civeo shareholders, subject to certain limited exceptions.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240" w:top="455" w:right="6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706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Expected Timing of the Acquisition</w:t>
      </w:r>
    </w:p>
    <w:p>
      <w:pPr>
        <w:spacing w:after="0" w:line="121" w:lineRule="exact"/>
        <w:rPr>
          <w:sz w:val="20"/>
          <w:szCs w:val="20"/>
          <w:color w:val="auto"/>
        </w:rPr>
      </w:pPr>
    </w:p>
    <w:p>
      <w:pPr>
        <w:ind w:left="380" w:right="160" w:firstLine="426"/>
        <w:spacing w:after="0" w:line="266" w:lineRule="auto"/>
        <w:rPr>
          <w:sz w:val="20"/>
          <w:szCs w:val="20"/>
          <w:color w:val="auto"/>
        </w:rPr>
      </w:pPr>
      <w:r>
        <w:rPr>
          <w:rFonts w:ascii="Times New Roman" w:cs="Times New Roman" w:eastAsia="Times New Roman" w:hAnsi="Times New Roman"/>
          <w:sz w:val="18"/>
          <w:szCs w:val="18"/>
          <w:color w:val="auto"/>
        </w:rPr>
        <w:t>Civeo currently expects the closing of the Acquisition to occur in the second quarter of 2018. However, as the Acquisition is subject to the satisfaction or waiver of conditions described in the Purchase Agreement, it is possible that factors outside the control of Civeo and Noralta could result in the Acquisition being completed at an earlier time, a later time or not at all.</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Appraisal rights are not available to holders of the Common Shares in connection with the Acquisition.</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380" w:right="100" w:firstLine="426"/>
        <w:spacing w:after="0" w:line="266"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(“GAAP”), Civeo expects to account for the Acquisition by applying the acquisition method of accounting for business combinations. For a more detailed discussion of the accounting treatment of the Acquisition, see the section entitled “The Acquisition – Anticipated Accounting Treatment”.</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380" w:right="160" w:firstLine="426"/>
        <w:spacing w:after="0" w:line="258" w:lineRule="auto"/>
        <w:rPr>
          <w:sz w:val="20"/>
          <w:szCs w:val="20"/>
          <w:color w:val="auto"/>
        </w:rPr>
      </w:pPr>
      <w:r>
        <w:rPr>
          <w:rFonts w:ascii="Times New Roman" w:cs="Times New Roman" w:eastAsia="Times New Roman" w:hAnsi="Times New Roman"/>
          <w:sz w:val="18"/>
          <w:szCs w:val="18"/>
          <w:color w:val="auto"/>
        </w:rPr>
        <w:t>The Acquisition is subject to the requirements of the Competition Act (Canada) and the Investment Canada Act. While Civeo and Noralta expect to obtain all required regulatory clearances, these regulatory clearances have not yet been obtained and we cannot assure you that they will be obtained, that they will not involve the imposition of additional conditions on the completion of the Acquisition, or that they will not require changes to the terms of the Purchase Agreement. These conditions or changes could result in the conditions to the Acquisition not being satisfied. We cannot assure you that a challenge to the Acquisition will not be made or that, if a challenge is made, it will not succeed.</w:t>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a more complete discussion of the required regulatory approvals, see the section entitled “The Acquisition – Regulatory Approvals.”</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Selected Historical Financial Data of Noralta</w:t>
      </w:r>
    </w:p>
    <w:p>
      <w:pPr>
        <w:spacing w:after="0" w:line="121" w:lineRule="exact"/>
        <w:rPr>
          <w:sz w:val="20"/>
          <w:szCs w:val="20"/>
          <w:color w:val="auto"/>
        </w:rPr>
      </w:pPr>
    </w:p>
    <w:p>
      <w:pPr>
        <w:ind w:left="380" w:firstLine="426"/>
        <w:spacing w:after="0" w:line="256" w:lineRule="auto"/>
        <w:rPr>
          <w:sz w:val="20"/>
          <w:szCs w:val="20"/>
          <w:color w:val="auto"/>
        </w:rPr>
      </w:pPr>
      <w:r>
        <w:rPr>
          <w:rFonts w:ascii="Times New Roman" w:cs="Times New Roman" w:eastAsia="Times New Roman" w:hAnsi="Times New Roman"/>
          <w:sz w:val="18"/>
          <w:szCs w:val="18"/>
          <w:color w:val="auto"/>
        </w:rPr>
        <w:t>The selected historical consolidated financial information for Noralta as of May 31, 2017 and 2016 and for each of Noralta’s fiscal years ended May 31, 2017, 2016 and 2015 have been derived from, and should be read in conjunction with, Noralta’s audited financial statements and the notes thereto included in Annex F to this proxy statement (“Noralta’s Financial Statements”). Selected consolidated financial information as of May 31, 2015 and as of, and for, the fiscal years ended, May 31, 2014 and 2013 have been omitted because of Noralta’s status as an emerging growth company under the Jumpstart Our Business Startups Act of 2012, or the JOBS Act, and in accordance with related guidance provided by the SEC.</w:t>
      </w:r>
    </w:p>
    <w:p>
      <w:pPr>
        <w:spacing w:after="0" w:line="188" w:lineRule="exact"/>
        <w:rPr>
          <w:sz w:val="20"/>
          <w:szCs w:val="20"/>
          <w:color w:val="auto"/>
        </w:rPr>
      </w:pPr>
    </w:p>
    <w:p>
      <w:pPr>
        <w:ind w:left="380" w:right="20" w:firstLine="426"/>
        <w:spacing w:after="0" w:line="277" w:lineRule="auto"/>
        <w:rPr>
          <w:sz w:val="20"/>
          <w:szCs w:val="20"/>
          <w:color w:val="auto"/>
        </w:rPr>
      </w:pPr>
      <w:r>
        <w:rPr>
          <w:rFonts w:ascii="Times New Roman" w:cs="Times New Roman" w:eastAsia="Times New Roman" w:hAnsi="Times New Roman"/>
          <w:sz w:val="17"/>
          <w:szCs w:val="17"/>
          <w:color w:val="auto"/>
        </w:rPr>
        <w:t>Noralta’s Financial Statements are presented in Canadian dollars. On January 26, 2018, the noon buying rate was $1.00 = C$1.23. For additional historical exchange rate information, see the section entitled “Exchange Rate Information.” In addition, Noralta is a privately held company. Noralta’s Financial Statements have been prepared in accordance with Canadian Accounting Standards for Private Enterprises (“ASPE”), which differs in significant respects from U.S. GAAP. For a discussion of the significant differences relating to Noralta’s Financial Statements, see Note 24 to Noralta’s Financial Statements. This historical financial information may not be indicative of Noralta’s future performance.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240" w:top="455" w:right="6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907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69075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Amounts presented in the tables below are in accordance with ASPE.</w:t>
      </w:r>
    </w:p>
    <w:p>
      <w:pPr>
        <w:spacing w:after="0" w:line="246"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00" w:type="dxa"/>
            <w:vAlign w:val="bottom"/>
            <w:gridSpan w:val="7"/>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For the fiscal year ended May 31,</w:t>
            </w: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0" w:type="dxa"/>
            <w:vAlign w:val="bottom"/>
            <w:tcBorders>
              <w:top w:val="single" w:sz="8" w:color="auto"/>
              <w:bottom w:val="single" w:sz="8" w:color="auto"/>
            </w:tcBorders>
            <w:gridSpan w:val="4"/>
          </w:tcPr>
          <w:p>
            <w:pPr>
              <w:jc w:val="center"/>
              <w:ind w:left="3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2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C$158,725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C$ 94,953</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C$132,436</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41,726</w:t>
            </w:r>
          </w:p>
        </w:tc>
        <w:tc>
          <w:tcPr>
            <w:tcW w:w="180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(14,584)</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(10,027)</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37,408</w:t>
            </w:r>
          </w:p>
        </w:tc>
        <w:tc>
          <w:tcPr>
            <w:tcW w:w="180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color w:val="auto"/>
              </w:rPr>
              <w:t>(10,068)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(12,919)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from operations per common share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(146)</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37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 May 31,</w:t>
            </w: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C$214,048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C$199,454</w:t>
            </w:r>
          </w:p>
        </w:tc>
      </w:tr>
      <w:tr>
        <w:trPr>
          <w:trHeight w:val="198"/>
        </w:trPr>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obligations, including debt, obligations under capital leases and promissory note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0" w:type="dxa"/>
            <w:vAlign w:val="bottom"/>
            <w:gridSpan w:val="4"/>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100,985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147,532</w:t>
            </w:r>
          </w:p>
        </w:tc>
        <w:tc>
          <w:tcPr>
            <w:tcW w:w="40" w:type="dxa"/>
            <w:vAlign w:val="bottom"/>
            <w:shd w:val="clear" w:color="auto" w:fill="CCEEFF"/>
          </w:tcPr>
          <w:p>
            <w:pPr>
              <w:spacing w:after="0"/>
              <w:rPr>
                <w:sz w:val="20"/>
                <w:szCs w:val="20"/>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4"/>
          </w:tcPr>
          <w:p>
            <w:pPr>
              <w:jc w:val="right"/>
              <w:ind w:right="168"/>
              <w:spacing w:after="0"/>
              <w:rPr>
                <w:sz w:val="20"/>
                <w:szCs w:val="20"/>
                <w:color w:val="auto"/>
              </w:rPr>
            </w:pPr>
            <w:r>
              <w:rPr>
                <w:rFonts w:ascii="Times New Roman" w:cs="Times New Roman" w:eastAsia="Times New Roman" w:hAnsi="Times New Roman"/>
                <w:sz w:val="18"/>
                <w:szCs w:val="18"/>
                <w:color w:val="auto"/>
              </w:rPr>
              <w:t>9,607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Noralta shareholders’ equity</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gridSpan w:val="4"/>
          </w:tcPr>
          <w:p>
            <w:pPr>
              <w:jc w:val="right"/>
              <w:ind w:right="168"/>
              <w:spacing w:after="0"/>
              <w:rPr>
                <w:sz w:val="20"/>
                <w:szCs w:val="20"/>
                <w:color w:val="auto"/>
              </w:rPr>
            </w:pPr>
            <w:r>
              <w:rPr>
                <w:rFonts w:ascii="Times New Roman" w:cs="Times New Roman" w:eastAsia="Times New Roman" w:hAnsi="Times New Roman"/>
                <w:sz w:val="18"/>
                <w:szCs w:val="18"/>
                <w:color w:val="auto"/>
              </w:rPr>
              <w:t>57,542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40" w:type="dxa"/>
            <w:vAlign w:val="bottom"/>
          </w:tcPr>
          <w:p>
            <w:pPr>
              <w:spacing w:after="0"/>
              <w:rPr>
                <w:sz w:val="20"/>
                <w:szCs w:val="20"/>
                <w:color w:val="auto"/>
              </w:rPr>
            </w:pPr>
          </w:p>
        </w:tc>
      </w:tr>
      <w:tr>
        <w:trPr>
          <w:trHeight w:val="41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Amounts in the tables below are presented in accordance with U.S. GAAP.</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fiscal year ended May 31,</w:t>
            </w: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Borders>
              <w:top w:val="single" w:sz="8" w:color="auto"/>
              <w:bottom w:val="single" w:sz="8" w:color="auto"/>
            </w:tcBorders>
            <w:gridSpan w:val="3"/>
          </w:tcPr>
          <w:p>
            <w:pPr>
              <w:jc w:val="right"/>
              <w:ind w:right="8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4"/>
          </w:tcPr>
          <w:p>
            <w:pPr>
              <w:jc w:val="right"/>
              <w:ind w:right="528"/>
              <w:spacing w:after="0"/>
              <w:rPr>
                <w:sz w:val="20"/>
                <w:szCs w:val="20"/>
                <w:color w:val="auto"/>
              </w:rPr>
            </w:pPr>
            <w:r>
              <w:rPr>
                <w:rFonts w:ascii="Times New Roman" w:cs="Times New Roman" w:eastAsia="Times New Roman" w:hAnsi="Times New Roman"/>
                <w:sz w:val="18"/>
                <w:szCs w:val="18"/>
                <w:color w:val="auto"/>
              </w:rPr>
              <w:t>C$  160,879</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   94,972</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42,282</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(14,584)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4"/>
          </w:tcPr>
          <w:p>
            <w:pPr>
              <w:jc w:val="right"/>
              <w:ind w:right="528"/>
              <w:spacing w:after="0"/>
              <w:rPr>
                <w:sz w:val="20"/>
                <w:szCs w:val="20"/>
                <w:color w:val="auto"/>
              </w:rPr>
            </w:pPr>
            <w:r>
              <w:rPr>
                <w:rFonts w:ascii="Times New Roman" w:cs="Times New Roman" w:eastAsia="Times New Roman" w:hAnsi="Times New Roman"/>
                <w:sz w:val="18"/>
                <w:szCs w:val="18"/>
                <w:color w:val="auto"/>
              </w:rPr>
              <w:t>37,786</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(10,068)</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from operations per common share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423</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gridSpan w:val="4"/>
          </w:tcPr>
          <w:p>
            <w:pPr>
              <w:jc w:val="right"/>
              <w:ind w:right="528"/>
              <w:spacing w:after="0"/>
              <w:rPr>
                <w:sz w:val="20"/>
                <w:szCs w:val="20"/>
                <w:color w:val="auto"/>
              </w:rPr>
            </w:pPr>
            <w:r>
              <w:rPr>
                <w:rFonts w:ascii="Times New Roman" w:cs="Times New Roman" w:eastAsia="Times New Roman" w:hAnsi="Times New Roman"/>
                <w:sz w:val="18"/>
                <w:szCs w:val="18"/>
                <w:color w:val="auto"/>
              </w:rPr>
              <w:t>378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37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As of May 31,</w:t>
            </w: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360" w:type="dxa"/>
            <w:vAlign w:val="bottom"/>
            <w:tcBorders>
              <w:top w:val="single" w:sz="8" w:color="auto"/>
              <w:bottom w:val="single" w:sz="8" w:color="auto"/>
            </w:tcBorders>
            <w:gridSpan w:val="2"/>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C$ 204,027</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C$ 193,803</w:t>
            </w:r>
          </w:p>
        </w:tc>
      </w:tr>
      <w:tr>
        <w:trPr>
          <w:trHeight w:val="198"/>
        </w:trPr>
        <w:tc>
          <w:tcPr>
            <w:tcW w:w="6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obligations, including debt, obligations under capital leases and promissory</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0" w:type="dxa"/>
            <w:vAlign w:val="bottom"/>
            <w:gridSpan w:val="4"/>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100,985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147,532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4"/>
          </w:tcPr>
          <w:p>
            <w:pPr>
              <w:jc w:val="right"/>
              <w:ind w:right="408"/>
              <w:spacing w:after="0"/>
              <w:rPr>
                <w:sz w:val="20"/>
                <w:szCs w:val="20"/>
                <w:color w:val="auto"/>
              </w:rPr>
            </w:pPr>
            <w:r>
              <w:rPr>
                <w:rFonts w:ascii="Times New Roman" w:cs="Times New Roman" w:eastAsia="Times New Roman" w:hAnsi="Times New Roman"/>
                <w:sz w:val="18"/>
                <w:szCs w:val="18"/>
                <w:color w:val="auto"/>
              </w:rPr>
              <w:t>479,246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Noralta shareholders’ equity</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gridSpan w:val="4"/>
          </w:tcPr>
          <w:p>
            <w:pPr>
              <w:jc w:val="right"/>
              <w:ind w:right="348"/>
              <w:spacing w:after="0"/>
              <w:rPr>
                <w:sz w:val="20"/>
                <w:szCs w:val="20"/>
                <w:color w:val="auto"/>
              </w:rPr>
            </w:pPr>
            <w:r>
              <w:rPr>
                <w:rFonts w:ascii="Times New Roman" w:cs="Times New Roman" w:eastAsia="Times New Roman" w:hAnsi="Times New Roman"/>
                <w:sz w:val="18"/>
                <w:szCs w:val="18"/>
                <w:color w:val="auto"/>
              </w:rPr>
              <w:t>(427,092)</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(464,784)</w:t>
            </w:r>
          </w:p>
        </w:tc>
      </w:tr>
    </w:tbl>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Selected Historical Financial Data of Civeo</w:t>
      </w:r>
    </w:p>
    <w:p>
      <w:pPr>
        <w:spacing w:after="0" w:line="121" w:lineRule="exact"/>
        <w:rPr>
          <w:sz w:val="20"/>
          <w:szCs w:val="20"/>
          <w:color w:val="auto"/>
        </w:rPr>
      </w:pPr>
    </w:p>
    <w:p>
      <w:pPr>
        <w:ind w:left="38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selected historical consolidated financial information of Civeo and combined financial information of the accommodations business. The term “accommodations business” refers to the historical accommodations segment of Oil States International, Inc. (“Oil States”) reflected in its historical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240" w:top="455" w:right="7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518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20"/>
        <w:spacing w:after="0" w:line="256" w:lineRule="auto"/>
        <w:rPr>
          <w:sz w:val="20"/>
          <w:szCs w:val="20"/>
          <w:color w:val="auto"/>
        </w:rPr>
      </w:pPr>
      <w:r>
        <w:rPr>
          <w:rFonts w:ascii="Times New Roman" w:cs="Times New Roman" w:eastAsia="Times New Roman" w:hAnsi="Times New Roman"/>
          <w:sz w:val="18"/>
          <w:szCs w:val="18"/>
          <w:color w:val="auto"/>
        </w:rPr>
        <w:t>combined financial statements. The balance sheet data as of December 31, 2016 and 2015 and the statement of operations data for each of the years ended December 31, 2016, 2015 and 2014 are derived from Civeo’s audited financial statements incorporated by reference in this proxy statement. The balance sheet data as of December 31, 2014, 2013 and 2012 and statement of operations data for the years ended December 31, 2013 and 2012 are derived from Civeo’s audited combined financial statements not incorporated by reference in this proxy statement. The balance sheet data as of September 30, 2017 and the statement of operations data for the nine-months ended September 30, 2017 and 2016 are derived from Civeo’s unaudited consolidated financial statements incorporated by reference in this proxy statement.</w:t>
      </w:r>
    </w:p>
    <w:p>
      <w:pPr>
        <w:spacing w:after="0" w:line="188" w:lineRule="exact"/>
        <w:rPr>
          <w:sz w:val="20"/>
          <w:szCs w:val="20"/>
          <w:color w:val="auto"/>
        </w:rPr>
      </w:pPr>
    </w:p>
    <w:p>
      <w:pPr>
        <w:ind w:left="380" w:right="680" w:firstLine="426"/>
        <w:spacing w:after="0" w:line="282" w:lineRule="auto"/>
        <w:rPr>
          <w:sz w:val="20"/>
          <w:szCs w:val="20"/>
          <w:color w:val="auto"/>
        </w:rPr>
      </w:pPr>
      <w:r>
        <w:rPr>
          <w:rFonts w:ascii="Times New Roman" w:cs="Times New Roman" w:eastAsia="Times New Roman" w:hAnsi="Times New Roman"/>
          <w:sz w:val="18"/>
          <w:szCs w:val="18"/>
          <w:color w:val="auto"/>
        </w:rPr>
        <w:t>All financial information presented after Civeo’s spin-off from Oil States represents the consolidated results of operations and financial position of Civeo. Accordingly:</w:t>
      </w:r>
    </w:p>
    <w:p>
      <w:pPr>
        <w:spacing w:after="0" w:line="67" w:lineRule="exact"/>
        <w:rPr>
          <w:sz w:val="20"/>
          <w:szCs w:val="20"/>
          <w:color w:val="auto"/>
        </w:rPr>
      </w:pPr>
    </w:p>
    <w:p>
      <w:pPr>
        <w:ind w:left="1220" w:right="260" w:hanging="415"/>
        <w:spacing w:after="0" w:line="256"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operations data for the nine-months ended September 30, 2017 and 2016 and the years ended December 31, 2016 and 2015 consists entirely of the consolidated results of Civeo. The consolidated statement of operations data for the year ended December 31, 2014 consists of (i) the combined results of the Oil States accommodations business for the five months ended May 30, 2014 and (ii) the consolidated results of Civeo for the seven months ended December 31, 2014. The consolidated statements of operations data for the years ended December 31, 2013 and 2012 consist entirely of the combined results of the Oil States accommodations business.</w:t>
      </w:r>
    </w:p>
    <w:p>
      <w:pPr>
        <w:spacing w:after="0" w:line="93" w:lineRule="exact"/>
        <w:rPr>
          <w:rFonts w:ascii="Times New Roman" w:cs="Times New Roman" w:eastAsia="Times New Roman" w:hAnsi="Times New Roman"/>
          <w:sz w:val="18"/>
          <w:szCs w:val="18"/>
          <w:color w:val="auto"/>
        </w:rPr>
      </w:pPr>
    </w:p>
    <w:p>
      <w:pPr>
        <w:ind w:left="1220" w:right="220" w:hanging="415"/>
        <w:spacing w:after="0" w:line="266"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 data at September 30, 2017 and December 31, 2016, 2015 and 2014 consists entirely of the consolidated balances of Civeo, while at December 31, 2013 and 2012, it consists entirely of the combined balances of the Oil States accommodations business.</w:t>
      </w:r>
    </w:p>
    <w:p>
      <w:pPr>
        <w:spacing w:after="0" w:line="176" w:lineRule="exact"/>
        <w:rPr>
          <w:sz w:val="20"/>
          <w:szCs w:val="20"/>
          <w:color w:val="auto"/>
        </w:rPr>
      </w:pPr>
    </w:p>
    <w:p>
      <w:pPr>
        <w:ind w:left="380" w:right="340" w:firstLine="426"/>
        <w:spacing w:after="0" w:line="258" w:lineRule="auto"/>
        <w:rPr>
          <w:sz w:val="20"/>
          <w:szCs w:val="20"/>
          <w:color w:val="auto"/>
        </w:rPr>
      </w:pPr>
      <w:r>
        <w:rPr>
          <w:rFonts w:ascii="Times New Roman" w:cs="Times New Roman" w:eastAsia="Times New Roman" w:hAnsi="Times New Roman"/>
          <w:sz w:val="18"/>
          <w:szCs w:val="18"/>
          <w:color w:val="auto"/>
        </w:rPr>
        <w:t>The historical financial information presented below should be read in conjunction with Civeo’s consolidated financial statements and accompanying notes and “Management’s Discussion and Analysis of Financial Condition and Results of Operations” incorporated by reference in this proxy statement. The financial information may not be indicative of Civeo’s future performance and, for periods prior to its spin-off from Oil States, does not necessarily reflect what the financial position and results of operations would have been had Civeo operated as a separate, stand-alone entity during those periods, including changes that have occurred in Civeo’s operations as a result of the spin-off.</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7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20" w:type="dxa"/>
            <w:vAlign w:val="bottom"/>
          </w:tcPr>
          <w:p>
            <w:pPr>
              <w:spacing w:after="0"/>
              <w:rPr>
                <w:sz w:val="13"/>
                <w:szCs w:val="13"/>
                <w:color w:val="auto"/>
              </w:rPr>
            </w:pPr>
          </w:p>
        </w:tc>
        <w:tc>
          <w:tcPr>
            <w:tcW w:w="2860" w:type="dxa"/>
            <w:vAlign w:val="bottom"/>
            <w:gridSpan w:val="3"/>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20" w:type="dxa"/>
            <w:vAlign w:val="bottom"/>
          </w:tcPr>
          <w:p>
            <w:pPr>
              <w:spacing w:after="0"/>
              <w:rPr>
                <w:sz w:val="15"/>
                <w:szCs w:val="15"/>
                <w:color w:val="auto"/>
              </w:rPr>
            </w:pPr>
          </w:p>
        </w:tc>
        <w:tc>
          <w:tcPr>
            <w:tcW w:w="286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7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9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3"/>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w w:val="97"/>
              </w:rPr>
              <w:t>$280,928</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$306,309</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$397,230</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$ 517,963</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$ 942,891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$1,041,104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(81,169)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259,456</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4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Civeo or the</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Accommodations Business of Oil States International,</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 as applicable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(80,439)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Diluted net income (loss) per share attributable to Civeo</w:t>
            </w: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 the Accommodations Business of Oil States</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International, Inc., as applicable</w:t>
            </w:r>
            <w:r>
              <w:rPr>
                <w:rFonts w:ascii="Times New Roman" w:cs="Times New Roman" w:eastAsia="Times New Roman" w:hAnsi="Times New Roman"/>
                <w:sz w:val="15"/>
                <w:szCs w:val="15"/>
                <w:color w:val="auto"/>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363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53638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1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6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9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929,750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$910,446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$1,066,529</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$1,829,161</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8"/>
              </w:rPr>
              <w:t>$2,123,237</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$2,132,925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to affiliates</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335,171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358,316</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to third-parties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307,522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379,416</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755,625</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123,497</w:t>
            </w: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Civeo shareholders’ equity or Oil States net</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as applicable</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525,829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475,467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563,245</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858,001</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1,591,034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1,410,397</w:t>
            </w:r>
          </w:p>
        </w:tc>
        <w:tc>
          <w:tcPr>
            <w:tcW w:w="0" w:type="dxa"/>
            <w:vAlign w:val="bottom"/>
          </w:tcPr>
          <w:p>
            <w:pPr>
              <w:spacing w:after="0"/>
              <w:rPr>
                <w:sz w:val="1"/>
                <w:szCs w:val="1"/>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0.26</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800" w:right="20" w:hanging="414"/>
        <w:spacing w:after="0" w:line="258"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2014, 106,538,044 Common Shares were distributed to Oil States stockholders in connection with the spin-off of Civeo from Oil States. For comparative purposes, and to provide a more meaningful calculation of weighted-average shares outstanding in Civeo’s diluted net income (loss) per share calculation, these shares were assumed to be outstanding as of the beginning of each period prior to the separation presented in the calculation of weighted-average shares. In addition, the dilutive securities outstanding at May 30, 2014 were also assumed to be outstanding for each of the periods presented prior to the spin-off.</w:t>
      </w:r>
    </w:p>
    <w:p>
      <w:pPr>
        <w:spacing w:after="0" w:line="2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Comparative Per Share Data</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Set forth below is income (loss) from continuing operations, cash dividends and book value per share data for:</w:t>
      </w:r>
    </w:p>
    <w:p>
      <w:pPr>
        <w:spacing w:after="0" w:line="131" w:lineRule="exact"/>
        <w:rPr>
          <w:sz w:val="20"/>
          <w:szCs w:val="20"/>
          <w:color w:val="auto"/>
        </w:rPr>
      </w:pPr>
    </w:p>
    <w:p>
      <w:pPr>
        <w:ind w:left="1220" w:right="1040" w:hanging="415"/>
        <w:spacing w:after="0" w:line="282" w:lineRule="auto"/>
        <w:tabs>
          <w:tab w:leader="none" w:pos="1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on a historical basis, prepared under U.S. GAAP and presented in U.S. dollars, as of and for the nine months ended September 30, 2017 and the year ended December 31, 2016;</w:t>
      </w:r>
    </w:p>
    <w:p>
      <w:pPr>
        <w:spacing w:after="0" w:line="67" w:lineRule="exact"/>
        <w:rPr>
          <w:rFonts w:ascii="Times New Roman" w:cs="Times New Roman" w:eastAsia="Times New Roman" w:hAnsi="Times New Roman"/>
          <w:sz w:val="18"/>
          <w:szCs w:val="18"/>
          <w:color w:val="auto"/>
        </w:rPr>
      </w:pPr>
    </w:p>
    <w:p>
      <w:pPr>
        <w:ind w:left="1220" w:right="180" w:hanging="415"/>
        <w:spacing w:after="0" w:line="282" w:lineRule="auto"/>
        <w:tabs>
          <w:tab w:leader="none" w:pos="1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Noralta on a historical basis, prepared under ASPE and presented in Canadian dollars, as of and for the twelve months ended May 31, 2017;</w:t>
      </w:r>
    </w:p>
    <w:p>
      <w:pPr>
        <w:spacing w:after="0" w:line="67" w:lineRule="exact"/>
        <w:rPr>
          <w:rFonts w:ascii="Times New Roman" w:cs="Times New Roman" w:eastAsia="Times New Roman" w:hAnsi="Times New Roman"/>
          <w:sz w:val="18"/>
          <w:szCs w:val="18"/>
          <w:color w:val="auto"/>
        </w:rPr>
      </w:pPr>
    </w:p>
    <w:p>
      <w:pPr>
        <w:ind w:left="1220" w:right="240" w:hanging="415"/>
        <w:spacing w:after="0" w:line="282" w:lineRule="auto"/>
        <w:tabs>
          <w:tab w:leader="none" w:pos="1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on a pro forma combined basis, prepared under U.S. GAAP and presented in U.S. dollars, as of and for the nine months ended September 30, 2017 and for the year ended December 31, 2016; and</w:t>
      </w:r>
    </w:p>
    <w:p>
      <w:pPr>
        <w:spacing w:after="0" w:line="67" w:lineRule="exact"/>
        <w:rPr>
          <w:rFonts w:ascii="Times New Roman" w:cs="Times New Roman" w:eastAsia="Times New Roman" w:hAnsi="Times New Roman"/>
          <w:sz w:val="18"/>
          <w:szCs w:val="18"/>
          <w:color w:val="auto"/>
        </w:rPr>
      </w:pPr>
    </w:p>
    <w:p>
      <w:pPr>
        <w:ind w:left="1220" w:hanging="415"/>
        <w:spacing w:after="0" w:line="261" w:lineRule="auto"/>
        <w:tabs>
          <w:tab w:leader="none" w:pos="1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Noralta on a pro forma equivalent share basis, prepared under U.S. GAAP and presented in U.S. dollars, as of and for the nine months ended September 30, 2017 and for the year ended December 31, 2016 calculated by multiplying (i) the applicable Civeo pro forma combined amounts by (ii) the quotient obtained by dividing the number of Common Shares to be issued in the Acquisition, assuming no conversion of the Preferred Shares, by the number of outstanding Noralta common shares.</w:t>
      </w:r>
    </w:p>
    <w:p>
      <w:pPr>
        <w:spacing w:after="0" w:line="180" w:lineRule="exact"/>
        <w:rPr>
          <w:sz w:val="20"/>
          <w:szCs w:val="20"/>
          <w:color w:val="auto"/>
        </w:rPr>
      </w:pPr>
    </w:p>
    <w:p>
      <w:pPr>
        <w:ind w:left="380" w:right="240" w:firstLine="426"/>
        <w:spacing w:after="0" w:line="261" w:lineRule="auto"/>
        <w:rPr>
          <w:sz w:val="20"/>
          <w:szCs w:val="20"/>
          <w:color w:val="auto"/>
        </w:rPr>
      </w:pPr>
      <w:r>
        <w:rPr>
          <w:rFonts w:ascii="Times New Roman" w:cs="Times New Roman" w:eastAsia="Times New Roman" w:hAnsi="Times New Roman"/>
          <w:sz w:val="18"/>
          <w:szCs w:val="18"/>
          <w:color w:val="auto"/>
        </w:rPr>
        <w:t>You should read the information set forth below in conjunction with the selected historical financial information of Civeo and Noralta included elsewhere in this proxy statement and the historical financial statements and related notes of Civeo that are incorporated into this proxy statement by reference. See “– Selected Historical Financial Information of Civeo,” “– Selected Historical Financial Information of Noralta,” Noralta’s Financial Statements attached as Annex F hereto and “Additional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240" w:top="455" w:right="6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075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6075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information below is not necessarily indicative of the operating results or financial position that would have occurred if the Acquisition had been completed as of the periods presented, nor is it necessarily indicative of the future operating results or financial position of the Civeo. In addition, the unaudited pro forma combined information does not purport to indicate balance sheet data or results of operations data as of any future date or for any future period.</w:t>
      </w:r>
    </w:p>
    <w:p>
      <w:pPr>
        <w:spacing w:after="0" w:line="188"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80" w:type="dxa"/>
            <w:vAlign w:val="bottom"/>
          </w:tcPr>
          <w:p>
            <w:pPr>
              <w:spacing w:after="0"/>
              <w:rPr>
                <w:sz w:val="13"/>
                <w:szCs w:val="13"/>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Civeo Historical</w:t>
            </w: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3.98</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349"/>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Noralta Historical</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per common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C$</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377,860</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377,860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(4,270,920)</w:t>
            </w:r>
          </w:p>
        </w:tc>
        <w:tc>
          <w:tcPr>
            <w:tcW w:w="0" w:type="dxa"/>
            <w:vAlign w:val="bottom"/>
          </w:tcPr>
          <w:p>
            <w:pPr>
              <w:spacing w:after="0"/>
              <w:rPr>
                <w:sz w:val="1"/>
                <w:szCs w:val="1"/>
                <w:color w:val="auto"/>
              </w:rPr>
            </w:pPr>
          </w:p>
        </w:tc>
      </w:tr>
      <w:tr>
        <w:trPr>
          <w:trHeight w:val="349"/>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80" w:type="dxa"/>
            <w:vAlign w:val="bottom"/>
          </w:tcPr>
          <w:p>
            <w:pPr>
              <w:spacing w:after="0"/>
              <w:rPr>
                <w:sz w:val="24"/>
                <w:szCs w:val="24"/>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Civeo Pro Forma Combined</w:t>
            </w: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4.31</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80" w:type="dxa"/>
            <w:vAlign w:val="bottom"/>
          </w:tcPr>
          <w:p>
            <w:pPr>
              <w:spacing w:after="0"/>
              <w:rPr>
                <w:sz w:val="24"/>
                <w:szCs w:val="24"/>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Noralta Equivalent</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(88,535)</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(200,024)</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(88,535)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(200,024)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r>
              <w:rPr>
                <w:rFonts w:ascii="Times New Roman" w:cs="Times New Roman" w:eastAsia="Times New Roman" w:hAnsi="Times New Roman"/>
                <w:sz w:val="15"/>
                <w:szCs w:val="15"/>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3"/>
          </w:tcPr>
          <w:p>
            <w:pPr>
              <w:jc w:val="right"/>
              <w:ind w:right="988"/>
              <w:spacing w:after="0"/>
              <w:rPr>
                <w:sz w:val="20"/>
                <w:szCs w:val="20"/>
                <w:color w:val="auto"/>
              </w:rPr>
            </w:pPr>
            <w:r>
              <w:rPr>
                <w:rFonts w:ascii="Times New Roman" w:cs="Times New Roman" w:eastAsia="Times New Roman" w:hAnsi="Times New Roman"/>
                <w:sz w:val="18"/>
                <w:szCs w:val="18"/>
                <w:color w:val="auto"/>
              </w:rPr>
              <w:t>1,413,288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800" w:hanging="414"/>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calculated by dividing shareholders’ deficit or shareholders’ equity by common shares, as applicable, outstanding.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240" w:top="455" w:right="6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200" w:right="2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or incorporated by reference into this proxy statement, including the matters addressed in the section of this proxy statement entitled “Cautionary Statement Regarding Forward-Looking Statements,” shareholders should carefully consider the risks described below relating to the Acquisition and Civeo following the Acquisition. The risks and uncertainties described below are not the only ones Civeo faces. Additional risks and uncertainties not presently known to Civeo or that Civeo currently considers immaterial may also impair Civeo’s operations. If any of the following risks actually occur, Civeo’s business, financial conditions and/or results of operations could be materially adversely affected, the trading price of the Common Shares could decline and a shareholder could lose all or part of his or her investment.</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the Proposed Acquisition</w:t>
      </w:r>
    </w:p>
    <w:p>
      <w:pPr>
        <w:spacing w:after="0" w:line="117" w:lineRule="exact"/>
        <w:rPr>
          <w:sz w:val="20"/>
          <w:szCs w:val="20"/>
          <w:color w:val="auto"/>
        </w:rPr>
      </w:pPr>
    </w:p>
    <w:p>
      <w:pPr>
        <w:ind w:left="200" w:right="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There is no assurance when or even if the Acquisition will be completed. Failure to obtain required approvals necessary to satisfy closing conditions may delay or prevent completion of the Acquisition.</w:t>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completion of the Acquisition is subject to a number of closing conditions, some of which are out of Civeo’s control, including the following:</w:t>
      </w:r>
    </w:p>
    <w:p>
      <w:pPr>
        <w:spacing w:after="0" w:line="142" w:lineRule="exact"/>
        <w:rPr>
          <w:sz w:val="20"/>
          <w:szCs w:val="20"/>
          <w:color w:val="auto"/>
        </w:rPr>
      </w:pPr>
    </w:p>
    <w:p>
      <w:pPr>
        <w:ind w:left="1060" w:hanging="424"/>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issuance proposal being approved by Civeo’s shareholders;</w:t>
      </w:r>
    </w:p>
    <w:p>
      <w:pPr>
        <w:spacing w:after="0" w:line="130" w:lineRule="exact"/>
        <w:rPr>
          <w:rFonts w:ascii="Times New Roman" w:cs="Times New Roman" w:eastAsia="Times New Roman" w:hAnsi="Times New Roman"/>
          <w:sz w:val="18"/>
          <w:szCs w:val="18"/>
          <w:color w:val="auto"/>
        </w:rPr>
      </w:pPr>
    </w:p>
    <w:p>
      <w:pPr>
        <w:ind w:left="1060" w:right="300" w:hanging="424"/>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the parties at and as of the closing of the Acquisition (subject to certain materiality qualifiers);</w:t>
      </w:r>
    </w:p>
    <w:p>
      <w:pPr>
        <w:spacing w:after="0" w:line="67"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each party’s obligations under the Purchase Agreement required to be performed by it on or prior to the closing date of the Acquisition;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Material Adverse Effect on either party; and</w:t>
      </w:r>
    </w:p>
    <w:p>
      <w:pPr>
        <w:spacing w:after="0" w:line="130" w:lineRule="exact"/>
        <w:rPr>
          <w:rFonts w:ascii="Times New Roman" w:cs="Times New Roman" w:eastAsia="Times New Roman" w:hAnsi="Times New Roman"/>
          <w:sz w:val="18"/>
          <w:szCs w:val="18"/>
          <w:color w:val="auto"/>
        </w:rPr>
      </w:pPr>
    </w:p>
    <w:p>
      <w:pPr>
        <w:ind w:left="1060" w:hanging="424"/>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Canadian regulatory approvals and clearances, including under the Competition Act (Canada) and the Investment Canada Act, and other regulatory and third party consents.</w:t>
      </w:r>
    </w:p>
    <w:p>
      <w:pPr>
        <w:spacing w:after="0" w:line="162"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For a more complete summary of the conditions that must be satisfied or waived prior to closing of the Acquisition, see the section entitled “The Purchase Agreement – Conditions Precedent to the Acquisition.”</w:t>
      </w:r>
    </w:p>
    <w:p>
      <w:pPr>
        <w:spacing w:after="0" w:line="162"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Civeo cannot be certain that its shareholders will approve the share issuance proposal. Civeo also cannot be certain when it and Noralta will be able to satisfy the other closing conditions or whether those closing conditions will be satisfied. If any of these conditions are not satisfied or waived prior to May 31, 2018, it is possible that the Purchase Agreement may be terminated. Although Civeo and Noralta have agreed in the Purchase Agreement to use commercially reasonable efforts, subject to certain limitations, to complete the Acquisition as promptly as possible, these and other conditions to the completion of the Acquisition may fail to be satisfied.</w:t>
      </w:r>
    </w:p>
    <w:p>
      <w:pPr>
        <w:spacing w:after="0" w:line="288" w:lineRule="exact"/>
        <w:rPr>
          <w:sz w:val="20"/>
          <w:szCs w:val="20"/>
          <w:color w:val="auto"/>
        </w:rPr>
      </w:pPr>
    </w:p>
    <w:p>
      <w:pPr>
        <w:ind w:left="200" w:right="5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Current Civeo shareholders will have a reduced ownership and voting interest in Civeo after the Acquisition and will exercise less influence over management.</w:t>
      </w:r>
    </w:p>
    <w:p>
      <w:pPr>
        <w:spacing w:after="0" w:line="51"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Pursuant to the terms of the Purchase Agreement, at the closing of the Acquisition, Civeo will acquire, directly or indirectly, all of the issued and outstanding shares of Noralta. The consideration for the Acquisition payable at closing will include 32,790,868 Common Shares and 9,679 Preferred Shares, initially convertible into 29,330,303 Common Shares. After closing of the Acquisition, assuming all shares are released from escrow, current Civeo shareholders will own approximately 68% of the outstanding Common Shares and former Noralta shareholders will own approximately 32% of the outstanding Common Shares, in each case on an as converted and fully diluted basis. Accordingly, the issuance of Civeo shares to Noralta shareholders in the Acquisition will reduce the relative voting power of current Civeo shareholders. Consequently, Civeo shareholders as a group will have less influence over the management and policies of Civeo after the Acquisition than prior to the Acquisition. Civeo shareholders’ voting power, and therefore influence over the management and policies of Civeo, could further decrease if any Preferred Shares are converted to Common Shares.</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240" w:top="455"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2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Noralta shareholders may receive consideration in the Acquisition that is greater than or less than the fair market value of the Noralta shares.</w:t>
      </w:r>
    </w:p>
    <w:p>
      <w:pPr>
        <w:spacing w:after="0" w:line="51"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The outstanding share capital of Noralta is privately held and is not traded in any public market. The lack of a public market makes it difficult to determine the fair market value of Noralta shares. Since the consideration to be issued to Noralta shareholders was determined based on negotiations between the parties, it is possible that the value of the consideration to be given to Noralta shareholders in connection with the Acquisition will be greater than the fair market value of Noralta shares.</w:t>
      </w:r>
    </w:p>
    <w:p>
      <w:pPr>
        <w:spacing w:after="0" w:line="284" w:lineRule="exact"/>
        <w:rPr>
          <w:sz w:val="20"/>
          <w:szCs w:val="20"/>
          <w:color w:val="auto"/>
        </w:rPr>
      </w:pPr>
    </w:p>
    <w:p>
      <w:pPr>
        <w:ind w:left="200" w:right="4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Because the Acquisition will be completed after the date of the Civeo special meeting, at the time of the special meeting, you may not know the exact value of the Civeo shares that the Noralta shareholders will receive upon completion of the Acquisition.</w:t>
      </w:r>
    </w:p>
    <w:p>
      <w:pPr>
        <w:spacing w:after="0" w:line="5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The number of Civeo shares to be issued in the Acquisition is fixed and will not be adjusted for changes in Civeo’s share price. Changes in the price of the Common Shares before the closing of the Acquisition will affect the market value of the consideration that Noralta shareholders will receive at the closing. The price of the Common Shares at the closing of the Acquisition may vary from its price on the date the Purchase Agreement was executed, on the date of this proxy statement and on the date of the special meeting. As a result, the value represented by the Civeo shares to be issued, and therefore the total amount of the consideration to be paid, will also vary. These variations could result from changes in the business, operations or prospects of Civeo before or following the Acquisition, regulatory considerations, general market and economic conditions and other factors both within and beyond the control of Civeo or Noralta. The Acquisition may be completed significantly after the date of the Civeo special meeting. Therefore, at the time of the special meeting, Civeo shareholders will not know with certainty the value of the Civeo shares that will be issued upon closing of the Acquisition.</w:t>
      </w:r>
    </w:p>
    <w:p>
      <w:pPr>
        <w:spacing w:after="0" w:line="293" w:lineRule="exact"/>
        <w:rPr>
          <w:sz w:val="20"/>
          <w:szCs w:val="20"/>
          <w:color w:val="auto"/>
        </w:rPr>
      </w:pPr>
    </w:p>
    <w:p>
      <w:pPr>
        <w:ind w:left="200" w:right="4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pendency of the Acquisition could have an adverse effect on the trading price of the Common Shares and the business, financial condition, results of operations or business prospects for Civeo and/or Noralta.</w:t>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pendency of the Acquisition could disrupt Civeo’s or Noralta’s businesses in the following ways, including:</w:t>
      </w:r>
    </w:p>
    <w:p>
      <w:pPr>
        <w:spacing w:after="0" w:line="131" w:lineRule="exact"/>
        <w:rPr>
          <w:sz w:val="20"/>
          <w:szCs w:val="20"/>
          <w:color w:val="auto"/>
        </w:rPr>
      </w:pPr>
    </w:p>
    <w:p>
      <w:pPr>
        <w:ind w:left="1060" w:right="40" w:hanging="424"/>
        <w:spacing w:after="0" w:line="282"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seek to terminate or renegotiate their relationships with Civeo or Noralta, or may delay or defer certain business decisions, as a result of the Acquisition, whether pursuant to the terms of their existing agreements with Civeo or Noralta or otherwise;</w:t>
      </w:r>
    </w:p>
    <w:p>
      <w:pPr>
        <w:spacing w:after="0" w:line="67" w:lineRule="exact"/>
        <w:rPr>
          <w:rFonts w:ascii="Times New Roman" w:cs="Times New Roman" w:eastAsia="Times New Roman" w:hAnsi="Times New Roman"/>
          <w:sz w:val="18"/>
          <w:szCs w:val="18"/>
          <w:color w:val="auto"/>
        </w:rPr>
      </w:pPr>
    </w:p>
    <w:p>
      <w:pPr>
        <w:ind w:left="1060" w:right="140" w:hanging="424"/>
        <w:spacing w:after="0" w:line="266"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Civeo and Noralta management may be directed toward completion of the Acquisition and related matters and may be diverted from the day-to-day business operations of their respective companies, including from other opportunities that otherwise might be beneficial to Civeo and Noralta;</w:t>
      </w:r>
    </w:p>
    <w:p>
      <w:pPr>
        <w:spacing w:after="0" w:line="81" w:lineRule="exact"/>
        <w:rPr>
          <w:rFonts w:ascii="Times New Roman" w:cs="Times New Roman" w:eastAsia="Times New Roman" w:hAnsi="Times New Roman"/>
          <w:sz w:val="18"/>
          <w:szCs w:val="18"/>
          <w:color w:val="auto"/>
        </w:rPr>
      </w:pPr>
    </w:p>
    <w:p>
      <w:pPr>
        <w:ind w:left="1060" w:right="100" w:hanging="424"/>
        <w:spacing w:after="0" w:line="282"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recruitment may be challenging before the completion of the Acquisition, as employees and prospective employees may experience uncertainty about their future roles; and</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restricts Civeo and Noralta from taking certain specified actions while the Acquisition is pending</w:t>
      </w:r>
    </w:p>
    <w:p>
      <w:pPr>
        <w:spacing w:after="0" w:line="27" w:lineRule="exact"/>
        <w:rPr>
          <w:rFonts w:ascii="Times New Roman" w:cs="Times New Roman" w:eastAsia="Times New Roman" w:hAnsi="Times New Roman"/>
          <w:sz w:val="18"/>
          <w:szCs w:val="18"/>
          <w:color w:val="auto"/>
        </w:rPr>
      </w:pPr>
    </w:p>
    <w:p>
      <w:pPr>
        <w:ind w:left="10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first obtaining written consent of the other party, which may restrict Civeo or Noralta from pursuing otherwise attractive business opportunities and making other changes to their businesses before completion of the Acquisition or termination of the Purchase Agreement.</w:t>
      </w:r>
    </w:p>
    <w:p>
      <w:pPr>
        <w:spacing w:after="0" w:line="180"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Should they occur, any of these matters could adversely affect the trading price of the Common Shares or harm the financial condition, results of operations or business prospects of Civeo and/or Noralta.</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24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rights of holders of the Common Shares will be subordinate to the rights of the holders of the Preferred Shares.</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holders of the Preferred Shares issued in the Acquisition will have rights and preferences superior to those of the holders of the Common Shares. These rights are more fully set forth in the proposed amendment to the Articles attached as Annex C to this proxy statement, and include, among others:</w:t>
      </w:r>
    </w:p>
    <w:p>
      <w:pPr>
        <w:spacing w:after="0" w:line="82" w:lineRule="exact"/>
        <w:rPr>
          <w:sz w:val="20"/>
          <w:szCs w:val="20"/>
          <w:color w:val="auto"/>
        </w:rPr>
      </w:pPr>
    </w:p>
    <w:p>
      <w:pPr>
        <w:ind w:left="1060" w:hanging="424"/>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a liquidation preference prior to any distribution of Civeo’s assets to the holders of the Common Shares;</w:t>
      </w:r>
    </w:p>
    <w:p>
      <w:pPr>
        <w:spacing w:after="0" w:line="130" w:lineRule="exact"/>
        <w:rPr>
          <w:rFonts w:ascii="Times New Roman" w:cs="Times New Roman" w:eastAsia="Times New Roman" w:hAnsi="Times New Roman"/>
          <w:sz w:val="18"/>
          <w:szCs w:val="18"/>
          <w:color w:val="auto"/>
        </w:rPr>
      </w:pPr>
    </w:p>
    <w:p>
      <w:pPr>
        <w:ind w:left="1060" w:right="300" w:hanging="424"/>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a 2% annual dividend, paid quarterly in cash or, at Civeo’s option, by increasing the shares’ liquidation preference, or any combination thereof; and</w:t>
      </w:r>
    </w:p>
    <w:p>
      <w:pPr>
        <w:spacing w:after="0" w:line="67" w:lineRule="exact"/>
        <w:rPr>
          <w:rFonts w:ascii="Times New Roman" w:cs="Times New Roman" w:eastAsia="Times New Roman" w:hAnsi="Times New Roman"/>
          <w:sz w:val="18"/>
          <w:szCs w:val="18"/>
          <w:color w:val="auto"/>
        </w:rPr>
      </w:pPr>
    </w:p>
    <w:p>
      <w:pPr>
        <w:ind w:left="1060" w:right="340" w:hanging="424"/>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convert the Preferred Shares into Common Shares after two years from the closing of the Acquisition at an initial conversion price of US$3.30 per Common Share, which may not be the fair market value of such shares at the time of conversion.</w:t>
      </w:r>
    </w:p>
    <w:p>
      <w:pPr>
        <w:spacing w:after="0" w:line="266" w:lineRule="exact"/>
        <w:rPr>
          <w:sz w:val="20"/>
          <w:szCs w:val="20"/>
          <w:color w:val="auto"/>
        </w:rPr>
      </w:pPr>
    </w:p>
    <w:p>
      <w:pPr>
        <w:ind w:left="200" w:right="3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Acquisition may be completed even though material adverse changes subsequent to the announcement of the Acquisition, such as industry-wide changes or other events, may occur.</w:t>
      </w:r>
    </w:p>
    <w:p>
      <w:pPr>
        <w:spacing w:after="0" w:line="51"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In general, either party can refuse to complete the Acquisition if there is a material adverse change affecting the other party. However, some types of changes do not permit either party to refuse to complete the Acquisition, even if such changes would have a material adverse effect on either of the parties. For example, a worsening of Noralta’s or Civeo’s financial condition or results of operations due to a decrease in commodity prices or general economic conditions would not give the other party the right to refuse to complete the Acquisition. If adverse changes occur that affect either party but the parties are still required to complete the Acquisition, Civeo’s share price, business and financial results after the Acquisition may suffer.</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Failure to complete the Acquisition could negatively impact Civeo’s share price and future business and financial results.</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If the Acquisition is not completed, the ongoing business of Civeo may be adversely affected, and Civeo may be subject to several risks, including the following:</w:t>
      </w:r>
    </w:p>
    <w:p>
      <w:pPr>
        <w:spacing w:after="0" w:line="67" w:lineRule="exact"/>
        <w:rPr>
          <w:sz w:val="20"/>
          <w:szCs w:val="20"/>
          <w:color w:val="auto"/>
        </w:rPr>
      </w:pPr>
    </w:p>
    <w:p>
      <w:pPr>
        <w:ind w:left="1060" w:hanging="424"/>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pay certain costs relating to the Acquisition, such as legal, accounting, financial advisor and other fees and expenses;</w:t>
      </w:r>
    </w:p>
    <w:p>
      <w:pPr>
        <w:spacing w:after="0" w:line="130" w:lineRule="exact"/>
        <w:rPr>
          <w:rFonts w:ascii="Times New Roman" w:cs="Times New Roman" w:eastAsia="Times New Roman" w:hAnsi="Times New Roman"/>
          <w:sz w:val="18"/>
          <w:szCs w:val="18"/>
          <w:color w:val="auto"/>
        </w:rPr>
      </w:pPr>
    </w:p>
    <w:p>
      <w:pPr>
        <w:ind w:left="1060" w:right="580" w:hanging="424"/>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decline in the price of the Common Shares to the extent that the current market price reflects a market assumption that the Acquisition will be completed;</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due to the adverse perception of any failure to successfully complete the Acquisition; and</w:t>
      </w:r>
    </w:p>
    <w:p>
      <w:pPr>
        <w:spacing w:after="0" w:line="130" w:lineRule="exact"/>
        <w:rPr>
          <w:rFonts w:ascii="Times New Roman" w:cs="Times New Roman" w:eastAsia="Times New Roman" w:hAnsi="Times New Roman"/>
          <w:sz w:val="18"/>
          <w:szCs w:val="18"/>
          <w:color w:val="auto"/>
        </w:rPr>
      </w:pPr>
    </w:p>
    <w:p>
      <w:pPr>
        <w:ind w:left="1060" w:hanging="424"/>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had the focus of Civeo’s management on the Acquisition instead of on pursuing other opportunities that could have been beneficial to the company.</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Civeo has incurred and will continue to incur significant transaction costs in connection with the Acquisition.</w:t>
      </w:r>
    </w:p>
    <w:p>
      <w:pPr>
        <w:spacing w:after="0" w:line="121"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Civeo expects to incur a number of non-recurring transaction-related costs associated with completing the Acquisition, combining the operations of the two organizations and achieving desired synergies. These fees and costs will be substantial. Non-recurring transaction costs include, but are not limited to, fees paid to financial, legal and accounting advisors, filing fees and printing costs. Additional unanticipated costs may be incurred in the integration of the businesses of Civeo and Noralta. There can be no assurance that the elimination of certain duplicative costs, as well as the realization of other efficiencies related to the integration of the two businesses, will offset the incremental transaction-related costs over time.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Civeo’s financial estimates are based on various assumptions that may not be realized.</w:t>
      </w:r>
    </w:p>
    <w:p>
      <w:pPr>
        <w:spacing w:after="0" w:line="121" w:lineRule="exact"/>
        <w:rPr>
          <w:sz w:val="20"/>
          <w:szCs w:val="20"/>
          <w:color w:val="auto"/>
        </w:rPr>
      </w:pPr>
    </w:p>
    <w:p>
      <w:pPr>
        <w:ind w:left="200" w:right="220" w:firstLine="441"/>
        <w:spacing w:after="0" w:line="255" w:lineRule="auto"/>
        <w:rPr>
          <w:sz w:val="20"/>
          <w:szCs w:val="20"/>
          <w:color w:val="auto"/>
        </w:rPr>
      </w:pPr>
      <w:r>
        <w:rPr>
          <w:rFonts w:ascii="Times New Roman" w:cs="Times New Roman" w:eastAsia="Times New Roman" w:hAnsi="Times New Roman"/>
          <w:sz w:val="18"/>
          <w:szCs w:val="18"/>
          <w:color w:val="auto"/>
        </w:rPr>
        <w:t>The financial estimates set forth in the forecasts included under the section “The Acquisition – Unaudited Financial Projections of Civeo” were based on assumptions of, and information available to, Civeo’s management when prepared and these estimates and assumptions are subject to uncertainties, many of which are beyond Civeo’s control and may not be realized. Many factors mentioned in this proxy statement, including the risks outlined in this “Risk Factors” section and the events or circumstances described under “Cautionary Statement Regarding Forward-Looking Statements,” will be important in determining Civeo’s future results. As a result of these contingencies, actual future results may vary materially from Civeo’s estimates. In view of these uncertainties, the inclusion of financial estimates in this proxy statement is not and should not be viewed as a representation that the forecasted results will necessarily reflect actual future results.</w:t>
      </w:r>
    </w:p>
    <w:p>
      <w:pPr>
        <w:spacing w:after="0" w:line="189"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Civeo’s financial estimates were not prepared with a view toward public disclosure, and such financial estimates were not prepared with a view toward compliance with published guidelines of any regulatory or professional body. Further, any forward-looking statement speaks only as of the date on which it is made, and Civeo undertakes no obligation, other than as required by applicable law, to update the financial estimates herein to reflect events or circumstances after the date those financial estimates were prepared or to reflect the occurrence of anticipated or unanticipated events or circumstances.</w:t>
      </w:r>
    </w:p>
    <w:p>
      <w:pPr>
        <w:spacing w:after="0" w:line="184" w:lineRule="exact"/>
        <w:rPr>
          <w:sz w:val="20"/>
          <w:szCs w:val="20"/>
          <w:color w:val="auto"/>
        </w:rPr>
      </w:pPr>
    </w:p>
    <w:p>
      <w:pPr>
        <w:ind w:left="200" w:right="200" w:firstLine="441"/>
        <w:spacing w:after="0" w:line="255" w:lineRule="auto"/>
        <w:rPr>
          <w:sz w:val="20"/>
          <w:szCs w:val="20"/>
          <w:color w:val="auto"/>
        </w:rPr>
      </w:pPr>
      <w:r>
        <w:rPr>
          <w:rFonts w:ascii="Times New Roman" w:cs="Times New Roman" w:eastAsia="Times New Roman" w:hAnsi="Times New Roman"/>
          <w:sz w:val="18"/>
          <w:szCs w:val="18"/>
          <w:color w:val="auto"/>
        </w:rPr>
        <w:t>The financial estimates included in this proxy statement have been prepared by, and are the responsibility of, Civeo. Moreover, neither Civeo’s independent accountants, nor any other independent accountants, have compiled, examined or performed any procedures with respect to Civeo’s prospective financial information contained herein, nor have they expressed any opinion or any other form of assurance on such information or achievability thereof, and, accordingly, such independent accountants assume no responsibility for, and disclaim any association with, Civeo’s prospective financial information. The reports of such independent accountants included or incorporated by reference herein, as applicable, relate exclusively to the historical financial information of the entities named in those reports and do not cover any other information in this proxy statement and should not be read to do so. See “The Acquisition – Unaudited Financial Projections of Civeo” for more information.</w:t>
      </w:r>
    </w:p>
    <w:p>
      <w:pPr>
        <w:spacing w:after="0" w:line="293" w:lineRule="exact"/>
        <w:rPr>
          <w:sz w:val="20"/>
          <w:szCs w:val="20"/>
          <w:color w:val="auto"/>
        </w:rPr>
      </w:pPr>
    </w:p>
    <w:p>
      <w:pPr>
        <w:ind w:left="200" w:right="5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opinion obtained by the Civeo Board from Lazard does not and will not reflect changes in circumstances after the date of such opinion.</w:t>
      </w:r>
    </w:p>
    <w:p>
      <w:pPr>
        <w:spacing w:after="0" w:line="5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On November 26, 2017, Lazard delivered an opinion to the Civeo Board that, as of the date of such opinion, and based upon and subject to the assumptions, procedures, factors, qualifications and limitations set forth therein, the consideration payable in the Acquisition was fair, from a financial point of view, to Civeo. Changes in the operations and prospects of Civeo or Noralta, general market and economic conditions and other factors that may be beyond the control of Civeo and Noralta, and on which the opinion of Lazard was based, may alter the value of Civeo or Noralta or the price of Common Shares by the time the Acquisition is completed. Civeo has not obtained, and does not expect to request, an updated opinion from Lazard. Lazard’s opinion does not speak to the time when the Acquisition will be completed or to any date other than the date of such opinion. As a result, the opinion does not and will not address the fairness, from a financial point of view, of the consideration to be paid by Civeo in the Acquisition pursuant to the Purchase Agreement at the time the Acquisition is completed or at any time other than November 26, 2017. For a more complete description of the opinion that the Civeo Board received from its financial advisor and a summary of the material financial analyses it provided to the Civeo Board in connection with rendering such opinion, please refer to “The Acquisition – Opinion of Civeo’s Financial Advisor” and the full text of such written opinion included as Annex D to this proxy statement.</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24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Civeo Following the Acquisition</w:t>
      </w:r>
    </w:p>
    <w:p>
      <w:pPr>
        <w:spacing w:after="0" w:line="117" w:lineRule="exact"/>
        <w:rPr>
          <w:sz w:val="20"/>
          <w:szCs w:val="20"/>
          <w:color w:val="auto"/>
        </w:rPr>
      </w:pPr>
    </w:p>
    <w:p>
      <w:pPr>
        <w:ind w:left="200" w:right="1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The pro forma financial statements included in this proxy statement are based on various assumptions that may not prove to be correct, and they are presented for illustrative purposes only and may not be an indication of Civeo’s financial condition or results of operations following the Acquisition.</w:t>
      </w:r>
    </w:p>
    <w:p>
      <w:pPr>
        <w:spacing w:after="0" w:line="67"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pro forma financial statements contained in this proxy statement are based on various adjustments, assumptions and preliminary estimates and may not be an indication of Civeo’s financial condition or results of operations following the Acquisition for several reasons. See “Unaudited Pro Forma Combined Financial Data.” The actual financial condition and results of operations of Civeo following the Acquisition may not be consistent with, or evident from, these pro forma financial statements. In addition, the assumptions used in preparing the pro forma financial information may not prove to be accurate, and other factors may affect Civeo’s financial condition or results of operations following the Acquisition. Any potential decline in Civeo’s financial condition or results of operations may cause significant variations in the price of the Common Shares.</w:t>
      </w:r>
    </w:p>
    <w:p>
      <w:pPr>
        <w:spacing w:after="0" w:line="292" w:lineRule="exact"/>
        <w:rPr>
          <w:sz w:val="20"/>
          <w:szCs w:val="20"/>
          <w:color w:val="auto"/>
        </w:rPr>
      </w:pPr>
    </w:p>
    <w:p>
      <w:pPr>
        <w:ind w:left="200" w:right="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cyclical nature of Civeo’s business and a severe prolonged downturn has and could in the future negatively affect the value of Civeo’s long-lived assets.</w:t>
      </w:r>
    </w:p>
    <w:p>
      <w:pPr>
        <w:spacing w:after="0" w:line="5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Civeo recorded an impairment of its long-lived assets of $46.1 million in 2016 and expects to record an impairment of its long-lived assets in 2017 in the range of $30 million to $35 million. Civeo also recorded goodwill impairments of $43.2 million in 2015.</w:t>
      </w:r>
    </w:p>
    <w:p>
      <w:pPr>
        <w:spacing w:after="0" w:line="162"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Extended periods of limited or no activity by Civeo’s customers at its lodges or villages could require Civeo to record further impairment charges equal to the excess of the carrying value of the lodges or villages over fair value. Civeo may recognize additional impairment losses on its long-lived assets in the future if, among other factors:</w:t>
      </w:r>
    </w:p>
    <w:p>
      <w:pPr>
        <w:spacing w:after="0" w:line="82" w:lineRule="exact"/>
        <w:rPr>
          <w:sz w:val="20"/>
          <w:szCs w:val="20"/>
          <w:color w:val="auto"/>
        </w:rPr>
      </w:pPr>
    </w:p>
    <w:p>
      <w:pPr>
        <w:ind w:left="1060" w:hanging="424"/>
        <w:spacing w:after="0" w:line="282"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remain depressed or further deteriorate, including a further decrease in the price of or demand for oil, natural gas and minerals;</w:t>
      </w:r>
    </w:p>
    <w:p>
      <w:pPr>
        <w:spacing w:after="0" w:line="67" w:lineRule="exact"/>
        <w:rPr>
          <w:rFonts w:ascii="Times New Roman" w:cs="Times New Roman" w:eastAsia="Times New Roman" w:hAnsi="Times New Roman"/>
          <w:sz w:val="18"/>
          <w:szCs w:val="18"/>
          <w:color w:val="auto"/>
        </w:rPr>
      </w:pPr>
    </w:p>
    <w:p>
      <w:pPr>
        <w:ind w:left="1060" w:right="20" w:hanging="424"/>
        <w:spacing w:after="0" w:line="256"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for future profits and cash flow for Civeo’s Canadian and Australian reporting units deteriorates as the result of many possible factors, including, but not limited to, increased or unanticipated competition, technology becoming obsolete, need to satisfy changes in customers’ accommodations requirements, further reductions in customer capital spending plans, loss of key personnel, adverse legal or regulatory judgment(s), future operating losses at a reporting unit, downward forecast revisions or restructuring plans or if certain of Civeo’s customers do not reach positive final investment decisions on projects with respect to which Civeo has been awarded contracts to provide related accommodation, which may cause those customers to terminate the contracts;</w:t>
      </w:r>
    </w:p>
    <w:p>
      <w:pPr>
        <w:spacing w:after="0" w:line="93"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equity or debt capital increase; or</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for comparable public companies or comparable acquisition valuations deteriorate.</w:t>
      </w:r>
    </w:p>
    <w:p>
      <w:pPr>
        <w:spacing w:after="0" w:line="329" w:lineRule="exact"/>
        <w:rPr>
          <w:sz w:val="20"/>
          <w:szCs w:val="20"/>
          <w:color w:val="auto"/>
        </w:rPr>
      </w:pPr>
    </w:p>
    <w:p>
      <w:pPr>
        <w:ind w:left="200" w:right="1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failure to integrate successfully the businesses of Civeo and Noralta in the expected timeframe would adversely affect Civeo’s future results following the completion of the Acquisition.</w:t>
      </w:r>
    </w:p>
    <w:p>
      <w:pPr>
        <w:spacing w:after="0" w:line="51" w:lineRule="exact"/>
        <w:rPr>
          <w:sz w:val="20"/>
          <w:szCs w:val="20"/>
          <w:color w:val="auto"/>
        </w:rPr>
      </w:pPr>
    </w:p>
    <w:p>
      <w:pPr>
        <w:ind w:left="200" w:right="200" w:firstLine="441"/>
        <w:spacing w:after="0" w:line="256" w:lineRule="auto"/>
        <w:rPr>
          <w:sz w:val="20"/>
          <w:szCs w:val="20"/>
          <w:color w:val="auto"/>
        </w:rPr>
      </w:pPr>
      <w:r>
        <w:rPr>
          <w:rFonts w:ascii="Times New Roman" w:cs="Times New Roman" w:eastAsia="Times New Roman" w:hAnsi="Times New Roman"/>
          <w:sz w:val="18"/>
          <w:szCs w:val="18"/>
          <w:color w:val="auto"/>
        </w:rPr>
        <w:t>The success of the Acquisition will depend, in large part, on the ability of Civeo following the completion of the Acquisition to realize the anticipated benefits, including operating synergies, from combining the businesses of Civeo and Noralta, which have previously been operated independently. To realize these anticipated benefits, Civeo must successfully integrate Noralta into Civeo’s business. This integration will be complex and time-consuming, and Civeo and Noralta will only be able to conduct limited planning regarding the integration of the two companies prior to completion of the Acquisition. Significant management attention and resources will be required to integrate the two companies. Delays in this process could adversely affect Civeo’s business, financial results, financial condition and share price following the Acquisition.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Potential difficulties that may be encountered in the integration process include the following:</w:t>
      </w:r>
    </w:p>
    <w:p>
      <w:pPr>
        <w:spacing w:after="0" w:line="131" w:lineRule="exact"/>
        <w:rPr>
          <w:sz w:val="20"/>
          <w:szCs w:val="20"/>
          <w:color w:val="auto"/>
        </w:rPr>
      </w:pPr>
    </w:p>
    <w:p>
      <w:pPr>
        <w:ind w:left="1060" w:hanging="424"/>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the larger, combined business;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expenses, delays or regulatory conditions associated with the Acquisition; and</w:t>
      </w:r>
    </w:p>
    <w:p>
      <w:pPr>
        <w:spacing w:after="0" w:line="130" w:lineRule="exact"/>
        <w:rPr>
          <w:rFonts w:ascii="Times New Roman" w:cs="Times New Roman" w:eastAsia="Times New Roman" w:hAnsi="Times New Roman"/>
          <w:sz w:val="18"/>
          <w:szCs w:val="18"/>
          <w:color w:val="auto"/>
        </w:rPr>
      </w:pPr>
    </w:p>
    <w:p>
      <w:pPr>
        <w:ind w:left="1060" w:right="420" w:hanging="424"/>
        <w:spacing w:after="0" w:line="282"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at one or both of the companies as a result of the diversion of management’s attention caused by completing the Acquisition and integrating the companies’ operations.</w:t>
      </w:r>
    </w:p>
    <w:p>
      <w:pPr>
        <w:spacing w:after="0" w:line="162"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Even if Civeo was able to integrate the business operations successfully, there can be no assurance that this integration will result in the realization of the full benefits of synergies and operational efficiencies that may be possible from this integration and that these benefits will be achieved within a reasonable period of time.</w:t>
      </w:r>
    </w:p>
    <w:p>
      <w:pPr>
        <w:spacing w:after="0" w:line="280" w:lineRule="exact"/>
        <w:rPr>
          <w:sz w:val="20"/>
          <w:szCs w:val="20"/>
          <w:color w:val="auto"/>
        </w:rPr>
      </w:pPr>
    </w:p>
    <w:p>
      <w:pPr>
        <w:ind w:left="200" w:right="2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trading price of the Common Shares after the Acquisition may be affected by factors different from those affecting the price of the Common Shares before the Acquisition.</w:t>
      </w:r>
    </w:p>
    <w:p>
      <w:pPr>
        <w:spacing w:after="0" w:line="51"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The results of operations of Civeo, as well as the trading price of the Common Shares, after the Acquisition may be affected by factors different from those currently affecting Civeo’s results of operations and the trading price of the Common Shares. These factors include:</w:t>
      </w:r>
    </w:p>
    <w:p>
      <w:pPr>
        <w:spacing w:after="0" w:line="67" w:lineRule="exact"/>
        <w:rPr>
          <w:sz w:val="20"/>
          <w:szCs w:val="20"/>
          <w:color w:val="auto"/>
        </w:rPr>
      </w:pPr>
    </w:p>
    <w:p>
      <w:pPr>
        <w:ind w:left="1060" w:hanging="42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greater number of Common Shares outstanding as compared to the number of currently outstanding Common Shares;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shareholders;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assets and capital structure.</w:t>
      </w:r>
    </w:p>
    <w:p>
      <w:pPr>
        <w:spacing w:after="0" w:line="225" w:lineRule="exact"/>
        <w:rPr>
          <w:sz w:val="20"/>
          <w:szCs w:val="20"/>
          <w:color w:val="auto"/>
        </w:rPr>
      </w:pPr>
    </w:p>
    <w:p>
      <w:pPr>
        <w:ind w:left="200" w:right="260"/>
        <w:spacing w:after="0" w:line="282" w:lineRule="auto"/>
        <w:rPr>
          <w:sz w:val="20"/>
          <w:szCs w:val="20"/>
          <w:color w:val="auto"/>
        </w:rPr>
      </w:pPr>
      <w:r>
        <w:rPr>
          <w:rFonts w:ascii="Times New Roman" w:cs="Times New Roman" w:eastAsia="Times New Roman" w:hAnsi="Times New Roman"/>
          <w:sz w:val="18"/>
          <w:szCs w:val="18"/>
          <w:color w:val="auto"/>
        </w:rPr>
        <w:t>Accordingly, the historical trading prices and financial results of Civeo may not be indicative of future trading prices of the Common Shares after the Acquisition.</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Civeo’s future results will suffer if it does not effectively manage its expanded operations following the Acquisition.</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Following the Acquisition, the size of Civeo’s business will be larger than its current business. Civeo’s future success depends, in part, upon its ability to manage this expanded business, which will pose substantial challenges for Civeo’s management, including challenges related to the management and monitoring of new operations and associated increased costs and complexity. Civeo can offer no assurance that it will be successful or will realize the benefits currently anticipated to result from the Acquisition.</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Employee and customer labor problems could adversely affect Civeo.</w:t>
      </w:r>
    </w:p>
    <w:p>
      <w:pPr>
        <w:spacing w:after="0" w:line="12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Civeo is party to collective bargaining agreements covering employees in Canada and Australia. Efforts have been made from time to time, or are currently being made, to unionize other portions of Civeo’s and Noralta’s workforce. In addition, Civeo’s facilities serving oil sands development work in Northern Alberta, Canada and mining operations in Australia house both union and non-union customer employees. Civeo has not experienced strikes, work stoppages or other slowdowns in the past, but Civeo cannot guarantee that it will not experience such events in the future. A prolonged strike, work stoppage or other slowdown by Civeo’s employees or by the employees of its customers could cause Civeo to experience a disruption of its operations, which could adversely affect its business, financial condition and results of operations. Additional unionization efforts and new collective bargaining agreements also could materially increase Civeo’s costs, reduce its revenues or limit its flexibility.</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24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loss of key personnel could have a material adverse effect on Civeo’s business, financial condition or results of operations.</w:t>
      </w:r>
    </w:p>
    <w:p>
      <w:pPr>
        <w:spacing w:after="0" w:line="121"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The success of the Acquisition will depend in part on Civeo’s ability to retain key Civeo and Noralta employees who continue employment with Civeo after the Acquisition is completed. It is possible that these employees might decide not to remain with Civeo after the Acquisition.</w:t>
      </w:r>
    </w:p>
    <w:p>
      <w:pPr>
        <w:spacing w:after="0" w:line="162"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If these key employees terminate their employment, Civeo’s activities might be adversely affected, management’s attention might be diverted from successfully integrating Noralta’s operations to recruiting suitable replacements and Civeo’s business, financial condition or results of operations could be adversely affected. In addition, Civeo might not be able to locate suitable replacements for any such key employees who leave the company or offer employment to potential replacements on reasonable terms.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Civeo’s success will also depend on pre-existing relationships with third parties, which relationships may be affected by the Acquisition.</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Any adverse changes in these relationships could adversely affect Civeo’s business, financial condition or results of operations.</w:t>
      </w:r>
    </w:p>
    <w:p>
      <w:pPr>
        <w:spacing w:after="0" w:line="99"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Civeo’s success will be dependent on the ability to maintain and renew relationships with pre-existing third parties, including local Aboriginal groups. For example, Noralta currently has two significant contracts for the provision of accommodation services. One of such contracts extends through April 2022, and the second contract has a primary term through 2027, with early termination by the customer permitted starting in 2021. Following the Acquisition, Civeo will be subject to the risks, among others, of early termination of the contracts, failure to extend the contracts beyond their primary term and a decrease in demand under the contracts below Civeo’s expectations. In addition, the revenue Civeo will derive under the contracts following the Acquisition will be variable and depend on the utilization by the customers of Civeo’s services under the contracts and other factors that are beyond Civeo’s control. There can be no assurance that Civeo’s business will be able to maintain these contracts or other pre-existing business and other relationships, including with local Aboriginal groups, or enter into or maintain other new business relationships, on acceptable terms, if at all. The failure to maintain these contracts and other important pre-existing third party relationships could have a material adverse effect on the business, financial condition or results of operations of Civeo after the Acquisition.</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Other Risks Related to the Combined Company</w:t>
      </w:r>
    </w:p>
    <w:p>
      <w:pPr>
        <w:spacing w:after="0" w:line="121" w:lineRule="exact"/>
        <w:rPr>
          <w:sz w:val="20"/>
          <w:szCs w:val="20"/>
          <w:color w:val="auto"/>
        </w:rPr>
      </w:pPr>
    </w:p>
    <w:p>
      <w:pPr>
        <w:jc w:val="both"/>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In addition to the foregoing risks, Civeo is, and will continue to be, subject to the risks described in Civeo’s most recent Annual Report on Form 10-K and subsequently filed Quarterly Reports on Form 10-Q. All such reports are or will be filed with the SEC and are incorporated by reference into this proxy statement. See the section entitled “Additional Information.”</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24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200" w:right="180" w:firstLine="441"/>
        <w:spacing w:after="0" w:line="254" w:lineRule="auto"/>
        <w:rPr>
          <w:sz w:val="20"/>
          <w:szCs w:val="20"/>
          <w:color w:val="auto"/>
        </w:rPr>
      </w:pPr>
      <w:r>
        <w:rPr>
          <w:rFonts w:ascii="Times New Roman" w:cs="Times New Roman" w:eastAsia="Times New Roman" w:hAnsi="Times New Roman"/>
          <w:sz w:val="18"/>
          <w:szCs w:val="18"/>
          <w:color w:val="auto"/>
        </w:rPr>
        <w:t>This proxy statement, including information included or incorporated by reference, contains forward-looking statements within the meaning of Section 27A of the Securities Act and Section 21E of the Exchange Act. You can typically identify forward-looking statements by the use of forward-looking words such as “expect,” “anticipate,” “target,” “goal,” “project,” “intend,” “plan,” “believe,” “budget,” “should,” “continue,” “could,” “forecast,” “may,” “might,” “potential,” “strategy,” “will,” “would,” “seek,” “estimate,” or variations of such words and similar expressions, although the absence of any such words or expressions does not mean that a particular statement is not a forward-looking statement. It is important to note that Civeo’s and Noralta’s goals and expectations are not predictions of actual performance. Any statements about the benefits of the Acquisition or projections regarding Civeo’s future financial condition, results of operations and business are also forward-looking statements. Without limiting the generality of the preceding sentence, certain statements contained in the sections entitled “The Acquisition – Background of the Acquisition,” “The Acquisition – Reasons for the Acquisition,” “The Acquisition – Unaudited Financial Projections of Civeo” and “The Acquisition – Opinion of Civeo’s Financial Advisor” may also constitute forward-looking statements.</w:t>
      </w:r>
    </w:p>
    <w:p>
      <w:pPr>
        <w:spacing w:after="0" w:line="186" w:lineRule="exact"/>
        <w:rPr>
          <w:sz w:val="20"/>
          <w:szCs w:val="20"/>
          <w:color w:val="auto"/>
        </w:rPr>
      </w:pPr>
    </w:p>
    <w:p>
      <w:pPr>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represent Civeo’s and Noralta’s intentions, plans, expectations, assumptions and beliefs about future events, including the completion of the Acquisition, and are subject to risks, uncertainties and other factors. Many of these factors are outside the control of Civeo or Noralta and could cause actual results to differ materially from the results expressed or implied by these forward-looking statements. In addition to the risk factors described in the section of this proxy statement entitled “Risk Factors,” these factors include:</w:t>
      </w:r>
    </w:p>
    <w:p>
      <w:pPr>
        <w:spacing w:after="0" w:line="86" w:lineRule="exact"/>
        <w:rPr>
          <w:sz w:val="20"/>
          <w:szCs w:val="20"/>
          <w:color w:val="auto"/>
        </w:rPr>
      </w:pPr>
    </w:p>
    <w:p>
      <w:pPr>
        <w:ind w:left="1060" w:right="20" w:hanging="316"/>
        <w:spacing w:after="0" w:line="282"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Acquisition may not be completed in a timely manner or at all, which may adversely affect Civeo’s business and the price of its Common Shares;</w:t>
      </w:r>
    </w:p>
    <w:p>
      <w:pPr>
        <w:spacing w:after="0" w:line="67" w:lineRule="exact"/>
        <w:rPr>
          <w:rFonts w:ascii="Times New Roman" w:cs="Times New Roman" w:eastAsia="Times New Roman" w:hAnsi="Times New Roman"/>
          <w:sz w:val="18"/>
          <w:szCs w:val="18"/>
          <w:color w:val="auto"/>
        </w:rPr>
      </w:pPr>
    </w:p>
    <w:p>
      <w:pPr>
        <w:ind w:left="1060" w:right="620" w:hanging="316"/>
        <w:spacing w:after="0" w:line="282"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failure to satisfy the conditions to the consummation of the Acquisition, including the approval of the share issuance proposal by Civeo’s shareholders and the receipt of certain governmental and regulatory approvals;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ability of Civeo to successfully integrate Noralta’s operations;</w:t>
      </w:r>
    </w:p>
    <w:p>
      <w:pPr>
        <w:spacing w:after="0" w:line="130"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ability of Civeo to implement its plans, forecasts and other expectations with respect to Noralta’s business after the completion of the Acquisition and to realize the anticipated synergies and cost savings in the time frame anticipated or at all;</w:t>
      </w:r>
    </w:p>
    <w:p>
      <w:pPr>
        <w:spacing w:after="0" w:line="67" w:lineRule="exact"/>
        <w:rPr>
          <w:rFonts w:ascii="Times New Roman" w:cs="Times New Roman" w:eastAsia="Times New Roman" w:hAnsi="Times New Roman"/>
          <w:sz w:val="18"/>
          <w:szCs w:val="18"/>
          <w:color w:val="auto"/>
        </w:rPr>
      </w:pPr>
    </w:p>
    <w:p>
      <w:pPr>
        <w:ind w:left="1060" w:right="520" w:hanging="316"/>
        <w:spacing w:after="0" w:line="282"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occurrence of any event, change or other circumstance that could give rise to the termination of the Purchase Agreement;</w:t>
      </w:r>
    </w:p>
    <w:p>
      <w:pPr>
        <w:spacing w:after="0" w:line="6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effect of the announcement or pendency of the Acquisition on Civeo’s or Noralta’s business relationships, operating results and business generally;</w:t>
      </w:r>
    </w:p>
    <w:p>
      <w:pPr>
        <w:spacing w:after="0" w:line="67"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Acquisition disrupts current plans and operations of Civeo or Noralta and potential difficulties in employee retention as a result of the Acquisition;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diverting management’s attention from Civeo’s and Noralta’s ongoing business operations;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legal proceedings that may be instituted related to the Purchase Agreement or the Acquisition;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general nature of the accommodations industry (including lower than expected room requirements);</w:t>
      </w:r>
    </w:p>
    <w:p>
      <w:pPr>
        <w:spacing w:after="0" w:line="130" w:lineRule="exact"/>
        <w:rPr>
          <w:rFonts w:ascii="Times New Roman" w:cs="Times New Roman" w:eastAsia="Times New Roman" w:hAnsi="Times New Roman"/>
          <w:sz w:val="18"/>
          <w:szCs w:val="18"/>
          <w:color w:val="auto"/>
        </w:rPr>
      </w:pPr>
    </w:p>
    <w:p>
      <w:pPr>
        <w:ind w:left="1060" w:right="60" w:hanging="316"/>
        <w:spacing w:after="0" w:line="266" w:lineRule="auto"/>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24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316"/>
        <w:spacing w:after="0" w:line="282" w:lineRule="auto"/>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Civeo’s redomiciliation to Canada, including, among other things, risks associated with changes in tax laws or their interpretations; and</w:t>
      </w:r>
    </w:p>
    <w:p>
      <w:pPr>
        <w:spacing w:after="0" w:line="67" w:lineRule="exact"/>
        <w:rPr>
          <w:rFonts w:ascii="Times New Roman" w:cs="Times New Roman" w:eastAsia="Times New Roman" w:hAnsi="Times New Roman"/>
          <w:sz w:val="18"/>
          <w:szCs w:val="18"/>
          <w:color w:val="auto"/>
        </w:rPr>
      </w:pPr>
    </w:p>
    <w:p>
      <w:pPr>
        <w:ind w:left="1060" w:right="80" w:hanging="316"/>
        <w:spacing w:after="0" w:line="261" w:lineRule="auto"/>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development of new projects, including whether such projects will continue in the future and other factors discussed in the “Management’s Discussion and Analysis of Financial Condition and Results of Operations” and “Risk Factors” sections of Civeo’s most recent annual report on Form 10-K, subsequent quarterly reports on Form 10-Q and other reports Civeo may file from time to time with the SEC.</w:t>
      </w:r>
    </w:p>
    <w:p>
      <w:pPr>
        <w:spacing w:after="0" w:line="180"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For any forward-looking statements made in this proxy statement or in any documents incorporated by reference, Civeo claims the protection of the safe harbor for forward-looking statements contained in the Private Securities Litigation Reform Act of 1995. All subsequent written and oral forward-looking statements concerning the Acquisition or other matters addressed in this proxy statement and attributable to Civeo, Noralta or any person acting on their behalf are expressly qualified in their entirety by the cautionary statements contained or referred to in this proxy statement.</w:t>
      </w:r>
    </w:p>
    <w:p>
      <w:pPr>
        <w:spacing w:after="0" w:line="180" w:lineRule="exact"/>
        <w:rPr>
          <w:sz w:val="20"/>
          <w:szCs w:val="20"/>
          <w:color w:val="auto"/>
        </w:rPr>
      </w:pPr>
    </w:p>
    <w:p>
      <w:pPr>
        <w:jc w:val="both"/>
        <w:ind w:left="200" w:firstLine="441"/>
        <w:spacing w:after="0" w:line="255" w:lineRule="auto"/>
        <w:rPr>
          <w:sz w:val="20"/>
          <w:szCs w:val="20"/>
          <w:color w:val="auto"/>
        </w:rPr>
      </w:pPr>
      <w:r>
        <w:rPr>
          <w:rFonts w:ascii="Times New Roman" w:cs="Times New Roman" w:eastAsia="Times New Roman" w:hAnsi="Times New Roman"/>
          <w:sz w:val="18"/>
          <w:szCs w:val="18"/>
          <w:color w:val="auto"/>
        </w:rPr>
        <w:t>You are cautioned not to place undue reliance on forward-looking statements, which speak only as of the date of this proxy statement and should be read in conjunction with the risk factors and other disclosures contained or incorporated by reference into this proxy statement. The areas of risk and uncertainty described above, which are not exhaustive, should be considered in connection with any written or oral forward-looking statements that may be made in this proxy statement or on, before or after the date of this proxy statement by Civeo or Noralta or anyone acting for any or both of them.</w:t>
      </w:r>
    </w:p>
    <w:p>
      <w:pPr>
        <w:spacing w:after="0" w:line="3" w:lineRule="exact"/>
        <w:rPr>
          <w:sz w:val="20"/>
          <w:szCs w:val="20"/>
          <w:color w:val="auto"/>
        </w:rPr>
      </w:pPr>
    </w:p>
    <w:p>
      <w:pPr>
        <w:ind w:left="200" w:right="100"/>
        <w:spacing w:after="0" w:line="261" w:lineRule="auto"/>
        <w:rPr>
          <w:sz w:val="20"/>
          <w:szCs w:val="20"/>
          <w:color w:val="auto"/>
        </w:rPr>
      </w:pPr>
      <w:r>
        <w:rPr>
          <w:rFonts w:ascii="Times New Roman" w:cs="Times New Roman" w:eastAsia="Times New Roman" w:hAnsi="Times New Roman"/>
          <w:sz w:val="18"/>
          <w:szCs w:val="18"/>
          <w:color w:val="auto"/>
        </w:rPr>
        <w:t>Except as required by applicable law or regulation, Civeo undertakes no obligation to release publicly or otherwise make any revisions to any forward-looking statements, to report events or circumstances after the date of this proxy statement or to report the occurrence of unanticipated events.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24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table below sets forth exchange rate information of C$ per US$1.00 for the time periods indicated. On January 26, 2018, the noon buying rate was $1.00 = C$1.23.</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Exchange Rate</w:t>
            </w:r>
          </w:p>
        </w:tc>
        <w:tc>
          <w:tcPr>
            <w:tcW w:w="6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94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Period end</w:t>
            </w:r>
          </w:p>
        </w:tc>
        <w:tc>
          <w:tcPr>
            <w:tcW w:w="1440" w:type="dxa"/>
            <w:vAlign w:val="bottom"/>
          </w:tcPr>
          <w:p>
            <w:pPr>
              <w:jc w:val="right"/>
              <w:ind w:right="454"/>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r>
              <w:rPr>
                <w:rFonts w:ascii="Times New Roman" w:cs="Times New Roman" w:eastAsia="Times New Roman" w:hAnsi="Times New Roman"/>
                <w:sz w:val="11"/>
                <w:szCs w:val="11"/>
                <w:b w:val="1"/>
                <w:bCs w:val="1"/>
                <w:color w:val="auto"/>
              </w:rPr>
              <w:t>(1)</w:t>
            </w:r>
          </w:p>
        </w:tc>
        <w:tc>
          <w:tcPr>
            <w:tcW w:w="60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Low</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High</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 per US$1.00)</w:t>
            </w: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2013 (June 1, 2012 – May 31, 2013)</w:t>
            </w:r>
          </w:p>
        </w:tc>
        <w:tc>
          <w:tcPr>
            <w:tcW w:w="252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0.97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2014 (June 1, 2013 – May 31, 2014)</w:t>
            </w:r>
          </w:p>
        </w:tc>
        <w:tc>
          <w:tcPr>
            <w:tcW w:w="252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1.09</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 (June 1, 2014 – May 31, 2015)</w:t>
            </w:r>
          </w:p>
        </w:tc>
        <w:tc>
          <w:tcPr>
            <w:tcW w:w="252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1.17</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2016 (June 1, 2015 – May 31, 2016)</w:t>
            </w:r>
          </w:p>
        </w:tc>
        <w:tc>
          <w:tcPr>
            <w:tcW w:w="252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1.31</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1.32</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 (June 1, 2016 – May 31, 2017)</w:t>
            </w:r>
          </w:p>
        </w:tc>
        <w:tc>
          <w:tcPr>
            <w:tcW w:w="252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1.35</w:t>
            </w:r>
          </w:p>
        </w:tc>
        <w:tc>
          <w:tcPr>
            <w:tcW w:w="14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1.33</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2017</w:t>
            </w:r>
          </w:p>
        </w:tc>
        <w:tc>
          <w:tcPr>
            <w:tcW w:w="252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1.30</w:t>
            </w:r>
          </w:p>
        </w:tc>
        <w:tc>
          <w:tcPr>
            <w:tcW w:w="14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1.33</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July 2017</w:t>
            </w:r>
          </w:p>
        </w:tc>
        <w:tc>
          <w:tcPr>
            <w:tcW w:w="252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1.27</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August 2017</w:t>
            </w:r>
          </w:p>
        </w:tc>
        <w:tc>
          <w:tcPr>
            <w:tcW w:w="252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1.26</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September 2017</w:t>
            </w:r>
          </w:p>
        </w:tc>
        <w:tc>
          <w:tcPr>
            <w:tcW w:w="252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1.23</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October 2017</w:t>
            </w:r>
          </w:p>
        </w:tc>
        <w:tc>
          <w:tcPr>
            <w:tcW w:w="252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1.29</w:t>
            </w:r>
          </w:p>
        </w:tc>
        <w:tc>
          <w:tcPr>
            <w:tcW w:w="14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1.26</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2017</w:t>
            </w:r>
          </w:p>
        </w:tc>
        <w:tc>
          <w:tcPr>
            <w:tcW w:w="252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1.29</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1.28</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2017</w:t>
            </w:r>
          </w:p>
        </w:tc>
        <w:tc>
          <w:tcPr>
            <w:tcW w:w="252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1.28</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January 2018 (through January 26, 2018)</w:t>
            </w:r>
          </w:p>
        </w:tc>
        <w:tc>
          <w:tcPr>
            <w:tcW w:w="252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1.23</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1.24</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Source: Federal Reserve Bank of New York</w:t>
      </w:r>
    </w:p>
    <w:p>
      <w:pPr>
        <w:spacing w:after="0" w:line="27" w:lineRule="exact"/>
        <w:rPr>
          <w:sz w:val="20"/>
          <w:szCs w:val="20"/>
          <w:color w:val="auto"/>
        </w:rPr>
      </w:pPr>
    </w:p>
    <w:p>
      <w:pPr>
        <w:ind w:left="640" w:right="440" w:hanging="436"/>
        <w:spacing w:after="0" w:line="261"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24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CIVEO SPECIAL MEETING</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left="200" w:right="780" w:firstLine="441"/>
        <w:spacing w:after="0" w:line="282" w:lineRule="auto"/>
        <w:rPr>
          <w:sz w:val="20"/>
          <w:szCs w:val="20"/>
          <w:color w:val="auto"/>
        </w:rPr>
      </w:pPr>
      <w:r>
        <w:rPr>
          <w:rFonts w:ascii="Times New Roman" w:cs="Times New Roman" w:eastAsia="Times New Roman" w:hAnsi="Times New Roman"/>
          <w:sz w:val="18"/>
          <w:szCs w:val="18"/>
          <w:color w:val="auto"/>
        </w:rPr>
        <w:t>The special meeting of the shareholders of Civeo will be held at the Doubletree Houston at 400 Dallas Street, Houston, Texas 77002, on March 28, 2018 at 9:00 a.m., local time.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Purpose of the Civeo Special Meeting</w:t>
      </w:r>
    </w:p>
    <w:p>
      <w:pPr>
        <w:spacing w:after="0" w:line="121"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The purpose of the special meeting is to consider and vote on the share issuance proposal. Under NYSE rules, a company listed on the NYSE is required to obtain shareholder approval before the issuance of common shares, or of securities convertible into or exercisable for common shares, in connection with the acquisition of another company if the number of common shares to be issued is, or will be upon issuance, equal to or exceeds 20% of the number of common shares outstanding before such issuance in connection with such proposed acquisition.</w:t>
      </w:r>
    </w:p>
    <w:p>
      <w:pPr>
        <w:spacing w:after="0" w:line="18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The aggregate number of Common Shares, and Preferred Shares convertible into Common Shares, to be issued in connection with the Acquisition will exceed 20% of the Common Shares outstanding before such issuance. For this reason, Civeo must obtain the approval of Civeo shareholders, in accordance with NYSE rules, for the issuance of the Common Shares and the Preferred Shares in the Acquisition. Accordingly, Civeo is asking its shareholders to approve the share issuance proposal.</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Civeo Board does not know of any business to be presented at the special meeting other than as set forth in the notice accompanying this proxy statement. If any other matters should properly come before the special meeting, or any adjournment or postponement of the special meeting, it is intended that the shares represented by proxies will be voted with respect to such matters in accordance with the best judgment of the person(s) voting the proxies, pursuant to the discretionary authority granted to such person(s).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Recommendations of the Civeo Board</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After careful consideration, the Civeo Board has unanimously determined that the Purchase Agreement and the transactions contemplated thereby, including the Acquisition, are advisable and in the best interests of Civeo and its shareholders. The Civeo Board unanimously recommends that Civeo shareholders vote “FOR” the share issuance proposal at the special meeting.</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Record Date, Quorum, Voting Requirements and Outstanding Shares</w:t>
      </w:r>
    </w:p>
    <w:p>
      <w:pPr>
        <w:spacing w:after="0" w:line="121"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The record date for determining persons entitled to receive notice of and vote at the special meeting is February 1, 2018. Only shareholders as of the close of business on the record date are entitled to receive notice of and vote at the special meeting, or any adjournment or postponement thereof, in the manner and subject to the procedures described in this proxy statement. 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will be counted as present for purposes of determining whether there is a quorum.</w:t>
      </w:r>
    </w:p>
    <w:p>
      <w:pPr>
        <w:spacing w:after="0" w:line="188"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Shares present in person or represented by proxy and entitled to vote at the special meeting, assuming a quorum is present, is required for the approval of the share issuance proposal. Votes cast by proxy or in person at the special meeting will be tabulated by the election inspectors appointed for the special meeting and who will determine whether a quorum is present. The election inspectors will treat abstentions as shares that are present for purposes of determining the presence of a</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24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quorum. Broker non-votes (i.e., shares held by a broker or nominee that are represented at the special meeting, but with respect to which such broker or nominee is not instructed to vote on a particular proposal and does not have discretionary voting power) will not be considered present for quorum purposes and will not be entitled to vote on the share issuance proposal. Abstentions will be counted towards the tabulations of votes cast on the share issuance proposal and will have the same effect as negative votes, whereas broker non-votes will not be counted for purposes of determining whether the proposal has been approved and will not have the effect of negative votes.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the close of business on the record date, 132,253,185 Common Shares were issued and outstanding.</w:t>
      </w:r>
    </w:p>
    <w:p>
      <w:pPr>
        <w:spacing w:after="0" w:line="225"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Each shareholder is entitled to one vote per Common Share held on all matters to come before the special meeting. Common Shares are the only securities of Civeo which will have voting rights at the special meeting.</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Voting by Civeo’s Directors and Executive Officers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for the special meeting, directors and executive officers of Civeo and their affiliates were entitled to vote 1.8 million Common Shares, or approximately 1.4% of the Common Shares outstanding. Civeo currently expects that Civeo’s directors and executive officers will vote their shares in favor of the share issuance proposal, although none of them has entered into any agreement obligating them to do so.</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Registered shareholders of Civeo as of the close of business on the record date for the special meeting may vote in person by attending the special meeting or may authorize a proxy to vote by:</w:t>
      </w:r>
    </w:p>
    <w:p>
      <w:pPr>
        <w:spacing w:after="0" w:line="67" w:lineRule="exact"/>
        <w:rPr>
          <w:sz w:val="20"/>
          <w:szCs w:val="20"/>
          <w:color w:val="auto"/>
        </w:rPr>
      </w:pPr>
    </w:p>
    <w:p>
      <w:pPr>
        <w:ind w:left="1060" w:hanging="424"/>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Internet website specified on the proxy card;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the toll-free number specified on the proxy card; or</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the proxy card in the postage-paid envelope provided.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proxy card is being sent with this proxy statement to each shareholder of record as of the record date for the special meeting.</w:t>
      </w:r>
    </w:p>
    <w:p>
      <w:pPr>
        <w:spacing w:after="0" w:line="225" w:lineRule="exact"/>
        <w:rPr>
          <w:sz w:val="20"/>
          <w:szCs w:val="20"/>
          <w:color w:val="auto"/>
        </w:rPr>
      </w:pPr>
    </w:p>
    <w:p>
      <w:pPr>
        <w:ind w:left="200" w:right="720" w:firstLine="441"/>
        <w:spacing w:after="0" w:line="282" w:lineRule="auto"/>
        <w:rPr>
          <w:sz w:val="20"/>
          <w:szCs w:val="20"/>
          <w:color w:val="auto"/>
        </w:rPr>
      </w:pPr>
      <w:r>
        <w:rPr>
          <w:rFonts w:ascii="Times New Roman" w:cs="Times New Roman" w:eastAsia="Times New Roman" w:hAnsi="Times New Roman"/>
          <w:sz w:val="18"/>
          <w:szCs w:val="18"/>
          <w:color w:val="auto"/>
        </w:rPr>
        <w:t>For shares held in “street name” through a stock brokerage account or through a bank or other nominee, holders should follow the voting instructions provided by the broker, bank or other nominee.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to revocation in any other manner permitted by law, a Civeo shareholder can revoke its proxy in one of the following ways:</w:t>
      </w:r>
    </w:p>
    <w:p>
      <w:pPr>
        <w:spacing w:after="0" w:line="131" w:lineRule="exact"/>
        <w:rPr>
          <w:sz w:val="20"/>
          <w:szCs w:val="20"/>
          <w:color w:val="auto"/>
        </w:rPr>
      </w:pPr>
    </w:p>
    <w:p>
      <w:pPr>
        <w:ind w:left="1060" w:hanging="424"/>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revocation with the Corporate Secretary prior to the voting of such proxy;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a duly executed proxy bearing a later date; or</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in person.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Attendance at the special meeting will not itself revoke a shareholder’s proxy.</w:t>
      </w:r>
    </w:p>
    <w:p>
      <w:pPr>
        <w:spacing w:after="0" w:line="225" w:lineRule="exact"/>
        <w:rPr>
          <w:sz w:val="20"/>
          <w:szCs w:val="20"/>
          <w:color w:val="auto"/>
        </w:rPr>
      </w:pPr>
    </w:p>
    <w:p>
      <w:pPr>
        <w:ind w:left="200" w:right="900" w:firstLine="441"/>
        <w:spacing w:after="0" w:line="282" w:lineRule="auto"/>
        <w:rPr>
          <w:sz w:val="20"/>
          <w:szCs w:val="20"/>
          <w:color w:val="auto"/>
        </w:rPr>
      </w:pPr>
      <w:r>
        <w:rPr>
          <w:rFonts w:ascii="Times New Roman" w:cs="Times New Roman" w:eastAsia="Times New Roman" w:hAnsi="Times New Roman"/>
          <w:sz w:val="18"/>
          <w:szCs w:val="18"/>
          <w:color w:val="auto"/>
        </w:rPr>
        <w:t>If a Civeo shareholder has instructed its broker to vote its shares, such shareholder must follow the broker’s procedure to change those instructions.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Proxies are being solicited by the Civeo Board for use at the special meeting and any adjournment or postponement thereof. Civeo is paying the costs of soliciting proxies. Upon request, Civeo will reimburse brokers, banks, trusts and other nominees for reasonable expenses incurred by them in forwarding the proxy materials to beneficial owners of Common Shares.</w:t>
      </w:r>
    </w:p>
    <w:p>
      <w:pPr>
        <w:spacing w:after="0" w:line="176"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In addition to soliciting proxies by mail, the Civeo Board, Civeo’s officers and employees, or its transfer agent, may solicit proxies on Civeo’s behalf, personally or by telephone, and Civeo has engaged a proxy solicitor to solicit proxies on its behalf by telephone and by other means. Civeo expects the cost of Okapi Partners LLC, its proxy solicitor, to be approximately $10,000. Computershare, Civeo’s transfer agent, will serve as the inspector of election for the special meeting.</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240" w:top="455" w:right="6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ACQUISITION</w:t>
      </w:r>
    </w:p>
    <w:p>
      <w:pPr>
        <w:spacing w:after="0" w:line="227" w:lineRule="exact"/>
        <w:rPr>
          <w:sz w:val="20"/>
          <w:szCs w:val="20"/>
          <w:color w:val="auto"/>
        </w:rPr>
      </w:pPr>
    </w:p>
    <w:p>
      <w:pPr>
        <w:ind w:left="200" w:right="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This section and the section entitled “The Purchase Agreement” describe the background of the Acquisition, including the Purchase Agreement. While Civeo believes that these sections cover the material terms of the Acquisition and the Purchase Agreement, they may not contain all of the information that is important to you. For a more complete understanding of the Acquisition and the Purchase Agreement, you should read carefully this entire proxy statement, including the attached Annexes, and the other documents to which you are referred herein. See the section entitled “Additional Information.”</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Background of the Acquisition</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The senior management of Civeo and the Civeo Board regularly review strategic opportunities to maximize shareholder value and further Civeo’s strategic and operational objectives.</w:t>
      </w:r>
    </w:p>
    <w:p>
      <w:pPr>
        <w:spacing w:after="0" w:line="162"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On May 29, 2017, a representative of Sequeira Partners, Inc. (“Sequeira”), financial advisor to Noralta, contacted Bradley J. Dodson, Civeo’s Chief Executive Officer, to advise Civeo that Noralta was exploring a possible sale and had engaged Sequeira in connection with its sale process. On June 8, 2017, Noralta delivered a signed nondisclosure agreement to Civeo, which agreement was accepted and agreed by Civeo on June 13, 2017. Following its execution, Noralta began to exchange non-public information with Civeo, and the parties conducted due diligence through the signing of the definitive transaction documents on November 26, 2017.</w:t>
      </w:r>
    </w:p>
    <w:p>
      <w:pPr>
        <w:spacing w:after="0" w:line="184" w:lineRule="exact"/>
        <w:rPr>
          <w:sz w:val="20"/>
          <w:szCs w:val="20"/>
          <w:color w:val="auto"/>
        </w:rPr>
      </w:pPr>
    </w:p>
    <w:p>
      <w:pPr>
        <w:ind w:left="200" w:right="660" w:firstLine="441"/>
        <w:spacing w:after="0" w:line="282" w:lineRule="auto"/>
        <w:rPr>
          <w:sz w:val="20"/>
          <w:szCs w:val="20"/>
          <w:color w:val="auto"/>
        </w:rPr>
      </w:pPr>
      <w:r>
        <w:rPr>
          <w:rFonts w:ascii="Times New Roman" w:cs="Times New Roman" w:eastAsia="Times New Roman" w:hAnsi="Times New Roman"/>
          <w:sz w:val="18"/>
          <w:szCs w:val="18"/>
          <w:color w:val="auto"/>
        </w:rPr>
        <w:t>On June 14, 2017, members of Noralta management and representatives of Sequeira met with members of Civeo management in Denver, Colorado, to introduce Noralta’s business and discuss Noralta’s anticipated sale process.</w:t>
      </w:r>
    </w:p>
    <w:p>
      <w:pPr>
        <w:spacing w:after="0" w:line="162"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On June 19, 2017, Civeo engaged Bennett Jones LLP (“Bennett Jones”) to assist Civeo as Canadian counsel in connection with Civeo’s proposed acquisition of Noralta.</w:t>
      </w:r>
    </w:p>
    <w:p>
      <w:pPr>
        <w:spacing w:after="0" w:line="162"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On July 20, 2017, members of Civeo management and representatives of Lazard, financial advisor to Civeo, met with members of Noralta management and representatives of Sequeira in Houston, Texas. At the meeting, the participants discussed, among other things, Noralta’s management team, company history, lodge overview, operating model and financial performance, and the merits of an acquisition of Noralta by Civeo, including potential synergies.</w:t>
      </w:r>
    </w:p>
    <w:p>
      <w:pPr>
        <w:spacing w:after="0" w:line="180"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On July 31, 2017, the members of the Finance &amp; Investment Committee of the Civeo Board, comprised of C. Ronald Blankenship, Martin A. Lambert and Timothy Wall, held a meeting of the Finance &amp; Investment Committee at which Richard A. Navarre, Constance B. Moore and Charles Szalkowski, who are members of the Civeo Board, members of Civeo management, and representatives of Lazard also were present. At the meeting, Civeo management discussed the proposed acquisition of Noralta by Civeo, and Civeo management and representatives of Lazard discussed the current status of the proposed acquisition. After discussion, the members of the Finance &amp; Investment Committee determined that Civeo should deliver a non-binding indication of interest to Noralta.</w:t>
      </w:r>
    </w:p>
    <w:p>
      <w:pPr>
        <w:spacing w:after="0" w:line="188" w:lineRule="exact"/>
        <w:rPr>
          <w:sz w:val="20"/>
          <w:szCs w:val="20"/>
          <w:color w:val="auto"/>
        </w:rPr>
      </w:pPr>
    </w:p>
    <w:p>
      <w:pPr>
        <w:ind w:left="200" w:right="600" w:firstLine="441"/>
        <w:spacing w:after="0" w:line="282" w:lineRule="auto"/>
        <w:rPr>
          <w:sz w:val="20"/>
          <w:szCs w:val="20"/>
          <w:color w:val="auto"/>
        </w:rPr>
      </w:pPr>
      <w:r>
        <w:rPr>
          <w:rFonts w:ascii="Times New Roman" w:cs="Times New Roman" w:eastAsia="Times New Roman" w:hAnsi="Times New Roman"/>
          <w:sz w:val="18"/>
          <w:szCs w:val="18"/>
          <w:color w:val="auto"/>
        </w:rPr>
        <w:t>On August 2, 2017, Civeo contacted Gibson, Dunn &amp; Crutcher LLP (“Gibson Dunn”), regular outside counsel to Civeo, to assist Civeo in connection with Civeo’s proposed acquisition of Noralta.</w:t>
      </w:r>
    </w:p>
    <w:p>
      <w:pPr>
        <w:spacing w:after="0" w:line="162"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On August 4, 2017, Civeo delivered an initial non-binding indication of interest to Sequeira. The indication of interest included preliminary terms for Civeo’s proposed acquisition of Noralta, including total consideration in the range of C$350 million to C$400 million on a cash-free, debt-free basis. The indication of interest provided that the consideration would be paid in a combination of Common Shares and cash. The indication of interest also provided that Lance Torgerson, the Chairman of Noralta, or an individual nominated by him who is reasonably acceptable to Civeo, would be offered a Class 1 board seat on the Civeo Board.</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80"/>
          </w:cols>
          <w:pgMar w:left="24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On August 11, 2017, representatives of Sequeira, on behalf of Noralta, delivered to Civeo a revised proposal for the proposed acquisition, which included a purchase price of C$480 million, payable C$87.5 million in Common Shares, C$117.5 million in convertible notes or convertible preferred shares of Civeo, and C$275 million in cash.</w:t>
      </w:r>
    </w:p>
    <w:p>
      <w:pPr>
        <w:spacing w:after="0" w:line="176"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On August 22, 2017, the Civeo Board convened a regular meeting to discuss the potential acquisition of Noralta and to receive updates on various other matters. Members of Civeo management and representatives of Lazard also participated in the meeting. Representatives of Lazard updated the Civeo Board regarding the discussions between Civeo and Noralta, including the August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proposal from Noralta. After discussion, the Civeo Board requested management to prepare a term sheet for the Civeo Board to review in connection with submitting a counteroffer to Noralta’s August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proposal. Civeo management subsequently provided the Civeo Board with a draft of the proposed second non-binding indication of interest for its review, which the Civeo Board determined should be sent to Sequeira.</w:t>
      </w:r>
    </w:p>
    <w:p>
      <w:pPr>
        <w:spacing w:after="0" w:line="188"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On August 25, 2017, Civeo delivered a second non-binding indication of interest to Sequeira. The second indication of interest included revised preliminary terms for Civeo’s proposed acquisition of Noralta, including total consideration of C$415 million on a cash-free, debt-free basis. The second indication of interest provided that the consideration would be paid in C$87.5 million of Common Shares, C$118.0 million of convertible preferred shares of Civeo and C$209.5 million of cash. The second indication of interest included an exclusivity agreement pursuant to which Noralta would agree to exclusively negotiate with Civeo regarding a potential acquisition until November 30, 2017. The second indication of interest continued to include a Class 1 board seat for Mr. Torgerson or his nominee.</w:t>
      </w:r>
    </w:p>
    <w:p>
      <w:pPr>
        <w:spacing w:after="0" w:line="188"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On August 28, 2017, representatives of Sequeira, on behalf of Noralta, responded to the second indication of interest. The revised proposal from Sequeira included a proposed purchase price of C$425 million, payable C$92.5 million in Common Shares, C$118.0 million in convertible preferred shares of Civeo, and C$214.5 million in cash. The revised proposal further included a request that the sellers be permitted to designate two members of the Civeo Board.</w:t>
      </w:r>
    </w:p>
    <w:p>
      <w:pPr>
        <w:spacing w:after="0" w:line="180"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On August 30, 2017, Civeo delivered a third non-binding indication of interest to Sequeira. The third indication of interest included revised terms for Civeo’s proposed acquisition of Noralta, including total consideration of C$420 million on a cash-free, debt-free basis. The third indication of interest provided that the consideration would be paid in C$87.5 million of Common Shares, C$123.0 million of convertible preferred shares of Civeo and C$209.5 million of cash. The third indication of interest continued to include a Class 1 board seat for Mr. Torgerson or his nominee. The indication of interest reiterated the need for an exclusive negotiating period between Civeo and Noralta extending until November 30, 2017. On September 1, 2017, Corey Smith, Noralta’s President and Chief Executive Officer, executed the third indication of interest, agreeing to exclusively negotiate with Civeo until November 30, 2017.</w:t>
      </w:r>
    </w:p>
    <w:p>
      <w:pPr>
        <w:spacing w:after="0" w:line="18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On September 13, 2017, members of Civeo management met with members of Noralta management and representatives of Sequeira in Edmonton, Alberta, to discuss the financial and other disclosures regarding Noralta that would be required to be included in Civeo’s filings with the SEC, including a proxy statement of Civeo, in the event the parties decided to proceed with the proposed acquisition. The parties had meetings scheduled weekly to discuss progress on these disclosure matters.</w:t>
      </w:r>
    </w:p>
    <w:p>
      <w:pPr>
        <w:spacing w:after="0" w:line="180" w:lineRule="exact"/>
        <w:rPr>
          <w:sz w:val="20"/>
          <w:szCs w:val="20"/>
          <w:color w:val="auto"/>
        </w:rPr>
      </w:pPr>
    </w:p>
    <w:p>
      <w:pPr>
        <w:ind w:left="200" w:right="640" w:firstLine="441"/>
        <w:spacing w:after="0" w:line="282" w:lineRule="auto"/>
        <w:rPr>
          <w:sz w:val="20"/>
          <w:szCs w:val="20"/>
          <w:color w:val="auto"/>
        </w:rPr>
      </w:pPr>
      <w:r>
        <w:rPr>
          <w:rFonts w:ascii="Times New Roman" w:cs="Times New Roman" w:eastAsia="Times New Roman" w:hAnsi="Times New Roman"/>
          <w:sz w:val="18"/>
          <w:szCs w:val="18"/>
          <w:color w:val="auto"/>
        </w:rPr>
        <w:t>On October 3, 2017, Noralta and Civeo entered into a mutual nondisclosure agreement. Following its execution, Civeo began to exchange non-public information with Noralta as part of the ongoing due diligence process.</w:t>
      </w:r>
    </w:p>
    <w:p>
      <w:pPr>
        <w:spacing w:after="0" w:line="162"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On October 4, 2017, Bennett Jones, at the direction of Civeo, sent the initial draft of the Purchase Agreement to representatives of Dentons Canada LLP (“Dentons Canada”), Canadian counsel to Noralta.</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24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On October 6, 2017, Civeo and Lazard entered into an engagement letter formalizing the terms of Lazard’s engagement as Civeo’s financial advisor with respect to the proposed acquisition of Noralta.</w:t>
      </w:r>
    </w:p>
    <w:p>
      <w:pPr>
        <w:spacing w:after="0" w:line="162"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On October 11, 2017, Civeo sent to Noralta the initial draft of the Registration Rights Agreement and a proposed amendment to Civeo’s Articles establishing the terms of the convertible preferred shares of Civeo to be issued in connection with the proposed acquisition.</w:t>
      </w:r>
    </w:p>
    <w:p>
      <w:pPr>
        <w:spacing w:after="0" w:line="162"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On October 12, 2017, representatives of Dentons Canada sent a revised draft of the Purchase Agreement to representatives of Bennett Jones. The revised draft, among other things, modified the indemnification provisions, including the limitations on the sellers’ indemnification obligations, reduced the size of the escrow, and modified the purchase price adjustment mechanics.</w:t>
      </w:r>
    </w:p>
    <w:p>
      <w:pPr>
        <w:spacing w:after="0" w:line="176"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Also on October 12, 2017, members of Civeo and Noralta management met with representatives of the Fort McKay First Nation, Noralta’s partner in its Dene Koe joint venture, to discuss the proposed acquisition and the potential impact of the proposed acquisition on the joint venture.</w:t>
      </w:r>
    </w:p>
    <w:p>
      <w:pPr>
        <w:spacing w:after="0" w:line="162"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On October 20, 2017, members of Civeo management met with members of Noralta management in Calgary, Alberta to negotiate the terms of the Purchase Agreement and the Registration Rights Agreement. Following the meeting, Civeo instructed representatives of Gibson Dunn and Bennett Jones to revise the transaction documents to reflect the discussions between Civeo and Noralta.</w:t>
      </w:r>
    </w:p>
    <w:p>
      <w:pPr>
        <w:spacing w:after="0" w:line="176" w:lineRule="exact"/>
        <w:rPr>
          <w:sz w:val="20"/>
          <w:szCs w:val="20"/>
          <w:color w:val="auto"/>
        </w:rPr>
      </w:pPr>
    </w:p>
    <w:p>
      <w:pPr>
        <w:jc w:val="both"/>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From October 23, 2017 to November 26, 2017, Bennett Jones and Gibson Dunn, on behalf of Civeo, and Dentons Canada and Dentons US LLP (collectively, “Dentons”), U.S. counsel to Noralta, on behalf of Noralta, engaged in a number of conversations regarding, and exchanged drafts of, the transaction agreements, including the Purchase Agreement, the schedules and exhibits to the Purchase Agreement, the Registration Rights Agreement and the terms of the convertible preferred shares of Civeo to be issued in the proposed acquisition.</w:t>
      </w:r>
    </w:p>
    <w:p>
      <w:pPr>
        <w:spacing w:after="0" w:line="180"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On October 25, 2017, the Civeo Board convened a regular meeting to discuss the potential acquisition of Noralta and to receive updates on various other matters. Members of Civeo management and representatives of Gibson Dunn, Bennett Jones and Lazard also were present at the meeting. Members of Civeo management updated the Civeo Board on the status of discussions with Noralta regarding the proposed acquisition. Representatives of Bennett Jones discussed the regulatory approvals that would be required in connection with the proposed acquisition, and representatives of Gibson Dunn discussed the filings that Civeo would be required to make with the SEC in connection with the proposed acquisition.</w:t>
      </w:r>
    </w:p>
    <w:p>
      <w:pPr>
        <w:spacing w:after="0" w:line="184"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On November 6, 2017, members of Civeo management, members of Noralta management, and representatives of Bennett Jones, Gibson Dunn, Dentons, Sequeira and Lazard held a telephonic meeting to discuss outstanding items in the Purchase Agreement, including, among other things, the limitations on the sellers’ obligation to indemnify Civeo. Civeo management, Noralta management and representatives of Sequeira had a subsequent telephonic meeting on November 7, 2017 to further discuss the proposed limitations on the sellers’ indemnification obligations, including the potential for Civeo to purchase a representation and warranty insurance policy and the scope of such coverage. At the meeting, members of Civeo management requested that the sellers bear the cost of any such insurance policy.</w:t>
      </w:r>
    </w:p>
    <w:p>
      <w:pPr>
        <w:spacing w:after="0" w:line="188"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On November 9, 2017, members of the Civeo Board and Civeo management met with members of Noralta management and Lance Torgerson in Denver, Colorado. The parties discussed, among other things, Noralta’s material contracts and operations, including Noralta’s existing joint ventures, and the communications strategy for announcing the proposed acquisition if definitive transaction agreements were signed. In addition, the parties discussed the ability of the sellers to designate a member of the Civeo Board, and Mr. Torgerson indicated that he did not intend to seek a board seat but intended to designate a nominee for consideration.</w:t>
      </w:r>
    </w:p>
    <w:p>
      <w:pPr>
        <w:spacing w:after="0" w:line="184"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On November 13, 2017, the Civeo Board convened a special meeting to discuss the potential acquisition of Noralta and to receive updates on various other matters. Members of Civeo management and representatives of</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24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6" w:lineRule="auto"/>
        <w:rPr>
          <w:sz w:val="20"/>
          <w:szCs w:val="20"/>
          <w:color w:val="auto"/>
        </w:rPr>
      </w:pPr>
      <w:r>
        <w:rPr>
          <w:rFonts w:ascii="Times New Roman" w:cs="Times New Roman" w:eastAsia="Times New Roman" w:hAnsi="Times New Roman"/>
          <w:sz w:val="18"/>
          <w:szCs w:val="18"/>
          <w:color w:val="auto"/>
        </w:rPr>
        <w:t>Lazard also were present at the meeting. Members of Civeo management updated the board on the status of the proposed acquisition and reviewed a summary of the key transaction terms, the status of the transaction documentation, and Civeo’s ongoing due diligence process, including due diligence related to Noralta’s material contracts. A question and answer session followed, during which the Civeo Board discussed the matters presented and asked questions of Civeo management and representatives of Lazard regarding the proposed acquisition. Following discussion, the Civeo Board instructed management to propose having a portion of the consideration payable in the proposed acquisition contingent upon the continuity of a specified material contract of Noralta to address the risk associated with potential early termination of that contract.</w:t>
      </w:r>
    </w:p>
    <w:p>
      <w:pPr>
        <w:spacing w:after="0" w:line="188"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On November 14, 2017, members of Civeo management and representatives of Sequeira held a telephonic meeting to discuss Civeo’s proposal regarding contingent consideration.</w:t>
      </w:r>
    </w:p>
    <w:p>
      <w:pPr>
        <w:spacing w:after="0" w:line="162" w:lineRule="exact"/>
        <w:rPr>
          <w:sz w:val="20"/>
          <w:szCs w:val="20"/>
          <w:color w:val="auto"/>
        </w:rPr>
      </w:pPr>
    </w:p>
    <w:p>
      <w:pPr>
        <w:jc w:val="both"/>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On November 17, 2017, members of Civeo and Noralta management and representatives of Gibson Dunn and Dentons held a telephonic meeting to discuss outstanding items in the Registration Rights Agreement, including, among other things, the addition of further restrictions on Civeo’s ability to grant registration rights that are inconsistent with those set forth in the Registration Rights Agreement.</w:t>
      </w:r>
    </w:p>
    <w:p>
      <w:pPr>
        <w:spacing w:after="0" w:line="176"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On November 20, 2017, members of Civeo and Noralta management met with representatives of certain customers of Noralta to discuss the proposed acquisition.</w:t>
      </w:r>
    </w:p>
    <w:p>
      <w:pPr>
        <w:spacing w:after="0" w:line="162"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On November 21, 2017, the Civeo Board held a telephonic meeting at which members of Civeo management and representatives of Gibson Dunn, Bennett Jones and Lazard also were present. Civeo management reviewed the strategic rationale for the proposed acquisition, discussed the status of due diligence and the transaction documents, and described the key financial considerations associated with the indemnification provisions of the Purchase Agreement and the related representation and warranty insurance policy to be obtained by Civeo. Civeo management also described the November 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meetings with certain Noralta customers to discuss the proposed acquisition. Representatives of Lazard provided the Civeo Board with financial and market perspectives regarding the proposed acquisition, including valuation considerations surrounding the convertible preferred shares to be issued in the proposed acquisition, and described its preliminary financial analyses regarding the consideration expected to be paid by Civeo in the proposed acquisition. Throughout the discussion, members of Civeo management and representatives of Lazard answered questions from the members of the Civeo Board.</w:t>
      </w:r>
    </w:p>
    <w:p>
      <w:pPr>
        <w:spacing w:after="0" w:line="189"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On November 26, 2017, the Civeo Board held a telephonic meeting at which members of management and representatives of Gibson Dunn, Bennett Jones and Lazard also were present. Members of Civeo management reviewed with the Civeo Board the financial terms of the Acquisition, including the principal benefits of the Acquisition and the terms of the non-competition agreements to be entered into with Noralta’s shareholders and management. Representatives of Lazard provided the Civeo Board with updated financial and market perspectives regarding the Acquisition, including an update to the valuation of the Preferred Shares to reflect discussions with the Civeo Board at the November 21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board meeting. Representatives of Lazard then presented Lazard’s financial analyses regarding the consideration to be paid by Civeo in the Acquisition and delivered its oral opinion to the Civeo Board, which was confirmed by delivery of a written opinion dated November 26, 2017, that, as of such date and based upon and subject to the assumptions, procedures, factors, qualifications and limitations set forth therein, the consideration to be paid by Civeo for the Acquisition was fair, from a financial point of view, to Civeo. Representatives of Bennett Jones and Gibson Dunn then reviewed the key terms of the Purchase Agreement, the Registration Rights Agreement and the amendment to Civeo’s Articles to establish the terms of the Preferred Shares. Following those presentations and discussions, the Civeo Board unanimously determined that it was advisable and in the best interests of Civeo and its shareholders to enter into the Purchase Agreement and the transactions contemplated by the Purchase Agreement, and the Civeo Board unanimously approved the Acquisition and the Purchase Agreement and recommended that Civeo’s shareholders approve the issuance of Common Shares and Preferred Shares in connection with the Acquisition.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24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Later on November 26, 2017, the Purchase Agreement was finalized and was executed and delivered by Civeo and the other parties thereto. During the remainder of the day, representatives of Civeo and Noralta discussed communications to be made in connection with the announcement of the Acquisition. The execution of the Purchase Agreement was publicly announced on the morning of November 27, 2017.</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Reasons for the Acquisition</w:t>
      </w:r>
    </w:p>
    <w:p>
      <w:pPr>
        <w:spacing w:after="0" w:line="12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By vote at a meeting held on November 26, 2017, the Civeo Board unanimously determined that the Purchase Agreement and the transactions contemplated thereby, including the Acquisition, are advisable and in the best interests of Civeo and its shareholders. </w:t>
      </w:r>
      <w:r>
        <w:rPr>
          <w:rFonts w:ascii="Times New Roman" w:cs="Times New Roman" w:eastAsia="Times New Roman" w:hAnsi="Times New Roman"/>
          <w:sz w:val="18"/>
          <w:szCs w:val="18"/>
          <w:b w:val="1"/>
          <w:bCs w:val="1"/>
          <w:color w:val="auto"/>
        </w:rPr>
        <w:t>The Civeo Board unanimously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recommends that Civeo shareholders vote “FOR” the share issuance proposal at the special meeting.</w:t>
      </w:r>
    </w:p>
    <w:p>
      <w:pPr>
        <w:spacing w:after="0" w:line="176"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In evaluating the Acquisition and the Purchase Agreement, the Civeo Board consulted with Civeo’s management and financial and legal advisors and, in reaching its decision to approve the Acquisition and enter into the Purchase Agreement, the Civeo Board considered a number of factors, including the following material factors which the Civeo Board viewed as generally supporting its decision to approve the Acquisition and the Purchase Agreement:</w:t>
      </w:r>
    </w:p>
    <w:p>
      <w:pPr>
        <w:spacing w:after="0" w:line="82" w:lineRule="exact"/>
        <w:rPr>
          <w:sz w:val="20"/>
          <w:szCs w:val="20"/>
          <w:color w:val="auto"/>
        </w:rPr>
      </w:pPr>
    </w:p>
    <w:p>
      <w:pPr>
        <w:ind w:left="1060" w:hanging="424"/>
        <w:spacing w:after="0" w:line="286"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Strengthens Workforce Solutions Portfolio: </w:t>
      </w:r>
      <w:r>
        <w:rPr>
          <w:rFonts w:ascii="Times New Roman" w:cs="Times New Roman" w:eastAsia="Times New Roman" w:hAnsi="Times New Roman"/>
          <w:sz w:val="18"/>
          <w:szCs w:val="18"/>
          <w:color w:val="auto"/>
        </w:rPr>
        <w:t>Together, the combined company will better support the success of its customers over the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their projects, as it provides innovative home-to-home workforce accommodation solutions across the Canadian oil sands region.</w:t>
      </w:r>
    </w:p>
    <w:p>
      <w:pPr>
        <w:spacing w:after="0" w:line="60" w:lineRule="exact"/>
        <w:rPr>
          <w:rFonts w:ascii="Times New Roman" w:cs="Times New Roman" w:eastAsia="Times New Roman" w:hAnsi="Times New Roman"/>
          <w:sz w:val="18"/>
          <w:szCs w:val="18"/>
          <w:color w:val="auto"/>
        </w:rPr>
      </w:pPr>
    </w:p>
    <w:p>
      <w:pPr>
        <w:ind w:left="1060" w:right="100" w:hanging="424"/>
        <w:spacing w:after="0" w:line="268"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Accelerates Strategic Priorities: </w:t>
      </w:r>
      <w:r>
        <w:rPr>
          <w:rFonts w:ascii="Times New Roman" w:cs="Times New Roman" w:eastAsia="Times New Roman" w:hAnsi="Times New Roman"/>
          <w:sz w:val="18"/>
          <w:szCs w:val="18"/>
          <w:color w:val="auto"/>
        </w:rPr>
        <w:t>The Acquisition furthers Civeo’s strategic objectives of servicing operator-owned accommodation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and enhancing the quality and scope of its service offerings, including investing in customer-facing technologies, and focusing on disciplined growth opportunities.</w:t>
      </w:r>
    </w:p>
    <w:p>
      <w:pPr>
        <w:spacing w:after="0" w:line="76" w:lineRule="exact"/>
        <w:rPr>
          <w:rFonts w:ascii="Times New Roman" w:cs="Times New Roman" w:eastAsia="Times New Roman" w:hAnsi="Times New Roman"/>
          <w:sz w:val="18"/>
          <w:szCs w:val="18"/>
          <w:color w:val="auto"/>
        </w:rPr>
      </w:pPr>
    </w:p>
    <w:p>
      <w:pPr>
        <w:ind w:left="1060" w:right="120" w:hanging="424"/>
        <w:spacing w:after="0" w:line="291" w:lineRule="auto"/>
        <w:tabs>
          <w:tab w:leader="none" w:pos="10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Generates Significant Operating Cash Flow and Strengthens the Pro Forma Balance Sheet: </w:t>
      </w:r>
      <w:r>
        <w:rPr>
          <w:rFonts w:ascii="Times New Roman" w:cs="Times New Roman" w:eastAsia="Times New Roman" w:hAnsi="Times New Roman"/>
          <w:sz w:val="17"/>
          <w:szCs w:val="17"/>
          <w:color w:val="auto"/>
        </w:rPr>
        <w:t>In addition to stronger revenue visibility,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combined company would have generated significantly more operating cash flow than Civeo on a standalone basis during the twelve month period ended September 30, 2017 and would reduce Civeo’s pro forma leverage, strengthening the company’s balance sheet.</w:t>
      </w:r>
    </w:p>
    <w:p>
      <w:pPr>
        <w:spacing w:after="0" w:line="58" w:lineRule="exact"/>
        <w:rPr>
          <w:rFonts w:ascii="Times New Roman" w:cs="Times New Roman" w:eastAsia="Times New Roman" w:hAnsi="Times New Roman"/>
          <w:sz w:val="17"/>
          <w:szCs w:val="17"/>
          <w:color w:val="auto"/>
        </w:rPr>
      </w:pPr>
    </w:p>
    <w:p>
      <w:pPr>
        <w:ind w:left="1060" w:right="680" w:hanging="424"/>
        <w:spacing w:after="0" w:line="286"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Solidifies Operations-Focused Revenue: </w:t>
      </w:r>
      <w:r>
        <w:rPr>
          <w:rFonts w:ascii="Times New Roman" w:cs="Times New Roman" w:eastAsia="Times New Roman" w:hAnsi="Times New Roman"/>
          <w:sz w:val="18"/>
          <w:szCs w:val="18"/>
          <w:color w:val="auto"/>
        </w:rPr>
        <w:t>Noralta’s two largest contracts support operations-focused workforces that service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oil sands producers which will have ongoing room needs even beyond the contract terms already in place.</w:t>
      </w:r>
    </w:p>
    <w:p>
      <w:pPr>
        <w:spacing w:after="0" w:line="60" w:lineRule="exact"/>
        <w:rPr>
          <w:rFonts w:ascii="Times New Roman" w:cs="Times New Roman" w:eastAsia="Times New Roman" w:hAnsi="Times New Roman"/>
          <w:sz w:val="18"/>
          <w:szCs w:val="18"/>
          <w:color w:val="auto"/>
        </w:rPr>
      </w:pPr>
    </w:p>
    <w:p>
      <w:pPr>
        <w:ind w:left="1060" w:right="20" w:hanging="424"/>
        <w:spacing w:after="0" w:line="286"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Enhances First Nations Relationships: </w:t>
      </w:r>
      <w:r>
        <w:rPr>
          <w:rFonts w:ascii="Times New Roman" w:cs="Times New Roman" w:eastAsia="Times New Roman" w:hAnsi="Times New Roman"/>
          <w:sz w:val="18"/>
          <w:szCs w:val="18"/>
          <w:color w:val="auto"/>
        </w:rPr>
        <w:t>Noralta’s well established First Nations relationships further enhance Civeo’s profile as a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partnering with First Nations throughout Western Canada for the mutual benefit of those groups and the combined company.</w:t>
      </w:r>
    </w:p>
    <w:p>
      <w:pPr>
        <w:spacing w:after="0" w:line="60" w:lineRule="exact"/>
        <w:rPr>
          <w:rFonts w:ascii="Times New Roman" w:cs="Times New Roman" w:eastAsia="Times New Roman" w:hAnsi="Times New Roman"/>
          <w:sz w:val="18"/>
          <w:szCs w:val="18"/>
          <w:color w:val="auto"/>
        </w:rPr>
      </w:pPr>
    </w:p>
    <w:p>
      <w:pPr>
        <w:ind w:left="1060" w:right="140" w:hanging="424"/>
        <w:spacing w:after="0" w:line="268"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Value Creation Through Synergies: </w:t>
      </w:r>
      <w:r>
        <w:rPr>
          <w:rFonts w:ascii="Times New Roman" w:cs="Times New Roman" w:eastAsia="Times New Roman" w:hAnsi="Times New Roman"/>
          <w:sz w:val="18"/>
          <w:szCs w:val="18"/>
          <w:color w:val="auto"/>
        </w:rPr>
        <w:t>The Acquisition will enable Civeo’s shareholders to participate in the value creation potential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company, including expected annual synergies of C$10 million by 2019, primarily related to operational and corporate efficiencies.</w:t>
      </w:r>
    </w:p>
    <w:p>
      <w:pPr>
        <w:spacing w:after="0" w:line="76" w:lineRule="exact"/>
        <w:rPr>
          <w:rFonts w:ascii="Times New Roman" w:cs="Times New Roman" w:eastAsia="Times New Roman" w:hAnsi="Times New Roman"/>
          <w:sz w:val="18"/>
          <w:szCs w:val="18"/>
          <w:color w:val="auto"/>
        </w:rPr>
      </w:pPr>
    </w:p>
    <w:p>
      <w:pPr>
        <w:ind w:left="1060" w:right="540" w:hanging="424"/>
        <w:spacing w:after="0" w:line="268"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Ownership of Civeo Shareholders: </w:t>
      </w:r>
      <w:r>
        <w:rPr>
          <w:rFonts w:ascii="Times New Roman" w:cs="Times New Roman" w:eastAsia="Times New Roman" w:hAnsi="Times New Roman"/>
          <w:sz w:val="18"/>
          <w:szCs w:val="18"/>
          <w:color w:val="auto"/>
        </w:rPr>
        <w:t>Based on the outstanding Common Shares as of November 26, 2017, current Civeo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will own approximately 68% of the outstanding Common Shares on an as converted and fully diluted basis after the Acquisition.</w:t>
      </w:r>
    </w:p>
    <w:p>
      <w:pPr>
        <w:spacing w:after="0" w:line="76" w:lineRule="exact"/>
        <w:rPr>
          <w:rFonts w:ascii="Times New Roman" w:cs="Times New Roman" w:eastAsia="Times New Roman" w:hAnsi="Times New Roman"/>
          <w:sz w:val="18"/>
          <w:szCs w:val="18"/>
          <w:color w:val="auto"/>
        </w:rPr>
      </w:pPr>
    </w:p>
    <w:p>
      <w:pPr>
        <w:ind w:left="1060" w:right="240" w:hanging="424"/>
        <w:spacing w:after="0" w:line="286"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and Shareholder Approvals: </w:t>
      </w:r>
      <w:r>
        <w:rPr>
          <w:rFonts w:ascii="Times New Roman" w:cs="Times New Roman" w:eastAsia="Times New Roman" w:hAnsi="Times New Roman"/>
          <w:sz w:val="18"/>
          <w:szCs w:val="18"/>
          <w:color w:val="auto"/>
        </w:rPr>
        <w:t>The Civeo Board considered the regulatory and shareholder approvals required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Acquisition and the probability that those approvals would be obtained.</w:t>
      </w:r>
    </w:p>
    <w:p>
      <w:pPr>
        <w:spacing w:after="0" w:line="60" w:lineRule="exact"/>
        <w:rPr>
          <w:rFonts w:ascii="Times New Roman" w:cs="Times New Roman" w:eastAsia="Times New Roman" w:hAnsi="Times New Roman"/>
          <w:sz w:val="18"/>
          <w:szCs w:val="18"/>
          <w:color w:val="auto"/>
        </w:rPr>
      </w:pPr>
    </w:p>
    <w:p>
      <w:pPr>
        <w:ind w:left="1060" w:right="400" w:hanging="424"/>
        <w:spacing w:after="0" w:line="262"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Terms of the Purchase Agreement and the Registration Rights Agreement: </w:t>
      </w:r>
      <w:r>
        <w:rPr>
          <w:rFonts w:ascii="Times New Roman" w:cs="Times New Roman" w:eastAsia="Times New Roman" w:hAnsi="Times New Roman"/>
          <w:sz w:val="18"/>
          <w:szCs w:val="18"/>
          <w:color w:val="auto"/>
        </w:rPr>
        <w:t>The Civeo Board considered the terms of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Registration Rights Agreement, and the other agreements relating to the Acquisition, including the respective representations, warranties, covenants and termination and indemnification rights of the parties, and the fact that the terms of such agreements are favorable to Civeo’s shareholders.</w:t>
      </w:r>
    </w:p>
    <w:p>
      <w:pPr>
        <w:spacing w:after="0" w:line="1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240" w:top="455" w:right="4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60" w:right="100" w:hanging="424"/>
        <w:spacing w:after="0" w:line="262" w:lineRule="auto"/>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Lazard Opinion: </w:t>
      </w:r>
      <w:r>
        <w:rPr>
          <w:rFonts w:ascii="Times New Roman" w:cs="Times New Roman" w:eastAsia="Times New Roman" w:hAnsi="Times New Roman"/>
          <w:sz w:val="18"/>
          <w:szCs w:val="18"/>
          <w:color w:val="auto"/>
        </w:rPr>
        <w:t>The Civeo Board considered the financial analyses and opinion of Lazard delivered orally to the Civeo Board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26, 2017 and subsequently confirmed in writing, to the effect that, as of the date of its opinion and based upon and subject to the assumptions, procedures, factors, qualifications and limitations set forth therein, the consideration payable in the Acquisition was fair, from a financial point of view, to Civeo. For further discussion of Lazard’s opinion, see “– Opinion of Civeo’s Financial Advisor” below.</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the course of its deliberations, the Civeo Board also considered a variety of risks and other potentially negative factors concerning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Acquisition, including the following:</w:t>
      </w:r>
    </w:p>
    <w:p>
      <w:pPr>
        <w:spacing w:after="0" w:line="112" w:lineRule="exact"/>
        <w:rPr>
          <w:sz w:val="20"/>
          <w:szCs w:val="20"/>
          <w:color w:val="auto"/>
        </w:rPr>
      </w:pPr>
    </w:p>
    <w:p>
      <w:pPr>
        <w:ind w:left="1060" w:right="40" w:hanging="424"/>
        <w:spacing w:after="0" w:line="282"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early termination or non-renewal of two significant Noralta contracts beyond their primary term, and the potential for a decrease in demand under such contracts below Civeo’s expectations;</w:t>
      </w:r>
    </w:p>
    <w:p>
      <w:pPr>
        <w:spacing w:after="0" w:line="67" w:lineRule="exact"/>
        <w:rPr>
          <w:rFonts w:ascii="Times New Roman" w:cs="Times New Roman" w:eastAsia="Times New Roman" w:hAnsi="Times New Roman"/>
          <w:sz w:val="18"/>
          <w:szCs w:val="18"/>
          <w:color w:val="auto"/>
        </w:rPr>
      </w:pPr>
    </w:p>
    <w:p>
      <w:pPr>
        <w:ind w:left="1060" w:right="240" w:hanging="424"/>
        <w:spacing w:after="0" w:line="266"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while the Acquisition is expected to be completed, there is no assurance that all conditions to the parties’ obligations to complete the Acquisition will be satisfied or waived, and as a result, it is possible that the Acquisition might not be completed even if Civeo’s shareholders approve the share issuance proposal;</w:t>
      </w:r>
    </w:p>
    <w:p>
      <w:pPr>
        <w:spacing w:after="0" w:line="81" w:lineRule="exact"/>
        <w:rPr>
          <w:rFonts w:ascii="Times New Roman" w:cs="Times New Roman" w:eastAsia="Times New Roman" w:hAnsi="Times New Roman"/>
          <w:sz w:val="18"/>
          <w:szCs w:val="18"/>
          <w:color w:val="auto"/>
        </w:rPr>
      </w:pPr>
    </w:p>
    <w:p>
      <w:pPr>
        <w:jc w:val="both"/>
        <w:ind w:left="1060" w:hanging="424"/>
        <w:spacing w:after="0" w:line="266"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to Civeo if the Acquisition is delayed or does not occur at all, including the potential negative impact on Civeo’s ability to retain key employees, the diversion of Civeo management and employee attention and the potential disruptive effects on Civeo’s day-to-day operations and Civeo’s relationships with third parties;</w:t>
      </w:r>
    </w:p>
    <w:p>
      <w:pPr>
        <w:spacing w:after="0" w:line="81" w:lineRule="exact"/>
        <w:rPr>
          <w:rFonts w:ascii="Times New Roman" w:cs="Times New Roman" w:eastAsia="Times New Roman" w:hAnsi="Times New Roman"/>
          <w:sz w:val="18"/>
          <w:szCs w:val="18"/>
          <w:color w:val="auto"/>
        </w:rPr>
      </w:pPr>
    </w:p>
    <w:p>
      <w:pPr>
        <w:ind w:left="1060" w:right="140" w:hanging="424"/>
        <w:spacing w:after="0" w:line="282"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Acquisition, including the costs of integrating the business of Noralta with Civeo and the transaction costs to be incurred in connection with the Acquisition;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earnings dilution to Civeo shareholders following the closing of the Acquisition;</w:t>
      </w:r>
    </w:p>
    <w:p>
      <w:pPr>
        <w:spacing w:after="0" w:line="130" w:lineRule="exact"/>
        <w:rPr>
          <w:rFonts w:ascii="Times New Roman" w:cs="Times New Roman" w:eastAsia="Times New Roman" w:hAnsi="Times New Roman"/>
          <w:sz w:val="18"/>
          <w:szCs w:val="18"/>
          <w:color w:val="auto"/>
        </w:rPr>
      </w:pPr>
    </w:p>
    <w:p>
      <w:pPr>
        <w:ind w:left="1060" w:right="80" w:hanging="424"/>
        <w:spacing w:after="0" w:line="282"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risks associated with achieving anticipated synergies and successfully integrating Noralta’s business, operations and workforce with those of Civeo;</w:t>
      </w:r>
    </w:p>
    <w:p>
      <w:pPr>
        <w:spacing w:after="0" w:line="67" w:lineRule="exact"/>
        <w:rPr>
          <w:rFonts w:ascii="Times New Roman" w:cs="Times New Roman" w:eastAsia="Times New Roman" w:hAnsi="Times New Roman"/>
          <w:sz w:val="18"/>
          <w:szCs w:val="18"/>
          <w:color w:val="auto"/>
        </w:rPr>
      </w:pPr>
    </w:p>
    <w:p>
      <w:pPr>
        <w:ind w:left="1060" w:right="380" w:hanging="424"/>
        <w:spacing w:after="0" w:line="282"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combined company might not achieve its projected financial results, including as a result of deterioration in commodity prices;</w:t>
      </w:r>
    </w:p>
    <w:p>
      <w:pPr>
        <w:spacing w:after="0" w:line="67" w:lineRule="exact"/>
        <w:rPr>
          <w:rFonts w:ascii="Times New Roman" w:cs="Times New Roman" w:eastAsia="Times New Roman" w:hAnsi="Times New Roman"/>
          <w:sz w:val="18"/>
          <w:szCs w:val="18"/>
          <w:color w:val="auto"/>
        </w:rPr>
      </w:pPr>
    </w:p>
    <w:p>
      <w:pPr>
        <w:ind w:left="1060" w:right="60" w:hanging="424"/>
        <w:spacing w:after="0" w:line="266"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fixed number of Common Shares and Preferred Shares to be issued as consideration under the Purchase Agreement could result in Civeo paying more for Noralta than had been anticipated by Civeo should the value of the Common Shares increase from the date of the execution of the Purchase Agreement;</w:t>
      </w:r>
    </w:p>
    <w:p>
      <w:pPr>
        <w:spacing w:after="0" w:line="81" w:lineRule="exact"/>
        <w:rPr>
          <w:rFonts w:ascii="Times New Roman" w:cs="Times New Roman" w:eastAsia="Times New Roman" w:hAnsi="Times New Roman"/>
          <w:sz w:val="18"/>
          <w:szCs w:val="18"/>
          <w:color w:val="auto"/>
        </w:rPr>
      </w:pPr>
    </w:p>
    <w:p>
      <w:pPr>
        <w:ind w:left="1060" w:right="420" w:hanging="424"/>
        <w:spacing w:after="0" w:line="266"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effects on holders of Common Shares of the special rights of the Preferred Shares to be issued in the Acquisition, including that the Preferred Shares rank senior to the Common Shares with respect to dividend rights and rights upon the liquidation, dissolution or winding-up of Civeo up to the amount of the liquidation preference and accrued and unpaid dividends;</w:t>
      </w:r>
    </w:p>
    <w:p>
      <w:pPr>
        <w:spacing w:after="0" w:line="81"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Acquisition would further increase Civeo’s concentration in the oil sands region of Alberta, Canada, and its exposure to the political, regulatory, environmental, labor, climate or natural disaster events and developments affecting the region;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Acquisition would increase Civeo’s customer concentration and related risks;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of the type and nature described under the section of this proxy statement entitled “Risk Factors.”</w:t>
      </w:r>
    </w:p>
    <w:p>
      <w:pPr>
        <w:spacing w:after="0" w:line="225" w:lineRule="exact"/>
        <w:rPr>
          <w:sz w:val="20"/>
          <w:szCs w:val="20"/>
          <w:color w:val="auto"/>
        </w:rPr>
      </w:pPr>
    </w:p>
    <w:p>
      <w:pPr>
        <w:jc w:val="both"/>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Civeo Board is not meant to be exhaustive, but includes the material information, factors and analyses considered by the Civeo Board in reaching its conclusions and recommendations in relation to the Acquisition. The members of the Civeo Board evaluated the various factors listed above in light of their knowledge of the business and the financial condition</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and prospects of Civeo, taking into account the advice of Civeo’s financial and legal advisors. In light of the variety of factors and amount of information that the Civeo Board considered, the members of the Civeo Board did not find it practicable to provide a specific assessment of, quantify or otherwise assign any relative weights to, the factors considered in determining their recommendations. Rather, the recommendations of the Civeo Board were made after considering the totality of the information and factors involved. Individual members of the Civeo Board may have ascribed different weight to different factors.</w:t>
      </w:r>
    </w:p>
    <w:p>
      <w:pPr>
        <w:spacing w:after="0" w:line="184"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foregoing discussion of the information and reasons considered by the Civeo Board is forward-looking in nature. This information should be read in light of the reasons described under “Cautionary Statement Regarding Forward-Looking Statements.”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Unaudited Financial Projections of Civeo</w:t>
      </w:r>
    </w:p>
    <w:p>
      <w:pPr>
        <w:spacing w:after="0" w:line="121"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Civeo does not as a matter of course publicly disclose forecasts as to future earnings and other financial performance beyond the current fiscal year, due to the unpredictability of the underlying assumptions and estimates. However, in connection with the due diligence review related to the Acquisition, Civeo’s management provided to Lazard, in connection with Lazard’s evaluation of the fairness, from a financial point of view, of the consideration payable in the Acquisition, non-public, internal financial forecasts regarding each of Civeo’s and Noralta’s anticipated future operations for the four fiscal years ending December 31, 2017 through 2020. The Civeo Board considered these internal forecasts for purposes of evaluating the Acquisition, and Civeo has included a summary of these internal forecasts below to give Civeo shareholders and investors access to certain non-public information that was furnished to its financial advisor.</w:t>
      </w:r>
    </w:p>
    <w:p>
      <w:pPr>
        <w:spacing w:after="0" w:line="189" w:lineRule="exact"/>
        <w:rPr>
          <w:sz w:val="20"/>
          <w:szCs w:val="20"/>
          <w:color w:val="auto"/>
        </w:rPr>
      </w:pPr>
    </w:p>
    <w:p>
      <w:pPr>
        <w:ind w:left="200" w:right="120" w:firstLine="441"/>
        <w:spacing w:after="0" w:line="253" w:lineRule="auto"/>
        <w:rPr>
          <w:sz w:val="20"/>
          <w:szCs w:val="20"/>
          <w:color w:val="auto"/>
        </w:rPr>
      </w:pPr>
      <w:r>
        <w:rPr>
          <w:rFonts w:ascii="Times New Roman" w:cs="Times New Roman" w:eastAsia="Times New Roman" w:hAnsi="Times New Roman"/>
          <w:sz w:val="18"/>
          <w:szCs w:val="18"/>
          <w:color w:val="auto"/>
        </w:rPr>
        <w:t>Civeo did not prepare these internal financial forecasts with a view toward public disclosure, nor were they prepared with a view toward compliance with published guidelines of the SEC, the guidelines established by the American Institute of Certified Public Accountants for preparation and presentation of financial forecasts, or GAAP. Civeo is not including the summary of these internal financial forecasts below to influence your decision whether to vote for the share issuance proposal and these internal forecasts do not give effect to the Acquisition. Neither Ernst &amp; Young LLP (Civeo’s independent accounting firm), PricewaterhouseCoopers LLP (Noralta’s independent accounting firm) nor any other independent accounting firm has examined, compiled or otherwise performed any procedures with respect to the prospective financial information contained in these financial forecasts and, accordingly, neither Ernst &amp; Young LLP, PricewaterhouseCoopers LLP nor any other independent accounting firm has expressed any opinion or given any other form of assurance with respect thereto and no independent accounting firm assumes any responsibility for the prospective financial information. The Ernst &amp; Young LLP report incorporated by reference in this proxy statement and the PricewaterhouseCoopers LLP report attached to this proxy statement relate to the historical financial information of Civeo and Noralta, respectively. Those reports do not extend to the financial forecasts and should not be read to do so.</w:t>
      </w:r>
    </w:p>
    <w:p>
      <w:pPr>
        <w:spacing w:after="0" w:line="193"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Civeo based these internal financial forecasts on numerous variables and assumptions (including, but not limited to, those related to industry performance and competition and general business, economic, market and financial conditions) that are inherently subjective and uncertain and are beyond the control of Civeo’s management. Important factors that may affect actual results and cause these internal financial forecasts to not be achieved include, but are not limited to, risks and uncertainties relating to Civeo’s business (including its ability to achieve strategic goals, objectives and targets over applicable periods), industry performance, general business and economic conditions and other factors described in the “Risk Factors” section of Civeo’s SEC filings incorporated by reference into this proxy statement as well as factors described in the “Risk Factors” and “Cautionary Statement Regarding Forward-Looking Statements” sections of this proxy statement. These internal financial forecasts also reflect assumptions as to certain business assumptions that are subject to change. As a result, actual results may differ materially from those contained in these internal financial forecasts. Accordingly, there can be no assurance that the forecasted results summarized below will be realized.</w:t>
      </w:r>
    </w:p>
    <w:p>
      <w:pPr>
        <w:spacing w:after="0" w:line="18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You should not regard the inclusion of a summary of these internal financial forecasts in this proxy statement as an indication that any of Civeo, Noralta or their respective affiliates, advisors or representatives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60"/>
          </w:cols>
          <w:pgMar w:left="240" w:top="455"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4" w:lineRule="auto"/>
        <w:rPr>
          <w:sz w:val="20"/>
          <w:szCs w:val="20"/>
          <w:color w:val="auto"/>
        </w:rPr>
      </w:pPr>
      <w:r>
        <w:rPr>
          <w:rFonts w:ascii="Times New Roman" w:cs="Times New Roman" w:eastAsia="Times New Roman" w:hAnsi="Times New Roman"/>
          <w:sz w:val="18"/>
          <w:szCs w:val="18"/>
          <w:color w:val="auto"/>
        </w:rPr>
        <w:t>considered these internal financial forecasts to be predictive of actual future events, and these internal financial forecasts should not be relied upon as such. Civeo, Noralta and their respective affiliates, advisors, officers, directors, partners and representatives can give you no assurance that projected results will be achieved and actual results could differ materially. Further, the inclusion of the financial forecasts in this proxy statement does not constitute an admission or representation by Civeo or Noralta that this information is material. Civeo, Noralta and their respective affiliates, advisors, officers, directors, partners and representatives undertake no obligation to update or otherwise revise or reconcile these internal financial forecasts. Civeo, its affiliates, advisors, officers, directors, partners or representatives make no representation regarding Civeo’s ultimate performance compared to the information contained in these internal financial forecasts or that the forecasted results will be achieved. Further, Civeo has made no representation to Noralta, in the Purchase Agreement or otherwise, concerning these internal financial forecasts. Civeo urges all shareholders to review Civeo’s SEC filings for a description of Civeo’s reported financial results.</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Prospective financial information regarding Noralta</w:t>
      </w:r>
    </w:p>
    <w:p>
      <w:pPr>
        <w:spacing w:after="0" w:line="121"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In connection with Civeo’s consideration of the Acquisition, Civeo management prepared unaudited prospective financial information for Noralta based on Civeo’s assumptions regarding current and prospective market conditions and its due diligence investigation of Noralta. The Civeo management projections of Noralta also reflect Civeo management’s expectations regarding Noralta’s future prospects of occupancy, expected margins and revenue recognition. Although Noralta’s fiscal year ends May 31, the Civeo management projections of Noralta were prepared on the basis of a December 31 fiscal year-end to match Civeo’s fiscal year. The following table presents selected unaudited prospective financial information for Noralta that Civeo management reviewed with the Civeo Board on November 26, 2017 and provided to Lazard for use in the financial analysis prepared by Lazard and summarized below in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Opinion of Civeo’s Financial Advisor” of this proxy statement.</w:t>
      </w: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of US dollars)</w:t>
            </w:r>
          </w:p>
        </w:tc>
        <w:tc>
          <w:tcPr>
            <w:tcW w:w="25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Management Projections</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2017E</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2018E</w:t>
            </w:r>
          </w:p>
        </w:tc>
        <w:tc>
          <w:tcPr>
            <w:tcW w:w="10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2019E</w:t>
            </w: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$ 126</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$ 121</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5"/>
                <w:szCs w:val="15"/>
                <w:color w:val="auto"/>
              </w:rPr>
              <w:t>(1)</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15"/>
                <w:szCs w:val="15"/>
                <w:color w:val="auto"/>
              </w:rPr>
              <w:t>(2)</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436"/>
        <w:spacing w:after="0" w:line="254"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calculated as earnings before interest, income taxes, depreciation and amortization. EBITDA is a non-GAAP financial measure, as it excludes amounts, or is subject to adjustments that effectively exclude amounts, included in the most directly comparable measure calculated and presented in accordance with GAAP in financial statements. EBITDA is not in accordance with, or a substitute for, GAAP, and may be different from or inconsistent with non-GAAP financial measures used by other companies. EBITDA should not be considered in isolation or as a substitute for net income, operating income, cash flows from operating activities or any other measure of financial performance presented in accordance with GAAP or as a measure of a company’s profitability or liquidity.</w:t>
      </w:r>
    </w:p>
    <w:p>
      <w:pPr>
        <w:ind w:left="640" w:right="240" w:hanging="436"/>
        <w:spacing w:after="0" w:line="253"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defined as cash flows provided by operating activities less cash taxes less capital expenditures plus changes in net working capital, if any, plus proceeds from asset sales. This measure is not in accordance with, or a substitute for, GAAP, and may be different from or inconsistent with non-GAAP financial measures used by other companies. Unlevered Free Cash Flow should not be considered in isolation or as a substitute for cash flows from operating activities or any other measure of financial performance presented in accordance with GAAP or as a measure of a company’s profitability or liquidity.</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Prospective financial information regarding Civeo</w:t>
      </w:r>
    </w:p>
    <w:p>
      <w:pPr>
        <w:spacing w:after="0" w:line="121"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unaudited prospective financial information for Civeo that Civeo management reviewed with the Civeo Board on November 26, 2017 and provided to Lazard for use in the financial analysis prepared by Lazard and summarized below in the section entitled “– Opinion of Civeo’s Financial Advisor” of this proxy statement.</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of US dollars)</w:t>
            </w:r>
          </w:p>
        </w:tc>
        <w:tc>
          <w:tcPr>
            <w:tcW w:w="25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Management Projections</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2017E</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2018E</w:t>
            </w:r>
          </w:p>
        </w:tc>
        <w:tc>
          <w:tcPr>
            <w:tcW w:w="10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2019E</w:t>
            </w: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$ 378</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$ 408</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$ 550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5"/>
                <w:szCs w:val="15"/>
                <w:color w:val="auto"/>
              </w:rPr>
              <w:t>(1)</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15"/>
                <w:szCs w:val="15"/>
                <w:color w:val="auto"/>
              </w:rPr>
              <w:t>(2)</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436"/>
        <w:spacing w:after="0" w:line="254"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calculated as earnings before interest, income taxes, depreciation and amortization. EBITDA is a non-GAAP financial measure, as it excludes amounts, or is subject to adjustments that effectively exclude amounts, included in the most directly comparable measure calculated and presented in accordance with GAAP in financial statements. EBITDA is not in accordance with, or a substitute for, GAAP, and may be different from or inconsistent with non-GAAP financial measures used by other companies. EBITDA should not be considered in isolation or as a substitute for net income, operating income, cash flows from operating activities or any other measure of financial performance presented in accordance with GAAP or as a measure of a company’s profitability or liquidity.</w:t>
      </w:r>
    </w:p>
    <w:p>
      <w:pPr>
        <w:ind w:left="640" w:right="240" w:hanging="436"/>
        <w:spacing w:after="0" w:line="253"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defined as cash flows provided by operating activities less cash taxes less capital expenditures plus changes in net working capital, if any, plus proceeds from asset sales. This measure is not in accordance with, or a substitute for, GAAP, and may be different from or inconsistent with non-GAAP financial measures used by other companies. Unlevered Free Cash Flow should not be considered in isolation or as a substitute for cash flows from operating activities or any other measure of financial performance presented in accordance with GAAP or as a measure of a company’s profitability or liquidity.</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 of Civeo’s Financial Advisor</w:t>
      </w:r>
    </w:p>
    <w:p>
      <w:pPr>
        <w:spacing w:after="0" w:line="121"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Civeo has retained Lazard to act as its financial advisor in connection with the Acquisition. As part of this engagement, Civeo requested that Lazard evaluate the fairness, from a financial point of view, to Civeo of the consideration payable in the Acquisition. At a meeting of the Civeo Board held to evaluate the Acquisition on November 26, 2017, Lazard rendered an oral opinion to the Civeo Board, subsequently confirmed in writing, to the effect that, as of such date, and based upon and subject to the assumptions, procedures, factors, qualifications and limitations set forth in Lazard’s written opinion, the consideration payable in the Acquisition was fair, from a financial point of view, to Civeo.</w:t>
      </w:r>
    </w:p>
    <w:p>
      <w:pPr>
        <w:spacing w:after="0" w:line="180" w:lineRule="exact"/>
        <w:rPr>
          <w:sz w:val="20"/>
          <w:szCs w:val="20"/>
          <w:color w:val="auto"/>
        </w:rPr>
      </w:pPr>
    </w:p>
    <w:p>
      <w:pPr>
        <w:jc w:val="both"/>
        <w:ind w:left="200" w:right="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The full text of Lazard’s written opinion, dated November 26, 2017, which sets forth the assumptions made, procedures followed, factors considered and qualifications and limitations on the review undertaken by Lazard in connection with its opinion, is attached as Annex D to this proxy statement and is incorporated herein by reference. We encourage you to read Lazard’s opinion carefully and in its entirety.</w:t>
      </w:r>
    </w:p>
    <w:p>
      <w:pPr>
        <w:spacing w:after="0" w:line="171" w:lineRule="exact"/>
        <w:rPr>
          <w:sz w:val="20"/>
          <w:szCs w:val="20"/>
          <w:color w:val="auto"/>
        </w:rPr>
      </w:pPr>
    </w:p>
    <w:p>
      <w:pPr>
        <w:jc w:val="both"/>
        <w:ind w:left="20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Lazard’s opinion was provided for the use and benefit of the Civeo Board (in its capacity as such) in its evaluation of the Acquisition, and addressed only the fairness, as of the date of the opinion, from a financial point of view, to Civeo of the consideration payable in the Acquisition. Lazard’s opinion is not intended to and does not constitute a recommendation to any shareholder as to how such shareholder should vote or act with respect to the share issuance proposal.</w:t>
      </w:r>
    </w:p>
    <w:p>
      <w:pPr>
        <w:spacing w:after="0" w:line="181" w:lineRule="exact"/>
        <w:rPr>
          <w:sz w:val="20"/>
          <w:szCs w:val="20"/>
          <w:color w:val="auto"/>
        </w:rPr>
      </w:pPr>
    </w:p>
    <w:p>
      <w:pPr>
        <w:jc w:val="both"/>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Lazard’s opinion was necessarily based on economic, monetary, market and other conditions as in effect on, and the information made available to Lazard as of, the date of Lazard’s opinion. Lazard assumed no</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responsibility for updating or revising its opinion based on circumstances or events occurring after the date of Lazard’s opinion. Lazard’s opinion did not express any opinion as to the price at which Civeo Common Shares or Preferred Shares may trade at any time subsequent to the announcement of the Acquisition. Lazard assumed, with the consent of Civeo, a constant exchange rate of $1.25 CAD/USD for purposes of analyzing the financial projections. Lazard further assumed, with the consent of Civeo, that adjustments (if any) to the consideration payable in the Acquisition will not be material in any respect to its analyses or opinion. Lazard’s opinion does not address the relative merits of the Acquisition as compared to any other transaction or business strategy in which Civeo might engage or the merits of the underlying decision by Civeo to engage in the Acquisition.</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connection with its opinion, Lazard:</w:t>
      </w:r>
    </w:p>
    <w:p>
      <w:pPr>
        <w:spacing w:after="0" w:line="131" w:lineRule="exact"/>
        <w:rPr>
          <w:sz w:val="20"/>
          <w:szCs w:val="20"/>
          <w:color w:val="auto"/>
        </w:rPr>
      </w:pPr>
    </w:p>
    <w:p>
      <w:pPr>
        <w:ind w:left="1060" w:hanging="424"/>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the Purchase Agreement;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business and financial information relating to Noralta and Civeo;</w:t>
      </w:r>
    </w:p>
    <w:p>
      <w:pPr>
        <w:spacing w:after="0" w:line="130" w:lineRule="exact"/>
        <w:rPr>
          <w:rFonts w:ascii="Times New Roman" w:cs="Times New Roman" w:eastAsia="Times New Roman" w:hAnsi="Times New Roman"/>
          <w:sz w:val="18"/>
          <w:szCs w:val="18"/>
          <w:color w:val="auto"/>
        </w:rPr>
      </w:pPr>
    </w:p>
    <w:p>
      <w:pPr>
        <w:ind w:left="1060" w:right="20" w:hanging="424"/>
        <w:spacing w:after="0" w:line="261" w:lineRule="auto"/>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various financial forecasts and other data provided to Lazard by Noralta relating to the business of Noralta, financial forecasts and other data provided to Lazard by Civeo relating to the business of Noralta, financial forecasts and other data provided to Lazard by Civeo relating to the business of Civeo and the projected synergies and other benefits, including the amount and timing thereof, anticipated by the management of Civeo to be realized from the Acquisition;</w:t>
      </w:r>
    </w:p>
    <w:p>
      <w:pPr>
        <w:spacing w:after="0" w:line="85" w:lineRule="exact"/>
        <w:rPr>
          <w:rFonts w:ascii="Times New Roman" w:cs="Times New Roman" w:eastAsia="Times New Roman" w:hAnsi="Times New Roman"/>
          <w:sz w:val="18"/>
          <w:szCs w:val="18"/>
          <w:color w:val="auto"/>
        </w:rPr>
      </w:pPr>
    </w:p>
    <w:p>
      <w:pPr>
        <w:ind w:left="1060" w:right="180" w:hanging="424"/>
        <w:spacing w:after="0" w:line="282" w:lineRule="auto"/>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the senior management of Civeo with respect to the businesses and prospects of Noralta and Civeo, and with respect to the projected synergies and other benefits anticipated by the management of Civeo to be realized from the Acquisition;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the senior management of Noralta with respect to the businesses and prospects of Noralta;</w:t>
      </w:r>
    </w:p>
    <w:p>
      <w:pPr>
        <w:spacing w:after="0" w:line="130" w:lineRule="exact"/>
        <w:rPr>
          <w:rFonts w:ascii="Times New Roman" w:cs="Times New Roman" w:eastAsia="Times New Roman" w:hAnsi="Times New Roman"/>
          <w:sz w:val="18"/>
          <w:szCs w:val="18"/>
          <w:color w:val="auto"/>
        </w:rPr>
      </w:pPr>
    </w:p>
    <w:p>
      <w:pPr>
        <w:ind w:left="1060" w:right="620" w:hanging="424"/>
        <w:spacing w:after="0" w:line="282" w:lineRule="auto"/>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 information with respect to certain other companies in lines of business Lazard believed to be generally relevant in evaluating the businesses of Noralta and Civeo, respectively;</w:t>
      </w:r>
    </w:p>
    <w:p>
      <w:pPr>
        <w:spacing w:after="0" w:line="67" w:lineRule="exact"/>
        <w:rPr>
          <w:rFonts w:ascii="Times New Roman" w:cs="Times New Roman" w:eastAsia="Times New Roman" w:hAnsi="Times New Roman"/>
          <w:sz w:val="18"/>
          <w:szCs w:val="18"/>
          <w:color w:val="auto"/>
        </w:rPr>
      </w:pPr>
    </w:p>
    <w:p>
      <w:pPr>
        <w:ind w:left="1060" w:right="480" w:hanging="424"/>
        <w:spacing w:after="0" w:line="282" w:lineRule="auto"/>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certain business transactions involving companies in lines of business Lazard believed to be generally relevant in evaluating the businesses of Noralta and Civeo, respectively;</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historical prices and trading volumes of Civeo Common Shares;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and conditions of the Preferred Shares;</w:t>
      </w:r>
    </w:p>
    <w:p>
      <w:pPr>
        <w:spacing w:after="0" w:line="130" w:lineRule="exact"/>
        <w:rPr>
          <w:rFonts w:ascii="Times New Roman" w:cs="Times New Roman" w:eastAsia="Times New Roman" w:hAnsi="Times New Roman"/>
          <w:sz w:val="18"/>
          <w:szCs w:val="18"/>
          <w:color w:val="auto"/>
        </w:rPr>
      </w:pPr>
    </w:p>
    <w:p>
      <w:pPr>
        <w:ind w:left="1060" w:right="80" w:hanging="424"/>
        <w:spacing w:after="0" w:line="266" w:lineRule="auto"/>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potential pro forma financial impact of the Acquisition on Civeo based on the financial forecasts provided by Civeo and referred to above relating to Noralta and Civeo and the projected synergies and other benefits anticipated by the management of Civeo to be realized from the Acquisition; and</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Lazard deemed appropriate.</w:t>
      </w:r>
    </w:p>
    <w:p>
      <w:pPr>
        <w:spacing w:after="0" w:line="225" w:lineRule="exact"/>
        <w:rPr>
          <w:sz w:val="20"/>
          <w:szCs w:val="20"/>
          <w:color w:val="auto"/>
        </w:rPr>
      </w:pPr>
    </w:p>
    <w:p>
      <w:pPr>
        <w:ind w:left="200" w:right="200" w:firstLine="441"/>
        <w:spacing w:after="0" w:line="254" w:lineRule="auto"/>
        <w:rPr>
          <w:sz w:val="20"/>
          <w:szCs w:val="20"/>
          <w:color w:val="auto"/>
        </w:rPr>
      </w:pPr>
      <w:r>
        <w:rPr>
          <w:rFonts w:ascii="Times New Roman" w:cs="Times New Roman" w:eastAsia="Times New Roman" w:hAnsi="Times New Roman"/>
          <w:sz w:val="18"/>
          <w:szCs w:val="18"/>
          <w:color w:val="auto"/>
        </w:rPr>
        <w:t>Lazard assumed and relied upon the accuracy and completeness of the foregoing information, without independent verification of such information. Lazard did not conduct any independent valuation or appraisal of any of the assets or liabilities (contingent or otherwise) of Noralta or Civeo or concerning the solvency or fair value of Noralta or Civeo, and was not furnished with any such valuation or appraisal. At the direction of Civeo, for purposes of its analysis of Noralta, Lazard utilized the financial forecasts provided to Lazard by Civeo relating to the business of Noralta. With respect to the financial forecasts utilized in Lazard’s analyses, including those related to projected synergies and other benefits anticipated by the management of Civeo to be realized from the Acquisition, Lazard assumed, with the consent of Civeo, that they were reasonably prepared on bases reflecting the best currently available estimates and judgments as to the future financial performance of Noralta and Civeo, respectively, and such synergies and other benefits. In addition, Lazard assumed, with the consent of Civeo, that such financial forecasts and projected synergies and other benefits will be realized in the amounts and</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24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6" w:lineRule="auto"/>
        <w:rPr>
          <w:sz w:val="20"/>
          <w:szCs w:val="20"/>
          <w:color w:val="auto"/>
        </w:rPr>
      </w:pPr>
      <w:r>
        <w:rPr>
          <w:rFonts w:ascii="Times New Roman" w:cs="Times New Roman" w:eastAsia="Times New Roman" w:hAnsi="Times New Roman"/>
          <w:sz w:val="18"/>
          <w:szCs w:val="18"/>
          <w:color w:val="auto"/>
        </w:rPr>
        <w:t>at the times contemplated thereby. In this regard, Lazard relied upon, with Civeo’s consent, Civeo’s management’s assessment of the ability of Noralta and Civeo to retain in place Noralta’s long-term contracts. Lazard assumed no responsibility for and expressed no view as to any such forecasts or the assumptions on which they are based.</w:t>
      </w:r>
    </w:p>
    <w:p>
      <w:pPr>
        <w:spacing w:after="0" w:line="176" w:lineRule="exact"/>
        <w:rPr>
          <w:sz w:val="20"/>
          <w:szCs w:val="20"/>
          <w:color w:val="auto"/>
        </w:rPr>
      </w:pPr>
    </w:p>
    <w:p>
      <w:pPr>
        <w:ind w:left="200" w:firstLine="441"/>
        <w:spacing w:after="0" w:line="251" w:lineRule="auto"/>
        <w:rPr>
          <w:sz w:val="20"/>
          <w:szCs w:val="20"/>
          <w:color w:val="auto"/>
        </w:rPr>
      </w:pPr>
      <w:r>
        <w:rPr>
          <w:rFonts w:ascii="Times New Roman" w:cs="Times New Roman" w:eastAsia="Times New Roman" w:hAnsi="Times New Roman"/>
          <w:sz w:val="18"/>
          <w:szCs w:val="18"/>
          <w:color w:val="auto"/>
        </w:rPr>
        <w:t>For purposes of its analysis, Lazard assumed that the total consideration to be paid to the sellers by Civeo pursuant to the terms of the Purchase Agreement would consist of the following: (i) $164,856,783 in cash; (ii) 32,790,868 Common Shares (13,491,100 of which will be placed into escrow upon the closing of the Acquisition, to be released in three equal installments in 2021, 2022 and 2023 contingent on the achievement of certain milestones); and (iii) 9,679 Preferred Shares, which, as acknowledged by Civeo, Lazard valued at approximately 57% of face value as of November 26, 2017. In rendering its opinion, Lazard assumed, with the consent of Civeo, that the Acquisition will be consummated on the terms described in the Purchase Agreement and the Registration Rights Agreement, without any waiver or modification of any material terms or conditions. Representatives of Civeo advised Lazard, and Lazard assumed, that the Purchase Agreement and the Registration Rights Agreement, when executed, would conform to the drafts reviewed by Lazard in all material respects. Lazard noted that, pursuant to the Registration Rights Agreement, the significant shareholders of Noralta will be subject to certain limitations with respect to the Common Shares received in the Acquisition, including certain limitations on the ability of such shareholders to transfer their Common Shares or to acquire additional Common Shares, to propose any acquisition of Civeo by such shareholders, or to seek to exercise any control or influence over the management of Civeo or the Civeo Board, as well as a requirement, in respect of any matter on which the shareholders of Civeo are voting, to vote any Common Shares in excess of 15% of the outstanding Common Shares in a manner that is proportionate to the manner in which all other Civeo Common Shares are voted on such matter. With respect to the payment of dividends on the Preferred Shares, Lazard assumed, at the direction of Civeo, that such dividends will be paid by a corresponding increase in the liquidation preference. Lazard was advised that prior (and as a condition) to the closing of the Acquisition, Noralta and its shareholders will effect certain pre-closing restructuring transactions. Lazard assumed, with the consent of Civeo, that the pre-closing restructuring transactions will not have any adverse impact upon the business, results of operations or financial condition of Noralta or the financial forecasts utilized in Lazard’s analyses, including those related to projected synergies and other benefits anticipated by the management of Civeo to be realized from the Acquisition. Lazard also assumed, with the consent of Civeo, that obtaining the necessary governmental, regulatory or third party approvals and consents for the Acquisition will not have an adverse effect on Civeo, Noralta or the Acquisition. Lazard did not express any opinion as to any tax or other consequences that might result from the Acquisition, nor does Lazard’s opinion address any legal, tax, regulatory or accounting matters, as to which Lazard understood that Civeo obtained such advice as it deemed necessary from qualified professionals. Lazard expressed no view or opinion as to any terms or other aspects (other than the consideration payable in the Acquisition to the extent expressly specified in its opinion) of the Acquisition, including, without limitation, the form or structure of the Acquisition or any agreements or arrangements entered into in connection with, or contemplated by, the Acquisition, including but not limited to any adjustments to the consideration payable in the Acquisition and the terms of the Registration Rights Agreement. In addition, Lazard expressed no view or opinion as to the fairness of the amount or nature of, or any other aspects relating to, the compensation to any officers, directors or employees of any parties to the Acquisition, or class of such persons, relative to the consideration payable in the Acquisition or otherwise.</w:t>
      </w:r>
    </w:p>
    <w:p>
      <w:pPr>
        <w:spacing w:after="0" w:line="3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Summary of Lazard’s Financial Analyses</w:t>
      </w:r>
    </w:p>
    <w:p>
      <w:pPr>
        <w:spacing w:after="0" w:line="121"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reviewed with the Civeo Board in connection with Lazard’s opinion, dated November 26, 2017. The summary of Lazard’s analyses and reviews provided below is not a complete description of the analyses and reviews underlying Lazard’s opinion. The preparation of a fairness opinion is a complex process involving various determinations as to the most appropriate and relevant methods of analysis and review and the application of those methods to particular circumstances and, therefore, is not readily susceptible to summary description.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24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In arriving at its opinion, Lazard did not draw, in isolation, conclusions from or with regard to any factor or analysis considered by it. Rather, Lazard made its determination as to fairness on the basis of its experience and professional judgment after considering the results of all of the analyses. Considering selected portions of the analyses and reviews in the summary set forth below, without considering the analyses and reviews as a whole, could create an incomplete or misleading view of the analyses and reviews underlying Lazard’s opinion.</w:t>
      </w:r>
    </w:p>
    <w:p>
      <w:pPr>
        <w:spacing w:after="0" w:line="180" w:lineRule="exact"/>
        <w:rPr>
          <w:sz w:val="20"/>
          <w:szCs w:val="20"/>
          <w:color w:val="auto"/>
        </w:rPr>
      </w:pPr>
    </w:p>
    <w:p>
      <w:pPr>
        <w:ind w:left="200" w:right="140" w:firstLine="441"/>
        <w:spacing w:after="0" w:line="254" w:lineRule="auto"/>
        <w:rPr>
          <w:sz w:val="20"/>
          <w:szCs w:val="20"/>
          <w:color w:val="auto"/>
        </w:rPr>
      </w:pPr>
      <w:r>
        <w:rPr>
          <w:rFonts w:ascii="Times New Roman" w:cs="Times New Roman" w:eastAsia="Times New Roman" w:hAnsi="Times New Roman"/>
          <w:sz w:val="18"/>
          <w:szCs w:val="18"/>
          <w:color w:val="auto"/>
        </w:rPr>
        <w:t>For purposes of its analyses and reviews, Lazard considered industry performance, general business, economic, market and financial conditions and other matters, many of which are beyond the control of Civeo and Noralta. No company, business or transaction used in Lazard’s analyses and reviews as a comparison is identical to Civeo, Noralta or the Acquisition,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used in Lazard’s analyses and reviews. The estimates contained in Lazard’s analyses and reviews and the ranges of valuations resulting from any particular analysis or review are not necessarily indicative of actual values or predictive of future results or values, which may be significantly more or less favorable than those suggested by Lazard’s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Lazard’s analyses and reviews are inherently subject to substantial uncertainty.</w:t>
      </w:r>
    </w:p>
    <w:p>
      <w:pPr>
        <w:spacing w:after="0" w:line="182" w:lineRule="exact"/>
        <w:rPr>
          <w:sz w:val="20"/>
          <w:szCs w:val="20"/>
          <w:color w:val="auto"/>
        </w:rPr>
      </w:pPr>
    </w:p>
    <w:p>
      <w:pPr>
        <w:ind w:left="200" w:right="8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The summary of the analyses and reviews provided below includes information presented in tabular format. In order to fully understand Lazard’s analyses and reviews, the tables must be read together with the full text of each summary. The tables alone do not constitute a complete description of Lazard’s analyses and reviews. Considering the data in the tables below without considering the full description of the analyses and reviews, including the methodologies and assumptions underlying the analyses and reviews, could create a misleading or incomplete view of Lazard’s analyses and reviews.</w:t>
      </w:r>
    </w:p>
    <w:p>
      <w:pPr>
        <w:spacing w:after="0" w:line="184"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Except as otherwise noted, the following quantitative information, to the extent that it is based on market data, is based on market data as it existed on or before November 26, 2017, and is not necessarily indicative of current market conditions.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Noralta Valuation</w:t>
      </w:r>
    </w:p>
    <w:p>
      <w:pPr>
        <w:spacing w:after="0" w:line="121" w:lineRule="exact"/>
        <w:rPr>
          <w:sz w:val="20"/>
          <w:szCs w:val="20"/>
          <w:color w:val="auto"/>
        </w:rPr>
      </w:pPr>
    </w:p>
    <w:p>
      <w:pPr>
        <w:ind w:left="200" w:right="120" w:firstLine="441"/>
        <w:spacing w:after="0" w:line="289" w:lineRule="auto"/>
        <w:rPr>
          <w:sz w:val="20"/>
          <w:szCs w:val="20"/>
          <w:color w:val="auto"/>
        </w:rPr>
      </w:pPr>
      <w:r>
        <w:rPr>
          <w:rFonts w:ascii="Times New Roman" w:cs="Times New Roman" w:eastAsia="Times New Roman" w:hAnsi="Times New Roman"/>
          <w:sz w:val="17"/>
          <w:szCs w:val="17"/>
          <w:color w:val="auto"/>
        </w:rPr>
        <w:t>The following is a brief summary of the material financial and comparative analyses with respect to Noralta which Lazard deemed to be appropriate for this type of transaction and that were performed by Lazard in connection with rendering its opinion. As part of the analysis to consider fairness of the Acquisition, Lazard reviewed several valuation methodologies and metrics to evaluate the purchase price of Noralta’s equity, as follows.</w:t>
      </w: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Noralta Selected Comparable Companies Analysis</w:t>
      </w:r>
    </w:p>
    <w:p>
      <w:pPr>
        <w:spacing w:after="0" w:line="11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In performing its selected comparable companies analysis with respect to Noralta, Lazard reviewed and analyzed certain financial information, valuation multiples and market trading data relating to selected comparable publicly-traded accommodation companies with a significant presence in Canada (collectively, the “Noralta selected companies”) whose operations Lazard believed to be similar to the operations of Noralta’s accommodation business for purposes of this analysis. While the Noralta selected companies represent a mix of comparable public companies that encompass the primary business and attributes of Noralta, no company, independently or as part of a set, is identical to Noralta. The Noralta selected companies were as follows:</w:t>
      </w:r>
    </w:p>
    <w:p>
      <w:pPr>
        <w:spacing w:after="0" w:line="93" w:lineRule="exact"/>
        <w:rPr>
          <w:sz w:val="20"/>
          <w:szCs w:val="20"/>
          <w:color w:val="auto"/>
        </w:rPr>
      </w:pPr>
    </w:p>
    <w:p>
      <w:pPr>
        <w:ind w:left="1060" w:hanging="424"/>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 North Logistics Inc.</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Diamond Group Ltd.</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For each of the Noralta selected companies, Lazard calculated and compared the ratio of such company’s enterprise value (calculated as the market capitalization of such company based on its closing share price as of November 17, 2017, plus debt, plus noncontrolling interest less cash) to such company’s calendar year 2017, 2018 and 2019 estimated earnings before interest, taxes, depreciation and amortization, referred to as EBITDA, as follows:</w:t>
      </w: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Company</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EV/EBITDA</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gridSpan w:val="2"/>
            <w:vMerge w:val="continue"/>
          </w:tcPr>
          <w:p>
            <w:pPr>
              <w:spacing w:after="0"/>
              <w:rPr>
                <w:sz w:val="14"/>
                <w:szCs w:val="14"/>
                <w:color w:val="auto"/>
              </w:rPr>
            </w:pPr>
          </w:p>
        </w:tc>
        <w:tc>
          <w:tcPr>
            <w:tcW w:w="4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w w:val="98"/>
              </w:rPr>
              <w:t>2017E</w:t>
            </w:r>
          </w:p>
        </w:tc>
        <w:tc>
          <w:tcPr>
            <w:tcW w:w="320" w:type="dxa"/>
            <w:vAlign w:val="bottom"/>
          </w:tcPr>
          <w:p>
            <w:pPr>
              <w:spacing w:after="0"/>
              <w:rPr>
                <w:sz w:val="14"/>
                <w:szCs w:val="14"/>
                <w:color w:val="auto"/>
              </w:rPr>
            </w:pPr>
          </w:p>
        </w:tc>
        <w:tc>
          <w:tcPr>
            <w:tcW w:w="78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w w:val="92"/>
              </w:rPr>
              <w:t>2018E</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2019E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Civeo</w:t>
            </w:r>
          </w:p>
        </w:tc>
        <w:tc>
          <w:tcPr>
            <w:tcW w:w="66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(management)</w:t>
            </w:r>
          </w:p>
        </w:tc>
        <w:tc>
          <w:tcPr>
            <w:tcW w:w="3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9.0x</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w w:val="88"/>
              </w:rPr>
              <w:t>9.0x</w:t>
            </w:r>
          </w:p>
        </w:tc>
        <w:tc>
          <w:tcPr>
            <w:tcW w:w="4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7.2x</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Civeo (consensus)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8.2x</w:t>
            </w:r>
          </w:p>
        </w:tc>
        <w:tc>
          <w:tcPr>
            <w:tcW w:w="3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7.8x</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5.7x</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Horizon North Logistics Inc.</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9.3x</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6.1x</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5.4x</w:t>
            </w:r>
          </w:p>
        </w:tc>
        <w:tc>
          <w:tcPr>
            <w:tcW w:w="0" w:type="dxa"/>
            <w:vAlign w:val="bottom"/>
          </w:tcPr>
          <w:p>
            <w:pPr>
              <w:spacing w:after="0"/>
              <w:rPr>
                <w:sz w:val="1"/>
                <w:szCs w:val="1"/>
                <w:color w:val="auto"/>
              </w:rPr>
            </w:pPr>
          </w:p>
        </w:tc>
      </w:t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 Diamond Group Ltd.</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9.3x</w:t>
            </w:r>
          </w:p>
        </w:tc>
        <w:tc>
          <w:tcPr>
            <w:tcW w:w="320" w:type="dxa"/>
            <w:vAlign w:val="bottom"/>
          </w:tcPr>
          <w:p>
            <w:pPr>
              <w:spacing w:after="0"/>
              <w:rPr>
                <w:sz w:val="20"/>
                <w:szCs w:val="20"/>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6.9x</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5.5x</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The financial information for each of the Noralta selected companies listed above and used by Lazard in its analysis was based on public filings, financial projections for Noralta provided by Civeo management and FactSet consensus estimates.</w:t>
      </w:r>
    </w:p>
    <w:p>
      <w:pPr>
        <w:spacing w:after="0" w:line="162"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Based on its review of the Noralta selected companies and its experience and professional judgment Lazard then applied a reference range of multiples to Noralta’s business of 8.5x to 9.5x to estimated calendar year 2017 EBITDA, 6.0x to 8.0x to estimated 2018 EBITDA and 5.5x to 6.5x to estimated 2019 EBITDA, in each case based on financial projections for Noralta provided by Civeo management. Based on the foregoing, Lazard arrived at a range of implied enterprise values for Noralta as follows:</w:t>
      </w: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w:t>
            </w: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Reference Range</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Estimated EBITDA</w:t>
            </w:r>
          </w:p>
        </w:tc>
        <w:tc>
          <w:tcPr>
            <w:tcW w:w="44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Implied Enterprise Value</w:t>
            </w:r>
          </w:p>
        </w:tc>
      </w:tr>
      <w:tr>
        <w:trPr>
          <w:trHeight w:val="190"/>
        </w:trPr>
        <w:tc>
          <w:tcPr>
            <w:tcW w:w="2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72"/>
              </w:rPr>
              <w:t>2017</w:t>
            </w:r>
          </w:p>
        </w:tc>
        <w:tc>
          <w:tcPr>
            <w:tcW w:w="35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w w:val="95"/>
              </w:rPr>
              <w:t>8.5x-9.5x</w:t>
            </w:r>
          </w:p>
        </w:tc>
        <w:tc>
          <w:tcPr>
            <w:tcW w:w="9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93"/>
              </w:rPr>
              <w:t>54M</w:t>
            </w: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460M-510M</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2018</w:t>
            </w: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6.0x-8.0x</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49M</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295M-$390M</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5.5x-6.5x</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53M</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290M-$340M</w:t>
            </w:r>
          </w:p>
        </w:tc>
      </w:tr>
    </w:tbl>
    <w:p>
      <w:pPr>
        <w:spacing w:after="0" w:line="3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Noralta Discounted Cash Flow Analysis</w:t>
      </w:r>
    </w:p>
    <w:p>
      <w:pPr>
        <w:spacing w:after="0" w:line="119"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Lazard performed a discounted cash flow analysis of Noralta to calculate the estimated net present value of (1) the standalone unlevered, after-tax free cash flows that Noralta was projected to generate in calendar year 2018 through calendar year 2020, based on projections provided by the management of Civeo; and (2) the terminal value for Noralta. The terminal value for Noralta was calculated using terminal EBITDA multiples ranging from 5.5x to 6.5x, which were selected by Lazard using its professional judgment and expertise, utilizing historical and current enterprise value to EBITDA trading multiples calculated for the Noralta selected companies. The range of terminal EBITDA multiples for Noralta was then applied to estimated 2020 EBITDA for Noralta to obtain the terminal value for Noralta. The estimated future cash flow and the terminal value for Noralta were discounted to present value using discount rates ranging from 10.0% to 12.0%, which were based on Noralta’s weighted average cost of capital. Lazard took the sum of the present value ranges for Noralta’s future cash flows and terminal value to calculate a range of implied enterprise values from $300 million to $355 million.</w:t>
      </w:r>
    </w:p>
    <w:p>
      <w:pPr>
        <w:spacing w:after="0" w:line="2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Noralta Selected Precedent Transactions Analysis</w:t>
      </w:r>
    </w:p>
    <w:p>
      <w:pPr>
        <w:spacing w:after="0" w:line="119"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Lazard reviewed and analyzed certain publicly available financial information for selected precedent merger and acquisition transactions from 2010 to 2017 involving companies in the accommodations and related services industry that Lazard believed, based on its experience with companies in the accommodations and related services industry, to be relevant for purposes of this analysis.</w:t>
      </w:r>
    </w:p>
    <w:p>
      <w:pPr>
        <w:spacing w:after="0" w:line="176"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Although none of the selected precedent transactions or the companies party to such transactions are directly comparable to the Acquisition or to Noralta, the transactions were chosen because they involve targets that, for</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24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purposes of analysis, may be considered to operate in a similar industry as Noralta. The transactions reviewed were:</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2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520" w:type="dxa"/>
            <w:vAlign w:val="bottom"/>
          </w:tcPr>
          <w:p>
            <w:pPr>
              <w:spacing w:after="0"/>
              <w:rPr>
                <w:sz w:val="16"/>
                <w:szCs w:val="16"/>
                <w:color w:val="auto"/>
              </w:rPr>
            </w:pPr>
          </w:p>
        </w:tc>
        <w:tc>
          <w:tcPr>
            <w:tcW w:w="33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220" w:type="dxa"/>
            <w:vAlign w:val="bottom"/>
          </w:tcPr>
          <w:p>
            <w:pPr>
              <w:spacing w:after="0"/>
              <w:rPr>
                <w:sz w:val="16"/>
                <w:szCs w:val="16"/>
                <w:color w:val="auto"/>
              </w:rPr>
            </w:pPr>
          </w:p>
        </w:tc>
        <w:tc>
          <w:tcPr>
            <w:tcW w:w="32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Black Diamond Group Ltd.</w:t>
            </w:r>
          </w:p>
        </w:tc>
        <w:tc>
          <w:tcPr>
            <w:tcW w:w="22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Britco LP</w:t>
            </w: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2017</w:t>
            </w:r>
          </w:p>
        </w:tc>
        <w:tc>
          <w:tcPr>
            <w:tcW w:w="152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2016</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Horizon North Logistics Inc.</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Empire Camp Equipment Ltd.</w:t>
            </w:r>
          </w:p>
        </w:tc>
        <w:tc>
          <w:tcPr>
            <w:tcW w:w="0" w:type="dxa"/>
            <w:vAlign w:val="bottom"/>
          </w:tcPr>
          <w:p>
            <w:pPr>
              <w:spacing w:after="0"/>
              <w:rPr>
                <w:sz w:val="1"/>
                <w:szCs w:val="1"/>
                <w:color w:val="auto"/>
              </w:rPr>
            </w:pPr>
          </w:p>
        </w:tc>
      </w:tr>
      <w:tr>
        <w:trPr>
          <w:trHeight w:val="30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2011</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Hammond, Kennedy, Whitney &amp; Company,</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Royal Camp Services Ltd.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Inc.</w:t>
            </w: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2011</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Clean Harbors, Inc.</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Peak Energy Services Ltd.</w:t>
            </w:r>
          </w:p>
        </w:tc>
        <w:tc>
          <w:tcPr>
            <w:tcW w:w="0" w:type="dxa"/>
            <w:vAlign w:val="bottom"/>
          </w:tcPr>
          <w:p>
            <w:pPr>
              <w:spacing w:after="0"/>
              <w:rPr>
                <w:sz w:val="1"/>
                <w:szCs w:val="1"/>
                <w:color w:val="auto"/>
              </w:rPr>
            </w:pPr>
          </w:p>
        </w:tc>
      </w:tr>
      <w:tr>
        <w:trPr>
          <w:trHeight w:val="30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2010</w:t>
            </w:r>
          </w:p>
        </w:tc>
        <w:tc>
          <w:tcPr>
            <w:tcW w:w="4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Oil States International, Inc.</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Mountain West Oilfield Service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Supplies, Inc.</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Lazard reviewed, among other things, the enterprise value of the target, represented by the implied transaction value of each of the selected transactions, as a multiple of last twelve months (LTM) EBITDA of the target company in such transaction. Financial data of the selected transactions were based on public flings, FactSet and other publicly available information. The overall low to high estimated EBITDA multiples observed for the selected transactions were 3.4x to 5.6x.</w:t>
      </w:r>
    </w:p>
    <w:p>
      <w:pPr>
        <w:spacing w:after="0" w:line="180"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Based on its review of the Noralta selected precedent transactions and its experience and professional judgment, Lazard selected reference ranges of 5.0x to 6.0x for enterprise value to LTM EBITDA. Lazard applied such range of multiples to Noralta’s LTM EBITDA of $57 million as of August 31, 2017. Based on the foregoing, Lazard estimated an implied enterprise value range for Noralta, as follows:</w:t>
      </w:r>
    </w:p>
    <w:p>
      <w:pPr>
        <w:spacing w:after="0" w:line="19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Implied Enterprise Value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7620</wp:posOffset>
            </wp:positionV>
            <wp:extent cx="475107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tabs>
          <w:tab w:leader="none" w:pos="6740" w:val="left"/>
          <w:tab w:leader="none" w:pos="7360" w:val="left"/>
        </w:tabs>
        <w:rPr>
          <w:sz w:val="20"/>
          <w:szCs w:val="20"/>
          <w:color w:val="auto"/>
        </w:rPr>
      </w:pPr>
      <w:r>
        <w:rPr>
          <w:rFonts w:ascii="Times New Roman" w:cs="Times New Roman" w:eastAsia="Times New Roman" w:hAnsi="Times New Roman"/>
          <w:sz w:val="18"/>
          <w:szCs w:val="18"/>
          <w:color w:val="auto"/>
        </w:rPr>
        <w:t>Noralta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285 million to $340 million</w:t>
      </w:r>
    </w:p>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Civeo Valuation</w:t>
      </w:r>
    </w:p>
    <w:p>
      <w:pPr>
        <w:spacing w:after="0" w:line="121"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Lazard also reviewed certain valuation methodologies and metrics, as summarized below, to evaluate the implied value of the per share stock consideration to be paid by Civeo as part of the Acquisition.</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Civeo Comparable Public Companies Analysis</w:t>
      </w:r>
    </w:p>
    <w:p>
      <w:pPr>
        <w:spacing w:after="0" w:line="119"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In performing its selected comparable companies analysis with respect to Civeo, Lazard reviewed and analyzed certain financial information, valuation multiples and market trading data relating to selected comparable publicly-traded Canadian accommodation companies (collectively, the “Civeo selected companies”) whose operations Lazard believed to be similar to the operations of Civeo’s accommodation business for purposes of this analysis. While the Civeo selected companies represent a mix of comparable public companies that encompass the primary business segment and attributes of Civeo, no company, independently or as part of a set, is identical to Civeo or its business. The Civeo selected companies were as follows:</w:t>
      </w:r>
    </w:p>
    <w:p>
      <w:pPr>
        <w:spacing w:after="0" w:line="89" w:lineRule="exact"/>
        <w:rPr>
          <w:sz w:val="20"/>
          <w:szCs w:val="20"/>
          <w:color w:val="auto"/>
        </w:rPr>
      </w:pPr>
    </w:p>
    <w:p>
      <w:pPr>
        <w:ind w:left="1060" w:hanging="424"/>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 North Logistics Inc.</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Diamond Group Ltd.</w:t>
      </w:r>
    </w:p>
    <w:p>
      <w:pPr>
        <w:spacing w:after="0" w:line="225"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For each of the Civeo selected companies, Lazard calculated and compared the ratio of such company’s enterprise value (calculated as the market capitalization of such company based on its closing share price as of November 17, 2017, plus debt, plus noncontrolling interest less cash) to such company’s calendar year 2017, 2018 and 2019 EBITDA, as follows:</w:t>
      </w:r>
    </w:p>
    <w:p>
      <w:pPr>
        <w:spacing w:after="0" w:line="19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Company</w:t>
            </w:r>
          </w:p>
        </w:tc>
        <w:tc>
          <w:tcPr>
            <w:tcW w:w="39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EV/EBITDA</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vMerge w:val="continue"/>
          </w:tcPr>
          <w:p>
            <w:pPr>
              <w:spacing w:after="0"/>
              <w:rPr>
                <w:sz w:val="14"/>
                <w:szCs w:val="14"/>
                <w:color w:val="auto"/>
              </w:rPr>
            </w:pPr>
          </w:p>
        </w:tc>
        <w:tc>
          <w:tcPr>
            <w:tcW w:w="3920" w:type="dxa"/>
            <w:vAlign w:val="bottom"/>
          </w:tcPr>
          <w:p>
            <w:pPr>
              <w:spacing w:after="0"/>
              <w:rPr>
                <w:sz w:val="14"/>
                <w:szCs w:val="14"/>
                <w:color w:val="auto"/>
              </w:rPr>
            </w:pPr>
          </w:p>
        </w:tc>
        <w:tc>
          <w:tcPr>
            <w:tcW w:w="4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w w:val="98"/>
              </w:rPr>
              <w:t>2017E</w:t>
            </w:r>
          </w:p>
        </w:tc>
        <w:tc>
          <w:tcPr>
            <w:tcW w:w="320" w:type="dxa"/>
            <w:vAlign w:val="bottom"/>
          </w:tcPr>
          <w:p>
            <w:pPr>
              <w:spacing w:after="0"/>
              <w:rPr>
                <w:sz w:val="14"/>
                <w:szCs w:val="14"/>
                <w:color w:val="auto"/>
              </w:rPr>
            </w:pPr>
          </w:p>
        </w:tc>
        <w:tc>
          <w:tcPr>
            <w:tcW w:w="78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w w:val="92"/>
              </w:rPr>
              <w:t>2018E</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2019E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1"/>
              </w:rPr>
              <w:t>Horizon</w:t>
            </w:r>
          </w:p>
        </w:tc>
        <w:tc>
          <w:tcPr>
            <w:tcW w:w="2760" w:type="dxa"/>
            <w:vAlign w:val="bottom"/>
            <w:tcBorders>
              <w:top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North Logistics Inc.</w:t>
            </w:r>
          </w:p>
        </w:tc>
        <w:tc>
          <w:tcPr>
            <w:tcW w:w="39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9.3x</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w w:val="88"/>
              </w:rPr>
              <w:t>6.1x</w:t>
            </w:r>
          </w:p>
        </w:tc>
        <w:tc>
          <w:tcPr>
            <w:tcW w:w="4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5.4x</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 Diamond Group Ltd.</w:t>
            </w:r>
          </w:p>
        </w:tc>
        <w:tc>
          <w:tcPr>
            <w:tcW w:w="392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9.3x</w:t>
            </w:r>
          </w:p>
        </w:tc>
        <w:tc>
          <w:tcPr>
            <w:tcW w:w="320" w:type="dxa"/>
            <w:vAlign w:val="bottom"/>
          </w:tcPr>
          <w:p>
            <w:pPr>
              <w:spacing w:after="0"/>
              <w:rPr>
                <w:sz w:val="20"/>
                <w:szCs w:val="20"/>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6.9x</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5.5x</w:t>
            </w:r>
          </w:p>
        </w:tc>
        <w:tc>
          <w:tcPr>
            <w:tcW w:w="0" w:type="dxa"/>
            <w:vAlign w:val="bottom"/>
          </w:tcPr>
          <w:p>
            <w:pPr>
              <w:spacing w:after="0"/>
              <w:rPr>
                <w:sz w:val="1"/>
                <w:szCs w:val="1"/>
                <w:color w:val="auto"/>
              </w:rPr>
            </w:pPr>
          </w:p>
        </w:tc>
      </w:tr>
      <w:tr>
        <w:trPr>
          <w:trHeight w:val="346"/>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The financial information for each of the Civeo selected companies listed above and used by Lazard in its analysis was based on public filings, FactSet consensus estimates and other publicly available information.</w:t>
      </w:r>
    </w:p>
    <w:p>
      <w:pPr>
        <w:spacing w:after="0" w:line="162"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Based on its review of the Civeo selected companies and its experience and professional judgment Lazard then applied a reference range of multiples to Civeo’s business of 9.0x to 10.0x to estimated calendar year 2017 EBITDA, 6.5x to 8.0x to estimated 2018 EBITDA and 5.5x to 7.0x to estimated 2019 EBITDA, in each case based on the Civeo management forecasts. Lazard then subtracted the book value of Civeo’s total debt minus cash and cash equivalents (referred to as “net debt for Civeo”), to arrive at a range of implied equity values for Civeo Common Shares of $1.95 to $2.40 based on estimated 2017 EBITDA, $0.85 to $1.50 based on estimated 2018 EBITDA and $1.00 to $1.80 based on estimated 2019 EBITDA.</w:t>
      </w:r>
    </w:p>
    <w:p>
      <w:pPr>
        <w:spacing w:after="0" w:line="2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Civeo Discounted Cash Flow Analysis</w:t>
      </w:r>
    </w:p>
    <w:p>
      <w:pPr>
        <w:spacing w:after="0" w:line="119" w:lineRule="exact"/>
        <w:rPr>
          <w:sz w:val="20"/>
          <w:szCs w:val="20"/>
          <w:color w:val="auto"/>
        </w:rPr>
      </w:pPr>
    </w:p>
    <w:p>
      <w:pPr>
        <w:ind w:left="200" w:right="180" w:firstLine="441"/>
        <w:spacing w:after="0" w:line="254" w:lineRule="auto"/>
        <w:rPr>
          <w:sz w:val="20"/>
          <w:szCs w:val="20"/>
          <w:color w:val="auto"/>
        </w:rPr>
      </w:pPr>
      <w:r>
        <w:rPr>
          <w:rFonts w:ascii="Times New Roman" w:cs="Times New Roman" w:eastAsia="Times New Roman" w:hAnsi="Times New Roman"/>
          <w:sz w:val="18"/>
          <w:szCs w:val="18"/>
          <w:color w:val="auto"/>
        </w:rPr>
        <w:t>Lazard performed a discounted cash flow analysis of Civeo to calculate the estimated net present value of (1) the standalone unlevered, after-tax free cash flows that Civeo was projected to generate in calendar year 2018 through calendar year 2020, based on projections provided by the management of Civeo; and (2) the terminal value for Civeo. The terminal value for Civeo was calculated using terminal EBITDA multiples ranging from 6.0x to 7.0x, which were selected by Lazard using its professional judgment and expertise, utilizing historical and current enterprise value to EBITDA trading multiples calculated for Civeo as well as the Civeo selected companies. The range of terminal EBITDA multiples for Civeo was then applied to estimated 2020 EBITDA for Civeo to obtain the terminal value for Civeo. The estimated future cash flow and the terminal value for Civeo were discounted to present value using discount rates ranging from 10.0% to 11.5%, which were based on Civeo’s weighted average cost of capital. Lazard took the sum of the present value ranges for Civeo’s future cash flows and terminal value to calculate a range of implied enterprise values. Lazard then subtracted the net debt for Civeo, and calculated a range of implied per share equity value for Civeo of $2.25 to $2.95.</w:t>
      </w:r>
    </w:p>
    <w:p>
      <w:pPr>
        <w:spacing w:after="0" w:line="2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“Has-Gets” Analysis From the Perspective of the Civeo Shareholders</w:t>
      </w:r>
    </w:p>
    <w:p>
      <w:pPr>
        <w:spacing w:after="0" w:line="11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Utilizing the financial information described above and Civeo management estimates of operational and tax synergies, Lazard compared the stand-alone equity and per share values of Civeo to the pro forma equity and per share values of the combined company after giving effect to the transactions contemplated by the Purchase Agreement, including (i) the realization of operational synergies, (ii) the realization of tax synergies, (iii) incurrence of incremental net debt of $118 million and (iv) a 81%/19% ownership split of the combined company by former Civeo shareholders and former Noralta shareholders, respectively, on a basic share count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assuming that the Preferred Shares are not outstanding) and a 68%/32% ownership split of the combined company by former Civeo shareholders and former Noralta shareholders, respectively, on a diluted share count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assuming that the Preferred Shares are converted).</w:t>
      </w:r>
    </w:p>
    <w:p>
      <w:pPr>
        <w:spacing w:after="0" w:line="189"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In order to estimate the value of the operational synergies, Lazard performed a discounted cash flow analysis to calculate the estimated net present value of: (i) annual incremental cost synergies of $8-12 million, as estimated by Civeo management; (ii) the total costs of approximately $2 million to achieve such synergies; and (iii) terminal values based on terminal multiples of 5.0x to 6.0x. The synergy cash flows and terminal values were discounted to present value using discount rates ranging from 10.0% to 11.5%, which were based on Civeo’s weighted average cost of capital. Based on the foregoing, Lazard estimated the net present value of the operational synergies in a range of approximately $52 million to $77 million. For purposes of its comparison of the stand-alone per share value of Civeo to the pro forma per share value of the combined company, Lazard utilized the midpoint of the estimated net present values of the operational synergies, or $65 million.</w:t>
      </w:r>
    </w:p>
    <w:p>
      <w:pPr>
        <w:spacing w:after="0" w:line="189"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For valuation purposes, Lazard assumed a range of $15 million to $25 million in tax synergies based on Civeo management forecasts. For purposes of its comparison of the stand-alone per share value of Civeo to the pro forma per share value of the combined company, Lazard utilized the midpoint of the estimated net present values of the tax synergies, or $20 million.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24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With respect to the valuation of Noralta based on its discounted cash flow analysis, Lazard used the full enterprise value from its discounted cash flow analysis of $326 million, representing the midpoint of its analysis, with adjustment for net debt assumed. With respect to the valuation of Noralta based on its comparable companies analysis, Lazard used the full enterprise value from its comparable companies analysis of $343 million, representing the midpoint of its analysis, with adjustment for net debt assumed.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Lazard observed the following comparison of the stand-alone per share value of Civeo to the pro forma per share value of the combined company:</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Gets</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Gets</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“Has”</w:t>
            </w:r>
          </w:p>
        </w:tc>
        <w:tc>
          <w:tcPr>
            <w:tcW w:w="4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480" w:type="dxa"/>
            <w:vAlign w:val="bottom"/>
          </w:tcPr>
          <w:p>
            <w:pPr>
              <w:spacing w:after="0"/>
              <w:rPr>
                <w:sz w:val="12"/>
                <w:szCs w:val="12"/>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48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2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Operational</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Operational</w:t>
            </w:r>
          </w:p>
        </w:tc>
        <w:tc>
          <w:tcPr>
            <w:tcW w:w="4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Increase/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4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4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midpoint</w:t>
            </w:r>
          </w:p>
        </w:tc>
        <w:tc>
          <w:tcPr>
            <w:tcW w:w="4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Synergies)</w:t>
            </w: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“Has”</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Synergies)</w:t>
            </w:r>
          </w:p>
        </w:tc>
        <w:tc>
          <w:tcPr>
            <w:tcW w:w="1460" w:type="dxa"/>
            <w:vAlign w:val="bottom"/>
            <w:gridSpan w:val="3"/>
          </w:tcPr>
          <w:p>
            <w:pPr>
              <w:jc w:val="center"/>
              <w:ind w:left="176"/>
              <w:spacing w:after="0" w:line="149" w:lineRule="exact"/>
              <w:rPr>
                <w:sz w:val="20"/>
                <w:szCs w:val="20"/>
                <w:color w:val="auto"/>
              </w:rPr>
            </w:pPr>
            <w:r>
              <w:rPr>
                <w:rFonts w:ascii="Times New Roman" w:cs="Times New Roman" w:eastAsia="Times New Roman" w:hAnsi="Times New Roman"/>
                <w:sz w:val="14"/>
                <w:szCs w:val="14"/>
                <w:b w:val="1"/>
                <w:bCs w:val="1"/>
                <w:color w:val="auto"/>
              </w:rPr>
              <w:t>From “Has”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of range)</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48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8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Discounted Cash Flow</w:t>
            </w:r>
          </w:p>
        </w:tc>
        <w:tc>
          <w:tcPr>
            <w:tcW w:w="2400" w:type="dxa"/>
            <w:vAlign w:val="bottom"/>
            <w:tcBorders>
              <w:top w:val="single" w:sz="8" w:color="CCEEFF"/>
            </w:tcBorders>
            <w:shd w:val="clear" w:color="auto" w:fill="CCEEFF"/>
          </w:tcPr>
          <w:p>
            <w:pPr>
              <w:jc w:val="center"/>
              <w:ind w:left="530"/>
              <w:spacing w:after="0" w:line="178" w:lineRule="exact"/>
              <w:rPr>
                <w:sz w:val="20"/>
                <w:szCs w:val="20"/>
                <w:color w:val="auto"/>
              </w:rPr>
            </w:pPr>
            <w:r>
              <w:rPr>
                <w:rFonts w:ascii="Times New Roman" w:cs="Times New Roman" w:eastAsia="Times New Roman" w:hAnsi="Times New Roman"/>
                <w:sz w:val="18"/>
                <w:szCs w:val="18"/>
                <w:color w:val="auto"/>
                <w:w w:val="97"/>
              </w:rPr>
              <w:t>Total Equity Value</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344</w:t>
            </w: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385</w:t>
            </w:r>
          </w:p>
        </w:tc>
        <w:tc>
          <w:tcPr>
            <w:tcW w:w="4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393</w:t>
            </w:r>
          </w:p>
        </w:tc>
        <w:tc>
          <w:tcPr>
            <w:tcW w:w="4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4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(millions)</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Per Share</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2018 EV/EBITDA</w:t>
            </w:r>
          </w:p>
        </w:tc>
        <w:tc>
          <w:tcPr>
            <w:tcW w:w="2400" w:type="dxa"/>
            <w:vAlign w:val="bottom"/>
            <w:shd w:val="clear" w:color="auto" w:fill="CCEEFF"/>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w w:val="97"/>
              </w:rPr>
              <w:t>Total Equity Value</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156</w:t>
            </w:r>
          </w:p>
        </w:tc>
        <w:tc>
          <w:tcPr>
            <w:tcW w:w="580" w:type="dxa"/>
            <w:vAlign w:val="bottom"/>
            <w:gridSpan w:val="2"/>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248</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277</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4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(millions)</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Per Share</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Analyses</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The analyses and data described below were presented to the Civeo Board for informational purposes only and did not provide the basis for the rendering of Lazard’s opinion.</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Historical Trading Price Analysis</w:t>
      </w:r>
    </w:p>
    <w:p>
      <w:pPr>
        <w:spacing w:after="0" w:line="119"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Lazard reviewed the range of trading prices for Civeo Common Shares for the 52 weeks ended November 17, 2017. Lazard observed that, during this period, the daily closing prices of Civeo Common Shares ranged from $1.59 to $3.65 per share on August 17, 2017 and March 1, 2017, respectively.</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Analyst Price Targets</w:t>
      </w:r>
    </w:p>
    <w:p>
      <w:pPr>
        <w:spacing w:after="0" w:line="119"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Lazard reviewed recently available equity analyst price targets based on Wall Street equity research reports prepared by equity analysts covering Civeo. Lazard observed price targets that ranged from $3.00 to $4.50 for Civeo.</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200" w:right="20" w:firstLine="441"/>
        <w:spacing w:after="0" w:line="277" w:lineRule="auto"/>
        <w:rPr>
          <w:sz w:val="20"/>
          <w:szCs w:val="20"/>
          <w:color w:val="auto"/>
        </w:rPr>
      </w:pPr>
      <w:r>
        <w:rPr>
          <w:rFonts w:ascii="Times New Roman" w:cs="Times New Roman" w:eastAsia="Times New Roman" w:hAnsi="Times New Roman"/>
          <w:sz w:val="17"/>
          <w:szCs w:val="17"/>
          <w:color w:val="auto"/>
        </w:rPr>
        <w:t>In connection with Lazard’s services as financial advisor, Civeo has agreed to pay Lazard an aggregate fee for such services of $3.5 million, $750,000 of which became payable upon the rendering of Lazard’s opinion and the remainder of which is contingent upon the closing of the Acquisition. In addition, upon the closing of the Acquisition, Civeo may pay Lazard a discretionary fee in an amount up to $1 million to be determined by Civeo in its sole discretion. Civeo also agreed to reimburse Lazard for certain expenses incurred in connection with Lazard’s engagement and to indemnify Lazard and certain related persons under certain circumstances against certain liabilities that may arise from or relate to Lazard’s engagement.</w:t>
      </w:r>
    </w:p>
    <w:p>
      <w:pPr>
        <w:spacing w:after="0" w:line="168" w:lineRule="exact"/>
        <w:rPr>
          <w:sz w:val="20"/>
          <w:szCs w:val="20"/>
          <w:color w:val="auto"/>
        </w:rPr>
      </w:pPr>
    </w:p>
    <w:p>
      <w:pPr>
        <w:jc w:val="both"/>
        <w:ind w:left="200" w:right="440" w:firstLine="441"/>
        <w:spacing w:after="0" w:line="289" w:lineRule="auto"/>
        <w:rPr>
          <w:sz w:val="20"/>
          <w:szCs w:val="20"/>
          <w:color w:val="auto"/>
        </w:rPr>
      </w:pPr>
      <w:r>
        <w:rPr>
          <w:rFonts w:ascii="Times New Roman" w:cs="Times New Roman" w:eastAsia="Times New Roman" w:hAnsi="Times New Roman"/>
          <w:sz w:val="17"/>
          <w:szCs w:val="17"/>
          <w:color w:val="auto"/>
        </w:rPr>
        <w:t>Lazard in the past has provided, currently is providing and in the future may provide certain investment banking services to Civeo, for which Lazard has received and may receive compensation, including, in the past two years, having advised Civeo regarding certain strategic and financial matters. From July 13, 2015 through November 26, 2017, Lazard has been paid aggregate fees of approximately $1,250,000 by Civeo for such</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240" w:top="455" w:right="41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services ($750,000 of which is creditable toward the $3.5 million fee) and Civeo expects to pay Lazard an additional $250,000 on December 31, 2017 (which will be creditable toward the $3.5 million fee). In addition, in the ordinary course, Lazard and its affiliates and employees may trade securities of Civeo for their own accounts and for the accounts of their customers and, accordingly, may at any time hold a long or short position in such securities, and may also trade and hold securities on behalf of Civeo, Noralta and certain of their respective affiliates. The issuance of Lazard’s opinion was approved by the opinion committee of Lazard.</w:t>
      </w:r>
    </w:p>
    <w:p>
      <w:pPr>
        <w:spacing w:after="0" w:line="184" w:lineRule="exact"/>
        <w:rPr>
          <w:sz w:val="20"/>
          <w:szCs w:val="20"/>
          <w:color w:val="auto"/>
        </w:rPr>
      </w:pPr>
    </w:p>
    <w:p>
      <w:pPr>
        <w:ind w:left="200" w:right="320" w:firstLine="441"/>
        <w:spacing w:after="0" w:line="258" w:lineRule="auto"/>
        <w:rPr>
          <w:sz w:val="20"/>
          <w:szCs w:val="20"/>
          <w:color w:val="auto"/>
        </w:rPr>
      </w:pPr>
      <w:r>
        <w:rPr>
          <w:rFonts w:ascii="Times New Roman" w:cs="Times New Roman" w:eastAsia="Times New Roman" w:hAnsi="Times New Roman"/>
          <w:sz w:val="18"/>
          <w:szCs w:val="18"/>
          <w:color w:val="auto"/>
        </w:rPr>
        <w:t>Lazard did not recommend any specific consideration to the Civeo Board or that any given consideration constituted the only appropriate consideration for the Acquisition. Lazard’s opinion and analyses were only one of many factors taken into consideration by the Civeo Board in its evaluation of the Acquisition. Consequently, the analyses described above should not be viewed as determinative of the views of the Civeo Board or Civeo’s management with respect to the consideration payable in the Acquisition or as to whether the Civeo Board would have been willing to determine that a different consideration was fair.</w:t>
      </w:r>
    </w:p>
    <w:p>
      <w:pPr>
        <w:spacing w:after="0" w:line="184"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Lazard is an internationally recognized investment banking firm providing a full range of financial advisory and securities services. Lazard was selected to act as Civeo’s financial advisor because of its qualifications, experience and reputation in investment banking and mergers and its familiarity with Civeo and its business.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Competition Act Approval</w:t>
      </w:r>
    </w:p>
    <w:p>
      <w:pPr>
        <w:spacing w:after="0" w:line="119"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Part IX of the Competition Act (Canada) requires that parties to certain classes of transactions provide prescribed information to the Commissioner of Competition (the “Commissioner”) where the applicable thresholds set out in Sections 109 and 110 of the Competition Act are exceeded and no exemption applies (“Notifiable Transactions”). Subject to certain limited exceptions, a Notifiable Transaction cannot be completed until the parties to the transaction have each submitted the information prescribed pursuant to subsection 114(1) of the Competition Act (a “Notification”) to the Commissioner and the applicable statutory waiting period has expired or has been terminated early by the Commissioner. The initial waiting period is 30 days from the date the parties both file their respective Notifications. At the end of that period, the parties are permitted to complete the Notifiable Transaction unless, prior to the expiration of the waiting period, the Commissioner issues a supplementary information request (a “SIR”) to the parties, in which case the parties cannot complete the Notifiable Transaction until 30 days after the day in which the parties comply with the SIR, unless, before closing, the Competition Tribunal, upon the application of the Commissioner, issues an order prohibiting closing.</w:t>
      </w:r>
    </w:p>
    <w:p>
      <w:pPr>
        <w:spacing w:after="0" w:line="189"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Alternatively to, or in addition to, filing a Notification, a party to a Notifiable Transaction may apply to the Commissioner under Subsection 102(1) of the Competition Act for an advance ruling certificate (an “ARC”) or, in the event that the Commissioner is not prepared to issue an ARC, a no-action letter advising that the Commissioner does not, at that time, intend to make an application under Section 92 of the Competition Act in respect of the Notifiable Transaction (a “No Action Letter”). If the Commissioner issues an ARC, the parties are exempt from the requirement to file a Notification. If the Commissioner issues a No-Action Letter and waives the requirement to file a Notification where the parties have supplied substantially similar information as would have been supplied with their Notification (a “Waiver”), the parties are not required to file a Notification and may complete the Notifiable Transaction. The filing of a request for an ARC or, in the alternative, a No-Action Letter and Waiver, does not start the statutory waiting period and, unless the parties have also filed a Notification, the parties cannot complete the Notifiable Transaction until the Commissioner has completed his review and issued either an ARC or a No Action Letter and Waiver.</w:t>
      </w:r>
    </w:p>
    <w:p>
      <w:pPr>
        <w:spacing w:after="0" w:line="189"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Whether or not a transaction is subject to notification under Part IX of the Competition Act, the Commissioner of Competition may apply to the Competition Tribunal for a remedial order under section 92 of the Competition Act at any time before the transaction has been completed or, if completed, within one year after it was substantially completed, provided that, subject to certain exceptions, the Commissioner did not issue an</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24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ARC in respect of the transaction. On application by the Commissioner under section 92 of the Competition Act, the Competition Tribunal may, where it finds that the transaction prevents or lessens, or is likely to prevent or lessen, competition substantially, order that the transaction not proceed or, if completed, order its dissolution or the disposition of the assets or shares acquired; in addition to, or in lieu thereof, with the consent of the person against whom the order is directed and the Commissioner, the Competition Tribunal may order a person to take any other action. The Commissioner of Competition may also seek interim relief from the Competition Tribunal under sections 100 and 104 of the Competition Act. The Competition Tribunal is prohibited from issuing a remedial order where it finds that the transaction or proposed transaction has brought or is likely to bring about gains in efficiency that will be greater than, and will not offset, the effects of any prevention or lessening of competition that will result or is likely to result from the transaction and that the gains in efficiency would not likely be attained if the order were made.</w:t>
      </w:r>
    </w:p>
    <w:p>
      <w:pPr>
        <w:spacing w:after="0" w:line="185"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It is a condition to completion of the Acquisition that the Commissioner shall have (i) issued an ARC or (ii) issued a No Action Letter, on terms satisfactory to Civeo, acting reasonably, and the obligation to file a Notification has been waived or the applicable statutory waiting period under the Competition Act has expired or terminated.</w:t>
      </w:r>
    </w:p>
    <w:p>
      <w:pPr>
        <w:spacing w:after="0" w:line="176"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The Acquisition is a Notifiable Transaction. On December 15, 2017, Civeo submitted a request to the Commissioner for an ARC or, in the alternative, a No-Action Letter and Waiver.</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Investment Canada Act Approval</w:t>
      </w:r>
    </w:p>
    <w:p>
      <w:pPr>
        <w:spacing w:after="0" w:line="119"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Subject to certain limited exceptions, the direct acquisition of control of a Canadian business by a non-Canadian that exceeds a financial threshold prescribed under Part IV of the Investment Canada Act (a “Reviewable Transaction”) is subject to review and cannot be implemented until the non-Canadian has submitted an application (an “Application for Review”) to the Minister responsible for the Investment Canada Act (the “Minister”) and the Minister is satisfied, or is deemed under the Investment Canada Act to be satisfied, that the Reviewable Transaction is likely to be of net benefit to Canada (a “net benefit ruling”). The submission of the Application for Review triggers an initial review period of up to 45 days. If the Minister has not completed the review by that date, the Minister may unilaterally extend the review period for up to a further 30 days or such further period agreed to by the Minister and the non-Canadian.</w:t>
      </w:r>
    </w:p>
    <w:p>
      <w:pPr>
        <w:spacing w:after="0" w:line="189" w:lineRule="exact"/>
        <w:rPr>
          <w:sz w:val="20"/>
          <w:szCs w:val="20"/>
          <w:color w:val="auto"/>
        </w:rPr>
      </w:pPr>
    </w:p>
    <w:p>
      <w:pPr>
        <w:ind w:left="200" w:right="120" w:firstLine="441"/>
        <w:spacing w:after="0" w:line="274" w:lineRule="auto"/>
        <w:rPr>
          <w:sz w:val="20"/>
          <w:szCs w:val="20"/>
          <w:color w:val="auto"/>
        </w:rPr>
      </w:pPr>
      <w:r>
        <w:rPr>
          <w:rFonts w:ascii="Times New Roman" w:cs="Times New Roman" w:eastAsia="Times New Roman" w:hAnsi="Times New Roman"/>
          <w:sz w:val="17"/>
          <w:szCs w:val="17"/>
          <w:color w:val="auto"/>
        </w:rPr>
        <w:t>In determining whether to issue a net benefit ruling, the Minister is required to consider, among other things, the Application for Review and any written undertakings offered by the non-Canadian. The prescribed factors that the Minister must consider when determining whether to issue a net benefit ruling include, among other things, the effect of the investment on economic activity in Canada (including the effect on employment, utilization of Canadian products and services and exports), on participation by Canadians in the acquired business, on productivity, industrial efficiency, technological development, product innovation, product variety and competition in Canada, and the compatibility of the investment with national and provincial industrial, economic and cultural policies, as well as the contribution of the investment to Canada’s ability to compete in world markets.</w:t>
      </w:r>
    </w:p>
    <w:p>
      <w:pPr>
        <w:spacing w:after="0" w:line="17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Acquisition constitutes a Reviewable Transaction. However, the Acquisition would not exceed the financial threshold under the Investment Canada Act but for a small element of the business of Noralta that is considered to be a “cultural business” within the meaning of the Investment Canada Act. The responsible Minister is the Minister of Canadian Heritage in respect of cultural businesses. It is a condition to completion of the Acquisition that the Minister has sent a notice to Civeo under the Investment Canada Act stating that the Minister is satisfied, or is deemed to be satisfied, the Acquisition is likely to be of net benefit to Canada.</w:t>
      </w:r>
    </w:p>
    <w:p>
      <w:pPr>
        <w:spacing w:after="0" w:line="184" w:lineRule="exact"/>
        <w:rPr>
          <w:sz w:val="20"/>
          <w:szCs w:val="20"/>
          <w:color w:val="auto"/>
        </w:rPr>
      </w:pPr>
    </w:p>
    <w:p>
      <w:pPr>
        <w:jc w:val="both"/>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On December 15, 2017, Civeo filed an Application for Review with the Cultural Sector Investment Review Division of Department of Canadian Heritage and a notification with the Investment Review Division of the Department of Innovation, Science and Economic Development. On December 22, 2017, the Investment Review</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24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Division of the Department of Innovation, Science and Economic Development confirmed that the Acquisition will not be reviewed under Part IV of the Investment Canada Act. On February 1, 2018, the Investment Review Division of Canadian Heritage notified Civeo that the Minister of Canadian Heritage had not completed the review of the Acquisition and extended the review period for up to a further 30 days or such further period agreed to by the Minister and Civeo.</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Listing of the Common Shares on the NYSE</w:t>
      </w:r>
    </w:p>
    <w:p>
      <w:pPr>
        <w:spacing w:after="0" w:line="121"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The Common Shares are listed on the NYSE under the symbol “CVEO”. It is a condition of closing that the Common Shares issuable under the Purchase Agreement (including the Common Shares issuable upon conversion of the Preferred Shares) be accepted for listing on the NYSE.</w:t>
      </w:r>
    </w:p>
    <w:p>
      <w:pPr>
        <w:spacing w:after="0" w:line="266" w:lineRule="exact"/>
        <w:rPr>
          <w:sz w:val="20"/>
          <w:szCs w:val="20"/>
          <w:color w:val="auto"/>
        </w:rPr>
      </w:pPr>
    </w:p>
    <w:p>
      <w:pPr>
        <w:ind w:left="200" w:right="28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Material Canadian Federal Income Tax Consequences of the Acquisition to Civeo and Civeo Shareholders </w:t>
      </w:r>
      <w:r>
        <w:rPr>
          <w:rFonts w:ascii="Times New Roman" w:cs="Times New Roman" w:eastAsia="Times New Roman" w:hAnsi="Times New Roman"/>
          <w:sz w:val="18"/>
          <w:szCs w:val="18"/>
          <w:i w:val="1"/>
          <w:iCs w:val="1"/>
          <w:color w:val="auto"/>
        </w:rPr>
        <w:t>Shareholders Generally</w:t>
      </w:r>
    </w:p>
    <w:p>
      <w:pPr>
        <w:ind w:left="200" w:right="80" w:firstLine="441"/>
        <w:spacing w:after="0" w:line="257" w:lineRule="auto"/>
        <w:rPr>
          <w:sz w:val="20"/>
          <w:szCs w:val="20"/>
          <w:color w:val="auto"/>
        </w:rPr>
      </w:pPr>
      <w:r>
        <w:rPr>
          <w:rFonts w:ascii="Times New Roman" w:cs="Times New Roman" w:eastAsia="Times New Roman" w:hAnsi="Times New Roman"/>
          <w:sz w:val="18"/>
          <w:szCs w:val="18"/>
          <w:color w:val="auto"/>
        </w:rPr>
        <w:t>The following is, as of the date hereof, a general summary of the principal Canadian federal income tax considerations generally applicable under the Income Tax Act (Canada) (the “Tax Act”) in respect of the Acquisition to a beneficial owner of the Common Shares who (i) at all relevant times, deals at arm’s length with Civeo and Noralta for purposes of the Tax Act; (ii) is not affiliated with Civeo or Noralta for purposes of the Tax Act; and</w:t>
      </w:r>
    </w:p>
    <w:p>
      <w:pPr>
        <w:spacing w:after="0" w:line="2" w:lineRule="exact"/>
        <w:rPr>
          <w:sz w:val="20"/>
          <w:szCs w:val="20"/>
          <w:color w:val="auto"/>
        </w:rPr>
      </w:pPr>
    </w:p>
    <w:p>
      <w:pPr>
        <w:ind w:left="200" w:right="120" w:firstLine="4"/>
        <w:spacing w:after="0" w:line="252" w:lineRule="auto"/>
        <w:tabs>
          <w:tab w:leader="none" w:pos="5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relevant times holds their Common Shares as capital property for purposes of the Tax Act. The Common Shares will generally constitute capital property to a holder thereof unless such securities are held in the course of carrying on a business of buying and selling securities or in connection with an adventure in the nature of trade. Certain Civeo shareholders resident in Canada within the meaning of the Tax Act whose Civeo shares might not otherwise qualify as capital property may in certain circumstances be entitled to make an irrevocable election in accordance with subsection 39(4) of the Tax Act to have their Common Shares and any other “Canadian security” (as defined in the Tax Act) owned in the taxation year of the election and in all subsequent taxation years deemed to be capital property.</w:t>
      </w:r>
    </w:p>
    <w:p>
      <w:pPr>
        <w:spacing w:after="0" w:line="19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This summary is based upon the provisions of the Tax Act and the regulations enacted thereunder (the “Regulations”) in force as of the date hereof and Civeo’s understanding of the current published administrative policies and assessing practices of the Canada Revenue Agency (the “CRA”). This summary takes into account all specific proposals to amend the Tax Act or the Regulations that have been publicly announced by or on behalf of the Minister of Finance (Canada) prior to the date hereof (the “Proposed Amendments”); and assumes that the Proposed Amendments will be enacted in the form proposed, although no assurance can be given that the Proposed Amendments will be enacted or otherwise implemented in their current form, if at all. If the Proposed Amendments are not enacted or otherwise implemented as proposed, the Canadian federal income tax consequences may not be as described below.</w:t>
      </w:r>
    </w:p>
    <w:p>
      <w:pPr>
        <w:spacing w:after="0" w:line="189"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On July 18, 2017, the Minister of Finance (Canada) released a consultation paper that included an announcement of its intention to amend the Tax Act to increase the tax cost of earning passive investment income through a private corporation. On October 18, 2017, the Minister of Finance (Canada) announced that the government was considering how to proceed with these proposals while taking into account the feedback received on the consultation paper. No specific amendments to the Tax Act have been proposed in connection with these announcements. Civeo shareholders that are private Canadian corporations should consult their own tax advisors.</w:t>
      </w:r>
    </w:p>
    <w:p>
      <w:pPr>
        <w:spacing w:after="0" w:line="184"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This summary is not exhaustive of all possible Canadian federal income tax considerations applicable in the respect of the Acquisition and, except for the Proposed Amendments, does not take into account or anticipate any changes in the law, whether by legislative, regulatory or judicial action, or changes in the administrative policies or assessing practices of the CRA. This summary does not take into account any provincial, territorial or foreign tax considerations, which may differ significantly from the Canadian federal income tax consequences discussed herein.</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24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This summary is not applicable to any shareholder of Civeo: (i) that is a “financial institution” within the meaning of subsection 142.2(1) of the Tax Act; (ii) that is a “specified financial institution” as defined in subsection 248(1) of the Tax Act; (iii) that has elected to report its “Canadian tax results” within the meaning of section 261 of the Tax Act in a currency other than Canadian currency; (iv) an interest in which is, or for whom the Common Shares would be, a “tax shelter investment” as defined in the Tax Act; (v) that has entered into a “derivative forward agreement,” a “dividend rental agreement,” a “synthetic equity arrangement” or a “synthetic disposition arrangement” as defined in the Tax Act with respect to its Common Shares or (vi) who has acquired or will acquire Civeo shares on the exercise of an employee stock option received in respect of, in the course of, or by virtue of, employment. Such Civeo shareholders should consult their own tax advisors.</w:t>
      </w:r>
    </w:p>
    <w:p>
      <w:pPr>
        <w:spacing w:after="0" w:line="189"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This summary is of a general nature only and is not intended to be, and should not construed to be, legal, business or tax advice to any particular Civeo shareholder. Accordingly, shareholders of Civeo should consult their own tax advisors with respect to their particular circumstances.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Civeo Shareholders Resident in Canada</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portion of this summary is generally applicable to a Civeo shareholder who, for purposes of the Tax Act and at all relevant times:</w:t>
      </w:r>
    </w:p>
    <w:p>
      <w:pPr>
        <w:spacing w:after="0" w:line="27" w:lineRule="exact"/>
        <w:rPr>
          <w:sz w:val="20"/>
          <w:szCs w:val="20"/>
          <w:color w:val="auto"/>
        </w:rPr>
      </w:pPr>
    </w:p>
    <w:p>
      <w:pPr>
        <w:ind w:left="200" w:right="180" w:firstLine="4"/>
        <w:spacing w:after="0" w:line="261" w:lineRule="auto"/>
        <w:tabs>
          <w:tab w:leader="none" w:pos="4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deemed to be resident in Canada; (ii) is not exempt from tax under Part I of the Tax Act; and (iii) is not excluded from this summary by the comments in “– Shareholders Generally” above.</w:t>
      </w:r>
    </w:p>
    <w:p>
      <w:pPr>
        <w:spacing w:after="0" w:line="18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Each shareholder described above (each a “Resident Shareholder”) will not dispose of the Resident Shareholder’s Common Shares or receive any consideration by virtue of the Acquisition. Accordingly, each Resident Shareholder will not realize a capital gain (or incur a capital loss) in respect of the Resident Shareholder’s Common Shares as a consequence of the Acquisition.</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Civeo Shareholders Not Resident in Canada</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portion of this summary is generally applicable to a Civeo shareholder who, for purposes of the Tax Act and at all relevant times:</w:t>
      </w:r>
    </w:p>
    <w:p>
      <w:pPr>
        <w:spacing w:after="0" w:line="27" w:lineRule="exact"/>
        <w:rPr>
          <w:sz w:val="20"/>
          <w:szCs w:val="20"/>
          <w:color w:val="auto"/>
        </w:rPr>
      </w:pPr>
    </w:p>
    <w:p>
      <w:pPr>
        <w:ind w:left="200" w:right="40" w:firstLine="4"/>
        <w:spacing w:after="0" w:line="253" w:lineRule="auto"/>
        <w:tabs>
          <w:tab w:leader="none" w:pos="4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resident, nor deemed to be resident, in Canada for purposes of the Tax Act; (ii) does not and will not use or hold or be deemed to use or hold their Common Shares in the course of carrying on business in Canada; and (iii) is not excluded from this summary by the comments in “– Shareholders Generally” above. Special rules, which are not discussed below, may apply to a non-resident of Canada that is an insurer which carries on business in Canada and elsewhere. Non-Resident Shareholders should obtain tax advice of any foreign tax consequences of the Acquisition based upon their particular circumstances.</w:t>
      </w:r>
    </w:p>
    <w:p>
      <w:pPr>
        <w:spacing w:after="0" w:line="187"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A shareholder described above (each, a “Non-Resident Shareholder”) is subject to tax under the Tax Act in respect of a capital gain arising on the disposition of shares only where such shares are or are deemed to be “taxable Canadian property” (as defined in the Tax Act) of the Non-Resident Shareholder. However, because each Non-Resident Shareholder will not dispose of their Common Shares or receive any consideration by virtue of the Acquisition, the Non-Resident Shareholder will not realize a capital gain subject to Canadian income tax in respect of their Common Shares as a consequence of the Acquisition.</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Civeo Corporation</w:t>
      </w:r>
    </w:p>
    <w:p>
      <w:pPr>
        <w:spacing w:after="0" w:line="119" w:lineRule="exact"/>
        <w:rPr>
          <w:sz w:val="20"/>
          <w:szCs w:val="20"/>
          <w:color w:val="auto"/>
        </w:rPr>
      </w:pPr>
    </w:p>
    <w:p>
      <w:pPr>
        <w:ind w:left="200" w:right="160" w:firstLine="441"/>
        <w:spacing w:after="0" w:line="256" w:lineRule="auto"/>
        <w:rPr>
          <w:sz w:val="20"/>
          <w:szCs w:val="20"/>
          <w:color w:val="auto"/>
        </w:rPr>
      </w:pPr>
      <w:r>
        <w:rPr>
          <w:rFonts w:ascii="Times New Roman" w:cs="Times New Roman" w:eastAsia="Times New Roman" w:hAnsi="Times New Roman"/>
          <w:sz w:val="18"/>
          <w:szCs w:val="18"/>
          <w:color w:val="auto"/>
        </w:rPr>
        <w:t>Upon completion of the Acquisition, Civeo will have an adjusted cost base in all of the shares of Noralta acquired as a result of the Acquisition equal to the aggregate consideration paid by Civeo for such shares. Any capital gain (or loss) arising from the disposition of such shares will be measured from this adjusted cost base. Dividends received on the Noralta shares by Civeo will be included in computing Civeo’s income and will generally be deductible in computing Civeo’s taxable income. In certain circumstances, subsection 55(2) of the Tax Act will treat a taxable dividend received by Civeo as proceeds of disposition or as a capital gain. A disposition or deemed disposition of the shares of Noralta by Civeo will generally result in a capital gain (or a</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240" w:top="455" w:right="5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Times New Roman" w:cs="Times New Roman" w:eastAsia="Times New Roman" w:hAnsi="Times New Roman"/>
          <w:sz w:val="17"/>
          <w:szCs w:val="17"/>
          <w:color w:val="auto"/>
        </w:rPr>
        <w:t>capital loss) to the extent that the proceeds of disposition, net of any reasonable costs of disposition, exceed (or are less than) the adjusted cost base to Civeo of the shares of Noralta immediately before the disposition. Generally, one half of any capital gain realized by Civeo in a taxation year will be included in computing Civeo’s income in the year of disposition as a taxable capital gain and one half of any capital loss (an “allowable capital loss”) must be deducted from Civeo’s taxable gains in the year of disposition. Allowable capital losses in excess of taxable capital gains for a taxation year generally may be carried back and deducted in any of the three preceding taxation years or carried forward indefinitely and deducted against net taxable gains in those other taxation years, subject to and in accordance with the rules contained in the Tax Act. Any capital loss arising on a disposition of the shares of Noralta may, in certain circumstances, be reduced by the amount of any dividends which have been received by Civeo on the shares of Noralta.</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21" w:lineRule="exact"/>
        <w:rPr>
          <w:sz w:val="20"/>
          <w:szCs w:val="20"/>
          <w:color w:val="auto"/>
        </w:rPr>
      </w:pPr>
    </w:p>
    <w:p>
      <w:pPr>
        <w:ind w:left="200" w:right="320" w:firstLine="441"/>
        <w:spacing w:after="0" w:line="289" w:lineRule="auto"/>
        <w:rPr>
          <w:sz w:val="20"/>
          <w:szCs w:val="20"/>
          <w:color w:val="auto"/>
        </w:rPr>
      </w:pPr>
      <w:r>
        <w:rPr>
          <w:rFonts w:ascii="Times New Roman" w:cs="Times New Roman" w:eastAsia="Times New Roman" w:hAnsi="Times New Roman"/>
          <w:sz w:val="17"/>
          <w:szCs w:val="17"/>
          <w:color w:val="auto"/>
        </w:rPr>
        <w:t>Under Accounting Standards Codification 805, the Acquisition is expected to be accounted for using acquisition accounting pursuant to which Civeo is considered the acquiring entity for accounting purposes. As such, Civeo expects to allocate the total purchase consideration to Noralta’s tangible and identifiable intangible assets acquired and liabilities assumed based on their fair values at the date of the completion of the Acquisition.</w:t>
      </w:r>
    </w:p>
    <w:p>
      <w:pPr>
        <w:spacing w:after="0" w:line="158"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Final valuations of Noralta’s property, plant and equipment, and identifiable intangible and other assets acquired have not yet been completed as management is still reviewing the existence, characteristics and useful lives of Noralta’s tangible and intangible assets. The completion of the valuation could result in significantly different amortization expenses and balance sheet classifications than those presented in the unaudited pro forma condensed consolidated financial information included in this proxy statement. After completion of the Acquisition, the results of operations of both Civeo’s and Noralta’s will be included in the consolidated financial statements of Civeo.</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further discussion of the accounting treatment, see the section entitled “Unaudited Pro Forma Combined Financial Data.”</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Shareholders will not have appraisal rights in connection with the Acquisition.</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24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PURCHASE AGREEMENT</w:t>
      </w:r>
    </w:p>
    <w:p>
      <w:pPr>
        <w:spacing w:after="0" w:line="227"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discussion of the material provisions of the Purchase Agreement. This is only a summary and may not contain all of the information that is important to you. A copy of the full text of the Purchase Agreement is attached to this proxy statement as Annex A and is incorporated herein by reference. In the event of any discrepancy between the summary below and the full text of the Purchase Agreement, the Purchase Agreement shall control.</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Acquisition</w:t>
      </w:r>
    </w:p>
    <w:p>
      <w:pPr>
        <w:spacing w:after="0" w:line="12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Civeo will acquire, directly or indirectly, all of the issued and outstanding shares of Noralta. Prior to closing, Noralta and certain sellers will cause the amalgamation of such entities into a new entity, and under the Purchase Agreement, Civeo will directly acquire the outstanding shares of such amalgamated entity, which will result in Noralta becoming a wholly owned subsidiary of Civeo.</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Purchase Consideration</w:t>
      </w:r>
    </w:p>
    <w:p>
      <w:pPr>
        <w:spacing w:after="0" w:line="121" w:lineRule="exact"/>
        <w:rPr>
          <w:sz w:val="20"/>
          <w:szCs w:val="20"/>
          <w:color w:val="auto"/>
        </w:rPr>
      </w:pPr>
    </w:p>
    <w:p>
      <w:pPr>
        <w:ind w:left="200" w:right="340" w:firstLine="441"/>
        <w:spacing w:after="0" w:line="258" w:lineRule="auto"/>
        <w:rPr>
          <w:sz w:val="20"/>
          <w:szCs w:val="20"/>
          <w:color w:val="auto"/>
        </w:rPr>
      </w:pPr>
      <w:r>
        <w:rPr>
          <w:rFonts w:ascii="Times New Roman" w:cs="Times New Roman" w:eastAsia="Times New Roman" w:hAnsi="Times New Roman"/>
          <w:sz w:val="18"/>
          <w:szCs w:val="18"/>
          <w:color w:val="auto"/>
        </w:rPr>
        <w:t>The aggregate consideration to be paid by Civeo to the sellers at the closing of the Acquisition will be (i) C$209,500,000 in cash, of which C$28,500,000 will be held in escrow by the Escrow Agent to support the sellers’ indemnification obligations under the Purchase Agreement, (ii) 32,790,868 Common Shares, of which 13,491,100 shares will be held in escrow by the Escrow Agent and released in three equal installments from escrow upon the satisfaction of certain conditions related to a customer contract remaining in place in June 2021, June 2022 and June 2023, and (iii) 9,679 Preferred Shares with an initial liquidation preference of US$96,790,000.</w:t>
      </w:r>
    </w:p>
    <w:p>
      <w:pPr>
        <w:spacing w:after="0" w:line="184" w:lineRule="exact"/>
        <w:rPr>
          <w:sz w:val="20"/>
          <w:szCs w:val="20"/>
          <w:color w:val="auto"/>
        </w:rPr>
      </w:pPr>
    </w:p>
    <w:p>
      <w:pPr>
        <w:ind w:left="200" w:right="160" w:firstLine="441"/>
        <w:spacing w:after="0" w:line="256" w:lineRule="auto"/>
        <w:rPr>
          <w:sz w:val="20"/>
          <w:szCs w:val="20"/>
          <w:color w:val="auto"/>
        </w:rPr>
      </w:pPr>
      <w:r>
        <w:rPr>
          <w:rFonts w:ascii="Times New Roman" w:cs="Times New Roman" w:eastAsia="Times New Roman" w:hAnsi="Times New Roman"/>
          <w:sz w:val="18"/>
          <w:szCs w:val="18"/>
          <w:color w:val="auto"/>
        </w:rPr>
        <w:t>The cash portion of the consideration will be subject to customary adjustments for Noralta’s net working capital (above or below target net working capital of C$15,100,000), debt, cash and unpaid transaction expenses at closing. As soon as practicable after the closing date, Civeo shall calculate the actual amount of Noralta’s net working capital, cash, indebtedness and unpaid transaction expenses as of the closing date. The sellers will have the ability to contest such amounts, and following the final determination of net working capital, cash, indebtedness and unpaid transaction expenses in accordance with the dispute mechanisms in the Purchase Agreement, the parties will cause the excess or deficiency of such amounts over the amounts calculated at closing to be paid to Civeo, to the extent of any deficiency, and to the sellers, to the extent of any excess.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200" w:right="340" w:firstLine="441"/>
        <w:spacing w:after="0" w:line="266" w:lineRule="auto"/>
        <w:rPr>
          <w:sz w:val="20"/>
          <w:szCs w:val="20"/>
          <w:color w:val="auto"/>
        </w:rPr>
      </w:pPr>
      <w:r>
        <w:rPr>
          <w:rFonts w:ascii="Times New Roman" w:cs="Times New Roman" w:eastAsia="Times New Roman" w:hAnsi="Times New Roman"/>
          <w:sz w:val="18"/>
          <w:szCs w:val="18"/>
          <w:color w:val="auto"/>
        </w:rPr>
        <w:t>The Purchase Agreement contains representations and warranties made by Civeo and the sellers regarding aspects of the businesses, financial condition and structure of Civeo and Noralta and the sellers’ ownership of Noralta shares, as well as other facts pertinent to the Acquisition. Civeo’s representations and warranties relate to, among other things:</w:t>
      </w:r>
    </w:p>
    <w:p>
      <w:pPr>
        <w:spacing w:after="0" w:line="82" w:lineRule="exact"/>
        <w:rPr>
          <w:sz w:val="20"/>
          <w:szCs w:val="20"/>
          <w:color w:val="auto"/>
        </w:rPr>
      </w:pPr>
    </w:p>
    <w:p>
      <w:pPr>
        <w:ind w:left="1060" w:hanging="424"/>
        <w:spacing w:after="0"/>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organization and authority;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proceedings to authorize the Purchase Agreement and the transactions contemplated thereby;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the Common Shares and the Preferred Shares in the Acquisition;</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and binding nature of the Purchase Agreement and the other documents to be delivered by Civeo at the closing;</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required in connection with the transactions contemplated by the Purchase Agreement;</w:t>
      </w:r>
    </w:p>
    <w:p>
      <w:pPr>
        <w:spacing w:after="0" w:line="130" w:lineRule="exact"/>
        <w:rPr>
          <w:rFonts w:ascii="Times New Roman" w:cs="Times New Roman" w:eastAsia="Times New Roman" w:hAnsi="Times New Roman"/>
          <w:sz w:val="18"/>
          <w:szCs w:val="18"/>
          <w:color w:val="auto"/>
        </w:rPr>
      </w:pPr>
    </w:p>
    <w:p>
      <w:pPr>
        <w:ind w:left="1060" w:right="280" w:hanging="424"/>
        <w:spacing w:after="0" w:line="282" w:lineRule="auto"/>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conflict or violation of organizational documents, applicable laws or contracts as a result of entering into and carrying out Civeo’s obligations of the Purchase Agreement;</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Civeo’s authorized share capital;</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24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Civeo’s financial statements;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change at Civeo since December 31, 2016;</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securities laws, including SEC filing requirements;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approvals required in connection with the transactions contemplated by the Purchase Agreement;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including anti-corruption and economic sanctions laws;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Civeo’s status as a World Trade Organization (“WTO”) investor under the Investment Canada Act;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reporting issuer in Canada;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bankruptcy;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Civeo’s financial ability to consummate the transactions contemplated by the Purchase Agreement without any financing contingency;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default or breach of any material contract of Civeo;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inducement or reliance.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of the sellers jointly has made customary representations and warranties with respect to Noralta, including:</w:t>
      </w:r>
    </w:p>
    <w:p>
      <w:pPr>
        <w:spacing w:after="0" w:line="131" w:lineRule="exact"/>
        <w:rPr>
          <w:sz w:val="20"/>
          <w:szCs w:val="20"/>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organization, corporate structure and authority;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proceedings to authorize the Purchase Agreement and the transactions contemplated thereby;</w:t>
      </w:r>
    </w:p>
    <w:p>
      <w:pPr>
        <w:spacing w:after="0" w:line="130" w:lineRule="exact"/>
        <w:rPr>
          <w:rFonts w:ascii="Times New Roman" w:cs="Times New Roman" w:eastAsia="Times New Roman" w:hAnsi="Times New Roman"/>
          <w:sz w:val="18"/>
          <w:szCs w:val="18"/>
          <w:color w:val="auto"/>
        </w:rPr>
      </w:pPr>
    </w:p>
    <w:p>
      <w:pPr>
        <w:ind w:left="1060" w:right="60" w:hanging="424"/>
        <w:spacing w:after="0" w:line="282" w:lineRule="auto"/>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and binding nature of the Purchase Agreement and the other documents to be delivered by Noralta, the amalgamated entity, or any of their subsidiaries at the closing;</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required in connection with the transactions contemplated by the Purchase Agreement;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Noralta’s authorized share capital;</w:t>
      </w:r>
    </w:p>
    <w:p>
      <w:pPr>
        <w:spacing w:after="0" w:line="130" w:lineRule="exact"/>
        <w:rPr>
          <w:rFonts w:ascii="Times New Roman" w:cs="Times New Roman" w:eastAsia="Times New Roman" w:hAnsi="Times New Roman"/>
          <w:sz w:val="18"/>
          <w:szCs w:val="18"/>
          <w:color w:val="auto"/>
        </w:rPr>
      </w:pPr>
    </w:p>
    <w:p>
      <w:pPr>
        <w:ind w:left="1060" w:hanging="424"/>
        <w:spacing w:after="0" w:line="282" w:lineRule="auto"/>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options to purchase or preemptive, repurchase, redemption rights or similar rights in respect of Noralta’s shares and no indebtedness with voting rights;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and condition of Noralta’s assets;</w:t>
      </w:r>
    </w:p>
    <w:p>
      <w:pPr>
        <w:spacing w:after="0" w:line="130" w:lineRule="exact"/>
        <w:rPr>
          <w:rFonts w:ascii="Times New Roman" w:cs="Times New Roman" w:eastAsia="Times New Roman" w:hAnsi="Times New Roman"/>
          <w:sz w:val="18"/>
          <w:szCs w:val="18"/>
          <w:color w:val="auto"/>
        </w:rPr>
      </w:pPr>
    </w:p>
    <w:p>
      <w:pPr>
        <w:ind w:left="1060" w:right="520" w:hanging="424"/>
        <w:spacing w:after="0" w:line="282" w:lineRule="auto"/>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express or implied warranty by Noralta or its subsidiaries to any person and no unresolved warranty claims against Noralta and its subsidiaries;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indebtedness;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of Noralta’s auditors;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change at Noralta since May 31, 2017;</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indebtedness;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80"/>
          </w:cols>
          <w:pgMar w:left="24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matters;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payments for acquisitions of any business, assets or securities, including earn-out payments;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default or breach of any material contract of Noralta;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all material information that could have a Material Adverse Effect (as defined below);</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outstanding dispositions of assets, properties or undertakings to third persons;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records;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 caused by entry into the Purchase Agreement nor the consummation of the transactions contemplated thereby;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litigation;</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regarding employees;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approvals of governmental entities or regulators in connection with the transactions contemplated by the Purchase Agreement;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reporting issuer in Canada;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off-balance sheet arrangements;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real property;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real property;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environmental and safety laws;</w:t>
      </w:r>
    </w:p>
    <w:p>
      <w:pPr>
        <w:spacing w:after="0" w:line="130" w:lineRule="exact"/>
        <w:rPr>
          <w:rFonts w:ascii="Times New Roman" w:cs="Times New Roman" w:eastAsia="Times New Roman" w:hAnsi="Times New Roman"/>
          <w:sz w:val="18"/>
          <w:szCs w:val="18"/>
          <w:color w:val="auto"/>
        </w:rPr>
      </w:pPr>
    </w:p>
    <w:p>
      <w:pPr>
        <w:ind w:left="1060" w:right="360" w:hanging="424"/>
        <w:spacing w:after="0" w:line="282" w:lineRule="auto"/>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shareholders’ agreements, pooling agreements, voting trusts or similar agreements in respect of Noralta’s shares that will not be terminated prior to closing;</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bankruptcy;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ownership by Noralta’s officers or directors of any competitor of Noralta;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and privacy;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partnerships or joint ventures;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suppliers;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Noralta’s lending agreements;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restrictions on the operation of Noralta’s business;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matters relating to Noralta’s joint ventures.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40"/>
          </w:cols>
          <w:pgMar w:left="240" w:top="455" w:right="8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of the sellers jointly and severally has made customary representations and warranties with respect to, among other things:</w:t>
      </w:r>
    </w:p>
    <w:p>
      <w:pPr>
        <w:spacing w:after="0" w:line="131" w:lineRule="exact"/>
        <w:rPr>
          <w:sz w:val="20"/>
          <w:szCs w:val="20"/>
          <w:color w:val="auto"/>
        </w:rPr>
      </w:pPr>
    </w:p>
    <w:p>
      <w:pPr>
        <w:ind w:left="1060" w:hanging="424"/>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 shares to be purchased in the Acquisition;</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organization, authority and capacity;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proceedings to authorize the Purchase Agreement and the transactions contemplated thereby;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and binding nature of the Purchase Agreement and the other documents to be delivered by each of the sellers at the closing;</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residency of the sellers for tax purposes;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bankruptcy;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securities law matters;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inducement or reliance.</w:t>
      </w:r>
    </w:p>
    <w:p>
      <w:pPr>
        <w:spacing w:after="0" w:line="225"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Lance Torgerson separately has made certain representations of the sellers listed above deemed to be fundamental representations under the Purchase Agreement, which are those representations and warranties relating to incorporation, organization, corporate structure and authority, necessary proceedings, valid and binding obligations, capital, right to acquire securities, title to assets, and ownership of sellers’ shares.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Material Adverse Effect</w:t>
      </w:r>
    </w:p>
    <w:p>
      <w:pPr>
        <w:spacing w:after="0" w:line="121" w:lineRule="exact"/>
        <w:rPr>
          <w:sz w:val="20"/>
          <w:szCs w:val="20"/>
          <w:color w:val="auto"/>
        </w:rPr>
      </w:pPr>
    </w:p>
    <w:p>
      <w:pPr>
        <w:ind w:left="200" w:firstLine="441"/>
        <w:spacing w:after="0" w:line="267" w:lineRule="auto"/>
        <w:rPr>
          <w:sz w:val="20"/>
          <w:szCs w:val="20"/>
          <w:color w:val="auto"/>
        </w:rPr>
      </w:pPr>
      <w:r>
        <w:rPr>
          <w:rFonts w:ascii="Times New Roman" w:cs="Times New Roman" w:eastAsia="Times New Roman" w:hAnsi="Times New Roman"/>
          <w:sz w:val="17"/>
          <w:szCs w:val="17"/>
          <w:color w:val="auto"/>
        </w:rPr>
        <w:t>Many of the representations and warranties and certain of the conditions to complete the Acquisition are subject to a Material Adverse Effect qualification. A “Material Adverse Effect” means any effect or change that is, or would reasonably be expected to be, material and adverse to the business, operations, assets, capitalization or financial condition of Civeo, on the one hand, or Noralta, Noralta’s subsidiaries (taken as a whole) or Dene Koe GP or Dene Koe LP (a joint venture co-owned by Fort McKay First Nation and Noralta), on the other hand, as applicable, other than any matter, action, effect, occurrence, or change arising or resulting from: (i) general economic, market, financial, currency exchange, securities, bullion or commodity prices in Canada, the United States or elsewhere; (ii) conditions affecting the oil and natural gas industry, hospitality and lodging industry and/or petroleum services industry generally; (iii) in respect of Civeo only, any matter that has prior to the date of the Purchase Agreement been publicly disclosed in the Civeo’s SEC filings; (iv) in respect of Civeo only, any change in the trading price or volume of the Common Shares (it being understood that the causes underlying such change may be taken into account); (v) any change in ASPE, GAAP or laws or interpretations thereof; (vii) any adverse change or effect attributable to the announcement or pendency of the transactions contemplated by the Purchase Agreement (including any cancellations or delays in customer orders, any reductions in sales, or any disruption in supplier, distributor, partner or similar relationships or any loss of employees),</w:t>
      </w:r>
    </w:p>
    <w:p>
      <w:pPr>
        <w:spacing w:after="0" w:line="3" w:lineRule="exact"/>
        <w:rPr>
          <w:sz w:val="20"/>
          <w:szCs w:val="20"/>
          <w:color w:val="auto"/>
        </w:rPr>
      </w:pPr>
    </w:p>
    <w:p>
      <w:pPr>
        <w:ind w:left="200" w:right="20" w:firstLine="4"/>
        <w:spacing w:after="0" w:line="255" w:lineRule="auto"/>
        <w:tabs>
          <w:tab w:leader="none" w:pos="6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unionization of any employees or the filing of any certification applications to unionize any employees or the occurrence of any similar union activities, and (ix) matters permitted or contemplated by the Purchase Agreement or consented to or approved in writing by either Civeo (with respect to Noralta or its Subsidiaries) or the sellers (with respect to Civeo).</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Survival of Covenants, Representations and Warranties</w:t>
      </w:r>
    </w:p>
    <w:p>
      <w:pPr>
        <w:spacing w:after="0" w:line="121"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of Civeo and the sellers will survive until the date that is 18 months after the closing date of the Acquisition. Representations and warranties related to taxes will survive the closing until six months after the expiration of the period during which any governmental entity is permitted to issue a tax assessment. All fundamental representations and warranties of Civeo and the sellers will survive until the date that is six years after the closing date of the Acquisition. Claims based upon fraudulent misrepresentation or fraud may be brought at any time.</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24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Covenants of the Sellers and Noralta</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 Covenants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sellers and Noralta have agreed that until the closing of the Acquisition, subject to certain identified exceptions:</w:t>
      </w:r>
    </w:p>
    <w:p>
      <w:pPr>
        <w:spacing w:after="0" w:line="131" w:lineRule="exact"/>
        <w:rPr>
          <w:sz w:val="20"/>
          <w:szCs w:val="20"/>
          <w:color w:val="auto"/>
        </w:rPr>
      </w:pPr>
    </w:p>
    <w:p>
      <w:pPr>
        <w:ind w:left="1060" w:hanging="424"/>
        <w:spacing w:after="0"/>
        <w:tabs>
          <w:tab w:leader="none" w:pos="10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will not, directly or indirectly, dispose of any Noralta shares;</w:t>
      </w:r>
    </w:p>
    <w:p>
      <w:pPr>
        <w:spacing w:after="0" w:line="130" w:lineRule="exact"/>
        <w:rPr>
          <w:rFonts w:ascii="Times New Roman" w:cs="Times New Roman" w:eastAsia="Times New Roman" w:hAnsi="Times New Roman"/>
          <w:sz w:val="18"/>
          <w:szCs w:val="18"/>
          <w:color w:val="auto"/>
        </w:rPr>
      </w:pPr>
    </w:p>
    <w:p>
      <w:pPr>
        <w:ind w:left="1060" w:right="140" w:hanging="424"/>
        <w:spacing w:after="0" w:line="282" w:lineRule="auto"/>
        <w:tabs>
          <w:tab w:leader="none" w:pos="10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and Noralta will provide all cooperation that Civeo may reasonably request in connection with the preparation and filing of any filings by Civeo required under the U.S. securities laws, including the preparation of financial statements;</w:t>
      </w:r>
    </w:p>
    <w:p>
      <w:pPr>
        <w:spacing w:after="0" w:line="67" w:lineRule="exact"/>
        <w:rPr>
          <w:rFonts w:ascii="Times New Roman" w:cs="Times New Roman" w:eastAsia="Times New Roman" w:hAnsi="Times New Roman"/>
          <w:sz w:val="18"/>
          <w:szCs w:val="18"/>
          <w:color w:val="auto"/>
        </w:rPr>
      </w:pPr>
    </w:p>
    <w:p>
      <w:pPr>
        <w:ind w:left="1060" w:right="60" w:hanging="424"/>
        <w:spacing w:after="0" w:line="282" w:lineRule="auto"/>
        <w:tabs>
          <w:tab w:leader="none" w:pos="10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the right to supplement or amend the information set forth in the Disclosure Letter to reflect events occurring after the date of the Purchase Agreement, subject to certain exceptions; and</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Noralta and its subsidiaries will maintain all insurance policies in full force and effect and make any claims thereunder in a timely fashion.</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Covenants in Respect of Noralta’s Business</w:t>
      </w:r>
    </w:p>
    <w:p>
      <w:pPr>
        <w:spacing w:after="0" w:line="121"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The sellers have agreed until the closing of the Acquisition to use their commercially reasonable efforts to cause Noralta and its subsidiaries, Dene Koe GP and Dene Koe LP to:</w:t>
      </w:r>
    </w:p>
    <w:p>
      <w:pPr>
        <w:spacing w:after="0" w:line="67" w:lineRule="exact"/>
        <w:rPr>
          <w:sz w:val="20"/>
          <w:szCs w:val="20"/>
          <w:color w:val="auto"/>
        </w:rPr>
      </w:pPr>
    </w:p>
    <w:p>
      <w:pPr>
        <w:ind w:left="1060" w:hanging="424"/>
        <w:spacing w:after="0"/>
        <w:tabs>
          <w:tab w:leader="none" w:pos="10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their business in the ordinary course in material compliance with all applicable laws and material contracts;</w:t>
      </w:r>
    </w:p>
    <w:p>
      <w:pPr>
        <w:spacing w:after="0" w:line="130" w:lineRule="exact"/>
        <w:rPr>
          <w:rFonts w:ascii="Times New Roman" w:cs="Times New Roman" w:eastAsia="Times New Roman" w:hAnsi="Times New Roman"/>
          <w:sz w:val="18"/>
          <w:szCs w:val="18"/>
          <w:color w:val="auto"/>
        </w:rPr>
      </w:pPr>
    </w:p>
    <w:p>
      <w:pPr>
        <w:ind w:left="1060" w:right="80" w:hanging="424"/>
        <w:spacing w:after="0" w:line="282" w:lineRule="auto"/>
        <w:tabs>
          <w:tab w:leader="none" w:pos="10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intact its business organization, books and records, keep available the services of its employees, and preserve its relationships with customers, suppliers and others with which it does business;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keep its material properties and assets in good repair and condition, subject to ordinary wear and tear;</w:t>
      </w:r>
    </w:p>
    <w:p>
      <w:pPr>
        <w:spacing w:after="0" w:line="130" w:lineRule="exact"/>
        <w:rPr>
          <w:rFonts w:ascii="Times New Roman" w:cs="Times New Roman" w:eastAsia="Times New Roman" w:hAnsi="Times New Roman"/>
          <w:sz w:val="18"/>
          <w:szCs w:val="18"/>
          <w:color w:val="auto"/>
        </w:rPr>
      </w:pPr>
    </w:p>
    <w:p>
      <w:pPr>
        <w:ind w:left="1060" w:right="380" w:hanging="424"/>
        <w:spacing w:after="0" w:line="282" w:lineRule="auto"/>
        <w:tabs>
          <w:tab w:leader="none" w:pos="10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all authorizations required under applicable law or any contract to which Noralta, its subsidiaries, Dene Koe GP or Dene Koe LP is a party or by which any of their assets are bound; and</w:t>
      </w:r>
    </w:p>
    <w:p>
      <w:pPr>
        <w:spacing w:after="0" w:line="67" w:lineRule="exact"/>
        <w:rPr>
          <w:rFonts w:ascii="Times New Roman" w:cs="Times New Roman" w:eastAsia="Times New Roman" w:hAnsi="Times New Roman"/>
          <w:sz w:val="18"/>
          <w:szCs w:val="18"/>
          <w:color w:val="auto"/>
        </w:rPr>
      </w:pPr>
    </w:p>
    <w:p>
      <w:pPr>
        <w:ind w:left="1060" w:hanging="424"/>
        <w:spacing w:after="0" w:line="282" w:lineRule="auto"/>
        <w:tabs>
          <w:tab w:leader="none" w:pos="10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Noralta’s directors, shareholders, appropriate government entities and other persons any approvals, permits or consents required to complete the transactions contemplated by the Purchase Agreement.</w:t>
      </w:r>
    </w:p>
    <w:p>
      <w:pPr>
        <w:spacing w:after="0" w:line="162"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Noralta has agreed until the closing of the Acquisition to use its commercially reasonable efforts not to, and not to permit any of its subsidiaries to without the prior written consent of Civeo (not to be unreasonably withheld), subject to certain identified exceptions:</w:t>
      </w:r>
    </w:p>
    <w:p>
      <w:pPr>
        <w:spacing w:after="0" w:line="67" w:lineRule="exact"/>
        <w:rPr>
          <w:sz w:val="20"/>
          <w:szCs w:val="20"/>
          <w:color w:val="auto"/>
        </w:rPr>
      </w:pPr>
    </w:p>
    <w:p>
      <w:pPr>
        <w:ind w:left="1060" w:hanging="424"/>
        <w:spacing w:after="0"/>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individual capital expenditures in excess of C$500,000;</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C$6,000,000 in the aggregate;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modify, or agree to issue or modify, any equity or debt securities or rights to acquire securities;</w:t>
      </w:r>
    </w:p>
    <w:p>
      <w:pPr>
        <w:spacing w:after="0" w:line="130" w:lineRule="exact"/>
        <w:rPr>
          <w:rFonts w:ascii="Times New Roman" w:cs="Times New Roman" w:eastAsia="Times New Roman" w:hAnsi="Times New Roman"/>
          <w:sz w:val="18"/>
          <w:szCs w:val="18"/>
          <w:color w:val="auto"/>
        </w:rPr>
      </w:pPr>
    </w:p>
    <w:p>
      <w:pPr>
        <w:ind w:left="1060" w:right="200" w:hanging="424"/>
        <w:spacing w:after="0" w:line="266" w:lineRule="auto"/>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a shareholder of Dene Koe GP or as a limited partner of Dene Koe LP, vote in favor of amendments to the organizational documents of such entities that would breach any of the covenants related to the business of Noralta and its subsidiaries in the Purchase Agreement;</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not contemplated by Noralta’s existing financing arrangements or outside of the ordinary course;</w:t>
      </w:r>
    </w:p>
    <w:p>
      <w:pPr>
        <w:spacing w:after="0" w:line="130" w:lineRule="exact"/>
        <w:rPr>
          <w:rFonts w:ascii="Times New Roman" w:cs="Times New Roman" w:eastAsia="Times New Roman" w:hAnsi="Times New Roman"/>
          <w:sz w:val="18"/>
          <w:szCs w:val="18"/>
          <w:color w:val="auto"/>
        </w:rPr>
      </w:pPr>
    </w:p>
    <w:p>
      <w:pPr>
        <w:jc w:val="both"/>
        <w:ind w:left="1060" w:right="240" w:hanging="424"/>
        <w:spacing w:after="0" w:line="266" w:lineRule="auto"/>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contracts, other than material contracts for catering services, lodging, logistics or accommodation services entered into in the ordinary course where such contracts are consistent with Noralta’s past practices and where the estimated cost does not exceed the estimated revenues;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24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organizational documents;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 business materially different from its business as of the date of the Purchase Agreement;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dispose or encumber a material portion of its assets;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purchase or offer to purchase any securities of Noralta;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material salary, bonus or benefit increases or grant any material bonuses for employees outside of the ordinary course;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perform any transactions with affiliates, other than in the ordinary course;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accounting policy that was utilized for the purposes of preparing Noralta’s financial statements.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Necessary Consents</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Noralta has agreed to use commercially reasonable efforts to obtain from its directors, shareholders, government entities, customers, lenders and other persons all approvals, permits and consents, including regulatory approvals, required to complete the Acquisition.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Non-Solicitation</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sellers and Noralta have agreed to cease all existing discussions and negotiations related to any acquisition proposal for Noralta and to request the prompt return or destruction of all confidential information previously furnished to any third parties (other than Civeo) related to any acquisition proposal. The sellers and Noralta have agreed until the earlier of the closing of the Acquisition or termination of the Purchase Agreement not to solicit, initiate or encourage, or participate in discussions regarding an acquisition proposal for Noralta or furnish any third party with any information to a third party in connection therewith.</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Employee Severance</w:t>
      </w:r>
    </w:p>
    <w:p>
      <w:pPr>
        <w:spacing w:after="0" w:line="121"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Noralta has agreed that, in the event it terminates any employee before the closing date of the Acquisition, Noralta will be responsible for any payments to such terminated employee.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Covenants of Civeo</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Civeo has agreed until the closing of the Acquisition that it will:</w:t>
      </w:r>
    </w:p>
    <w:p>
      <w:pPr>
        <w:spacing w:after="0" w:line="131" w:lineRule="exact"/>
        <w:rPr>
          <w:sz w:val="20"/>
          <w:szCs w:val="20"/>
          <w:color w:val="auto"/>
        </w:rPr>
      </w:pPr>
    </w:p>
    <w:p>
      <w:pPr>
        <w:ind w:left="1060" w:hanging="316"/>
        <w:spacing w:after="0"/>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conduct its business in the ordinary course;</w:t>
      </w:r>
    </w:p>
    <w:p>
      <w:pPr>
        <w:spacing w:after="0" w:line="130" w:lineRule="exact"/>
        <w:rPr>
          <w:rFonts w:ascii="Times New Roman" w:cs="Times New Roman" w:eastAsia="Times New Roman" w:hAnsi="Times New Roman"/>
          <w:sz w:val="18"/>
          <w:szCs w:val="18"/>
          <w:color w:val="auto"/>
        </w:rPr>
      </w:pPr>
    </w:p>
    <w:p>
      <w:pPr>
        <w:ind w:left="1060" w:right="520" w:hanging="316"/>
        <w:spacing w:after="0" w:line="282" w:lineRule="auto"/>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or omit to take any action that is inconsistent with the Purchase Agreement or that would or could reasonably be expected to impair, hinder or delay consummation of the transactions contemplated by the Purchase Agreement;</w:t>
      </w:r>
    </w:p>
    <w:p>
      <w:pPr>
        <w:spacing w:after="0" w:line="67" w:lineRule="exact"/>
        <w:rPr>
          <w:rFonts w:ascii="Times New Roman" w:cs="Times New Roman" w:eastAsia="Times New Roman" w:hAnsi="Times New Roman"/>
          <w:sz w:val="18"/>
          <w:szCs w:val="18"/>
          <w:color w:val="auto"/>
        </w:rPr>
      </w:pPr>
    </w:p>
    <w:p>
      <w:pPr>
        <w:ind w:left="1060" w:right="640" w:hanging="316"/>
        <w:spacing w:after="0" w:line="282" w:lineRule="auto"/>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obtain from its directors, shareholders, members, government entities and other persons any approvals, permits or consents required to complete the transactions contemplated by the Purchase Agreement;</w:t>
      </w:r>
    </w:p>
    <w:p>
      <w:pPr>
        <w:spacing w:after="0" w:line="67" w:lineRule="exact"/>
        <w:rPr>
          <w:rFonts w:ascii="Times New Roman" w:cs="Times New Roman" w:eastAsia="Times New Roman" w:hAnsi="Times New Roman"/>
          <w:sz w:val="18"/>
          <w:szCs w:val="18"/>
          <w:color w:val="auto"/>
        </w:rPr>
      </w:pPr>
    </w:p>
    <w:p>
      <w:pPr>
        <w:ind w:left="1060" w:right="820" w:hanging="316"/>
        <w:spacing w:after="0" w:line="282" w:lineRule="auto"/>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obtain any required shareholder approval and listing of any Common Shares issued in the Acquisition on the NYSE;</w:t>
      </w:r>
    </w:p>
    <w:p>
      <w:pPr>
        <w:spacing w:after="0" w:line="67" w:lineRule="exact"/>
        <w:rPr>
          <w:rFonts w:ascii="Times New Roman" w:cs="Times New Roman" w:eastAsia="Times New Roman" w:hAnsi="Times New Roman"/>
          <w:sz w:val="18"/>
          <w:szCs w:val="18"/>
          <w:color w:val="auto"/>
        </w:rPr>
      </w:pPr>
    </w:p>
    <w:p>
      <w:pPr>
        <w:ind w:left="1060" w:right="240" w:hanging="316"/>
        <w:spacing w:after="0" w:line="282" w:lineRule="auto"/>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be in material compliance with its reporting obligations and to comply with all material corporate and securities laws applicable to it; and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24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issue Common Shares in an amount exceeding 30,000,000 Common Shares without the consent of the sellers.</w:t>
      </w:r>
    </w:p>
    <w:p>
      <w:pPr>
        <w:spacing w:after="0" w:line="225"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Civeo has also agreed that, in the event it terminates any employee after the closing date of the Acquisition, Civeo will be responsible for any payments to such terminated employee.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Mutual Covenants</w:t>
      </w:r>
    </w:p>
    <w:p>
      <w:pPr>
        <w:spacing w:after="0" w:line="121"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The Purchase Agreement contains a number of mutual covenants, which subject to certain exceptions, obligate the parties under the Purchase Agreement to, among other things:</w:t>
      </w:r>
    </w:p>
    <w:p>
      <w:pPr>
        <w:spacing w:after="0" w:line="67" w:lineRule="exact"/>
        <w:rPr>
          <w:sz w:val="20"/>
          <w:szCs w:val="20"/>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other parties in writing of material changes related to their respective businesses;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consummate the transactions contemplated by the Purchase Agreement;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filings under, and cooperate to obtain clearances and approvals under, the Competition Act (Canada) and the Investment Canada Act;</w:t>
      </w:r>
    </w:p>
    <w:p>
      <w:pPr>
        <w:spacing w:after="0" w:line="130" w:lineRule="exact"/>
        <w:rPr>
          <w:rFonts w:ascii="Times New Roman" w:cs="Times New Roman" w:eastAsia="Times New Roman" w:hAnsi="Times New Roman"/>
          <w:sz w:val="18"/>
          <w:szCs w:val="18"/>
          <w:color w:val="auto"/>
        </w:rPr>
      </w:pPr>
    </w:p>
    <w:p>
      <w:pPr>
        <w:ind w:left="1060" w:right="440" w:hanging="316"/>
        <w:spacing w:after="0" w:line="282" w:lineRule="auto"/>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Civeo access to the books and records of Noralta until the earlier of the closing of the Acquisition or termination of the Purchase Agreement;</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cause to be filed, tax returns and elections for Noralta and its subsidiaries;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confidentiality of information shared between the parties.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Civeo has agreed to indemnify and save harmless the sellers from and against any losses of the sellers arising out of the non-fulfillment of any covenant or agreement of Civeo under the Purchase Agreement or any incorrectness in or breach of any representation or warranty of Civeo under the Purchase Agreement or any document delivered pursuant thereto, subject to the survival periods described above.</w:t>
      </w:r>
    </w:p>
    <w:p>
      <w:pPr>
        <w:spacing w:after="0" w:line="17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sellers (and Lance Torgerson, in respect of the fundamental representations only), on a joint and several basis, have agreed to indemnify and save harmless Civeo from and against any losses of Civeo or, after the closing, Noralta and its subsidiaries, arising out of the non-fulfillment of any covenant or agreement of the sellers or, prior to the closing, Noralta, or any incorrectness in or breach of any representation or warranty of the sellers contained in the Purchase Agreement or any document delivered pursuant thereto, subject to the survival periods described above. In addition, the sellers have agreed to indemnify Civeo from and against:</w:t>
      </w:r>
    </w:p>
    <w:p>
      <w:pPr>
        <w:spacing w:after="0" w:line="89" w:lineRule="exact"/>
        <w:rPr>
          <w:sz w:val="20"/>
          <w:szCs w:val="20"/>
          <w:color w:val="auto"/>
        </w:rPr>
      </w:pPr>
    </w:p>
    <w:p>
      <w:pPr>
        <w:ind w:left="1060" w:hanging="316"/>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expenses or indebtedness of Noralta which is not reflected in the sellers’ estimates of such amounts at the closing;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suffered or incurred by Civeo as a result of or arising from the pre-closing restructuring and amalgamation of Noralta;</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liability of Noralta or its subsidiaries for the period ending on or prior to the closing date;</w:t>
      </w:r>
    </w:p>
    <w:p>
      <w:pPr>
        <w:spacing w:after="0" w:line="130"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incurred by Civeo to do certain required work up to a maximum amount of C$3,400,000 if incurred on or before the date that is 18 months from the closing of the Acquisition; and</w:t>
      </w:r>
    </w:p>
    <w:p>
      <w:pPr>
        <w:spacing w:after="0" w:line="67"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for the deferred purchase price in respect of past acquisitions of any business, assets or securities, including earn-out liabilities, indemnification and similar liabilities, but excluding trade accounts payable and other accrued current liabilities included in Noralta’s closing net working capital.</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indemnification obligations of the parties set forth above are subject to certain limitations, including, among other things:</w:t>
      </w:r>
    </w:p>
    <w:p>
      <w:pPr>
        <w:spacing w:after="0" w:line="131" w:lineRule="exact"/>
        <w:rPr>
          <w:sz w:val="20"/>
          <w:szCs w:val="20"/>
          <w:color w:val="auto"/>
        </w:rPr>
      </w:pPr>
    </w:p>
    <w:p>
      <w:pPr>
        <w:ind w:left="1060" w:right="460" w:hanging="316"/>
        <w:spacing w:after="0" w:line="282"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threshold amount of losses required to be sustained prior to bringing a claim for breaches of representations (other than fundamental representations) of C$100,000 per claim and a C$1,000,000</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24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300"/>
        <w:spacing w:after="0" w:line="282" w:lineRule="auto"/>
        <w:rPr>
          <w:sz w:val="20"/>
          <w:szCs w:val="20"/>
          <w:color w:val="auto"/>
        </w:rPr>
      </w:pPr>
      <w:r>
        <w:rPr>
          <w:rFonts w:ascii="Times New Roman" w:cs="Times New Roman" w:eastAsia="Times New Roman" w:hAnsi="Times New Roman"/>
          <w:sz w:val="18"/>
          <w:szCs w:val="18"/>
          <w:color w:val="auto"/>
        </w:rPr>
        <w:t>deductible in the aggregate, after which the indemnified party shall be entitled to indemnification for the amount of all such losses above C$1,000,000;</w:t>
      </w:r>
    </w:p>
    <w:p>
      <w:pPr>
        <w:spacing w:after="0" w:line="67" w:lineRule="exact"/>
        <w:rPr>
          <w:sz w:val="20"/>
          <w:szCs w:val="20"/>
          <w:color w:val="auto"/>
        </w:rPr>
      </w:pPr>
    </w:p>
    <w:p>
      <w:pPr>
        <w:ind w:left="1060" w:right="40" w:hanging="316"/>
        <w:spacing w:after="0" w:line="282"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 on the aggregate liability of the sellers or Civeo, as applicable, equal to C$126,500,000, other than with respect to losses incurred as a result of fraud or fraudulent misrepresentation or as a result of any breach of a covenant or fundamental representation and warranty;</w:t>
      </w:r>
    </w:p>
    <w:p>
      <w:pPr>
        <w:spacing w:after="0" w:line="67" w:lineRule="exact"/>
        <w:rPr>
          <w:rFonts w:ascii="Times New Roman" w:cs="Times New Roman" w:eastAsia="Times New Roman" w:hAnsi="Times New Roman"/>
          <w:sz w:val="18"/>
          <w:szCs w:val="18"/>
          <w:color w:val="auto"/>
        </w:rPr>
      </w:pPr>
    </w:p>
    <w:p>
      <w:pPr>
        <w:ind w:left="1060" w:right="40" w:hanging="316"/>
        <w:spacing w:after="0" w:line="266"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 on the aggregate liability of the sellers (and in the case of the fundamental representations and warranties, Lance Torgerson) or Civeo, as applicable, equal to C$420,000,000 in the case of fraud or fraudulent misrepresentation or as a result of any breach of a covenant or fundamental representation and warranty;</w:t>
      </w:r>
    </w:p>
    <w:p>
      <w:pPr>
        <w:spacing w:after="0" w:line="81" w:lineRule="exact"/>
        <w:rPr>
          <w:rFonts w:ascii="Times New Roman" w:cs="Times New Roman" w:eastAsia="Times New Roman" w:hAnsi="Times New Roman"/>
          <w:sz w:val="18"/>
          <w:szCs w:val="18"/>
          <w:color w:val="auto"/>
        </w:rPr>
      </w:pPr>
    </w:p>
    <w:p>
      <w:pPr>
        <w:ind w:left="1060" w:right="20" w:hanging="316"/>
        <w:spacing w:after="0" w:line="258"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Indemnifiable losses will be limited to losses that are the direct and reasonably foreseeable consequences of any breach (which may include losses relating to diminution in value of shares and loss of profits), and no party will be entitled to punitive, exemplary, special or similar damages, or consequential damages (except where such damages are related to diminution of value of shares, loss of profits, or other damages which are the reasonably foreseeable consequences of the breach or except to the extent such damages are payable to a third party); and</w:t>
      </w:r>
    </w:p>
    <w:p>
      <w:pPr>
        <w:spacing w:after="0" w:line="89" w:lineRule="exact"/>
        <w:rPr>
          <w:rFonts w:ascii="Times New Roman" w:cs="Times New Roman" w:eastAsia="Times New Roman" w:hAnsi="Times New Roman"/>
          <w:sz w:val="18"/>
          <w:szCs w:val="18"/>
          <w:color w:val="auto"/>
        </w:rPr>
      </w:pPr>
    </w:p>
    <w:p>
      <w:pPr>
        <w:ind w:left="1060" w:right="540" w:hanging="316"/>
        <w:spacing w:after="0" w:line="282"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indemnifiable losses will be calculated net of insurance proceeds (net of any deductibles or increases in premiums associated therewith) or settlement or recovery from any third party.</w:t>
      </w:r>
    </w:p>
    <w:p>
      <w:pPr>
        <w:spacing w:after="0" w:line="162"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The parties have agreed to use commercially reasonable efforts to mitigate or minimize any claim for indemnification to reasonably cooperate to minimize any claims by the other party.</w:t>
      </w:r>
    </w:p>
    <w:p>
      <w:pPr>
        <w:spacing w:after="0" w:line="162"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Civeo has obtained a representation and warranty insurance policy, which will take effect at the closing of the Acquisition. Noralta has agreed to bear up to C$1,799,850 of the premiums and other costs and expenses of the policy, with any excess premiums and other costs and expenses being borne by Civeo. Under the Purchase Agreement, Civeo will first seek recovery of indemnifiable losses for breaches of representations and warranties under the Purchase Agreement against the funds deposited into escrow and thereafter will seek recovery under the representation and warranty insurance policy (if available) before making any claims against the sellers or Lance Torgerson personally.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Conditions Precedent to the Acquisition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Mutual Conditions Precedent</w:t>
      </w:r>
    </w:p>
    <w:p>
      <w:pPr>
        <w:spacing w:after="0" w:line="121"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Each party’s obligation to consummate the transactions contemplated by the Purchase Agreement is subject to the satisfaction or waiver of the following conditions as of the closing:</w:t>
      </w:r>
    </w:p>
    <w:p>
      <w:pPr>
        <w:spacing w:after="0" w:line="67" w:lineRule="exact"/>
        <w:rPr>
          <w:sz w:val="20"/>
          <w:szCs w:val="20"/>
          <w:color w:val="auto"/>
        </w:rPr>
      </w:pPr>
    </w:p>
    <w:p>
      <w:pPr>
        <w:ind w:left="1060" w:hanging="316"/>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applicable regulatory approvals;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specified consents from third parties in form and substance reasonably satisfactory to the sellers and Civeo;</w:t>
      </w:r>
    </w:p>
    <w:p>
      <w:pPr>
        <w:spacing w:after="0" w:line="130" w:lineRule="exact"/>
        <w:rPr>
          <w:rFonts w:ascii="Times New Roman" w:cs="Times New Roman" w:eastAsia="Times New Roman" w:hAnsi="Times New Roman"/>
          <w:sz w:val="18"/>
          <w:szCs w:val="18"/>
          <w:color w:val="auto"/>
        </w:rPr>
      </w:pPr>
    </w:p>
    <w:p>
      <w:pPr>
        <w:ind w:left="1060" w:right="240" w:hanging="316"/>
        <w:spacing w:after="0" w:line="261" w:lineRule="auto"/>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all other approvals and consents from governmental entities and third parties in respect of the transactions contemplated by the Purchase Agreement on terms and conditions reasonably acceptable to the sellers and Civeo, and the expiration or termination of all applicable statutory and regulatory waiting periods, except in each case where the failure or failures would not reasonably be expected to have a Material Adverse Effect;</w:t>
      </w:r>
    </w:p>
    <w:p>
      <w:pPr>
        <w:spacing w:after="0" w:line="85" w:lineRule="exact"/>
        <w:rPr>
          <w:rFonts w:ascii="Times New Roman" w:cs="Times New Roman" w:eastAsia="Times New Roman" w:hAnsi="Times New Roman"/>
          <w:sz w:val="18"/>
          <w:szCs w:val="18"/>
          <w:color w:val="auto"/>
        </w:rPr>
      </w:pPr>
    </w:p>
    <w:p>
      <w:pPr>
        <w:ind w:left="1060" w:hanging="316"/>
        <w:spacing w:after="0" w:line="261" w:lineRule="auto"/>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 action, suit or proceeding having been threatened or taken before or by any governmental entity or securities authority in Canada, the United States or elsewhere, and no law having been proposed, enacted, promulgated or applied, which has the effect to cease trade, enjoin, prohibit or impose material limitations or conditions on the transactions contemplated by the Purchase Agreement or which, if the Acquisition were consummated, would materially and adversely affect Civeo or Noralta or its subsidiaries; and</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24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820" w:hanging="316"/>
        <w:spacing w:after="0" w:line="282" w:lineRule="auto"/>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Civeo of all applicable shareholder approvals and the approval of the listing of the Common Shares to be issued in the Acquisition on the NYSE.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Conditions Precedent for the Benefit of Civeo</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The obligation of Civeo to consummate the transactions contemplated by the Purchase Agreement is subject to the satisfaction or waiver of the following conditions as of the closing:</w:t>
      </w:r>
    </w:p>
    <w:p>
      <w:pPr>
        <w:spacing w:after="0" w:line="67" w:lineRule="exact"/>
        <w:rPr>
          <w:sz w:val="20"/>
          <w:szCs w:val="20"/>
          <w:color w:val="auto"/>
        </w:rPr>
      </w:pPr>
    </w:p>
    <w:p>
      <w:pPr>
        <w:ind w:left="1060" w:right="20" w:hanging="316"/>
        <w:spacing w:after="0" w:line="258"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sellers (other than the fundamental representations and warranties and without giving effect to any qualification by reference to materiality, material respects or Material Adverse Effect set forth therein) shall be true and correct at the closing of the Acquisition as if made at and as of the closing of the Acquisition (except to the extent any such representations and warranties expressly speak of an earlier date, in which case such representations and warranties shall be true and correct as of such earlier date), except for any breaches that individually or in the aggregate would not have a Material Adverse Effect;</w:t>
      </w:r>
    </w:p>
    <w:p>
      <w:pPr>
        <w:spacing w:after="0" w:line="89" w:lineRule="exact"/>
        <w:rPr>
          <w:rFonts w:ascii="Times New Roman" w:cs="Times New Roman" w:eastAsia="Times New Roman" w:hAnsi="Times New Roman"/>
          <w:sz w:val="18"/>
          <w:szCs w:val="18"/>
          <w:color w:val="auto"/>
        </w:rPr>
      </w:pPr>
    </w:p>
    <w:p>
      <w:pPr>
        <w:ind w:left="1060" w:right="140" w:hanging="316"/>
        <w:spacing w:after="0" w:line="266"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representations and warranties of the sellers shall be true and correct at the closing of the Acquisition as if made at and as of the closing of the Acquisition (except to the extent any such representations and warranties expressly speak of an earlier date, in which case such representations and warranties shall be true and correct as of such earlier date);</w:t>
      </w:r>
    </w:p>
    <w:p>
      <w:pPr>
        <w:spacing w:after="0" w:line="81"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performed or complied in all material respects with all of the obligations and covenants and conditions of the Purchase Agreement to be performed prior to the closing of the Acquisition;</w:t>
      </w:r>
    </w:p>
    <w:p>
      <w:pPr>
        <w:spacing w:after="0" w:line="67" w:lineRule="exact"/>
        <w:rPr>
          <w:rFonts w:ascii="Times New Roman" w:cs="Times New Roman" w:eastAsia="Times New Roman" w:hAnsi="Times New Roman"/>
          <w:sz w:val="18"/>
          <w:szCs w:val="18"/>
          <w:color w:val="auto"/>
        </w:rPr>
      </w:pPr>
    </w:p>
    <w:p>
      <w:pPr>
        <w:ind w:left="1060" w:right="780" w:hanging="316"/>
        <w:spacing w:after="0" w:line="282"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delivered to Civeo a certificate of an authorized officer (or equivalent) of each of the sellers, and of Noralta, confirming the matters set forth in the three preceding bullet points;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Material Adverse Effect with respect to Noralta or any of its subsidiaries;</w:t>
      </w:r>
    </w:p>
    <w:p>
      <w:pPr>
        <w:spacing w:after="0" w:line="130"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changes with respect to Noralta’s contracts with specified customers which may reasonably be considered to result in a Material Adverse Effect on Noralta, Civeo or the Acquisition;</w:t>
      </w:r>
    </w:p>
    <w:p>
      <w:pPr>
        <w:spacing w:after="0" w:line="67"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shall have either (x) received consent from the Regional Municipality of Wood Buffalo for the continuation of all existing business licenses and permits or (y) obtained new business licenses and permits as are required for the operation of Noralta’s business;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shall have received copies of certain transaction documents, executed by the other parties thereto;</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66"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be, immediately before the closing of the Acquisition, the legal and beneficial owners of the shares to be purchased in the Acquisition and shall have delivered original share certificates representing such shares, together with executed stock powers or other instruments of transfer, transferring such shares free and clear of any encumbrances;</w:t>
      </w:r>
    </w:p>
    <w:p>
      <w:pPr>
        <w:spacing w:after="0" w:line="81"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outstanding options, warrants or any other convertible securities or rights to acquire any of the shares to be purchased in the Acquisition as of the closing of the Acquisition; and</w:t>
      </w:r>
    </w:p>
    <w:p>
      <w:pPr>
        <w:spacing w:after="0" w:line="67" w:lineRule="exact"/>
        <w:rPr>
          <w:rFonts w:ascii="Times New Roman" w:cs="Times New Roman" w:eastAsia="Times New Roman" w:hAnsi="Times New Roman"/>
          <w:sz w:val="18"/>
          <w:szCs w:val="18"/>
          <w:color w:val="auto"/>
        </w:rPr>
      </w:pPr>
    </w:p>
    <w:p>
      <w:pPr>
        <w:ind w:left="1060" w:right="600" w:hanging="316"/>
        <w:spacing w:after="0" w:line="282"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for borrowed money of Noralta and its subsidiaries, other than trade payables and accrued liabilities included in net working capital, shall have been repaid and the related security interests shall have been discharged and released.</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Conditions Precedent for the Benefit of the Sellers</w:t>
      </w:r>
    </w:p>
    <w:p>
      <w:pPr>
        <w:spacing w:after="0" w:line="12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The obligation of each seller to consummate the transactions contemplated by the Purchase Agreement is subject to the satisfaction or waiver of the following conditions as of the closing:</w:t>
      </w:r>
    </w:p>
    <w:p>
      <w:pPr>
        <w:spacing w:after="0" w:line="67" w:lineRule="exact"/>
        <w:rPr>
          <w:sz w:val="20"/>
          <w:szCs w:val="20"/>
          <w:color w:val="auto"/>
        </w:rPr>
      </w:pPr>
    </w:p>
    <w:p>
      <w:pPr>
        <w:ind w:left="5620" w:right="3980" w:hanging="4876"/>
        <w:spacing w:after="0" w:line="454" w:lineRule="auto"/>
        <w:tabs>
          <w:tab w:leader="none" w:pos="10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shall have paid the purchase price in accordance with the Purchase Agreement; 58</w:t>
      </w:r>
    </w:p>
    <w:p>
      <w:pPr>
        <w:sectPr>
          <w:pgSz w:w="11900" w:h="16838" w:orient="portrait"/>
          <w:cols w:equalWidth="0" w:num="1">
            <w:col w:w="11220"/>
          </w:cols>
          <w:pgMar w:left="24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shall have filed articles of amendment to amend Civeo’s authorized capital to create the Preferred Shares;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to be issued to the sellers shall, upon issuance, be listed on the NYSE;</w:t>
      </w:r>
    </w:p>
    <w:p>
      <w:pPr>
        <w:spacing w:after="0" w:line="130" w:lineRule="exact"/>
        <w:rPr>
          <w:rFonts w:ascii="Times New Roman" w:cs="Times New Roman" w:eastAsia="Times New Roman" w:hAnsi="Times New Roman"/>
          <w:sz w:val="18"/>
          <w:szCs w:val="18"/>
          <w:color w:val="auto"/>
        </w:rPr>
      </w:pPr>
    </w:p>
    <w:p>
      <w:pPr>
        <w:ind w:left="1060" w:hanging="316"/>
        <w:spacing w:after="0" w:line="258" w:lineRule="auto"/>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Civeo (other than the fundamental representations and warranties and without giving effect to any qualification by reference to materiality, material respects or Material Adverse Effect set forth therein) shall be true and correct at the closing of the Acquisition as if made at and as of the closing of the Acquisition (except to the extent any such representations and warranties expressly speak of an earlier date, in which case such representations and warranties shall be true and correct as of such earlier date), except for any breaches that individually or in the aggregate would not have a Material Adverse Effect;</w:t>
      </w:r>
    </w:p>
    <w:p>
      <w:pPr>
        <w:spacing w:after="0" w:line="89" w:lineRule="exact"/>
        <w:rPr>
          <w:rFonts w:ascii="Times New Roman" w:cs="Times New Roman" w:eastAsia="Times New Roman" w:hAnsi="Times New Roman"/>
          <w:sz w:val="18"/>
          <w:szCs w:val="18"/>
          <w:color w:val="auto"/>
        </w:rPr>
      </w:pPr>
    </w:p>
    <w:p>
      <w:pPr>
        <w:ind w:left="1060" w:right="100" w:hanging="316"/>
        <w:spacing w:after="0" w:line="266" w:lineRule="auto"/>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representations and warranties of Civeo shall be true and correct at the closing of the Acquisition as if made at and as of the closing of the Acquisition (except to the extent any such representations and warranties expressly speak of an earlier date, in which case such representations and warranties shall be true and correct as of such earlier date);</w:t>
      </w:r>
    </w:p>
    <w:p>
      <w:pPr>
        <w:spacing w:after="0" w:line="81" w:lineRule="exact"/>
        <w:rPr>
          <w:rFonts w:ascii="Times New Roman" w:cs="Times New Roman" w:eastAsia="Times New Roman" w:hAnsi="Times New Roman"/>
          <w:sz w:val="18"/>
          <w:szCs w:val="18"/>
          <w:color w:val="auto"/>
        </w:rPr>
      </w:pPr>
    </w:p>
    <w:p>
      <w:pPr>
        <w:ind w:left="1060" w:right="360" w:hanging="316"/>
        <w:spacing w:after="0" w:line="282" w:lineRule="auto"/>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shall have performed or complied in all material respects with all of the obligations and covenants and conditions of the Purchase Agreement to be performed prior to the closing of the Acquisition;</w:t>
      </w:r>
    </w:p>
    <w:p>
      <w:pPr>
        <w:spacing w:after="0" w:line="67"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shall have delivered to the sellers a certificate of an authorized officer of Civeo confirming the matters set forth in the three preceding bullet points;</w:t>
      </w:r>
    </w:p>
    <w:p>
      <w:pPr>
        <w:spacing w:after="0" w:line="67" w:lineRule="exact"/>
        <w:rPr>
          <w:rFonts w:ascii="Times New Roman" w:cs="Times New Roman" w:eastAsia="Times New Roman" w:hAnsi="Times New Roman"/>
          <w:sz w:val="18"/>
          <w:szCs w:val="18"/>
          <w:color w:val="auto"/>
        </w:rPr>
      </w:pPr>
    </w:p>
    <w:p>
      <w:pPr>
        <w:ind w:left="1060" w:right="160" w:hanging="316"/>
        <w:spacing w:after="0" w:line="261" w:lineRule="auto"/>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and the Preferred Shares to be issued to the sellers shall have been (i) duly authorized and validly issued as fully paid and non-assessable shares; (ii) issued to the sellers free and clear of all encumbrances, other than those arising under the transaction documents and applicable securities laws; and (iii) issued in compliance with applicable securities laws and not issued in violation of any contractual restriction;</w:t>
      </w:r>
    </w:p>
    <w:p>
      <w:pPr>
        <w:spacing w:after="0" w:line="85"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received copies of certain transaction documents, executed by Civeo;</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restructuring and amalgamation of Noralta shall have been completed to the satisfaction of the sellers;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shall have provided to the applicable governmental entity replacement letters of credit for certain existing letters of credit;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Material Adverse Effect with respect to Civeo.</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21"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The Purchase Agreement may, by notice in writing given prior to the closing of the Acquisition, be terminated on the earliest of any of the following:</w:t>
      </w:r>
    </w:p>
    <w:p>
      <w:pPr>
        <w:spacing w:after="0" w:line="67" w:lineRule="exact"/>
        <w:rPr>
          <w:sz w:val="20"/>
          <w:szCs w:val="20"/>
          <w:color w:val="auto"/>
        </w:rPr>
      </w:pPr>
    </w:p>
    <w:p>
      <w:pPr>
        <w:ind w:left="1060" w:hanging="316"/>
        <w:spacing w:after="0"/>
        <w:tabs>
          <w:tab w:leader="none" w:pos="10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Civeo, on the one hand, and the sellers, on the other hand;</w:t>
      </w:r>
    </w:p>
    <w:p>
      <w:pPr>
        <w:spacing w:after="0" w:line="130" w:lineRule="exact"/>
        <w:rPr>
          <w:rFonts w:ascii="Times New Roman" w:cs="Times New Roman" w:eastAsia="Times New Roman" w:hAnsi="Times New Roman"/>
          <w:sz w:val="18"/>
          <w:szCs w:val="18"/>
          <w:color w:val="auto"/>
        </w:rPr>
      </w:pPr>
    </w:p>
    <w:p>
      <w:pPr>
        <w:ind w:left="1060" w:right="160" w:hanging="316"/>
        <w:spacing w:after="0" w:line="282" w:lineRule="auto"/>
        <w:tabs>
          <w:tab w:leader="none" w:pos="10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Civeo, on the one hand, or the sellers, on the other hand, if the Acquisition is not consummated by 5:00 p.m. (Edmonton time) on May 31, 2018 or such later date as mutually agreed to by the parties to the Purchase Agreement;</w:t>
      </w:r>
    </w:p>
    <w:p>
      <w:pPr>
        <w:spacing w:after="0" w:line="67" w:lineRule="exact"/>
        <w:rPr>
          <w:rFonts w:ascii="Times New Roman" w:cs="Times New Roman" w:eastAsia="Times New Roman" w:hAnsi="Times New Roman"/>
          <w:sz w:val="18"/>
          <w:szCs w:val="18"/>
          <w:color w:val="auto"/>
        </w:rPr>
      </w:pPr>
    </w:p>
    <w:p>
      <w:pPr>
        <w:ind w:left="1060" w:right="140" w:hanging="316"/>
        <w:spacing w:after="0" w:line="282" w:lineRule="auto"/>
        <w:tabs>
          <w:tab w:leader="none" w:pos="10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Civeo, on the one hand, or the sellers, on the other hand, if the share issuance proposal is not approved by Civeo’s shareholders at the special meeting or at any adjournment or postponement thereof at which a vote on the share issuance proposal is taken; or</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Civeo if any of the sellers materially breaches any of its non-solicitation covenants in the Purchase Agreement.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24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Professional Fees</w:t>
      </w:r>
    </w:p>
    <w:p>
      <w:pPr>
        <w:spacing w:after="0" w:line="12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Each party to the Purchase Agreement will pay its respective legal, accounting and other professional advisory fees, costs and expenses incurred in connection with the Purchase Agreement and the transactions contemplated thereby, except as otherwise provided for therein.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121"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The Purchase Agreement permits any party thereto to deliver to the other parties a written notice of a dispute under the Purchase Agreement and requires the parties to use all commercially reasonable efforts to settle the dispute and consult and negotiate with each other in good faith to reach a mutually acceptable solution satisfactory to all parties.</w:t>
      </w:r>
    </w:p>
    <w:p>
      <w:pPr>
        <w:spacing w:after="0" w:line="176"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In the event the parties are not able to reach a mutually acceptable solution to any dispute within a period of 20 business days after receipt of a dispute notice, then the dispute shall be finally settled by arbitration in accordance with the provisions of the Arbitration Act (Alberta), based upon arbitration procedures set forth in the Purchase Agreement.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Public Announcement/Proxy Statement</w:t>
      </w:r>
    </w:p>
    <w:p>
      <w:pPr>
        <w:spacing w:after="0" w:line="12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 parties to the Purchase Agreement have agreed to consult with and obtain the consent (not to be unreasonably withheld) of each other before issuing any press release or making any other public announcement with respect to the Purchase Agreement or the transactions contemplated thereby, unless such release or announcement is required by applicable law or the listing requirements of the NYSE.</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In addition, Civeo is expressly permitted to include financial and other information pertaining to Noralta in any disclosure required to be filed with the SEC, including disclosure of the Purchase Agreement. The sellers shall have a reasonable opportunity to review and comment on any draft filing with the SEC containing information related to Noralta and its business, and Civeo shall give good faith consideration to any comments by the sellers and Noralta.</w:t>
      </w:r>
    </w:p>
    <w:p>
      <w:pPr>
        <w:spacing w:after="0" w:line="180" w:lineRule="exact"/>
        <w:rPr>
          <w:sz w:val="20"/>
          <w:szCs w:val="20"/>
          <w:color w:val="auto"/>
        </w:rPr>
      </w:pPr>
    </w:p>
    <w:p>
      <w:pPr>
        <w:jc w:val="both"/>
        <w:ind w:left="200" w:right="44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any disclosure by Civeo required by applicable securities laws, the sellers and Noralta have agreed to furnish information concerning themselves, their affiliates and the holders of their capital stock and to provide such other assistance as Civeo may reasonably request, including financial statements compliant with Regulation S-X.</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Applicable Law</w:t>
      </w:r>
    </w:p>
    <w:p>
      <w:pPr>
        <w:spacing w:after="0" w:line="121"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The Purchase Agreement is governed by and construed in accordance with the Laws of the Province of Alberta and the federal Laws of Canada applicable therein without reference to conflict of laws principles.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Successors and Assigns</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No seller shall transfer the Purchase Agreement without the prior written consent of Civeo, and Civeo shall not assign the Purchase Agreement without the prior written consent of all of the sellers.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Any party to the Purchase Agreement has the right to waive any term or condition applicable to it in a written instrument executed on behalf of such party. No amendment, modification or supplement to the Purchase Agreement shall be effective unless provided in writing and signed by all parties to the Purchase Agreement.</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24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Civeo Board Following Closing</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Civeo will take all necessary actions to cause, concurrent with the closing, the appointment, effective upon the closing, of Lance Torgerson, or with the prior written consent of Civeo, following the review and approval of the proposed nominee by the nominating committee of the Civeo Board, an alternate nominee of the Torgerson Trust (Lance Torgerson or such alternate nominee being, the “Torgerson Nominee”) to be added to the Civeo Board as a Class 1 director. After the closing, Civeo will take all necessary actions to nominate the Torgerson Nominee for election to the Civeo Board at the 2018 annual general meeting of Civeo shareholders, unless the Torgerson Nominee has failed to comply in all material respects with the governance guidelines and policies of Civeo applicable to directors during the period of time commencing on the closing date and ending on the date immediately preceding such Torgerson Nominee’s re-nomination. If at any time the Torgerson Trust owns less than 10% of the Common Shares (treating the Preferred Shares on an “as converted basis”), the Torgerson Nominee must tender his or her resignation from the Civeo Board.</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Third Parties</w:t>
      </w:r>
    </w:p>
    <w:p>
      <w:pPr>
        <w:spacing w:after="0" w:line="121"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Other than as may be permitted in connection with the indemnification obligations under the Purchase Agreement, the Purchase Agreement does not and is not intended to confer any rights or remedies upon any person or entity other than the parties thereto and their respective successors and permitted assigns, and no such party will be entitled to rely on the provisions of the Purchase Agreement.</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24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REGISTRATION RIGHTS AGREEMENT</w:t>
      </w:r>
    </w:p>
    <w:p>
      <w:pPr>
        <w:spacing w:after="0" w:line="227" w:lineRule="exact"/>
        <w:rPr>
          <w:sz w:val="20"/>
          <w:szCs w:val="20"/>
          <w:color w:val="auto"/>
        </w:rPr>
      </w:pPr>
    </w:p>
    <w:p>
      <w:pPr>
        <w:ind w:left="200" w:right="42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discussion of the Registration Rights Agreement. This is a summary only and may not contain all of the information that is important to you. A copy of the full text of the Registration Rights Agreement is attached as Annex B to this proxy statement. In the event of any discrepancy between the summary below and the full text of the Registration Rights Agreement, the Registration Rights Agreement shall control.</w:t>
      </w:r>
    </w:p>
    <w:p>
      <w:pPr>
        <w:spacing w:after="0" w:line="176"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At the closing of the Acquisition, Civeo will enter into the Registration Rights Agreement with the Torgerson Trust and 989677. In this section, each of the parties to the Registration Rights Agreement (other than Civeo) is referred to as a “Restricted Shareholder.”</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121"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 Civeo has agreed that, as soon as practicable following the date that is 18 months after the date of the Registration Rights Agreement, but in no event more than 30 days thereafter, Civeo will use its commercially reasonable efforts to prepare and file a shelf registration statement to register the Common Shares held by the Restricted Shareholders upon the closing of the Acquisition (including any Common Shares held in escrow) and any Common Shares issued upon conversion of the Preferred Shares held by the Restricted Shareholders upon the closing of the Acquisition. Civeo is obligated to use commercially reasonable efforts to cause such shelf registration statement to be declared effective by the SEC within 150 days after filing.</w:t>
      </w:r>
    </w:p>
    <w:p>
      <w:pPr>
        <w:spacing w:after="0" w:line="188"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If a shelf registration statement required under the Registration Rights Agreement does not become, or is not declared, effective within 180 days after the date that is 18 months after the date of the Registration Rights Agreement, then the dividend rate of the Preferred Shares will be increased by</w:t>
      </w:r>
    </w:p>
    <w:p>
      <w:pPr>
        <w:ind w:left="200" w:right="140" w:firstLine="4"/>
        <w:spacing w:after="0" w:line="290" w:lineRule="auto"/>
        <w:tabs>
          <w:tab w:leader="none" w:pos="41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0.25% per annum commencing on the first succeeding dividend payment date after such registration default and (ii) 0.25% per annum on each subsequent dividend payment date until such time as a shelf registration statement becomes effective (up to a maximum increase of 1.00% per annum).</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Piggyback Rights</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if Civeo proposes to file a registration statement providing for the public offering of Common Shares, for its own account or for the account of a selling shareholder, for sale to the public in an underwritten public offering for cash, the Restricted Shareholders will have customary piggyback registration rights that allow them to include their Common Shares that they own in any such registration statement, subject to proportional cutbacks. No piggyback rights will be available incidental to any public offering by Civeo (i) relating to any employee benefit, compensation, incentive or savings plan or dividend reinvestment plans, (ii) relating to the acquisition or merger by Civeo or any of its subsidiaries of or with any other business, (iii) under Civeo’s existing shelf registration statement on Form S-3, (iv) to be registered on a registration statement on Form S-4 or Form S-8 (or any successor forms thereto) or a registration statement for the offering or sale of the Common Shares issuable upon conversion of debt securities, or (v) only to existing holders of securities issued by Civeo (including the Restricted Shareholders).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Limitations; Expenses; Indemnification</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Restricted Shareholders’ registration rights are subject to certain customary limitations, including Civeo’s right to delay or withdraw a registration statement under certain circumstances. Civeo generally will be required to bear the registration expenses, other than underwriting discounts and commissions and transfer taxes or stamp or other duties attributable to a Restricted Shareholder’s sale or other disposition of the Common Shares. In addition, Civeo will pay the reasonable fees and expenses of one legal counsel selected by the majority-in-interest of the Restricted Shareholders participating in any public offering. Under the Registration Rights Agreement, Civeo has agreed to indemnify the Restricted Shareholders against any losses, claims,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24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1" w:lineRule="auto"/>
        <w:rPr>
          <w:sz w:val="20"/>
          <w:szCs w:val="20"/>
          <w:color w:val="auto"/>
        </w:rPr>
      </w:pPr>
      <w:r>
        <w:rPr>
          <w:rFonts w:ascii="Times New Roman" w:cs="Times New Roman" w:eastAsia="Times New Roman" w:hAnsi="Times New Roman"/>
          <w:sz w:val="18"/>
          <w:szCs w:val="18"/>
          <w:color w:val="auto"/>
        </w:rPr>
        <w:t>damages or liabilities resulting from any untrue statement or omission of a material fact in any registration statement or prospectus pursuant to which they sell Common Shares, unless such liability arose from their misstatement or omission, and each of the Restricted Shareholders, severally and individually, has agreed to indemnify Civeo against any losses, claims, damages or liabilities caused by such Restricted Shareholder’s misstatements or omissions in those documents.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Standstill and Voting Restrictions</w:t>
      </w:r>
    </w:p>
    <w:p>
      <w:pPr>
        <w:spacing w:after="0" w:line="121" w:lineRule="exact"/>
        <w:rPr>
          <w:sz w:val="20"/>
          <w:szCs w:val="20"/>
          <w:color w:val="auto"/>
        </w:rPr>
      </w:pPr>
    </w:p>
    <w:p>
      <w:pPr>
        <w:ind w:left="200" w:firstLine="441"/>
        <w:spacing w:after="0" w:line="269" w:lineRule="auto"/>
        <w:rPr>
          <w:sz w:val="20"/>
          <w:szCs w:val="20"/>
          <w:color w:val="auto"/>
        </w:rPr>
      </w:pPr>
      <w:r>
        <w:rPr>
          <w:rFonts w:ascii="Times New Roman" w:cs="Times New Roman" w:eastAsia="Times New Roman" w:hAnsi="Times New Roman"/>
          <w:sz w:val="17"/>
          <w:szCs w:val="17"/>
          <w:color w:val="auto"/>
        </w:rPr>
        <w:t>The Restricted Shareholders will be subject to customary standstill restrictions, including a restriction on the purchase of additional Common Shares, and a restriction on voting their Common Shares that limits the voting by such holders of Common Shares (including Common Shares held in escrow) in excess of 15% of the voting power of the outstanding Common Shares, which will be voted consistently with all other Civeo shareholders (other than the Restricted Shareholders). In addition, the Restricted Shareholders have agreed not to, directly or indirectly, (i) solicit shareholders for the approval of any shareholder proposals, (ii) propose or seek to effect a change of control of Civeo, (iii) engage in a proxy solicitation involving Civeo, or</w:t>
      </w:r>
    </w:p>
    <w:p>
      <w:pPr>
        <w:spacing w:after="0" w:line="3" w:lineRule="exact"/>
        <w:rPr>
          <w:sz w:val="20"/>
          <w:szCs w:val="20"/>
          <w:color w:val="auto"/>
        </w:rPr>
      </w:pPr>
    </w:p>
    <w:p>
      <w:pPr>
        <w:ind w:left="200" w:right="100" w:firstLine="4"/>
        <w:spacing w:after="0" w:line="252" w:lineRule="auto"/>
        <w:tabs>
          <w:tab w:leader="none" w:pos="5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or otherwise participate in a group or voting trust with respect to Common Shares (other than a group comprised solely of Restricted Shareholders, their affiliates and permitted transferees) for the purpose of acquiring, holding, voting or disposing of Common Shares. The restrictions described in the preceding sentence shall not apply if Civeo has entered into a definitive agreement, the consummation of which would result in a change of control of Civeo, or any person has commenced a public tender or exchange offer which if consummated would result in a change of control of Civeo. The standstill and voting restrictions in the Registration Rights Agreement shall terminate at such time as the Common Shares owned by the Restricted Shareholders in the aggregate no longer constitute at least five percent of the Common Shares then outstanding (calculated assuming conversion of all of the outstanding Preferred Shares) or upon specified bankruptcy or change of control events.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21" w:lineRule="exact"/>
        <w:rPr>
          <w:sz w:val="20"/>
          <w:szCs w:val="20"/>
          <w:color w:val="auto"/>
        </w:rPr>
      </w:pPr>
    </w:p>
    <w:p>
      <w:pPr>
        <w:ind w:left="200" w:right="100" w:firstLine="441"/>
        <w:spacing w:after="0" w:line="254" w:lineRule="auto"/>
        <w:rPr>
          <w:sz w:val="20"/>
          <w:szCs w:val="20"/>
          <w:color w:val="auto"/>
        </w:rPr>
      </w:pPr>
      <w:r>
        <w:rPr>
          <w:rFonts w:ascii="Times New Roman" w:cs="Times New Roman" w:eastAsia="Times New Roman" w:hAnsi="Times New Roman"/>
          <w:sz w:val="18"/>
          <w:szCs w:val="18"/>
          <w:color w:val="auto"/>
        </w:rPr>
        <w:t>Each Restricted Shareholder will not transfer any of its Common Shares or Preferred Shares for a period of 18 months after the date of the Registration Rights Agreement, subject to certain exceptions, including transfers to affiliates. After the 18-month restricted period, any Restricted Shareholder will be permitted to transfer their Common Shares in any public offering or in a sale transaction pursuant to and in accordance with Rule 144 under the Securities Act, so long as no such transfer, when taken together with any and all other transfers during the period of 90 consecutive days ending on the date of such transfer, involves a number of Common Shares in excess of 10 percent of the number of such Restricted Shareholder’s Common Shares issued to such Restricted Shareholder pursuant to the Purchase Agreement (calculated assuming conversion of such Restricted Shareholder’s Preferred Shares, if any). The foregoing transfer restrictions will not apply to a transfer in a public offering pursuant to a piggyback registration statement. In addition, no Restricted Shareholder may transfer any Common Shares or Preferred Shares to any competitor of Civeo or any person, whether individually or as part of a group, would then have the right to vote more than ten percent of the Common Shares then outstanding, other than transfers in an underwritten public offering or in a market transaction pursuant to Rule 144.</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60"/>
          </w:cols>
          <w:pgMar w:left="240" w:top="455"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THE PREFERRED SHARES</w:t>
      </w:r>
    </w:p>
    <w:p>
      <w:pPr>
        <w:spacing w:after="0" w:line="227"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discussion of the proposed amendment to the Articles to establish the terms of the Preferred Shares. This is a summary only and may not contain all of the information that is important to you. A copy of the full text of the proposed amendment to the Articles is attached as Annex C to this proxy statement. In the event of any discrepancy between the summary below and the full text of the proposed amendment to the Articles, the proposed amendment to the Articles shall control.</w:t>
      </w:r>
    </w:p>
    <w:p>
      <w:pPr>
        <w:spacing w:after="0" w:line="182"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It is a condition to closing the Acquisition under the Purchase Agreement that Civeo shall have filed the proposed amendment to the Articles to amend the Articles to create the Preferred Shares. Under the proposed amendment to the Articles, the Preferred Shares will generally have the following terms: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Preferred Shares will not have voting rights, except as statutorily required.</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Preferred Shares will be entitled to receive a 2% annual dividend on the liquidation preference (initially US$10,000 per share), paid quarterly in cash or, at Civeo’s option, by increasing the Preferred Shares’ liquidation preference, or by any combination thereof. In the event that a shelf registration statement does not become effective within the time period specified in the Registration Rights Agreement, the dividend rate is subject to increase to up to a maximum of 3% until such registration statement becomes effective. For more information, please see the section entitled “The Registration Rights Agreement – Shelf Registration Statement.”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The Preferred Shares will be convertible into Common Shares at a conversion price of US$3.30 per Preferred Share, subject to customary anti-dilution adjustments, including in the case of dividends or distribution to holders of the Common Shares (the “Conversion Price”). Civeo will have the right to elect to convert the Preferred Shares into Common Shares if the 15-day volume weighted average price of the Common Shares is equal to or exceeds the Conversion Price. Holders of the Preferred Shares will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Preferred Share will, without the consent of the holders of the Preferred Shares, become convertible into the kind of securities, cash and other property that such holder of Preferred Shares would have been entitled to receive if such holder had converted its Preferred Shares into Common Shares immediately prior to such Reorganization Event.</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Civeo may, at any time and from time to time, redeem any or all of the Preferred Shares for cash at the liquidation preference, plus accrued and unpaid dividends.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200" w:right="580" w:firstLine="441"/>
        <w:spacing w:after="0" w:line="282" w:lineRule="auto"/>
        <w:rPr>
          <w:sz w:val="20"/>
          <w:szCs w:val="20"/>
          <w:color w:val="auto"/>
        </w:rPr>
      </w:pPr>
      <w:r>
        <w:rPr>
          <w:rFonts w:ascii="Times New Roman" w:cs="Times New Roman" w:eastAsia="Times New Roman" w:hAnsi="Times New Roman"/>
          <w:sz w:val="18"/>
          <w:szCs w:val="18"/>
          <w:color w:val="auto"/>
        </w:rPr>
        <w:t>The Preferred Shares will rank senior in all respects to the Common Shares with respect to dividend rights and rights upon the liquidation, dissolution or winding-up of Civeo up to the amount of the liquidation preference and accrued and unpaid dividends.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80"/>
          </w:cols>
          <w:pgMar w:left="24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CIVEO SHARE CAPITAL</w:t>
      </w:r>
    </w:p>
    <w:p>
      <w:pPr>
        <w:spacing w:after="0" w:line="227" w:lineRule="exact"/>
        <w:rPr>
          <w:sz w:val="20"/>
          <w:szCs w:val="20"/>
          <w:color w:val="auto"/>
        </w:rPr>
      </w:pPr>
    </w:p>
    <w:p>
      <w:pPr>
        <w:ind w:left="200" w:right="120" w:firstLine="441"/>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summary of the material terms of the Civeo’s share capital following the Acquisition is not intended to be a complete summary of the rights and preferences of such share capital. We urge you to read Civeo’s Notice of Articles, Articles and the proposed amendment to the Articles in their entirety for a complete description of the rights and preferences of Civeo’s securities following the Acquisition. The terms of the Preferred Shares are described in “Description of the Preferred Shares,” and the full text of the terms of proposed amendment to the Articles is attached as Annex C to this proxy statement. Copies of Civeo’s Notice of Articles and Articles have been filed with the SEC as exhibits to its periodic reports. The terms of the Common Shares and the Preferred Shares may also be affected by British Columbia law or the Business Corporations Act (British Columbia).</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Civeo’s authorized shares consist of 550,000,000 Common Shares, up to 50,000,000 Class A preferred shares, no par value, to be issued in one or more series, and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are authorized for issuance of up to 50,000,000 Class A Series 1 Preferred Shares, and the first series of Class B preferred shares are designated as the “Class B Series 1 Preferred Shares” and are authorized for issuance of up to 50,000,000 Class B Series 1 Preferred Shares, provided that the authorized limit of the Class A Series 1 Preferred Shares and the Class B Series 1 Preferred Shares are 50,000,000 shares in the aggregate. As of February 1, 2018, 132,253,185 Common Shares have been duly and validly issued and outstanding as fully paid and non-assessable shares and no Class A Series 1 Preferred Shares or Class B Series 1 Preferred Shares issued and outstanding. The Preferred Shares issuable pursuant to the Purchase Agreement consist of Class A Series 1 Preferred Shares. None of the Common Shares are held by Civeo or on behalf of Civeo.</w:t>
      </w:r>
    </w:p>
    <w:p>
      <w:pPr>
        <w:spacing w:after="0" w:line="18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Civeo may issue shares subject to the maximum authorized share capital contained in Civeo’s Notice of Articles. The maximum number of shares that Civeo is authorized to issue out of any class or series of shares may be increased or decreased by a resolution passed at a general meeting of shareholders by two thirds of the votes cast on such resolution by shareholders voting shares that carry the right to vote at general meetings. The Civeo Board is authorized to issue new Common Shares, Class A Series 1 Preferred Shares, or Class B Series 1 Preferred Shares without shareholder approval.</w:t>
      </w:r>
    </w:p>
    <w:p>
      <w:pPr>
        <w:spacing w:after="0" w:line="180"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The rights and restrictions to which the Common Shares are subject are set out in the Articles. Civeo’s Notice of Articles and Articles permit the Civeo Board, without shareholder approval, to alter and attach special rights and restrictions to the Class A Series 1 Preferred Shares and the Class B Series 1 Preferred Shares, including the number of shares, dividend rights, liquidation preferences, voting rights, conversion rights, preemptive rights and redemption rights.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Except as provided by law or pursuant to the rights that the directors may attach to the Preferred Shares, the Class B Series 1 Preferred Shares or any future outstanding series of preferred shares, holders of the Common Shares are entitled to one vote for each share held of record on all matters submitted to a vote of the shareholders, have the right to vote for the election of directors and do not have cumulative voting rights. Except as otherwise required by law, holders of the Common Shares are not entitled to vote on any amendment to the Notice of Articles or Articles that prejudices or interferes with the rights and special rights of the Preferred Shares, Class B Series 1 Preferred Shares or any future outstanding series of preferred shares if the holders of such affected series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24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2" w:lineRule="auto"/>
        <w:rPr>
          <w:sz w:val="20"/>
          <w:szCs w:val="20"/>
          <w:color w:val="auto"/>
        </w:rPr>
      </w:pPr>
      <w:r>
        <w:rPr>
          <w:rFonts w:ascii="Times New Roman" w:cs="Times New Roman" w:eastAsia="Times New Roman" w:hAnsi="Times New Roman"/>
          <w:sz w:val="18"/>
          <w:szCs w:val="18"/>
          <w:color w:val="auto"/>
        </w:rPr>
        <w:t>are entitled, either separately or together with the holders of one or more other such series, to vote thereon pursuant to the notice of articles and articles or pursuant to British Columbia law or the Business Corporations Act (British Columbia) (the “BCA”).</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Subject to prior rights and preferences that may be applicable to the Preferred Shares, the Class B Series 1 Preferred Shares or any future outstanding series of preferred shares, holders of the Common Shares are entitled to receive ratably in proportion to the number of Common Shares held by them such dividends (payable in cash, shares or otherwise), if any, as may be declared from time to time by the Civeo Board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Conversion, Sinking Fund, Redemption, Liquidation and Preemption Rights</w:t>
      </w:r>
    </w:p>
    <w:p>
      <w:pPr>
        <w:spacing w:after="0" w:line="11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holders of the Common Shares have no preferences or rights of conversion, exchange, pre-emption or other subscription rights. There are no redemption or sinking fund provisions applicable to the Common Shares. In the event of any voluntary or involuntary liquidation, dissolution or winding-up of Civeo’s affairs, holders of the Common Shares will be entitled to share ratably in Civeo’s assets in proportion to the Common Shares held by them that are remaining after payment or provision for payment of all of Civeo’s debts and obligations and after distribution in full of preferential amounts to be distributed to holders of the outstanding Preferred Shares, the Class B Series 1 Preferred Shares or any other outstanding preferred shares, if any.</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Civeo is authorized to issue Class A preferred shares and Class B preferred shares in one or more series. Civeo has further authorized the issuance of Class A Series 1 Preferred Shares and Class B Series 1 Preferred Shares of up to 50,000,000 shares, being the limit of both series of preferred shares to be issued in the aggregate. If the Acquisition is completed, the Class A Series 1 Preferred Shares will have the rights, privileges, restrictions and conditions described in the section of this proxy statement entitled “Description of the Preferred Shares.”</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Class B Series 1 Preferred Shares shall have the rights, privileges, restrictions and conditions as determined and attached from time to time by the board of directors, without the requirement for further shareholder approval. The issuance of preferred shares, while providing flexibility in connection with possible acquisitions and other corporate purposes, could reduce the relative voting power of holders of the Common Shares. It also could affect the likelihood that holders of the Common Shares will receive dividend payments and payments upon liquidation.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of Articles and Articles</w:t>
      </w:r>
    </w:p>
    <w:p>
      <w:pPr>
        <w:spacing w:after="0" w:line="121" w:lineRule="exact"/>
        <w:rPr>
          <w:sz w:val="20"/>
          <w:szCs w:val="20"/>
          <w:color w:val="auto"/>
        </w:rPr>
      </w:pPr>
    </w:p>
    <w:p>
      <w:pPr>
        <w:jc w:val="both"/>
        <w:ind w:left="200" w:right="220" w:firstLine="441"/>
        <w:spacing w:after="0" w:line="289" w:lineRule="auto"/>
        <w:rPr>
          <w:sz w:val="20"/>
          <w:szCs w:val="20"/>
          <w:color w:val="auto"/>
        </w:rPr>
      </w:pPr>
      <w:r>
        <w:rPr>
          <w:rFonts w:ascii="Times New Roman" w:cs="Times New Roman" w:eastAsia="Times New Roman" w:hAnsi="Times New Roman"/>
          <w:sz w:val="17"/>
          <w:szCs w:val="17"/>
          <w:color w:val="auto"/>
        </w:rPr>
        <w:t>Provisions of Civeo’s Notice of Articles and Articles may delay or discourage transactions involving an actual or potential change in control or change in Civeo’s management, including transactions in which shareholders might otherwise receive a premium for their shares, or transactions that Civeo’s shareholders might otherwise deem to be in their best interests. Therefore, these provisions could adversely affect the price of Civeo’s shares.</w:t>
      </w:r>
    </w:p>
    <w:p>
      <w:pPr>
        <w:spacing w:after="0" w:line="158"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These provisions are expected to discourage coercive takeover practices and inadequate takeover bids. These provisions are also designed to encourage persons seeking to acquire control of Civeo to first negotiate with the company. Civeo believes that the benefits of increased protection and Civeo’s potential ability to negotiate with the proponent of an unfriendly or unsolicited proposal to acquire or restructure Civeo outweigh the disadvantages of discouraging these proposals because, among other things, negotiation of these proposals could result in an improvement of their terms.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24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Among other things, Civeo’s Notice of Articles and Articles:</w:t>
      </w:r>
    </w:p>
    <w:p>
      <w:pPr>
        <w:spacing w:after="0" w:line="131" w:lineRule="exact"/>
        <w:rPr>
          <w:sz w:val="20"/>
          <w:szCs w:val="20"/>
          <w:color w:val="auto"/>
        </w:rPr>
      </w:pPr>
    </w:p>
    <w:p>
      <w:pPr>
        <w:ind w:left="1060" w:right="160" w:hanging="424"/>
        <w:spacing w:after="0" w:line="266"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Civeo’s directors are divided into three classes serving staggered three-year terms, with only one class being elected each year by Civeo’s shareholders. This classified board may discourage a third party from making a tender offer or otherwise attempting to obtain control of Civeo because it generally makes it more difficult for shareholders to replace a majority of Civeo’s directors;</w:t>
      </w:r>
    </w:p>
    <w:p>
      <w:pPr>
        <w:spacing w:after="0" w:line="81" w:lineRule="exact"/>
        <w:rPr>
          <w:rFonts w:ascii="Times New Roman" w:cs="Times New Roman" w:eastAsia="Times New Roman" w:hAnsi="Times New Roman"/>
          <w:sz w:val="18"/>
          <w:szCs w:val="18"/>
          <w:color w:val="auto"/>
        </w:rPr>
      </w:pPr>
    </w:p>
    <w:p>
      <w:pPr>
        <w:ind w:left="1060" w:right="100" w:hanging="424"/>
        <w:spacing w:after="0" w:line="282"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Civeo’s directors may only be removed by shareholders passing a resolution with the requisite majority of three-quarters of the votes cast at a meeting of shareholders entitled to vote in the election of directors, voting together as a single class;</w:t>
      </w:r>
    </w:p>
    <w:p>
      <w:pPr>
        <w:spacing w:after="0" w:line="67" w:lineRule="exact"/>
        <w:rPr>
          <w:rFonts w:ascii="Times New Roman" w:cs="Times New Roman" w:eastAsia="Times New Roman" w:hAnsi="Times New Roman"/>
          <w:sz w:val="18"/>
          <w:szCs w:val="18"/>
          <w:color w:val="auto"/>
        </w:rPr>
      </w:pPr>
    </w:p>
    <w:p>
      <w:pPr>
        <w:ind w:left="1060" w:right="60" w:hanging="424"/>
        <w:spacing w:after="0" w:line="256"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with regard to shareholder proposals relating to the nomination of candidates for election as directors or new business to be brought before meetings of Civeo’s shareholders. These procedures provide that notice of shareholder proposals must be timely given in writing to Civeo’s corporate secretary prior to the meeting at which the action is to be taken. Generally, to be timely, notice must be received at Civeo’s principal executive offices not later than 120 days prior to the first anniversary date of the annual meeting for the preceding year. The Articles specify the requirements as to form and content of all shareholders’ notices. These requirements may preclude shareholders from bringing matters before the shareholders at an annual or special meeting;</w:t>
      </w:r>
    </w:p>
    <w:p>
      <w:pPr>
        <w:spacing w:after="0" w:line="93" w:lineRule="exact"/>
        <w:rPr>
          <w:rFonts w:ascii="Times New Roman" w:cs="Times New Roman" w:eastAsia="Times New Roman" w:hAnsi="Times New Roman"/>
          <w:sz w:val="18"/>
          <w:szCs w:val="18"/>
          <w:color w:val="auto"/>
        </w:rPr>
      </w:pPr>
    </w:p>
    <w:p>
      <w:pPr>
        <w:ind w:left="1060" w:right="20" w:hanging="424"/>
        <w:spacing w:after="0" w:line="261"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Civeo Board the ability to issue the Preferred Shares and the Class B Series 1 Preferred Shares. This ability makes it possible for the Civeo Board to issue, without shareholder approval, preferred shares with voting or other rights or preferences that could impede the success of any attempt to change control of Civeo. These and other provisions may have the effect of deterring hostile takeovers or delaying changes in control or management of the company;</w:t>
      </w:r>
    </w:p>
    <w:p>
      <w:pPr>
        <w:spacing w:after="0" w:line="85"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only be set by the Civeo Board;</w:t>
      </w:r>
    </w:p>
    <w:p>
      <w:pPr>
        <w:spacing w:after="0" w:line="130" w:lineRule="exact"/>
        <w:rPr>
          <w:rFonts w:ascii="Times New Roman" w:cs="Times New Roman" w:eastAsia="Times New Roman" w:hAnsi="Times New Roman"/>
          <w:sz w:val="18"/>
          <w:szCs w:val="18"/>
          <w:color w:val="auto"/>
        </w:rPr>
      </w:pPr>
    </w:p>
    <w:p>
      <w:pPr>
        <w:ind w:left="1060" w:right="320" w:hanging="424"/>
        <w:spacing w:after="0" w:line="282"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67" w:lineRule="exact"/>
        <w:rPr>
          <w:rFonts w:ascii="Times New Roman" w:cs="Times New Roman" w:eastAsia="Times New Roman" w:hAnsi="Times New Roman"/>
          <w:sz w:val="18"/>
          <w:szCs w:val="18"/>
          <w:color w:val="auto"/>
        </w:rPr>
      </w:pPr>
    </w:p>
    <w:p>
      <w:pPr>
        <w:ind w:left="1060" w:right="80" w:hanging="424"/>
        <w:spacing w:after="0" w:line="266"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81" w:lineRule="exact"/>
        <w:rPr>
          <w:rFonts w:ascii="Times New Roman" w:cs="Times New Roman" w:eastAsia="Times New Roman" w:hAnsi="Times New Roman"/>
          <w:sz w:val="18"/>
          <w:szCs w:val="18"/>
          <w:color w:val="auto"/>
        </w:rPr>
      </w:pPr>
    </w:p>
    <w:p>
      <w:pPr>
        <w:ind w:left="1060" w:hanging="424"/>
        <w:spacing w:after="0" w:line="261"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Civeo’s Notice of Articles and Articles can be amended or repealed at any annual or special meeting of shareholders or amended by the Civeo Board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85" w:lineRule="exact"/>
        <w:rPr>
          <w:rFonts w:ascii="Times New Roman" w:cs="Times New Roman" w:eastAsia="Times New Roman" w:hAnsi="Times New Roman"/>
          <w:sz w:val="18"/>
          <w:szCs w:val="18"/>
          <w:color w:val="auto"/>
        </w:rPr>
      </w:pPr>
    </w:p>
    <w:p>
      <w:pPr>
        <w:ind w:left="1060" w:right="200" w:hanging="424"/>
        <w:spacing w:after="0" w:line="258" w:lineRule="auto"/>
        <w:tabs>
          <w:tab w:leader="none" w:pos="1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Civeo Board, the holders holding at least 66 2/3% of the shares present in person or by proxy at such adjourned meeting and entitled to vote on the matter, voting together as a single class, may alter the Articles.</w:t>
      </w:r>
    </w:p>
    <w:p>
      <w:pPr>
        <w:spacing w:after="0" w:line="184"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Civeo’s directors to consider the interests of not only the company’s shareholders, but other stakeholders, such as employees and creditors, as well.</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24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Articles provide for the indemnification of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86" w:lineRule="exact"/>
        <w:rPr>
          <w:sz w:val="20"/>
          <w:szCs w:val="20"/>
          <w:color w:val="auto"/>
        </w:rPr>
      </w:pPr>
    </w:p>
    <w:p>
      <w:pPr>
        <w:jc w:val="both"/>
        <w:ind w:left="1060" w:right="640" w:hanging="424"/>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67" w:lineRule="exact"/>
        <w:rPr>
          <w:rFonts w:ascii="Times New Roman" w:cs="Times New Roman" w:eastAsia="Times New Roman" w:hAnsi="Times New Roman"/>
          <w:sz w:val="18"/>
          <w:szCs w:val="18"/>
          <w:color w:val="auto"/>
        </w:rPr>
      </w:pPr>
    </w:p>
    <w:p>
      <w:pPr>
        <w:ind w:left="1060" w:right="580" w:hanging="424"/>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67" w:lineRule="exact"/>
        <w:rPr>
          <w:rFonts w:ascii="Times New Roman" w:cs="Times New Roman" w:eastAsia="Times New Roman" w:hAnsi="Times New Roman"/>
          <w:sz w:val="18"/>
          <w:szCs w:val="18"/>
          <w:color w:val="auto"/>
        </w:rPr>
      </w:pPr>
    </w:p>
    <w:p>
      <w:pPr>
        <w:ind w:left="1060" w:right="320" w:hanging="424"/>
        <w:spacing w:after="0" w:line="261"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85" w:lineRule="exact"/>
        <w:rPr>
          <w:rFonts w:ascii="Times New Roman" w:cs="Times New Roman" w:eastAsia="Times New Roman" w:hAnsi="Times New Roman"/>
          <w:sz w:val="18"/>
          <w:szCs w:val="18"/>
          <w:color w:val="auto"/>
        </w:rPr>
      </w:pPr>
    </w:p>
    <w:p>
      <w:pPr>
        <w:ind w:left="1060" w:right="360" w:hanging="424"/>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62"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6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Articles also provide that Civeo will indemnify its directors and officers to the fullest extent permitted by British Columbia law. The Articles also permit Civeo to purchase insurance on behalf of any officer, director, employee or other agent of the company or, at its request, of another entity, for any liability arising out of that person’s actions in such capacity. Civeo has entered into indemnification agreements with each of its current directors and executive officers requiring Civeo to indemnify these individuals to the fullest extent permitted under British Columbia law against liability that may arise by reason of their service to Civeo, and to advance expenses incurred as a result of any proceeding against them as to which they could be indemnified, and have received a written undertaking from each such director and officer as required under British Columbia law.</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24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PRINCIPAL SHAREHOLDERS OF CIVEO AFTER THE ACQUISITION</w:t>
      </w:r>
    </w:p>
    <w:p>
      <w:pPr>
        <w:spacing w:after="0" w:line="229"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After closing of the Acquisition, assuming all shares are released from escrow, current Civeo shareholders will own approximately 68% of the outstanding Common Shares and former Noralta shareholders will own approximately 32% of the outstanding Common Shares (28% and 4% of the outstanding Common Shares by the Torgerson Trust and 989677, respectively), in each case on an as converted and fully diluted basis. If no shares are released from escrow, current Civeo shareholders will own approximately 73% of the outstanding Common Shares and former Noralta shareholders will own approximately 27% of the outstanding Common Shares, in each case on an as converted and fully diluted basis. The trustees of the Torgerson Trust are Lance Torgerson, Tammy Torgerson and Richard Torgerson. As legal title to the Common Shares and Preferred Shares to be held by the Torgerson Trust will vest in the trustees and the trustees will control and have the power to vote such shares and to exercise all rights incidental to the ownership of such shares in their capacity as the trustees of the Torgerson Trust, they may be deemed under applicable securities laws to also be the beneficial owner of such shares. Lance Torgerson is the indirect beneficial owner of all of the voting shares of 989677 and therefore may be deemed under applicable securities laws to be the beneficial owner of the Common Shares to be held by 989677.</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80"/>
          </w:cols>
          <w:pgMar w:left="240" w:top="455" w:right="4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Civeo</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Price Range of Securities</w:t>
      </w:r>
    </w:p>
    <w:p>
      <w:pPr>
        <w:spacing w:after="0" w:line="119" w:lineRule="exact"/>
        <w:rPr>
          <w:sz w:val="20"/>
          <w:szCs w:val="20"/>
          <w:color w:val="auto"/>
        </w:rPr>
      </w:pPr>
    </w:p>
    <w:p>
      <w:pPr>
        <w:jc w:val="both"/>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Common Shares trade on the NYSE under the symbol “CVEO”. On November 24, 2017, the last business day prior to the announcement of the Acquisition, the Common Shares closed at $2.01. The following table includes the high and low sales prices for the Common Shares for the periods presented.</w:t>
      </w:r>
    </w:p>
    <w:p>
      <w:pPr>
        <w:spacing w:after="0" w:line="18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Declared per</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2018</w:t>
            </w:r>
          </w:p>
        </w:tc>
        <w:tc>
          <w:tcPr>
            <w:tcW w:w="1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 (through January 26, 2018)</w:t>
            </w:r>
          </w:p>
        </w:tc>
        <w:tc>
          <w:tcPr>
            <w:tcW w:w="2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$3.81</w:t>
            </w: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$2.74</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2017</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2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$2.92</w:t>
            </w: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$1.83</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2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2.95</w:t>
            </w: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1.57</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2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3.34</w:t>
            </w: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1.75</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2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3.73</w:t>
            </w: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2.21</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2016</w:t>
            </w: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2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$2.81</w:t>
            </w: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$1.06</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2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1.93</w:t>
            </w: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2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2.40</w:t>
            </w: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2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1.64</w:t>
            </w: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0.75</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2015</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2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$1.28</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2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1.17</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25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4.95</w:t>
            </w: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2.55</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25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4.20</w:t>
            </w: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2.25</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Civeo does not currently pay any cash dividends on the Common Shares. The declaration and amount of all potential future dividends will be at the discretion of the Civeo Board and will depend upon many factors, including Civeo’s financial condition, results of operations, cash flows, prospects, industry conditions, capital requirements of Civeo’s business, covenants associated with certain debt obligations, legal requirements, regulatory constraints, industry practice and other factors the Civeo Board deems relevant. In addition, Civeo’s ability to pay dividends is limited by covenants in its credit agreement. Future agreements may also limit Civeo’s ability to pay dividends, and Civeo may incur incremental taxes if required to repatriate foreign earnings to pay such dividends. If Civeo elects to pay dividends in the future, the amount per share of such dividend payments may be changed, or dividends may again be suspended, without advance notice. The likelihood that dividends will be reduced or suspended is increased during periods of market weakness. There can be no assurance that Civeo will pay a dividend in the future.</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Noralta is a privately-held company, and there is no established trading market for its securities.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80"/>
          </w:cols>
          <w:pgMar w:left="240" w:top="455" w:right="4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DATA</w:t>
      </w:r>
    </w:p>
    <w:p>
      <w:pPr>
        <w:spacing w:after="0" w:line="229"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financial data, which we refer to as the pro forma financial statements, give effect to the Acquisition of Noralta to be accounted for under the acquisition method of accounting in accordance with Accounting Standards Codification 805, Business Combinations (“ASC 805”) by Civeo.</w:t>
      </w:r>
    </w:p>
    <w:p>
      <w:pPr>
        <w:spacing w:after="0" w:line="176"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statements of operations have been prepared to give effect to the Acquisition as if it had been completed on January 1, 2016. The unaudited pro forma combined balance sheet has been prepared to give effect to the Acquisition as if it had been completed on September 30, 2017.</w:t>
      </w:r>
    </w:p>
    <w:p>
      <w:pPr>
        <w:spacing w:after="0" w:line="176" w:lineRule="exact"/>
        <w:rPr>
          <w:sz w:val="20"/>
          <w:szCs w:val="20"/>
          <w:color w:val="auto"/>
        </w:rPr>
      </w:pPr>
    </w:p>
    <w:p>
      <w:pPr>
        <w:ind w:left="200" w:right="220" w:firstLine="441"/>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are based on the historical audited and unaudited consolidated financial position and results of operations of Civeo and Noralta. The pro forma financial statements should be read in conjunction with the information contained in the sections entitled “The Acquisition,” “Summary – Selected Historical Financial Data of Noralta,” “Summary – Selected Historical Financial Data of Civeo” and “Annex E – Noralta Management’s Discussion and Analysis of Financial Condition and Results of Operations” of this proxy statement and the historical consolidated financial statements and related notes appearing elsewhere in, or incorporated by reference into, this proxy statement.</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set forth in the Purchase Agreement, at closing, Civeo will acquire, directly or indirectly, all of the issued and outstanding shares of Noralta. As a result, Civeo will account for the Acquisition as an acquisition of Noralta. Accordingly, Noralta’s tangible and identifiable intangible assets acquired and liabilities assumed will be recorded at fair value at the date of completion of the Acquisition, with the excess of the purchase consideration over the fair value of Noralta’s net assets being recorded as goodwill. Valuations of property, plant and equipment and intangible and other assets acquired and liabilities assumed are preliminary as management is still reviewing the characteristics and assumptions related to Noralta’s assets acquired and liabilities assumed. Estimates and assumptions are subject to change upon finalization of these preliminary valuations at the time of consummation of the Acquisition. After consummation of the Acquisition, the completion of the valuation work could result in significantly different depreciation and amortization expenses and balance sheet classifications.</w:t>
      </w:r>
    </w:p>
    <w:p>
      <w:pPr>
        <w:spacing w:after="0" w:line="18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pro forma financial statements were prepared in accordance with Article 11 of SEC Regulation S-X. The pro forma adjustments reflecting completion of the Acquisition are based upon the acquisition method of accounting in accordance with U.S. GAAP, and upon the assumptions set forth in the notes to the pro forma financial statements.</w:t>
      </w:r>
    </w:p>
    <w:p>
      <w:pPr>
        <w:spacing w:after="0" w:line="176"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historical financial data has been adjusted to give pro forma effect to events that are (1) directly attributable to the Acquisition, (2) factually supportable, and (3) with respect to the statements of operations, expected to have a continuing impact on the combined results. The pro forma financial statements do not reflect any revenue enhancements, anticipated synergies or dis-synergies, operating efficiencies or cost savings that may be achieved. The fair value adjustments applied to the assets acquired and liabilities assumed reflected in the pro forma financial data are preliminary and are based on management’s estimates of the fair value and useful lives of the assets acquired and liabilities assumed.</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pro forma adjustments included in this proxy statement are subject to modification as additional information becomes available and additional analyses are performed depending on changes in interest rates, changes in foreign currency rates, changes in share prices and the final fair value determination of the assets acquired and liabilities assumed. The final allocation of the total purchase accounting will be determined after the Acquisition is closed and after completion of thorough analyses to determine the fair value of Noralta’s tangible and identifiable intangible assets acquired and liabilities assumed as of the date the Acquisition is completed. Increases or decreases in the fair values of the net assets acquired as compared with the information shown in the pro forma financial statements may change the amount of the total purchase consideration allocated to goodwill</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24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1" w:lineRule="auto"/>
        <w:rPr>
          <w:sz w:val="20"/>
          <w:szCs w:val="20"/>
          <w:color w:val="auto"/>
        </w:rPr>
      </w:pPr>
      <w:r>
        <w:rPr>
          <w:rFonts w:ascii="Times New Roman" w:cs="Times New Roman" w:eastAsia="Times New Roman" w:hAnsi="Times New Roman"/>
          <w:sz w:val="18"/>
          <w:szCs w:val="18"/>
          <w:color w:val="auto"/>
        </w:rPr>
        <w:t>and other assets and liabilities, and may impact the combined statements of operations due to adjustments in depreciation and amortization of the adjusted assets or liabilities. Any changes to Noralta’s equity, including results of operations from August 31, 2017 through the date the Acquisition is completed, will also change the purchase accounting, which may include the recording of a lower or higher amount of goodwill. The final adjustments may be materially different from the pro forma financial statements presented in this proxy statement.</w:t>
      </w:r>
    </w:p>
    <w:p>
      <w:pPr>
        <w:spacing w:after="0" w:line="18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are not intended to represent or be indicative of the consolidated results of operations or financial position that would have been reported had the Acquisition been completed as of the dates presented, and should not be taken as representative of the future consolidated results of operations or financial position of the combined company following the Acquisition. The actual financial position and results of operations of the combined company following the Acquisition may significantly differ from the pro forma financial statements reflected herein due to a variety of factors.</w:t>
      </w:r>
    </w:p>
    <w:p>
      <w:pPr>
        <w:spacing w:after="0" w:line="184" w:lineRule="exact"/>
        <w:rPr>
          <w:sz w:val="20"/>
          <w:szCs w:val="20"/>
          <w:color w:val="auto"/>
        </w:rPr>
      </w:pPr>
    </w:p>
    <w:p>
      <w:pPr>
        <w:jc w:val="center"/>
        <w:ind w:left="380" w:right="500"/>
        <w:spacing w:after="0" w:line="454" w:lineRule="auto"/>
        <w:rPr>
          <w:sz w:val="20"/>
          <w:szCs w:val="20"/>
          <w:color w:val="auto"/>
        </w:rPr>
      </w:pPr>
      <w:r>
        <w:rPr>
          <w:rFonts w:ascii="Times New Roman" w:cs="Times New Roman" w:eastAsia="Times New Roman" w:hAnsi="Times New Roman"/>
          <w:sz w:val="18"/>
          <w:szCs w:val="18"/>
          <w:color w:val="auto"/>
        </w:rPr>
        <w:t>The pro forma financial statements are based upon available information and certain assumptions that management believes are reasonable. 72</w:t>
      </w:r>
    </w:p>
    <w:p>
      <w:pPr>
        <w:sectPr>
          <w:pgSz w:w="11900" w:h="16838" w:orient="portrait"/>
          <w:cols w:equalWidth="0" w:num="1">
            <w:col w:w="11200"/>
          </w:cols>
          <w:pgMar w:left="24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2"/>
                <w:szCs w:val="12"/>
                <w:color w:val="auto"/>
              </w:rPr>
            </w:pPr>
          </w:p>
        </w:tc>
        <w:tc>
          <w:tcPr>
            <w:tcW w:w="12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Noralta</w:t>
            </w: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4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Civeo</w:t>
            </w:r>
          </w:p>
        </w:tc>
        <w:tc>
          <w:tcPr>
            <w:tcW w:w="14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(Notes 2 and 6)</w:t>
            </w:r>
          </w:p>
        </w:tc>
        <w:tc>
          <w:tcPr>
            <w:tcW w:w="15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ind w:left="208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113,870</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4(a)</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(167,872)</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4(c)</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(54,164)</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59,951</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4(b)</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137,452</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4(b)</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89,265</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4(b)</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232,504</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1,314,098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4(c)</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(11,314)</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(5,476)</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113,870</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4(a)</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(56,077)</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41,068</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4(f)</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(1,079)</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92,306</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(382,127)</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1,382,160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117,392</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4(b)</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1,499,552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4(b)</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(531,534)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(337,373)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450,597</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(6,000)</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4(d)</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(113,224)</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4(b)</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shares held in treasury at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(324,563)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Civeo Corporation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(337,373)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522,325</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(337,373)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522,325</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232,504</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1,314,098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Information.</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240" w:top="455" w:right="4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NINE MONTHS ENDED SEPTEMBER 30, 2017</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 Dollar In Thousands, Except Per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Pr>
          <w:p>
            <w:pPr>
              <w:spacing w:after="0"/>
              <w:rPr>
                <w:sz w:val="12"/>
                <w:szCs w:val="12"/>
                <w:color w:val="auto"/>
              </w:rPr>
            </w:pPr>
          </w:p>
        </w:tc>
        <w:tc>
          <w:tcPr>
            <w:tcW w:w="12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Noralta</w:t>
            </w: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Civeo</w:t>
            </w:r>
          </w:p>
        </w:tc>
        <w:tc>
          <w:tcPr>
            <w:tcW w:w="14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2 and 6)</w:t>
            </w:r>
          </w:p>
        </w:tc>
        <w:tc>
          <w:tcPr>
            <w:tcW w:w="15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and other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274,438</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83,959</w:t>
            </w:r>
          </w:p>
        </w:tc>
        <w:tc>
          <w:tcPr>
            <w:tcW w:w="26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(1,113)</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357,284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280,928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363,774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and other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179,044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(1,113)</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221,783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(673)</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5(b)</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(10,899)</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5(c)</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4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333,371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395,294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(52,443)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(31,520)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to third-parties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(2,871)</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(67,666)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(46,424)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(763)</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5(f)</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(57,791)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(42,337)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income (loss) attributable to Civeo Corporation</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(58,134)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(42,680)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 dividend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5(h)</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Civeo common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(58,134)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260" w:type="dxa"/>
            <w:vAlign w:val="bottom"/>
          </w:tcPr>
          <w:p>
            <w:pPr>
              <w:spacing w:after="0"/>
              <w:rPr>
                <w:sz w:val="20"/>
                <w:szCs w:val="20"/>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attributable to Civeo Corporation common shareholders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net loss attributable to Civeo Corporation common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127,512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32,791</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127,512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32,791</w:t>
            </w:r>
          </w:p>
        </w:tc>
        <w:tc>
          <w:tcPr>
            <w:tcW w:w="48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160,303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Information.</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240" w:top="455" w:right="41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 Dollar In Thousands, Except Per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Pr>
          <w:p>
            <w:pPr>
              <w:spacing w:after="0"/>
              <w:rPr>
                <w:sz w:val="12"/>
                <w:szCs w:val="12"/>
                <w:color w:val="auto"/>
              </w:rPr>
            </w:pPr>
          </w:p>
        </w:tc>
        <w:tc>
          <w:tcPr>
            <w:tcW w:w="130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Noralta</w:t>
            </w: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Civeo</w:t>
            </w:r>
          </w:p>
        </w:tc>
        <w:tc>
          <w:tcPr>
            <w:tcW w:w="14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2 and 6)</w:t>
            </w:r>
          </w:p>
        </w:tc>
        <w:tc>
          <w:tcPr>
            <w:tcW w:w="1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and other</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378,585</w:t>
            </w:r>
          </w:p>
        </w:tc>
        <w:tc>
          <w:tcPr>
            <w:tcW w:w="2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102,891</w:t>
            </w:r>
          </w:p>
        </w:tc>
        <w:tc>
          <w:tcPr>
            <w:tcW w:w="28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481,289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499,934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and other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290,403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5(b)</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(15,370)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5(c)</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5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574,575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(74,641)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to third-parties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(3,828)</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(4,091)</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(115,932)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(98,631)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5(f)</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(83,225)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income (loss) attributable to Civeo Corporation</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(83,786)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 dividend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(1,936)</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5(h)</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Civeo common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shareholders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(96,388)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80" w:type="dxa"/>
            <w:vAlign w:val="bottom"/>
          </w:tcPr>
          <w:p>
            <w:pPr>
              <w:spacing w:after="0"/>
              <w:rPr>
                <w:sz w:val="20"/>
                <w:szCs w:val="20"/>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(2,653)</w:t>
            </w: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attributable to Civeo Corporation common shareholders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net loss attributable to Civeo Corporation common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32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32,791</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32,791</w:t>
            </w:r>
          </w:p>
        </w:tc>
        <w:tc>
          <w:tcPr>
            <w:tcW w:w="5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Information.</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240" w:top="455" w:right="4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STATEMENTS</w:t>
      </w:r>
    </w:p>
    <w:p>
      <w:pPr>
        <w:spacing w:after="0" w:line="252" w:lineRule="exact"/>
        <w:rPr>
          <w:sz w:val="20"/>
          <w:szCs w:val="20"/>
          <w:color w:val="auto"/>
        </w:rPr>
      </w:pPr>
    </w:p>
    <w:p>
      <w:pPr>
        <w:ind w:left="640" w:hanging="436"/>
        <w:spacing w:after="0"/>
        <w:tabs>
          <w:tab w:leader="none" w:pos="6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Acquisition</w:t>
      </w:r>
    </w:p>
    <w:p>
      <w:pPr>
        <w:spacing w:after="0" w:line="121"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On November 26, 2017, Civeo and Noralta entered into the Purchase Agreement, pursuant to which Civeo will acquire, directly or indirectly, all of the issued and outstanding shares of Noralta. The consideration for the Acquisition payable at closing will be an amount equal to (i) C$209,500,000 in cash, subject to customary adjustments for Noralta’s working capital, debt, cash and unpaid transaction expenses at closing, of which C$28,500,000 will be held in escrow by the Escrow Agent to support the sellers’ indemnification obligations under the Purchase Agreement, (ii) 32,790,868 Common Shares, of which 13,491,100 shares will be held in escrow by the Escrow Agent and released in three equal installments from escrow upon the satisfaction of certain conditions related to a customer contract remaining in place in June 2021, June 2022 and June 2023, and (iii) 9,679 Preferred Shares with an initial liquidation preference of US$96,790,000. Subject to obtaining regulatory approvals and Civeo shareholder approval of the share issuance proposal, and satisfying certain other closing conditions, it is anticipated that the Acquisition will be completed in the second quarter of 2018.</w:t>
      </w:r>
    </w:p>
    <w:p>
      <w:pPr>
        <w:spacing w:after="0" w:line="330" w:lineRule="exact"/>
        <w:rPr>
          <w:sz w:val="20"/>
          <w:szCs w:val="20"/>
          <w:color w:val="auto"/>
        </w:rPr>
      </w:pPr>
    </w:p>
    <w:p>
      <w:pPr>
        <w:ind w:left="640" w:hanging="436"/>
        <w:spacing w:after="0"/>
        <w:tabs>
          <w:tab w:leader="none" w:pos="6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200" w:right="60" w:firstLine="441"/>
        <w:spacing w:after="0" w:line="254" w:lineRule="auto"/>
        <w:rPr>
          <w:sz w:val="20"/>
          <w:szCs w:val="20"/>
          <w:color w:val="auto"/>
        </w:rPr>
      </w:pPr>
      <w:r>
        <w:rPr>
          <w:rFonts w:ascii="Times New Roman" w:cs="Times New Roman" w:eastAsia="Times New Roman" w:hAnsi="Times New Roman"/>
          <w:sz w:val="18"/>
          <w:szCs w:val="18"/>
          <w:color w:val="auto"/>
        </w:rPr>
        <w:t>The pro forma financial statements are based on Civeo’s and Noralta’s historical consolidated financial statements as adjusted to give pro forma effect to the acquisition of Noralta by Civeo. Civeo’s fiscal year-end is December 31, 2016, whereas Noralta’s fiscal year-end is May 31, 2017. The unaudited pro forma combined financial statements as at September 30, 2017 and for the nine months ended September 30, 2017 and for the year ended December 31, 2016 have been prepared using calculated historical results of Noralta (the “historical adjusted results”) that end within 93 days or less of the respective pro forma period. In order to calculate the historical adjusted results for Noralta in the unaudited pro forma combined statement of operations for the nine months ended September 30, 2017, the six months ended November 30, 2016 have been deducted from the twelve months ended May 31, 2017 and this calculated six month period has been added to the three months ended August 31, 2017. For the year ended December 31, 2016, the six months ended November 30, 2015 have been deducted from the twelve months ended May 31, 2016 and this calculated six month period has been added to the six months ended November 30, 2016. Noralta’s historical adjusted balance sheet included in the pro forma financial statements is as of August 31, 2017.</w:t>
      </w:r>
    </w:p>
    <w:p>
      <w:pPr>
        <w:spacing w:after="0" w:line="186"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In addition, the historical financial information of Noralta is reported pursuant to ASPE and presented in Canadian dollars. The historical financial information of Civeo is reported pursuant to U.S. GAAP and presented in U.S. dollars. The historical adjusted results used in the preparation of the pro forma financial statements includes adjustments and reclassifications to convert the balance sheet and statements of operations of Noralta from ASPE to U.S. GAAP and to translate the financial statements from Canadian dollars to U.S. dollars (see Note 6).</w:t>
      </w:r>
    </w:p>
    <w:p>
      <w:pPr>
        <w:spacing w:after="0" w:line="18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historical financial data has been adjusted to give pro forma effect to events that are (i) directly attributable to the Acquisition, (ii) factually supportable, and (iii) with respect to the unaudited pro forma combined statements of operations, expected to have a continuing impact on the combined results. The pro forma adjustments are preliminary and based on estimates of the fair value and useful lives of the assets acquired and liabilities assumed, and have been prepared by Civeo management to illustrate the estimated effect of the Acquisition and certain other adjustments. The unaudited pro forma combined financial statements of operations for the nine months ended September 30, 2017 and the year ended December 31, 2016 give effect to the acquisition of Noralta as if it had occurred on January 1, 2016. The unaudited pro forma combined balance sheet as of September 30, 2017 gives effect to the acquisition of Noralta as if it has occurred on September 30, 2017.</w:t>
      </w:r>
    </w:p>
    <w:p>
      <w:pPr>
        <w:spacing w:after="0" w:line="189" w:lineRule="exact"/>
        <w:rPr>
          <w:sz w:val="20"/>
          <w:szCs w:val="20"/>
          <w:color w:val="auto"/>
        </w:rPr>
      </w:pPr>
    </w:p>
    <w:p>
      <w:pPr>
        <w:jc w:val="both"/>
        <w:ind w:left="200" w:right="500" w:firstLine="441"/>
        <w:spacing w:after="0" w:line="261" w:lineRule="auto"/>
        <w:rPr>
          <w:sz w:val="20"/>
          <w:szCs w:val="20"/>
          <w:color w:val="auto"/>
        </w:rPr>
      </w:pPr>
      <w:r>
        <w:rPr>
          <w:rFonts w:ascii="Times New Roman" w:cs="Times New Roman" w:eastAsia="Times New Roman" w:hAnsi="Times New Roman"/>
          <w:sz w:val="18"/>
          <w:szCs w:val="18"/>
          <w:color w:val="auto"/>
        </w:rPr>
        <w:t>Upon closing of the Acquisition, the combined company will own 100% of Noralta. Subsequent to the effective date of the Acquisition, any transactions occurring between Civeo and Noralta will be considered intercompany transactions and will be eliminated. Adjustments to reflect the elimination of balances and transactions between Civeo and Noralta as of and for the periods presented have been made in the pro forma financial statements.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24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left="200" w:right="340" w:firstLine="441"/>
        <w:spacing w:after="0" w:line="266" w:lineRule="auto"/>
        <w:rPr>
          <w:sz w:val="20"/>
          <w:szCs w:val="20"/>
          <w:color w:val="auto"/>
        </w:rPr>
      </w:pPr>
      <w:r>
        <w:rPr>
          <w:rFonts w:ascii="Times New Roman" w:cs="Times New Roman" w:eastAsia="Times New Roman" w:hAnsi="Times New Roman"/>
          <w:sz w:val="18"/>
          <w:szCs w:val="18"/>
          <w:color w:val="auto"/>
        </w:rPr>
        <w:t>The pro forma financial statements were prepared in accordance with Article 11 of SEC Regulation S-X. The accounting policies under U.S. GAAP used in the preparation of the pro forma financial statements are those set forth in Civeo’s audited financial statements included in its Annual Report on Form 10-K for the fiscal year ended December 31, 2016, which have been incorporated by reference herein.</w:t>
      </w:r>
    </w:p>
    <w:p>
      <w:pPr>
        <w:spacing w:after="0" w:line="176"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The accounting policies of Noralta under ASPE are as described in Note 2 to its historical consolidated financial statements included in this proxy statement. The conversion of the Noralta historical consolidated financial statements from ASPE to U.S. GAAP and the translation from Canadian dollar amounts into U.S. dollars is discussed further in Note 6 below.</w:t>
      </w:r>
    </w:p>
    <w:p>
      <w:pPr>
        <w:spacing w:after="0" w:line="321" w:lineRule="exact"/>
        <w:rPr>
          <w:sz w:val="20"/>
          <w:szCs w:val="20"/>
          <w:color w:val="auto"/>
        </w:rPr>
      </w:pPr>
    </w:p>
    <w:p>
      <w:pPr>
        <w:ind w:left="640" w:hanging="436"/>
        <w:spacing w:after="0"/>
        <w:tabs>
          <w:tab w:leader="none" w:pos="6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Purchase Consideration</w:t>
      </w:r>
    </w:p>
    <w:p>
      <w:pPr>
        <w:spacing w:after="0" w:line="121"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The total purchase consideration to be received by Noralta shareholders will be based on the fair value of the Common Shares and Preferred Shares deemed to be issued at the effective time of the Acquisition. The preliminary purchase consideration below reflects the estimated fair value of Common Shares issued, which is based on the price on January 26, 2018 of Civeo Common Shares of $3.58 per share. The preliminary purchase consideration below reflects the estimated fair value of Preferred Shares issued, which is valued at 76% of the initial liquidation preference of the Preferred Shares of US$96,790,000. The amount of total purchase consideration below is not necessarily indicative of the actual consideration that will be transferred at the effective time of the Acquisition to Noralta shareholders.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preliminary estimated purchase consideration and estimated fair value of Noralta’s net assets acquired as if the Acquisition closed 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January 26, 2018 is presented as follows:</w:t>
      </w:r>
    </w:p>
    <w:p>
      <w:pPr>
        <w:spacing w:after="0" w:line="225" w:lineRule="exact"/>
        <w:rPr>
          <w:sz w:val="20"/>
          <w:szCs w:val="20"/>
          <w:color w:val="auto"/>
        </w:rPr>
      </w:pPr>
    </w:p>
    <w:tbl>
      <w:tblPr>
        <w:tblLayout w:type="fixed"/>
        <w:tblInd w:w="1520" w:type="dxa"/>
        <w:tblCellMar>
          <w:top w:w="0" w:type="dxa"/>
          <w:left w:w="0" w:type="dxa"/>
          <w:bottom w:w="0" w:type="dxa"/>
          <w:right w:w="0" w:type="dxa"/>
        </w:tblCellMar>
      </w:tblPr>
      <w:tr>
        <w:trPr>
          <w:trHeight w:val="175"/>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U.S. Dollars, except per share data)</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to be issued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32,791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price as of January 26, 2018</w:t>
            </w:r>
          </w:p>
        </w:tc>
        <w:tc>
          <w:tcPr>
            <w:tcW w:w="1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Share consideration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$ 117,392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consideration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167,872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Share consideration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40" w:type="dxa"/>
            <w:vAlign w:val="bottom"/>
            <w:shd w:val="clear" w:color="auto" w:fill="CCEEFF"/>
          </w:tcPr>
          <w:p>
            <w:pPr>
              <w:spacing w:after="0"/>
              <w:rPr>
                <w:sz w:val="18"/>
                <w:szCs w:val="18"/>
                <w:color w:val="auto"/>
              </w:rPr>
            </w:pP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purchase consideration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358,824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A $1 increase/decrease in the closing price of Civeo’s Common Shares would result in a US$32,791,000 increase/decrease in goodwill and additional paid-in-capital.</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Preliminary Purchase Accounting</w:t>
      </w:r>
    </w:p>
    <w:p>
      <w:pPr>
        <w:spacing w:after="0" w:line="121"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Civeo will record the Noralta assets acquired and liabilities assumed at their respective fair value at the date of the completion of the Acquisition. The pro forma adjustments are preliminary based on estimates of the fair value and useful lives of the assets as of September 30, 2017, and have been prepared by Civeo management to illustrate the estimated effect of the Acquisition. The purchase accounting is dependent upon certain valuation and other studies that have not yet been completed. Accordingly, the preliminary purchase accounting is subject to further adjustments as additional information becomes available and as additional analyses and final valuations are conducted following the completion of the Acquisition. The final valuations could differ materially from the preliminary valuations presented below and, as such, no assurances can be provided regarding the preliminary purchase accounting.</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24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consideration to the identifiable assets acquired and liabilities assumed of Noralta, with the excess of the purchase consideration issued over the fair value of Noralta’s net assets recorded as goodwill:</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i w:val="1"/>
          <w:iCs w:val="1"/>
          <w:color w:val="auto"/>
        </w:rPr>
        <w:t>(In thousands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8890</wp:posOffset>
            </wp:positionV>
            <wp:extent cx="587438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b w:val="1"/>
          <w:bCs w:val="1"/>
          <w:color w:val="auto"/>
        </w:rPr>
        <w:t>Calculation of goodwill:</w:t>
      </w:r>
    </w:p>
    <w:p>
      <w:pPr>
        <w:spacing w:after="0" w:line="7" w:lineRule="exact"/>
        <w:rPr>
          <w:sz w:val="20"/>
          <w:szCs w:val="20"/>
          <w:color w:val="auto"/>
        </w:rPr>
      </w:pPr>
    </w:p>
    <w:tbl>
      <w:tblPr>
        <w:tblLayout w:type="fixed"/>
        <w:tblInd w:w="10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Estimated purchase consideration</w:t>
            </w:r>
          </w:p>
        </w:tc>
        <w:tc>
          <w:tcPr>
            <w:tcW w:w="2200" w:type="dxa"/>
            <w:vAlign w:val="bottom"/>
          </w:tcPr>
          <w:p>
            <w:pPr>
              <w:spacing w:after="0"/>
              <w:rPr>
                <w:sz w:val="19"/>
                <w:szCs w:val="19"/>
                <w:color w:val="auto"/>
              </w:rPr>
            </w:pP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Historical book value of net assets</w:t>
            </w:r>
          </w:p>
        </w:tc>
        <w:tc>
          <w:tcPr>
            <w:tcW w:w="220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Plus: Liabilities not assumed</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indebtedness</w:t>
            </w:r>
          </w:p>
        </w:tc>
        <w:tc>
          <w:tcPr>
            <w:tcW w:w="220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Promissory notes payable</w:t>
            </w:r>
          </w:p>
        </w:tc>
        <w:tc>
          <w:tcPr>
            <w:tcW w:w="2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 adjustments to assets acquired and liabilities assumed</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Tangible assets</w:t>
            </w:r>
          </w:p>
        </w:tc>
        <w:tc>
          <w:tcPr>
            <w:tcW w:w="220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(41,068)</w:t>
            </w: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(In thousands U.S. dollars, except estimated useful lives)</w:t>
            </w:r>
          </w:p>
        </w:tc>
        <w:tc>
          <w:tcPr>
            <w:tcW w:w="2200" w:type="dxa"/>
            <w:vAlign w:val="bottom"/>
            <w:vMerge w:val="restart"/>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5960" w:type="dxa"/>
            <w:vAlign w:val="bottom"/>
            <w:gridSpan w:val="2"/>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gridSpan w:val="2"/>
            <w:vMerge w:val="continue"/>
          </w:tcPr>
          <w:p>
            <w:pPr>
              <w:spacing w:after="0"/>
              <w:rPr>
                <w:sz w:val="15"/>
                <w:szCs w:val="15"/>
                <w:color w:val="auto"/>
              </w:rPr>
            </w:pPr>
          </w:p>
        </w:tc>
        <w:tc>
          <w:tcPr>
            <w:tcW w:w="2200" w:type="dxa"/>
            <w:vAlign w:val="bottom"/>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Noralta trade name</w:t>
            </w:r>
          </w:p>
        </w:tc>
        <w:tc>
          <w:tcPr>
            <w:tcW w:w="220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$ 2,324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22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89,265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40" w:hanging="436"/>
        <w:spacing w:after="0"/>
        <w:tabs>
          <w:tab w:leader="none" w:pos="6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Combined Balance Sheet</w:t>
      </w:r>
    </w:p>
    <w:p>
      <w:pPr>
        <w:spacing w:after="0" w:line="134" w:lineRule="exact"/>
        <w:rPr>
          <w:rFonts w:ascii="Times New Roman" w:cs="Times New Roman" w:eastAsia="Times New Roman" w:hAnsi="Times New Roman"/>
          <w:sz w:val="18"/>
          <w:szCs w:val="18"/>
          <w:b w:val="1"/>
          <w:bCs w:val="1"/>
          <w:color w:val="auto"/>
        </w:rPr>
      </w:pPr>
    </w:p>
    <w:p>
      <w:pPr>
        <w:ind w:left="1060" w:right="180" w:hanging="424"/>
        <w:spacing w:after="0" w:line="266" w:lineRule="auto"/>
        <w:tabs>
          <w:tab w:leader="none" w:pos="10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 with the closing of the Acquisition, Civeo expects to draw on its existing revolving credit facility (the “credit facility”) to finance a portion of the cash component of the purchase consideration. Adjustment represents the additional cash used and debt financing incurred by Civeo to fund the estimated purchase consideration.</w:t>
      </w:r>
    </w:p>
    <w:p>
      <w:pPr>
        <w:spacing w:after="0" w:line="81" w:lineRule="exact"/>
        <w:rPr>
          <w:rFonts w:ascii="Times New Roman" w:cs="Times New Roman" w:eastAsia="Times New Roman" w:hAnsi="Times New Roman"/>
          <w:sz w:val="18"/>
          <w:szCs w:val="18"/>
          <w:color w:val="auto"/>
        </w:rPr>
      </w:pPr>
    </w:p>
    <w:p>
      <w:pPr>
        <w:ind w:left="1060" w:right="140" w:hanging="424"/>
        <w:spacing w:after="0" w:line="282" w:lineRule="auto"/>
        <w:tabs>
          <w:tab w:leader="none" w:pos="10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adjustment to Noralta assets acquired and liabilities assumed based on the estimated preliminary fair value of the assets acquired and liabilities assumed as discussed in Note 3.</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accounts receivable and accounts payable in connection with historical services provided by Civeo to Noralta.</w:t>
      </w:r>
    </w:p>
    <w:p>
      <w:pPr>
        <w:spacing w:after="0" w:line="130" w:lineRule="exact"/>
        <w:rPr>
          <w:rFonts w:ascii="Times New Roman" w:cs="Times New Roman" w:eastAsia="Times New Roman" w:hAnsi="Times New Roman"/>
          <w:sz w:val="18"/>
          <w:szCs w:val="18"/>
          <w:color w:val="auto"/>
        </w:rPr>
      </w:pPr>
    </w:p>
    <w:p>
      <w:pPr>
        <w:ind w:left="1060" w:right="40" w:hanging="424"/>
        <w:spacing w:after="0" w:line="266" w:lineRule="auto"/>
        <w:tabs>
          <w:tab w:leader="none" w:pos="10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the future transaction related costs directly attributable to the Acquisition, including advisory and legal fees that are recorded as an adjustment to the unaudited pro forma combined balance sheet. These amounts will be expensed as incurred in the future and are not reflected in the unaudited pro forma combined statement of operations.</w:t>
      </w:r>
    </w:p>
    <w:p>
      <w:pPr>
        <w:spacing w:after="0" w:line="81" w:lineRule="exact"/>
        <w:rPr>
          <w:rFonts w:ascii="Times New Roman" w:cs="Times New Roman" w:eastAsia="Times New Roman" w:hAnsi="Times New Roman"/>
          <w:sz w:val="18"/>
          <w:szCs w:val="18"/>
          <w:color w:val="auto"/>
        </w:rPr>
      </w:pPr>
    </w:p>
    <w:p>
      <w:pPr>
        <w:ind w:left="1060" w:right="20" w:hanging="424"/>
        <w:spacing w:after="0" w:line="266" w:lineRule="auto"/>
        <w:tabs>
          <w:tab w:leader="none" w:pos="10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the elimination of historical share capital and liabilities of Noralta not assumed upon completion of the Acquisition. Based on the terms of the Purchase Agreement, certain liabilities of Noralta were not assumed by Civeo. The pro forma financial statements have been adjusted to remove such liabilities.</w:t>
      </w:r>
    </w:p>
    <w:p>
      <w:pPr>
        <w:spacing w:after="0" w:line="81" w:lineRule="exact"/>
        <w:rPr>
          <w:rFonts w:ascii="Times New Roman" w:cs="Times New Roman" w:eastAsia="Times New Roman" w:hAnsi="Times New Roman"/>
          <w:sz w:val="18"/>
          <w:szCs w:val="18"/>
          <w:color w:val="auto"/>
        </w:rPr>
      </w:pPr>
    </w:p>
    <w:p>
      <w:pPr>
        <w:ind w:left="1060" w:right="160" w:hanging="424"/>
        <w:spacing w:after="0" w:line="282" w:lineRule="auto"/>
        <w:tabs>
          <w:tab w:leader="none" w:pos="10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adjustment to deferred tax liabilities resulting from the preliminary purchase accounting adjustments to assets acquired utilizing the Canadian Federal statutory tax rate of 27%.</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60"/>
          </w:cols>
          <w:pgMar w:left="240" w:top="455" w:right="49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Combined Statements of Operations</w:t>
      </w:r>
    </w:p>
    <w:p>
      <w:pPr>
        <w:spacing w:after="0" w:line="134" w:lineRule="exact"/>
        <w:rPr>
          <w:rFonts w:ascii="Times New Roman" w:cs="Times New Roman" w:eastAsia="Times New Roman" w:hAnsi="Times New Roman"/>
          <w:sz w:val="18"/>
          <w:szCs w:val="18"/>
          <w:b w:val="1"/>
          <w:bCs w:val="1"/>
          <w:color w:val="auto"/>
        </w:rPr>
      </w:pPr>
    </w:p>
    <w:p>
      <w:pPr>
        <w:ind w:left="1060" w:hanging="424"/>
        <w:spacing w:after="0"/>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revenue and expenses in connection with historical services provided by Civeo to Noralta.</w:t>
      </w:r>
    </w:p>
    <w:p>
      <w:pPr>
        <w:spacing w:after="0" w:line="130" w:lineRule="exact"/>
        <w:rPr>
          <w:rFonts w:ascii="Times New Roman" w:cs="Times New Roman" w:eastAsia="Times New Roman" w:hAnsi="Times New Roman"/>
          <w:sz w:val="18"/>
          <w:szCs w:val="18"/>
          <w:color w:val="auto"/>
        </w:rPr>
      </w:pPr>
    </w:p>
    <w:p>
      <w:pPr>
        <w:ind w:left="1060" w:right="20" w:hanging="424"/>
        <w:spacing w:after="0" w:line="266" w:lineRule="auto"/>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transaction related expenses that were directly attributable to the Acquisition, including advisory and legal fees. There were no such expenditures incurred in the year ended December 31, 2016. For pro forma purposes, these expenditures have been removed from the unaudited pro forma combined statements of operations, as they are non-recurring transaction related expenses.</w:t>
      </w:r>
    </w:p>
    <w:p>
      <w:pPr>
        <w:spacing w:after="0" w:line="81" w:lineRule="exact"/>
        <w:rPr>
          <w:rFonts w:ascii="Times New Roman" w:cs="Times New Roman" w:eastAsia="Times New Roman" w:hAnsi="Times New Roman"/>
          <w:sz w:val="18"/>
          <w:szCs w:val="18"/>
          <w:color w:val="auto"/>
        </w:rPr>
      </w:pPr>
    </w:p>
    <w:p>
      <w:pPr>
        <w:ind w:left="1060" w:hanging="424"/>
        <w:spacing w:after="0" w:line="266" w:lineRule="auto"/>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Noralta’s historical depreciation and amortization expense, and the recognition of depreciation and amortization expense based on the fair value of the assets acquired (see Note 4 (b)) which will be amortized over the remaining useful life of the asset using Civeo’s useful life assumption for the respective asset classes.</w:t>
      </w:r>
    </w:p>
    <w:p>
      <w:pPr>
        <w:spacing w:after="0" w:line="81" w:lineRule="exact"/>
        <w:rPr>
          <w:rFonts w:ascii="Times New Roman" w:cs="Times New Roman" w:eastAsia="Times New Roman" w:hAnsi="Times New Roman"/>
          <w:sz w:val="18"/>
          <w:szCs w:val="18"/>
          <w:color w:val="auto"/>
        </w:rPr>
      </w:pPr>
    </w:p>
    <w:p>
      <w:pPr>
        <w:ind w:left="1060" w:right="480" w:hanging="424"/>
        <w:spacing w:after="0" w:line="282" w:lineRule="auto"/>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Noralta’s historical interest expense and gain on extinguishment of debt. Based on the terms of the asset purchase agreement, none of Noralta’s long-term debt was assumed by Civeo in the Acquisition.</w:t>
      </w:r>
    </w:p>
    <w:p>
      <w:pPr>
        <w:spacing w:after="0" w:line="67" w:lineRule="exact"/>
        <w:rPr>
          <w:rFonts w:ascii="Times New Roman" w:cs="Times New Roman" w:eastAsia="Times New Roman" w:hAnsi="Times New Roman"/>
          <w:sz w:val="18"/>
          <w:szCs w:val="18"/>
          <w:color w:val="auto"/>
        </w:rPr>
      </w:pPr>
    </w:p>
    <w:p>
      <w:pPr>
        <w:ind w:left="1060" w:right="140" w:hanging="424"/>
        <w:spacing w:after="0" w:line="255" w:lineRule="auto"/>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record interest expense related to additional financing required to fund the cash component of the purchase consideration. Simultaneous with the closing of the Acquisition, Civeo expects to draw on its credit facility to finance a portion of the cash component of the purchase consideration. To reflect this additional financing, there is an adjustment to include additional interest expense calculated using a rate of 5.0% on the additional draw against the credit facility, less a reduction related to the undrawn commitment fee contained within the credit facility calculated using a rate of 0.79%. Each 0.125% change in assumed interest rates for our credit facility would change pro forma interest expense by approximately $0.1 million for both the nine months ended September 30, 2017 and for the year ended December 31, 2016.</w:t>
      </w:r>
    </w:p>
    <w:p>
      <w:pPr>
        <w:spacing w:after="0" w:line="94"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preliminary purchase accounting adjustments utilizing the Canadian statutory tax rate of 27%.</w:t>
      </w:r>
    </w:p>
    <w:p>
      <w:pPr>
        <w:spacing w:after="0" w:line="130" w:lineRule="exact"/>
        <w:rPr>
          <w:rFonts w:ascii="Times New Roman" w:cs="Times New Roman" w:eastAsia="Times New Roman" w:hAnsi="Times New Roman"/>
          <w:sz w:val="18"/>
          <w:szCs w:val="18"/>
          <w:color w:val="auto"/>
        </w:rPr>
      </w:pPr>
    </w:p>
    <w:p>
      <w:pPr>
        <w:ind w:left="1060" w:hanging="424"/>
        <w:spacing w:after="0" w:line="282" w:lineRule="auto"/>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the weighted average shares outstanding for Civeo to illustrate the number of Common Shares that are expected to be issued to consummate the Acquisition and assumes no conversion of the Preferred Shares as such conversion would be anti-dilutive.</w:t>
      </w:r>
    </w:p>
    <w:p>
      <w:pPr>
        <w:spacing w:after="0" w:line="67" w:lineRule="exact"/>
        <w:rPr>
          <w:rFonts w:ascii="Times New Roman" w:cs="Times New Roman" w:eastAsia="Times New Roman" w:hAnsi="Times New Roman"/>
          <w:sz w:val="18"/>
          <w:szCs w:val="18"/>
          <w:color w:val="auto"/>
        </w:rPr>
      </w:pPr>
    </w:p>
    <w:p>
      <w:pPr>
        <w:ind w:left="1060" w:right="280" w:hanging="424"/>
        <w:spacing w:after="0" w:line="282" w:lineRule="auto"/>
        <w:tabs>
          <w:tab w:leader="none" w:pos="10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record dividends related to the Preferred Shares calculated using the 2% annual dividend rate and the initial liquidation preference.</w:t>
      </w:r>
    </w:p>
    <w:p>
      <w:pPr>
        <w:spacing w:after="0" w:line="306"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Noralta Historical Financial Statements to Conform to U.S. GAAP</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Noralta’s historical financial statements have been prepared in accordance with ASPE, which differs in certain material respects from U.S. GAAP. In order to prepare pro forma financial statements, Noralta’s historical financial statements have been adjusted to reflect Noralta’s consolidated statements of operations and statement of financial position on a U.S. GAAP basis.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00"/>
          </w:cols>
          <w:pgMar w:left="24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HISTORICAL ADJUSTED BALANCE SHEET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AUGUST 31, 2017</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U.S. Dollars (“USD”) and Canadian Dollars (“CAD”) )</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ASPE to</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13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Noralta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Noralta</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6(a))</w:t>
            </w:r>
          </w:p>
        </w:tc>
        <w:tc>
          <w:tcPr>
            <w:tcW w:w="12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Noralta</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6(c))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6"/>
                <w:szCs w:val="16"/>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1"/>
              </w:rPr>
              <w:t>637</w:t>
            </w:r>
          </w:p>
        </w:tc>
        <w:tc>
          <w:tcPr>
            <w:tcW w:w="300" w:type="dxa"/>
            <w:vAlign w:val="bottom"/>
          </w:tcPr>
          <w:p>
            <w:pPr>
              <w:spacing w:after="0"/>
              <w:rPr>
                <w:sz w:val="17"/>
                <w:szCs w:val="17"/>
                <w:color w:val="auto"/>
              </w:rPr>
            </w:pP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w w:val="96"/>
              </w:rPr>
              <w:t>6(b)i</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Income taxes recoverable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 and deposits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Advances to shareholder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(5,668)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(5,668)</w:t>
            </w:r>
          </w:p>
        </w:tc>
        <w:tc>
          <w:tcPr>
            <w:tcW w:w="780" w:type="dxa"/>
            <w:vAlign w:val="bottom"/>
            <w:gridSpan w:val="3"/>
          </w:tcPr>
          <w:p>
            <w:pPr>
              <w:jc w:val="center"/>
              <w:ind w:right="183"/>
              <w:spacing w:after="0"/>
              <w:rPr>
                <w:sz w:val="20"/>
                <w:szCs w:val="20"/>
                <w:color w:val="auto"/>
              </w:rPr>
            </w:pPr>
            <w:r>
              <w:rPr>
                <w:rFonts w:ascii="Times New Roman" w:cs="Times New Roman" w:eastAsia="Times New Roman" w:hAnsi="Times New Roman"/>
                <w:sz w:val="16"/>
                <w:szCs w:val="16"/>
                <w:color w:val="auto"/>
              </w:rPr>
              <w:t>6(b)ii</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(5,031)</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161,393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(4,861)</w:t>
            </w: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rPr>
              <w:t>6(b)iii</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199,388</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LIABILITIES AND SHAREHOLDERS’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Bank indebtedness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(13,097)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3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center"/>
              <w:ind w:right="203"/>
              <w:spacing w:after="0"/>
              <w:rPr>
                <w:sz w:val="20"/>
                <w:szCs w:val="20"/>
                <w:color w:val="auto"/>
              </w:rPr>
            </w:pPr>
            <w:r>
              <w:rPr>
                <w:rFonts w:ascii="Times New Roman" w:cs="Times New Roman" w:eastAsia="Times New Roman" w:hAnsi="Times New Roman"/>
                <w:sz w:val="16"/>
                <w:szCs w:val="16"/>
                <w:color w:val="auto"/>
                <w:w w:val="96"/>
              </w:rPr>
              <w:t>6(b)i</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300" w:type="dxa"/>
            <w:vAlign w:val="bottom"/>
          </w:tcPr>
          <w:p>
            <w:pPr>
              <w:spacing w:after="0"/>
              <w:rPr>
                <w:sz w:val="17"/>
                <w:szCs w:val="17"/>
                <w:color w:val="auto"/>
              </w:rPr>
            </w:pP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w w:val="96"/>
              </w:rPr>
              <w:t>6(b)i</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Obligations under capital lease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Long-term debt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(1,582)</w:t>
            </w:r>
          </w:p>
        </w:tc>
        <w:tc>
          <w:tcPr>
            <w:tcW w:w="780" w:type="dxa"/>
            <w:vAlign w:val="bottom"/>
            <w:gridSpan w:val="3"/>
            <w:shd w:val="clear" w:color="auto" w:fill="CCEEFF"/>
          </w:tcPr>
          <w:p>
            <w:pPr>
              <w:jc w:val="center"/>
              <w:ind w:right="203"/>
              <w:spacing w:after="0"/>
              <w:rPr>
                <w:sz w:val="20"/>
                <w:szCs w:val="20"/>
                <w:color w:val="auto"/>
              </w:rPr>
            </w:pPr>
            <w:r>
              <w:rPr>
                <w:rFonts w:ascii="Times New Roman" w:cs="Times New Roman" w:eastAsia="Times New Roman" w:hAnsi="Times New Roman"/>
                <w:sz w:val="16"/>
                <w:szCs w:val="16"/>
                <w:color w:val="auto"/>
                <w:w w:val="96"/>
              </w:rPr>
              <w:t>6(b)i</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30,158</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91"/>
              </w:rPr>
              <w:t>637</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 under capital lease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(69,982)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(7,776)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Promissory note payable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Unearned revenue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(4,968)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Future income taxes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(24,106)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1"/>
              </w:rPr>
              <w:t>175</w:t>
            </w:r>
          </w:p>
        </w:tc>
        <w:tc>
          <w:tcPr>
            <w:tcW w:w="300" w:type="dxa"/>
            <w:vAlign w:val="bottom"/>
          </w:tcPr>
          <w:p>
            <w:pPr>
              <w:spacing w:after="0"/>
              <w:rPr>
                <w:sz w:val="17"/>
                <w:szCs w:val="17"/>
                <w:color w:val="auto"/>
              </w:rPr>
            </w:pP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rPr>
              <w:t>6(b)iii</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(5,508)</w:t>
            </w:r>
          </w:p>
        </w:tc>
        <w:tc>
          <w:tcPr>
            <w:tcW w:w="780" w:type="dxa"/>
            <w:vAlign w:val="bottom"/>
            <w:gridSpan w:val="3"/>
            <w:shd w:val="clear" w:color="auto" w:fill="CCEEFF"/>
          </w:tcPr>
          <w:p>
            <w:pPr>
              <w:jc w:val="center"/>
              <w:ind w:right="203"/>
              <w:spacing w:after="0"/>
              <w:rPr>
                <w:sz w:val="20"/>
                <w:szCs w:val="20"/>
                <w:color w:val="auto"/>
              </w:rPr>
            </w:pPr>
            <w:r>
              <w:rPr>
                <w:rFonts w:ascii="Times New Roman" w:cs="Times New Roman" w:eastAsia="Times New Roman" w:hAnsi="Times New Roman"/>
                <w:sz w:val="16"/>
                <w:szCs w:val="16"/>
                <w:color w:val="auto"/>
              </w:rPr>
              <w:t>6(b)iii</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108,182</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138,340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(4,696)</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Preferred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476,884</w:t>
            </w:r>
          </w:p>
        </w:tc>
        <w:tc>
          <w:tcPr>
            <w:tcW w:w="300" w:type="dxa"/>
            <w:vAlign w:val="bottom"/>
          </w:tcPr>
          <w:p>
            <w:pPr>
              <w:spacing w:after="0"/>
              <w:rPr>
                <w:sz w:val="17"/>
                <w:szCs w:val="17"/>
                <w:color w:val="auto"/>
              </w:rPr>
            </w:pP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w w:val="97"/>
              </w:rPr>
              <w:t>6(b)iv</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Preferred 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w w:val="97"/>
              </w:rPr>
              <w:t>6(b)</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(9,592)</w:t>
            </w: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w w:val="95"/>
              </w:rPr>
              <w:t>(iv)</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Retained earnings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(51,456)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(472,488)</w:t>
            </w: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w w:val="96"/>
              </w:rPr>
              <w:t>6(b)i,</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8"/>
              </w:rPr>
              <w:t>(421,032)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(337,373)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rPr>
              <w:t>6(b)ii,</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3"/>
          </w:tcPr>
          <w:p>
            <w:pPr>
              <w:jc w:val="center"/>
              <w:ind w:right="203"/>
              <w:spacing w:after="0"/>
              <w:rPr>
                <w:sz w:val="20"/>
                <w:szCs w:val="20"/>
                <w:color w:val="auto"/>
              </w:rPr>
            </w:pPr>
            <w:r>
              <w:rPr>
                <w:rFonts w:ascii="Times New Roman" w:cs="Times New Roman" w:eastAsia="Times New Roman" w:hAnsi="Times New Roman"/>
                <w:sz w:val="16"/>
                <w:szCs w:val="16"/>
                <w:color w:val="auto"/>
              </w:rPr>
              <w:t>6(b)iii,</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6(b)iv</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(482,080)</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8"/>
              </w:rPr>
              <w:t>(421,032)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(337,373)</w:t>
            </w:r>
          </w:p>
        </w:tc>
        <w:tc>
          <w:tcPr>
            <w:tcW w:w="0" w:type="dxa"/>
            <w:vAlign w:val="bottom"/>
          </w:tcPr>
          <w:p>
            <w:pPr>
              <w:spacing w:after="0"/>
              <w:rPr>
                <w:sz w:val="1"/>
                <w:szCs w:val="1"/>
                <w:color w:val="auto"/>
              </w:rPr>
            </w:pPr>
          </w:p>
        </w:tc>
      </w:tr>
      <w:tr>
        <w:trPr>
          <w:trHeight w:val="207"/>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199,388</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240" w:top="455" w:right="41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HISTORICAL ADJUSTED STATEMENT OF OPERATIONS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NINE MONTHS ENDED AUGUST 31, 2017</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U.S. Dollars (“USD”) and Canadian Dollars (“CAD”) )</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ASPE to</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4"/>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920" w:type="dxa"/>
            <w:vAlign w:val="bottom"/>
            <w:gridSpan w:val="4"/>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3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Noralta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8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Noralta</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(Note 6(a))</w:t>
            </w:r>
          </w:p>
        </w:tc>
        <w:tc>
          <w:tcPr>
            <w:tcW w:w="12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Noralta</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6(c))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w w:val="99"/>
              </w:rPr>
              <w:t>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108,556</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(108,556)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Service and other</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6(b)i</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110,619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Service and other costs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6(b)i</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Wages and benefits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(21,371)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Groceries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(16,213)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Telephone and utilities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(7,324)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Rent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(2,498)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Contracted Services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Aircraft and travel</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(1,252)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Property taxes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Lodge supplies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Insurance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Professional Fees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(14,776)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(417)</w:t>
            </w:r>
          </w:p>
        </w:tc>
        <w:tc>
          <w:tcPr>
            <w:tcW w:w="58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w w:val="99"/>
              </w:rPr>
              <w:t>6(b)iii</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Reorganization cost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Mobilization and demobilization costs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6(b)iii</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(10,469)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(10,291)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(388)</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0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99"/>
              </w:rPr>
              <w:t>388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to third-parties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(10,469)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Insurance proceeds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Gain on repayment of long-term debt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(1,307)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foreign exchange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99"/>
              </w:rPr>
              <w:t>388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Future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105</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6(b)iii</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99"/>
              </w:rPr>
              <w:t>105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Noralta</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17,359</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283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17,642</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240" w:top="455" w:right="41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HISTORICAL ADJUSTED STATEMENT OF OPERATIONS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TWELVE MONTHS ENDED NOVEMBER 30, 2016</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U.S. Dollars (“USD”) and Canadian Dollars (“CAD”) )</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ASPE to</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4"/>
            <w:vMerge w:val="restart"/>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3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4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Noralta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40" w:type="dxa"/>
            <w:vAlign w:val="bottom"/>
          </w:tcPr>
          <w:p>
            <w:pPr>
              <w:spacing w:after="0"/>
              <w:rPr>
                <w:sz w:val="12"/>
                <w:szCs w:val="12"/>
                <w:color w:val="auto"/>
              </w:rPr>
            </w:pPr>
          </w:p>
        </w:tc>
        <w:tc>
          <w:tcPr>
            <w:tcW w:w="8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Noralta</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 6(a))</w:t>
            </w: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Noralta</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6(c))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CAD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w w:val="99"/>
              </w:rPr>
              <w:t>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135,405</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(135,405)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135,405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4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6(b)i</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136,575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102,891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Service and other costs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4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6(b)i</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Wages and benefits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(31,954)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Groceries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(15,496)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Telephone and utilities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(7,696)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(2,878)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Contracted Services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Aircraft and travel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Repairs and maintenance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Property taxes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Lodge supplies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Insurance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Professional Fees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(9,594)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(20,680)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(278)</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6(b)iii</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Reorganization cost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Mobilization and demobilization costs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(2,261)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6(b)iii</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(14,591)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(259)</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91"/>
              </w:rPr>
              <w:t>259</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to third-parties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(14,591)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(14,591)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Wildfire costs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proceeds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Accretion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repayment of long-term debt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(5,430)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Loss on foreign exchange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1"/>
              </w:rPr>
              <w:t>259</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Future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6(b)iii</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Noralta</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91"/>
              </w:rPr>
              <w:t>189</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240" w:top="455" w:right="41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20" w:right="140" w:hanging="316"/>
        <w:spacing w:after="0" w:line="269" w:lineRule="auto"/>
        <w:tabs>
          <w:tab w:leader="none" w:pos="5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reclassifications of historical Noralta financial statement line items to conform to the expected financial statement line items of the combined company following the Acquisition.</w:t>
      </w:r>
    </w:p>
    <w:p>
      <w:pPr>
        <w:ind w:left="520" w:right="420" w:hanging="316"/>
        <w:spacing w:after="0" w:line="288" w:lineRule="auto"/>
        <w:tabs>
          <w:tab w:leader="none" w:pos="5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adjustments to illustrate the impact of applying U.S. GAAP to Noralta’s historical financial information. Previously, Noralta prepared its historical financial information in accordance with ASPE. An explanation of the adjustments that were made are as follows:</w:t>
      </w:r>
    </w:p>
    <w:p>
      <w:pPr>
        <w:spacing w:after="0" w:line="77" w:lineRule="exact"/>
        <w:rPr>
          <w:rFonts w:ascii="Times New Roman" w:cs="Times New Roman" w:eastAsia="Times New Roman" w:hAnsi="Times New Roman"/>
          <w:sz w:val="16"/>
          <w:szCs w:val="16"/>
          <w:color w:val="auto"/>
        </w:rPr>
      </w:pPr>
    </w:p>
    <w:p>
      <w:pPr>
        <w:ind w:left="960" w:right="60" w:hanging="432"/>
        <w:spacing w:after="0" w:line="275" w:lineRule="auto"/>
        <w:tabs>
          <w:tab w:leader="none" w:pos="96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GAAP requires consolidation decisions first be made under the Variable Interest Entity (“VIE”) model. ASPE focuses on the concept of control in determining whether a parent-subsidiary relationship exists. It was determined that certain limited partnership arrangements required consolidation under the VIE model because Noralta was the primary beneficiary and had the obligation to absorb losses and right to receive benefits. Accordingly, this adjustment reflects the impact of consolidation of these arrangements.</w:t>
      </w:r>
    </w:p>
    <w:p>
      <w:pPr>
        <w:spacing w:after="0" w:line="88" w:lineRule="exact"/>
        <w:rPr>
          <w:rFonts w:ascii="Times New Roman" w:cs="Times New Roman" w:eastAsia="Times New Roman" w:hAnsi="Times New Roman"/>
          <w:sz w:val="16"/>
          <w:szCs w:val="16"/>
          <w:color w:val="auto"/>
        </w:rPr>
      </w:pPr>
    </w:p>
    <w:p>
      <w:pPr>
        <w:ind w:left="960" w:right="140" w:hanging="432"/>
        <w:spacing w:after="0" w:line="281" w:lineRule="auto"/>
        <w:tabs>
          <w:tab w:leader="none" w:pos="96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GAAP requires that advances from a shareholder be classified as a reduction in equity to properly reflect the nature of the advances and attendant circumstances giving rise to the transactions. ASPE does not require such presentation. This adjustment reflects the reclassification of shareholder advances to equity.</w:t>
      </w:r>
    </w:p>
    <w:p>
      <w:pPr>
        <w:spacing w:after="0" w:line="83" w:lineRule="exact"/>
        <w:rPr>
          <w:rFonts w:ascii="Times New Roman" w:cs="Times New Roman" w:eastAsia="Times New Roman" w:hAnsi="Times New Roman"/>
          <w:sz w:val="16"/>
          <w:szCs w:val="16"/>
          <w:color w:val="auto"/>
        </w:rPr>
      </w:pPr>
    </w:p>
    <w:p>
      <w:pPr>
        <w:ind w:left="960" w:hanging="432"/>
        <w:spacing w:after="0" w:line="281" w:lineRule="auto"/>
        <w:tabs>
          <w:tab w:leader="none" w:pos="96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GAAP requires the use of a credit-adjusted risk-free rate for discounting when an expected present-value technique is used for estimating the fair value of asset retirement obligations. Under ASPE, a pre-tax discount is used to reflect current market assessments of the time value of money and the risks specific to the liability. This adjustment reflects the use of the credit-adjusted risk-free rate on Noralta’s asset retirement obligations.</w:t>
      </w:r>
    </w:p>
    <w:p>
      <w:pPr>
        <w:spacing w:after="0" w:line="83" w:lineRule="exact"/>
        <w:rPr>
          <w:rFonts w:ascii="Times New Roman" w:cs="Times New Roman" w:eastAsia="Times New Roman" w:hAnsi="Times New Roman"/>
          <w:sz w:val="16"/>
          <w:szCs w:val="16"/>
          <w:color w:val="auto"/>
        </w:rPr>
      </w:pPr>
    </w:p>
    <w:p>
      <w:pPr>
        <w:ind w:left="960" w:right="100" w:hanging="432"/>
        <w:spacing w:after="0" w:line="275" w:lineRule="auto"/>
        <w:tabs>
          <w:tab w:leader="none" w:pos="96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Noralta’s Class G and H preferred shares are redeemable at the option of the holder and have no mandatory redemption feature. Because they were issued as part of a tax planning arrangement they were presented as equity under ASPE. Under U.S. GAAP, the preferred shares are presented as mezzanine equity at redemption value to reflect their debt and equity characteristics. Accordingly, this adjustment reflects a balance sheet reclassification of preferred shares within shareholders’ equity to mezzanine equity at the redemption value, with the difference charged to retained earnings.</w:t>
      </w:r>
    </w:p>
    <w:p>
      <w:pPr>
        <w:spacing w:after="0" w:line="88" w:lineRule="exact"/>
        <w:rPr>
          <w:rFonts w:ascii="Times New Roman" w:cs="Times New Roman" w:eastAsia="Times New Roman" w:hAnsi="Times New Roman"/>
          <w:sz w:val="16"/>
          <w:szCs w:val="16"/>
          <w:color w:val="auto"/>
        </w:rPr>
      </w:pPr>
    </w:p>
    <w:p>
      <w:pPr>
        <w:ind w:left="520" w:right="100" w:hanging="316"/>
        <w:spacing w:after="0" w:line="281" w:lineRule="auto"/>
        <w:tabs>
          <w:tab w:leader="none" w:pos="5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adjusted historical results have been translated from Canadian dollars to U.S. dollars using the exchange rates derived from the Bank of Canada of 1.25 Canadian dollars to U.S. dollars as of August 31, 2017, and the average exchange rates of 1.32 and 1.33 during the nine months ended August 31, 2017 and twelve months ended November 30, 2016, respectively.</w:t>
      </w:r>
    </w:p>
    <w:p>
      <w:pPr>
        <w:spacing w:after="0" w:line="1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24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CIVEO</w:t>
      </w:r>
    </w:p>
    <w:p>
      <w:pPr>
        <w:spacing w:after="0" w:line="121"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The table below sets forth certain information with respect to beneficial ownership of the Common Shares as of the record date of the special meeting of shareholders by:</w:t>
      </w:r>
    </w:p>
    <w:p>
      <w:pPr>
        <w:spacing w:after="0" w:line="67" w:lineRule="exact"/>
        <w:rPr>
          <w:sz w:val="20"/>
          <w:szCs w:val="20"/>
          <w:color w:val="auto"/>
        </w:rPr>
      </w:pPr>
    </w:p>
    <w:p>
      <w:pPr>
        <w:ind w:left="1060" w:hanging="424"/>
        <w:spacing w:after="0"/>
        <w:tabs>
          <w:tab w:leader="none" w:pos="10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known by Civeo to own more than five percent of Civeo’s outstanding Common Shares;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Civeo’s current directors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Civeo’s named executive officers;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Civeo’s current directors and executive officers as a group.</w:t>
      </w:r>
    </w:p>
    <w:p>
      <w:pPr>
        <w:spacing w:after="0" w:line="225"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within 60 days of February 1, 2018 are considered outstanding. These shares, however, are not considered outstanding as of February 1, 2018 when computing the percentage ownership of each other person.</w:t>
      </w:r>
    </w:p>
    <w:p>
      <w:pPr>
        <w:spacing w:after="0" w:line="184"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To Civeo’s knowledge, except as indicated in the footnotes to this table or as provided by applicable community property laws, the persons named in the table have sole voting and investment power with respect to the shares indicated.</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8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r>
              <w:rPr>
                <w:rFonts w:ascii="Times New Roman" w:cs="Times New Roman" w:eastAsia="Times New Roman" w:hAnsi="Times New Roman"/>
                <w:sz w:val="12"/>
                <w:szCs w:val="12"/>
                <w:b w:val="1"/>
                <w:bCs w:val="1"/>
                <w:color w:val="auto"/>
              </w:rPr>
              <w:t>(1)</w:t>
            </w:r>
          </w:p>
        </w:tc>
        <w:tc>
          <w:tcPr>
            <w:tcW w:w="2460" w:type="dxa"/>
            <w:vAlign w:val="bottom"/>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29"/>
        </w:trPr>
        <w:tc>
          <w:tcPr>
            <w:tcW w:w="8580" w:type="dxa"/>
            <w:vAlign w:val="bottom"/>
            <w:gridSpan w:val="3"/>
            <w:vMerge w:val="continue"/>
          </w:tcPr>
          <w:p>
            <w:pPr>
              <w:spacing w:after="0"/>
              <w:rPr>
                <w:sz w:val="11"/>
                <w:szCs w:val="11"/>
                <w:color w:val="auto"/>
              </w:rPr>
            </w:pPr>
          </w:p>
        </w:tc>
        <w:tc>
          <w:tcPr>
            <w:tcW w:w="860" w:type="dxa"/>
            <w:vAlign w:val="bottom"/>
            <w:tcBorders>
              <w:top w:val="single" w:sz="8" w:color="auto"/>
            </w:tcBorders>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12"/>
                <w:szCs w:val="12"/>
                <w:b w:val="1"/>
                <w:bCs w:val="1"/>
                <w:color w:val="auto"/>
              </w:rPr>
              <w:t>(2)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CCEEFF"/>
            </w:tcBorders>
            <w:shd w:val="clear" w:color="auto" w:fill="000000"/>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Horizon Kinetics LLC and affiliates</w:t>
            </w:r>
            <w:r>
              <w:rPr>
                <w:rFonts w:ascii="Times New Roman" w:cs="Times New Roman" w:eastAsia="Times New Roman" w:hAnsi="Times New Roman"/>
                <w:sz w:val="15"/>
                <w:szCs w:val="15"/>
                <w:color w:val="auto"/>
              </w:rPr>
              <w:t>(3)</w:t>
            </w: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23,547,058</w:t>
            </w: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470 Park Avenue South</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4th Floor South</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York, NY 10016</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15"/>
                <w:szCs w:val="15"/>
                <w:color w:val="auto"/>
              </w:rPr>
              <w:t>(4)</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12,637,939</w:t>
            </w:r>
          </w:p>
        </w:tc>
        <w:tc>
          <w:tcPr>
            <w:tcW w:w="16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245 Summer Street</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Boston, Massachusetts 02210</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Centerbridge Credit Partners, L.P. and affiliates</w:t>
            </w:r>
            <w:r>
              <w:rPr>
                <w:rFonts w:ascii="Times New Roman" w:cs="Times New Roman" w:eastAsia="Times New Roman" w:hAnsi="Times New Roman"/>
                <w:sz w:val="15"/>
                <w:szCs w:val="15"/>
                <w:color w:val="auto"/>
              </w:rPr>
              <w:t>(5)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8,938,710</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375 Park Avenue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12th Floor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York, NY 10152</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Renaissance Technologies LLC</w:t>
            </w:r>
            <w:r>
              <w:rPr>
                <w:rFonts w:ascii="Times New Roman" w:cs="Times New Roman" w:eastAsia="Times New Roman" w:hAnsi="Times New Roman"/>
                <w:sz w:val="15"/>
                <w:szCs w:val="15"/>
                <w:color w:val="auto"/>
              </w:rPr>
              <w:t>(6)</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6,701,000</w:t>
            </w:r>
          </w:p>
        </w:tc>
        <w:tc>
          <w:tcPr>
            <w:tcW w:w="16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800 Third Avenue</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York, NY 10022</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J. Dodson</w:t>
            </w:r>
            <w:r>
              <w:rPr>
                <w:rFonts w:ascii="Times New Roman" w:cs="Times New Roman" w:eastAsia="Times New Roman" w:hAnsi="Times New Roman"/>
                <w:sz w:val="15"/>
                <w:szCs w:val="15"/>
                <w:color w:val="auto"/>
              </w:rPr>
              <w:t>(7)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668,463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C. Steininger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McCann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Allan Schoening</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Ronald Blankenship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A. Lambert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Constance B. Moore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Navarre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Szalkowski</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O. Wall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15"/>
                <w:szCs w:val="15"/>
                <w:color w:val="auto"/>
              </w:rPr>
              <w:t>(7)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1,906,952</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436"/>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640" w:right="540" w:hanging="436"/>
        <w:spacing w:after="0" w:line="261" w:lineRule="auto"/>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of each beneficial owner is c/o Civeo Corporation, Three Allen Center, 333 Clay Street, Suite 4980, Houston, Texas 77002.</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240" w:top="455" w:right="41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total shares outstanding of 132,253,185 as of February 1, 2018.</w:t>
      </w:r>
    </w:p>
    <w:p>
      <w:pPr>
        <w:spacing w:after="0" w:line="27" w:lineRule="exact"/>
        <w:rPr>
          <w:rFonts w:ascii="Times New Roman" w:cs="Times New Roman" w:eastAsia="Times New Roman" w:hAnsi="Times New Roman"/>
          <w:sz w:val="18"/>
          <w:szCs w:val="18"/>
          <w:color w:val="auto"/>
        </w:rPr>
      </w:pPr>
    </w:p>
    <w:p>
      <w:pPr>
        <w:ind w:left="640" w:right="400" w:hanging="436"/>
        <w:spacing w:after="0" w:line="250"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pursuant to the Exchange Act on November 10, 2017, Horizon Kinetics LLC has beneficial ownership of 23,547,058 shares, the sole power to vote or direct the vote of 23,547,058 shares, and the sole power to dispose or direct the disposition of 23,547,058 shares. The Schedule 13G/A identifies Horizon Kinetics LLC as a parent holding company and further reports that Horizon Asset Management LLC is an investment advisor with beneficial ownership of the shares.</w:t>
      </w:r>
    </w:p>
    <w:p>
      <w:pPr>
        <w:spacing w:after="0" w:line="1" w:lineRule="exact"/>
        <w:rPr>
          <w:rFonts w:ascii="Times New Roman" w:cs="Times New Roman" w:eastAsia="Times New Roman" w:hAnsi="Times New Roman"/>
          <w:sz w:val="18"/>
          <w:szCs w:val="18"/>
          <w:color w:val="auto"/>
        </w:rPr>
      </w:pPr>
    </w:p>
    <w:p>
      <w:pPr>
        <w:ind w:left="640" w:hanging="436"/>
        <w:spacing w:after="0" w:line="250"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pursuant to the Exchange Act on February 14, 2017, FMR LLC has beneficial ownership of 12,637,939 shares, the sole power to vote or direct the vote of 1,205,300 shares, and the sole power to dispose or direct the disposition of 12,637,939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the Common Stock outstanding; (ii) Abigail P. Johnson is a Director, the Chairman and the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disclaims reporting on shares, if any, beneficially owned by certain subsidiaries, affiliates or other companies whose beneficial ownership of shares is disaggregated from that of FMR LLC in accordance with SEC Release No. 34-39538 (January 12, 1998).</w:t>
      </w:r>
    </w:p>
    <w:p>
      <w:pPr>
        <w:spacing w:after="0" w:line="7" w:lineRule="exact"/>
        <w:rPr>
          <w:rFonts w:ascii="Times New Roman" w:cs="Times New Roman" w:eastAsia="Times New Roman" w:hAnsi="Times New Roman"/>
          <w:sz w:val="18"/>
          <w:szCs w:val="18"/>
          <w:color w:val="auto"/>
        </w:rPr>
      </w:pPr>
    </w:p>
    <w:p>
      <w:pPr>
        <w:ind w:left="640" w:right="180" w:hanging="436"/>
        <w:spacing w:after="0" w:line="250"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pursuant to the Exchange Act on February 9, 2017, Centerbridge Credit Partners, L.P. and Centerbridge Credit Partners General Partner, L.P. have shared voting and shared dispositive power over 3,030,084 shares; Centerbridge Credit Partners Master, L.P. and Centerbridge Credit Partners Offshore General Partner, L.P. have shared voting and shared dispositive power over 5,437,232 shares; Centerbridge Credit Cayman GP Ltd. has shared voting and shared dispositive power over 8,467,316 shares; Centerbridge Special Credit Partners III, L.P. and CSCP III Cayman GP Ltd. have shared voting and share dispositive power over 471,394 shares; and Mark T. Gallogly and Jeffrey H. Aronson have shared voting and shared dispositive power over 8,938,710 shares.</w:t>
      </w:r>
    </w:p>
    <w:p>
      <w:pPr>
        <w:spacing w:after="0" w:line="2" w:lineRule="exact"/>
        <w:rPr>
          <w:rFonts w:ascii="Times New Roman" w:cs="Times New Roman" w:eastAsia="Times New Roman" w:hAnsi="Times New Roman"/>
          <w:sz w:val="18"/>
          <w:szCs w:val="18"/>
          <w:color w:val="auto"/>
        </w:rPr>
      </w:pPr>
    </w:p>
    <w:p>
      <w:pPr>
        <w:jc w:val="both"/>
        <w:ind w:left="640" w:right="60" w:hanging="436"/>
        <w:spacing w:after="0" w:line="250"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pursuant to the Exchange Act on February 14, 2017, Renaissance Technologies LLC (“RT LLC”) and Renaissance Technologies Holdings Corporation, which owns a majority interest in RT LLC, have beneficial ownership of 6,701,000 shares, the sole power to vote or direct the vote of 6,653,815 shares, the sole power to dispose or direct the disposition of 6,694,891 shares and the shared power to dispose or direct the disposition of 6,109 shares.</w:t>
      </w:r>
    </w:p>
    <w:p>
      <w:pPr>
        <w:spacing w:after="0" w:line="1" w:lineRule="exact"/>
        <w:rPr>
          <w:rFonts w:ascii="Times New Roman" w:cs="Times New Roman" w:eastAsia="Times New Roman" w:hAnsi="Times New Roman"/>
          <w:sz w:val="18"/>
          <w:szCs w:val="18"/>
          <w:color w:val="auto"/>
        </w:rPr>
      </w:pPr>
    </w:p>
    <w:p>
      <w:pPr>
        <w:ind w:left="640" w:right="260" w:hanging="436"/>
        <w:spacing w:after="0" w:line="261"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that may be acquired within 60 days of February 1, 2018 through the exercise of options to purchase shares as follows: Bradley Dodson—73,476; all current directors and executive officers as a group—73,476.</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24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This proxy statement constitutes a proxy statement under Section 14(a) of the Securities Exchange Act of 1934, as amended. It also constitutes a notice of meeting with respect to the special meeting of Civeo shareholders.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proxy statement incorporates important business and financial information about Civeo from other documents that are not included in or</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delivered with this proxy statement. This information is available to you without charge upon your request. You can obtain the documents incorporated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by reference into this proxy statement by clicking on the “Investors” link at www.civeo.com, or upon written request to Civeo, 333 Clay Street, Suite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4980, Houston, Texas 77002, Attention: Investor Relations. Shareholders may also read and copy any reports, statements and other information filed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by Civeo with the SEC, at the SEC public reference room at 100 F Street, N.E., Washington D.C. 20549. Please call the SEC at 1-800-SEC-0330 or visit</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SEC’s website for further information on its public reference room. To receive timely delivery of the documents in advance of the special meeting,</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you should make your request no later than five business days before the date of the meeting, or no later than March 21, 2018.</w:t>
      </w:r>
    </w:p>
    <w:p>
      <w:pPr>
        <w:spacing w:after="0" w:line="207"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A free copy of this proxy statement and other filings containing information about Civeo may be obtained from the SEC through the SEC’s website (http://www.sec.gov).</w:t>
      </w:r>
    </w:p>
    <w:p>
      <w:pPr>
        <w:spacing w:after="0" w:line="16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proxy statement to vote your Common Shares at the special meeting. Neither Civeo nor Noralta has authorized anyone to provide you with information that differs from that contained in this proxy statement. You should not assume that the information contained or incorporated by reference in this proxy statement is accurate as of any date other than the date of this proxy statement, or that information contained in any document incorporated by reference in this proxy statement is accurate as of any date other than the date of such document, and neither the mailing of this proxy statement to shareholders nor the issuance of the Common Shares and the Preferred Shares in the Acquisition will create any implication to the contrary.</w:t>
      </w:r>
    </w:p>
    <w:p>
      <w:pPr>
        <w:spacing w:after="0" w:line="188"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This proxy statement contains a description of the representations and warranties that each of Civeo and Noralta made to the other in the Purchase Agreement. Representations and warranties made by Civeo, Noralta and other applicable parties are also set forth in contracts and other documents (including the Purchase Agreement) that are attached or filed as annexes to this proxy statement or documents incorporated by reference into this proxy statement. These representations and warranties were made as of specific dates, may be subject to important qualifications and limitations agreed to between the parties in connection with negotiating the terms of the agreement, and may have been included in the Purchase Agreement or other documents for the purpose of allocating risk between the parties rather than to establish matters as facts. These materials are included or incorporated by reference only to provide you with information regarding the terms and conditions of the Purchase Agreement and other documents, and not to provide any other factual information regarding Civeo, Noralta or their respective businesses. Accordingly, the representations and warranties and other provisions of the Purchase Agreement and the other documents incorporated by reference herein should not be read alone, but instead should be read only in conjunction with the other information provided elsewhere in this proxy statement or incorporated by reference herein, as applicable.</w:t>
      </w: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FUTURE SHAREHOLDER PROPOSALS</w:t>
      </w:r>
    </w:p>
    <w:p>
      <w:pPr>
        <w:spacing w:after="0" w:line="229"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To be included in the proxy materials for the 2018 annual general meeting of shareholders, shareholder proposals that are submitted for presentation at that annual general meeting and are otherwise eligible for inclusion in the proxy statement must have been received by Civeo no later than December 11, 2017. Proxies granted in connection with that annual general meeting may confer discretionary authority to vote on any shareholder proposal if notice of the proposal is not received by Civeo in accordance with the advance notice</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24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requirements of the Articles discussed below. It is suggested that proponents submit their proposals by certified mail, return receipt requested.</w:t>
      </w:r>
    </w:p>
    <w:p>
      <w:pPr>
        <w:spacing w:after="0" w:line="225"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The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below.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2018 annual general meeting of shareholders, notice must have been received by Civeo no later than January 11, 2018.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the Articles dealing with shareholder proposals and nominations of directors. All notices should be directed to Civeo’s Corporate Secretary, Civeo Corporation, Three Allen Center, 333 Clay Street, Suite 4980, Houston, Texas 77002. Under current SEC rules, Civeo is not required to include in its proxy statement any director nominated by a shareholder using this process. If Civeo chooses not to include such a nominee, the shareholder will be required to distribute its own proxy materials in connection with its solicitation of proxies with respect to that nominee.</w:t>
      </w:r>
    </w:p>
    <w:p>
      <w:pPr>
        <w:spacing w:after="0" w:line="197"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The advance notice provision deadlines set forth above are applicable other than pursuant to a requisition of a meeting made pursuant to the provisions of the Business Corporations Act (British Columbia).</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76" w:lineRule="exact"/>
        <w:rPr>
          <w:sz w:val="20"/>
          <w:szCs w:val="20"/>
          <w:color w:val="auto"/>
        </w:rPr>
      </w:pPr>
    </w:p>
    <w:p>
      <w:pPr>
        <w:jc w:val="both"/>
        <w:ind w:left="200" w:right="260" w:firstLine="441"/>
        <w:spacing w:after="0" w:line="254" w:lineRule="auto"/>
        <w:rPr>
          <w:sz w:val="20"/>
          <w:szCs w:val="20"/>
          <w:color w:val="auto"/>
        </w:rPr>
      </w:pPr>
      <w:r>
        <w:rPr>
          <w:rFonts w:ascii="Times New Roman" w:cs="Times New Roman" w:eastAsia="Times New Roman" w:hAnsi="Times New Roman"/>
          <w:sz w:val="18"/>
          <w:szCs w:val="18"/>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statements wishes to receive a single proxy statement in the future, that shareholder should contact their broker or send a request to Civeo’s Corporate Secretary, Civeo Corporation, Three Allen Center, 333 Clay Street, Suite 4980, Houston, TX 77002,</w:t>
      </w:r>
    </w:p>
    <w:p>
      <w:pPr>
        <w:spacing w:after="0" w:line="3" w:lineRule="exact"/>
        <w:rPr>
          <w:sz w:val="20"/>
          <w:szCs w:val="20"/>
          <w:color w:val="auto"/>
        </w:rPr>
      </w:pPr>
    </w:p>
    <w:p>
      <w:pPr>
        <w:ind w:left="200" w:right="580" w:firstLine="4"/>
        <w:spacing w:after="0" w:line="261" w:lineRule="auto"/>
        <w:tabs>
          <w:tab w:leader="none" w:pos="6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510-2400. Civeo will deliver, promptly upon written or oral request to the Corporate Secretary, a separate copy of this proxy statement to a beneficial shareholder at a shared address to which a single copy of the documents was delivered.</w:t>
      </w:r>
    </w:p>
    <w:p>
      <w:pPr>
        <w:spacing w:after="0" w:line="176" w:lineRule="exact"/>
        <w:rPr>
          <w:sz w:val="20"/>
          <w:szCs w:val="20"/>
          <w:color w:val="auto"/>
        </w:rPr>
      </w:pPr>
    </w:p>
    <w:p>
      <w:pPr>
        <w:ind w:left="200" w:right="2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You may obtain a copy of Civeo’s most recent Annual Report on Form 10-K without charge from Civeo’s Corporate Secretary by sending a written request to Carolyn J. Stone, Vice President, Controller and Corporate Secretary, Civeo Corporation, Three Allen Center, 333 Clay Street, Suite 4980, Houston, Texas 77002, (713) 510-2400, or you may access Civeo’s most recent Annual Report on Form 10-K from Civeo’s website at www.civeo.com.</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24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Civeo “incorporates by reference” certain information into this proxy statement, which means that Civeo discloses important information to you by referring you to another document filed separately with the SEC. The information incorporated by reference is deemed to be part of this proxy statement.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Civeo incorporates by reference the documents listed below:</w:t>
      </w:r>
    </w:p>
    <w:p>
      <w:pPr>
        <w:spacing w:after="0" w:line="131" w:lineRule="exact"/>
        <w:rPr>
          <w:sz w:val="20"/>
          <w:szCs w:val="20"/>
          <w:color w:val="auto"/>
        </w:rPr>
      </w:pPr>
    </w:p>
    <w:p>
      <w:pPr>
        <w:ind w:left="1060" w:right="220" w:hanging="424"/>
        <w:spacing w:after="0" w:line="282" w:lineRule="auto"/>
        <w:tabs>
          <w:tab w:leader="none" w:pos="10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Civeo’s Annual Report on Form 10-K for the year ended December 31, 2016 (including the portions of our Proxy Statement on Schedule 14A, filed on April 10, 2017, incorporated by reference therein);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Civeo’s Quarterly Reports on Form 10-Q for the quarterly periods ended March 31, 2017, June 30, 2017, and September 30, 2017;</w:t>
      </w:r>
    </w:p>
    <w:p>
      <w:pPr>
        <w:spacing w:after="0" w:line="130"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Civeo’s Current Reports on Form 8-K filed on February 7, 2017, February 21, 2017, February 23, 2017, March 22, 2017, May 12, 2017 and November 27, 2017 (other than the portions of those documents deemed to have been furnished and not filed); and</w:t>
      </w:r>
    </w:p>
    <w:p>
      <w:pPr>
        <w:spacing w:after="0" w:line="67"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Common Shares set forth in Civeo’s Current Report on Form 8-K12B, filed on July 17, 2015, as that description may be updated from time to time.</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This proxy statement also incorporates by reference all additional documents that may be filed by Civeo with the SEC under Section 13(a), 13(c), 14 or 15(d) of the Exchange Act between the date of this proxy statement and the date of the special meeting. These include periodic reports, such as Annual Reports on Form 10-K, Quarterly Reports on Form 10-Q and Current Reports on Form 8-K, as well as proxy statements (other than the portions of those documents deemed to have been furnished and not filed).</w:t>
      </w:r>
    </w:p>
    <w:p>
      <w:pPr>
        <w:spacing w:after="0" w:line="1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60"/>
          </w:cols>
          <w:pgMar w:left="240" w:top="455" w:right="49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PERSONS DEFINED AS VENDORS IN THIS AGREEMENT</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LANCE TORGERSON</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1818939 ALBERTA LTD.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2040618 ALBERTA LTD.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2040624 ALBERTA LTD.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2073357 ALBERTA LTD.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2073358 ALBERTA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Dated as of and with effect November 26, 2017</w:t>
      </w:r>
    </w:p>
    <w:p>
      <w:pPr>
        <w:sectPr>
          <w:pgSz w:w="11900" w:h="16838" w:orient="portrait"/>
          <w:cols w:equalWidth="0" w:num="1">
            <w:col w:w="11220"/>
          </w:cols>
          <w:pgMar w:left="24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890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80" w:type="dxa"/>
            <w:vAlign w:val="bottom"/>
          </w:tcPr>
          <w:p>
            <w:pPr>
              <w:spacing w:after="0"/>
              <w:rPr>
                <w:sz w:val="20"/>
                <w:szCs w:val="20"/>
                <w:color w:val="auto"/>
              </w:rPr>
            </w:pPr>
          </w:p>
        </w:tc>
      </w:tr>
      <w:tr>
        <w:trPr>
          <w:trHeight w:val="373"/>
        </w:trPr>
        <w:tc>
          <w:tcPr>
            <w:tcW w:w="89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ARTICLE 1 DEFINITIONS AND INTERPRETATION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30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Interpretation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Knowledge of a Party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Accounting Terms and Computations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34"/>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Interpretation not Affected by Party Drafting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32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ARTICLE 2 SHARE PURCHASE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30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and Sale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Consideration and Payment of Purchase Price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Consideration Shares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 Adjustments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 Adjustment Dispute Resolution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Elections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Closing Date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Resale Restrictions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34"/>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Pre-Closing Transactions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32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PURCHASER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0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Incorporation, Organization and Authority of the Purchaser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Necessary Proceedings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Consideration Shares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Valid and Binding Obligations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Required Consents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Breach Caused by this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Share Capital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Statements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Material Change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Disclosure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Governmental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with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Brokers and Finders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WTO Investor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to Assets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Reporting Issuer Status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Bankruptcy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with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Material Contracts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234"/>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Inducement or Reliance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32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ARTICLE 4 REPRESENTATIONS AND WARRANTIES IN RESPECT OF THE CORPORATION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30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Incorporation, Organization, Corporation Structure and Authority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Necessary Proceedings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Valid and Binding Obligation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Required Consents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Rights to Acquire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to Assets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234"/>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 and Condition of Assets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bl>
    <w:p>
      <w:pPr>
        <w:sectPr>
          <w:pgSz w:w="11900" w:h="16838" w:orient="portrait"/>
          <w:cols w:equalWidth="0" w:num="1">
            <w:col w:w="11180"/>
          </w:cols>
          <w:pgMar w:left="240" w:top="455" w:right="479" w:bottom="1440" w:gutter="0" w:footer="0" w:header="0"/>
        </w:sectPr>
      </w:pPr>
    </w:p>
    <w:bookmarkStart w:id="98" w:name="page99"/>
    <w:bookmarkEnd w:id="9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Warranties and Claims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Accountants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Material Change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Compliance with Laws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Guarantees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Tax Matters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Deferred Payments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Disclosures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Dispositions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Corporate Records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 Breach Caused by this Agreement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Litigation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 Brokers and Finders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Employee, Consultant, Officer and Director Obligations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Plans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Employment Matters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 Approvals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 Reporting Issuer Status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Off-Balance Sheet Arrangements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and Safety Laws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Agreements, etc.</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 Bankruptcy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Competitors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Protection of Confidentiality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Privacy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Partnerships or Joint Ventures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120" w:type="dxa"/>
            <w:vAlign w:val="bottom"/>
          </w:tcPr>
          <w:p>
            <w:pPr>
              <w:spacing w:after="0"/>
              <w:rPr>
                <w:sz w:val="20"/>
                <w:szCs w:val="20"/>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97" w:orient="portrait"/>
          <w:cols w:equalWidth="0" w:num="1">
            <w:col w:w="11180"/>
          </w:cols>
          <w:pgMar w:left="240" w:top="455" w:right="479" w:bottom="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Customers and Suppliers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No Default under Lending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Bank Accounts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Restrictions on Doing Business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Organization, Corporation Structure and Authority of Dene Koe GP and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Dene Koe LP</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Capital of Dene Koe GP and Dene Koe GP</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Rights to Acquire Securities re: Dene Koe GP and Dene Koe GP</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Indebtedness of Dene Koe GP and Dene Koe LP</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Dene Koe GP and Dene Koe LP Compliance with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Contracts of Dene Koe GP and Dene Koe LP</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Disclosure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Litigation Against Dene Koe GP or Dene Koe LP</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3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65"/>
        </w:trPr>
        <w:tc>
          <w:tcPr>
            <w:tcW w:w="834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A-ii</w:t>
            </w:r>
          </w:p>
        </w:tc>
        <w:tc>
          <w:tcPr>
            <w:tcW w:w="2280" w:type="dxa"/>
            <w:vAlign w:val="bottom"/>
          </w:tcPr>
          <w:p>
            <w:pPr>
              <w:spacing w:after="0"/>
              <w:rPr>
                <w:sz w:val="24"/>
                <w:szCs w:val="24"/>
                <w:color w:val="auto"/>
              </w:rPr>
            </w:pPr>
          </w:p>
        </w:tc>
      </w:tr>
    </w:tbl>
    <w:p>
      <w:pPr>
        <w:sectPr>
          <w:pgSz w:w="11900" w:h="16838" w:orient="portrait"/>
          <w:cols w:equalWidth="0" w:num="1">
            <w:col w:w="10620"/>
          </w:cols>
          <w:pgMar w:left="800" w:top="121" w:right="479" w:bottom="1440" w:gutter="0" w:footer="0" w:header="0"/>
        </w:sectPr>
      </w:pPr>
    </w:p>
    <w:bookmarkStart w:id="100" w:name="page101"/>
    <w:bookmarkEnd w:id="100"/>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 re: Dene Koe GP and Dene Koe LP</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Accounts of Dene Koe GP and Dene Koe LP</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Employees or Owned or Leased Real Property of Dene Koe GP and Dene Koe LP</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Intellectual Property of Dene Koe GP and Dene Koe LP</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of Dene Koe GP and Dene Koe LP</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Bankruptcy of Dene Koe GP or Dene Koe LP</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Equipment Leased or Owned or Guarantees given by Dene Koe GP or Dene Koe LP</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Material 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with Laws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ARTICLE 5 REPRESENTATIONS AND WARRANTIES OF THE VENDORS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Ownership of Purchased Shares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Incorporation, Organization, Authority and Capacity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Necessary Proceedings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Valid and Binding Obligation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Residency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Bankruptcy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Law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Inducement or Reliance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Torgerson 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ARTICLE 6 SURVIVAL OF COVENANTS, 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Survival of Covenants, 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ARTICLE 7 COVENANTS OF THE VENDORS AND THE CORPORATION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Covenants in Respect of Business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Necessary Consents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Non-Solicitation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Severance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Representation and Warranty 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ARTICLE 8 COVENANTS OF THE PURCHASER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Covenants in Respect of Purchaser Business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Preservation of Files and Records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Severance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Excluded Privileged Communications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ectPr>
          <w:pgSz w:w="11900" w:h="16897" w:orient="portrait"/>
          <w:cols w:equalWidth="0" w:num="1">
            <w:col w:w="11180"/>
          </w:cols>
          <w:pgMar w:left="240" w:top="455" w:right="479" w:bottom="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Representation and Warranty Insurance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ARTICLE 9 MUTUAL COVENANTS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 of Material Change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Consummation of the Transaction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Regulatory Approvals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Purchaser Access to the Corporation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Matters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Privacy</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ARTICLE 10 INDEMNIFICATION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Indemnification by the Purchaser</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Indemnification by the Vendors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5"/>
        </w:trPr>
        <w:tc>
          <w:tcPr>
            <w:tcW w:w="4280" w:type="dxa"/>
            <w:vAlign w:val="bottom"/>
          </w:tcPr>
          <w:p>
            <w:pPr>
              <w:spacing w:after="0"/>
              <w:rPr>
                <w:sz w:val="24"/>
                <w:szCs w:val="24"/>
                <w:color w:val="auto"/>
              </w:rPr>
            </w:pPr>
          </w:p>
        </w:tc>
        <w:tc>
          <w:tcPr>
            <w:tcW w:w="6700" w:type="dxa"/>
            <w:vAlign w:val="bottom"/>
          </w:tcPr>
          <w:p>
            <w:pPr>
              <w:jc w:val="right"/>
              <w:ind w:right="5210"/>
              <w:spacing w:after="0"/>
              <w:rPr>
                <w:sz w:val="20"/>
                <w:szCs w:val="20"/>
                <w:color w:val="auto"/>
              </w:rPr>
            </w:pPr>
            <w:r>
              <w:rPr>
                <w:rFonts w:ascii="Times New Roman" w:cs="Times New Roman" w:eastAsia="Times New Roman" w:hAnsi="Times New Roman"/>
                <w:sz w:val="18"/>
                <w:szCs w:val="18"/>
                <w:color w:val="auto"/>
              </w:rPr>
              <w:t>A-iii</w:t>
            </w:r>
          </w:p>
        </w:tc>
      </w:tr>
    </w:tbl>
    <w:p>
      <w:pPr>
        <w:sectPr>
          <w:pgSz w:w="11900" w:h="16838" w:orient="portrait"/>
          <w:cols w:equalWidth="0" w:num="1">
            <w:col w:w="10980"/>
          </w:cols>
          <w:pgMar w:left="440" w:top="121" w:right="4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Procedure for Indemnification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ARTICLE 11 CONDITIONS PRECEDENT</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Conditions Precedent</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Conditions Precedent for the Benefit of the Purchaser</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Conditions Precedent for the Benefit of the Vendors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0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ARTICLE 12 CLOSING</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Time of Closing</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Deliveries on the Closing Date</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ARTICLE 13 TERMINATION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Termination Rights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Termination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ARTICLE 14 EXPENSES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0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0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ARTICLE 15 DISPUTE RESOLUTION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0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Commercially Reasonable Efforts to Settle Disputes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Arbitration</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0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ARTICLE 16 GENERAL</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Announcement/Proxy Statement</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Independent Legal Advice</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Entire Agreement</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Further Assurances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Commercially Reasonable Efforts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Closing Date Determinations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Severability</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Applicable Law</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Governing Language</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Attornment</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Successors and Assigns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Time of Essence</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Waiver</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Remedies Cumulative</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ectPr>
          <w:pgSz w:w="11900" w:h="16838" w:orient="portrait"/>
          <w:cols w:equalWidth="0" w:num="1">
            <w:col w:w="11180"/>
          </w:cols>
          <w:pgMar w:left="240" w:top="455" w:right="479" w:bottom="0" w:gutter="0" w:footer="0" w:header="0"/>
        </w:sectPr>
      </w:pPr>
    </w:p>
    <w:bookmarkStart w:id="103" w:name="page104"/>
    <w:bookmarkEnd w:id="103"/>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Third Parties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584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Disclosure Letter</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584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Counterparts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5840" w:type="dxa"/>
            <w:vAlign w:val="bottom"/>
          </w:tcPr>
          <w:p>
            <w:pPr>
              <w:spacing w:after="0"/>
              <w:rPr>
                <w:sz w:val="20"/>
                <w:szCs w:val="20"/>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Purchased Shares and Allocation of Purchase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 – Form of Escrow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 – Form of Non-Competition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 – Purchaser Preferred Shares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 – Form of Registration Rights Agreement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A-iv</w:t>
      </w:r>
    </w:p>
    <w:p>
      <w:pPr>
        <w:sectPr>
          <w:pgSz w:w="11900" w:h="16838" w:orient="portrait"/>
          <w:cols w:equalWidth="0" w:num="1">
            <w:col w:w="10980"/>
          </w:cols>
          <w:pgMar w:left="440" w:top="121"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as of and with effect the 26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November, 2017.</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AMONG:</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CIVEO CORPORATION</w:t>
      </w:r>
      <w:r>
        <w:rPr>
          <w:rFonts w:ascii="Times New Roman" w:cs="Times New Roman" w:eastAsia="Times New Roman" w:hAnsi="Times New Roman"/>
          <w:sz w:val="18"/>
          <w:szCs w:val="18"/>
          <w:color w:val="auto"/>
        </w:rPr>
        <w:t>, a corporation incorporated under the Laws of the Province of British Columbia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TORGERSON FAMILY TRUST</w:t>
      </w:r>
      <w:r>
        <w:rPr>
          <w:rFonts w:ascii="Times New Roman" w:cs="Times New Roman" w:eastAsia="Times New Roman" w:hAnsi="Times New Roman"/>
          <w:sz w:val="18"/>
          <w:szCs w:val="18"/>
          <w:color w:val="auto"/>
        </w:rPr>
        <w:t>, a trust resident in the Province of British Columbia (“</w:t>
      </w:r>
      <w:r>
        <w:rPr>
          <w:rFonts w:ascii="Times New Roman" w:cs="Times New Roman" w:eastAsia="Times New Roman" w:hAnsi="Times New Roman"/>
          <w:sz w:val="18"/>
          <w:szCs w:val="18"/>
          <w:b w:val="1"/>
          <w:bCs w:val="1"/>
          <w:color w:val="auto"/>
        </w:rPr>
        <w:t>Torgerson Trust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2073357 ALBERTA LTD.</w:t>
      </w:r>
      <w:r>
        <w:rPr>
          <w:rFonts w:ascii="Times New Roman" w:cs="Times New Roman" w:eastAsia="Times New Roman" w:hAnsi="Times New Roman"/>
          <w:sz w:val="18"/>
          <w:szCs w:val="18"/>
          <w:color w:val="auto"/>
        </w:rPr>
        <w:t>, a corporation incorporated under the Laws of the Province of Alberta (“</w:t>
      </w:r>
      <w:r>
        <w:rPr>
          <w:rFonts w:ascii="Times New Roman" w:cs="Times New Roman" w:eastAsia="Times New Roman" w:hAnsi="Times New Roman"/>
          <w:sz w:val="18"/>
          <w:szCs w:val="18"/>
          <w:b w:val="1"/>
          <w:bCs w:val="1"/>
          <w:color w:val="auto"/>
        </w:rPr>
        <w:t>SmithCo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2073358 ALBERTA LTD.</w:t>
      </w:r>
      <w:r>
        <w:rPr>
          <w:rFonts w:ascii="Times New Roman" w:cs="Times New Roman" w:eastAsia="Times New Roman" w:hAnsi="Times New Roman"/>
          <w:sz w:val="18"/>
          <w:szCs w:val="18"/>
          <w:color w:val="auto"/>
        </w:rPr>
        <w:t>, a corporation incorporated under the Laws of the Province of Alberta (“</w:t>
      </w:r>
      <w:r>
        <w:rPr>
          <w:rFonts w:ascii="Times New Roman" w:cs="Times New Roman" w:eastAsia="Times New Roman" w:hAnsi="Times New Roman"/>
          <w:sz w:val="18"/>
          <w:szCs w:val="18"/>
          <w:b w:val="1"/>
          <w:bCs w:val="1"/>
          <w:color w:val="auto"/>
        </w:rPr>
        <w:t>Smith HoldCo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1818939 ALBERTA LTD.</w:t>
      </w:r>
      <w:r>
        <w:rPr>
          <w:rFonts w:ascii="Times New Roman" w:cs="Times New Roman" w:eastAsia="Times New Roman" w:hAnsi="Times New Roman"/>
          <w:sz w:val="18"/>
          <w:szCs w:val="18"/>
          <w:color w:val="auto"/>
        </w:rPr>
        <w:t>, a corporation incorporated under the Laws of the Province of Alberta (“</w:t>
      </w:r>
      <w:r>
        <w:rPr>
          <w:rFonts w:ascii="Times New Roman" w:cs="Times New Roman" w:eastAsia="Times New Roman" w:hAnsi="Times New Roman"/>
          <w:sz w:val="18"/>
          <w:szCs w:val="18"/>
          <w:b w:val="1"/>
          <w:bCs w:val="1"/>
          <w:color w:val="auto"/>
        </w:rPr>
        <w:t>1818939</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2040618 ALBERTA LTD.</w:t>
      </w:r>
      <w:r>
        <w:rPr>
          <w:rFonts w:ascii="Times New Roman" w:cs="Times New Roman" w:eastAsia="Times New Roman" w:hAnsi="Times New Roman"/>
          <w:sz w:val="18"/>
          <w:szCs w:val="18"/>
          <w:color w:val="auto"/>
        </w:rPr>
        <w:t>, a corporation incorporated under the Laws of the Province of Alberta (“</w:t>
      </w:r>
      <w:r>
        <w:rPr>
          <w:rFonts w:ascii="Times New Roman" w:cs="Times New Roman" w:eastAsia="Times New Roman" w:hAnsi="Times New Roman"/>
          <w:sz w:val="18"/>
          <w:szCs w:val="18"/>
          <w:b w:val="1"/>
          <w:bCs w:val="1"/>
          <w:color w:val="auto"/>
        </w:rPr>
        <w:t>2040618</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2040624 ALBERTA LTD.</w:t>
      </w:r>
      <w:r>
        <w:rPr>
          <w:rFonts w:ascii="Times New Roman" w:cs="Times New Roman" w:eastAsia="Times New Roman" w:hAnsi="Times New Roman"/>
          <w:sz w:val="18"/>
          <w:szCs w:val="18"/>
          <w:color w:val="auto"/>
        </w:rPr>
        <w:t>, a corporation incorporated under the Laws of the Province of Alberta (“</w:t>
      </w:r>
      <w:r>
        <w:rPr>
          <w:rFonts w:ascii="Times New Roman" w:cs="Times New Roman" w:eastAsia="Times New Roman" w:hAnsi="Times New Roman"/>
          <w:sz w:val="18"/>
          <w:szCs w:val="18"/>
          <w:b w:val="1"/>
          <w:bCs w:val="1"/>
          <w:color w:val="auto"/>
        </w:rPr>
        <w:t>2040624</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989677 ALBERTA LTD.</w:t>
      </w:r>
      <w:r>
        <w:rPr>
          <w:rFonts w:ascii="Times New Roman" w:cs="Times New Roman" w:eastAsia="Times New Roman" w:hAnsi="Times New Roman"/>
          <w:sz w:val="18"/>
          <w:szCs w:val="18"/>
          <w:color w:val="auto"/>
        </w:rPr>
        <w:t>, a corporation incorporated under the Laws of the Province of Alberta (“</w:t>
      </w:r>
      <w:r>
        <w:rPr>
          <w:rFonts w:ascii="Times New Roman" w:cs="Times New Roman" w:eastAsia="Times New Roman" w:hAnsi="Times New Roman"/>
          <w:sz w:val="18"/>
          <w:szCs w:val="18"/>
          <w:b w:val="1"/>
          <w:bCs w:val="1"/>
          <w:color w:val="auto"/>
        </w:rPr>
        <w:t>989677</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LANCE TORGERSON</w:t>
      </w:r>
      <w:r>
        <w:rPr>
          <w:rFonts w:ascii="Times New Roman" w:cs="Times New Roman" w:eastAsia="Times New Roman" w:hAnsi="Times New Roman"/>
          <w:sz w:val="18"/>
          <w:szCs w:val="18"/>
          <w:color w:val="auto"/>
        </w:rPr>
        <w:t>, an individual residing in the City of Kelowna, in the Province of British Columbia (“</w:t>
      </w:r>
      <w:r>
        <w:rPr>
          <w:rFonts w:ascii="Times New Roman" w:cs="Times New Roman" w:eastAsia="Times New Roman" w:hAnsi="Times New Roman"/>
          <w:sz w:val="18"/>
          <w:szCs w:val="18"/>
          <w:b w:val="1"/>
          <w:bCs w:val="1"/>
          <w:color w:val="auto"/>
        </w:rPr>
        <w:t>Torgerson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NORALTA LODGE LTD.</w:t>
      </w:r>
      <w:r>
        <w:rPr>
          <w:rFonts w:ascii="Times New Roman" w:cs="Times New Roman" w:eastAsia="Times New Roman" w:hAnsi="Times New Roman"/>
          <w:sz w:val="18"/>
          <w:szCs w:val="18"/>
          <w:color w:val="auto"/>
        </w:rPr>
        <w:t>, a corporation incorporated under the Laws of the Province of Alberta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5" w:lineRule="exact"/>
        <w:rPr>
          <w:sz w:val="20"/>
          <w:szCs w:val="20"/>
          <w:color w:val="auto"/>
        </w:rPr>
      </w:pPr>
    </w:p>
    <w:p>
      <w:pPr>
        <w:ind w:left="640" w:hanging="436"/>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wishes to acquire all of the Purchased Shares on the Closing Date;</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the Corporation, SmithCo, 1818939, 2040618 and 2040624 wish to complete the Pre-Closing Transactions prior to Closing;</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wish to sell the Purchased Shares to the Purchaser on the Closing Date after completion of the Pre-Closing Transactions; and</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Torgerson is the beneficial shareholder of 989677 and a beneficiary and trustee of the Torgerson Trust.</w:t>
      </w:r>
    </w:p>
    <w:p>
      <w:pPr>
        <w:sectPr>
          <w:pgSz w:w="11900" w:h="16838" w:orient="portrait"/>
          <w:cols w:equalWidth="0" w:num="1">
            <w:col w:w="11060"/>
          </w:cols>
          <w:pgMar w:left="240" w:top="455" w:right="5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28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 contained and of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is hereby acknowledged, the Parties hereby agree as follows:</w:t>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1.1 In this Agreement, including the recitals hereto, the following terms have the meanings ascribed thereto as follows:</w:t>
      </w:r>
    </w:p>
    <w:p>
      <w:pPr>
        <w:spacing w:after="0" w:line="127" w:lineRule="exact"/>
        <w:rPr>
          <w:sz w:val="20"/>
          <w:szCs w:val="20"/>
          <w:color w:val="auto"/>
        </w:rPr>
      </w:pPr>
    </w:p>
    <w:p>
      <w:pPr>
        <w:ind w:left="1640" w:hanging="1436"/>
        <w:spacing w:after="0"/>
        <w:tabs>
          <w:tab w:leader="none" w:pos="1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has the meaning given in Section 2.7;</w:t>
      </w:r>
    </w:p>
    <w:p>
      <w:pPr>
        <w:spacing w:after="0" w:line="130" w:lineRule="exact"/>
        <w:rPr>
          <w:rFonts w:ascii="Times New Roman" w:cs="Times New Roman" w:eastAsia="Times New Roman" w:hAnsi="Times New Roman"/>
          <w:sz w:val="18"/>
          <w:szCs w:val="18"/>
          <w:color w:val="auto"/>
        </w:rPr>
      </w:pPr>
    </w:p>
    <w:p>
      <w:pPr>
        <w:ind w:left="1640" w:right="460" w:hanging="1436"/>
        <w:spacing w:after="0" w:line="262" w:lineRule="auto"/>
        <w:tabs>
          <w:tab w:leader="none" w:pos="1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 means all accounts, notes, bills and other receivables, trade accounts and trade receivables, and other amounts owing to the Corporation and its Subsidiaries, together with any unpaid interest or fees accrued thereon which are outstanding on the Closing Date and the full benefit of all security or collateral for such amounts, including all advances and deposits;</w:t>
      </w:r>
    </w:p>
    <w:p>
      <w:pPr>
        <w:spacing w:after="0" w:line="82" w:lineRule="exact"/>
        <w:rPr>
          <w:rFonts w:ascii="Times New Roman" w:cs="Times New Roman" w:eastAsia="Times New Roman" w:hAnsi="Times New Roman"/>
          <w:sz w:val="18"/>
          <w:szCs w:val="18"/>
          <w:color w:val="auto"/>
        </w:rPr>
      </w:pPr>
    </w:p>
    <w:p>
      <w:pPr>
        <w:ind w:left="1640" w:right="260" w:hanging="1436"/>
        <w:spacing w:after="0" w:line="286" w:lineRule="auto"/>
        <w:tabs>
          <w:tab w:leader="none" w:pos="1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acquisition of all of the Purchased Shares by the Purchaser from the Vendors pursuant to the terms and conditions of this Agreement;</w:t>
      </w:r>
    </w:p>
    <w:p>
      <w:pPr>
        <w:spacing w:after="0" w:line="60" w:lineRule="exact"/>
        <w:rPr>
          <w:rFonts w:ascii="Times New Roman" w:cs="Times New Roman" w:eastAsia="Times New Roman" w:hAnsi="Times New Roman"/>
          <w:sz w:val="18"/>
          <w:szCs w:val="18"/>
          <w:color w:val="auto"/>
        </w:rPr>
      </w:pPr>
    </w:p>
    <w:p>
      <w:pPr>
        <w:ind w:left="1640" w:right="140" w:hanging="1436"/>
        <w:spacing w:after="0" w:line="262" w:lineRule="auto"/>
        <w:tabs>
          <w:tab w:leader="none" w:pos="1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a proposal or offer by a third party to: (a) acquire in any manner, directly or indirectly, beneficial ownership of all or a portion equal to or greater than 15% of the Assets of the Corporation or its Subsidiaries; (b) to acquire in any manner, directly or indirectly, beneficial ownership of or control or direction over any of the outstanding securities of the Corporation or its Subsidiaries; or (c) to combine with the Corporation or its Subsidiaries, whether by:</w:t>
      </w:r>
    </w:p>
    <w:p>
      <w:pPr>
        <w:spacing w:after="0" w:line="86"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arrangement, amalgamation, merger, consolidation, joint venture, partnership or other business combination;</w:t>
      </w:r>
    </w:p>
    <w:p>
      <w:pPr>
        <w:spacing w:after="0" w:line="130" w:lineRule="exact"/>
        <w:rPr>
          <w:rFonts w:ascii="Times New Roman" w:cs="Times New Roman" w:eastAsia="Times New Roman" w:hAnsi="Times New Roman"/>
          <w:sz w:val="18"/>
          <w:szCs w:val="18"/>
          <w:color w:val="auto"/>
        </w:rPr>
      </w:pPr>
    </w:p>
    <w:p>
      <w:pPr>
        <w:ind w:left="2060" w:right="560" w:hanging="425"/>
        <w:spacing w:after="0" w:line="282" w:lineRule="auto"/>
        <w:tabs>
          <w:tab w:leader="none" w:pos="20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recapitalization or sale of shares in the capital of the Corporation or a Subsidiary (including through the issuance of securities from treasury); or</w:t>
      </w:r>
    </w:p>
    <w:p>
      <w:pPr>
        <w:spacing w:after="0" w:line="67" w:lineRule="exact"/>
        <w:rPr>
          <w:rFonts w:ascii="Times New Roman" w:cs="Times New Roman" w:eastAsia="Times New Roman" w:hAnsi="Times New Roman"/>
          <w:sz w:val="18"/>
          <w:szCs w:val="18"/>
          <w:color w:val="auto"/>
        </w:rPr>
      </w:pPr>
    </w:p>
    <w:p>
      <w:pPr>
        <w:ind w:left="2060" w:right="80" w:hanging="425"/>
        <w:spacing w:after="0" w:line="266" w:lineRule="auto"/>
        <w:tabs>
          <w:tab w:leader="none" w:pos="20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 bid or similar transaction involving the Corporation or a Subsidiary, including any single or multi-step transaction or series of related transactions which is structured to permit any such transaction with any such third party, or any public announcement of an intention to do any of the foregoing,</w:t>
      </w:r>
    </w:p>
    <w:p>
      <w:pPr>
        <w:spacing w:after="0" w:line="8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provided, however, that an Acquisition Proposal shall not include any of the Pre-Closing Transactions;</w:t>
      </w:r>
    </w:p>
    <w:p>
      <w:pPr>
        <w:spacing w:after="0" w:line="127" w:lineRule="exact"/>
        <w:rPr>
          <w:sz w:val="20"/>
          <w:szCs w:val="20"/>
          <w:color w:val="auto"/>
        </w:rPr>
      </w:pPr>
    </w:p>
    <w:p>
      <w:pPr>
        <w:ind w:left="1640" w:right="120" w:hanging="1436"/>
        <w:spacing w:after="0" w:line="257" w:lineRule="auto"/>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 Person that controls, is controlled by or is under common control with the subject Person and, for the purpose of this definition, “control”, “controlling” or “controlled” means the possession, direct or indirect, of the power to direct or cause the direction of the management and policies of another Person, whether through the ownership of voting securities or by contact, partnership agreement, trust arrangement or other means, either directly or indirectly, that results in control in fact; provided that direct or indirect ownership of shares of a corporation carrying 50% or more of the voting rights shall constitute control of such Person;</w:t>
      </w:r>
    </w:p>
    <w:p>
      <w:pPr>
        <w:spacing w:after="0" w:line="88" w:lineRule="exact"/>
        <w:rPr>
          <w:rFonts w:ascii="Times New Roman" w:cs="Times New Roman" w:eastAsia="Times New Roman" w:hAnsi="Times New Roman"/>
          <w:sz w:val="18"/>
          <w:szCs w:val="18"/>
          <w:color w:val="auto"/>
        </w:rPr>
      </w:pPr>
    </w:p>
    <w:p>
      <w:pPr>
        <w:ind w:left="1640" w:hanging="1436"/>
        <w:spacing w:after="0" w:line="286" w:lineRule="auto"/>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including the recitals and all forms, Schedules and Exhibits attached to this agreement, as may be amended, supplemented or otherwise modified from time to time in accordance with the terms hereof;</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Amalco</w:t>
      </w:r>
      <w:r>
        <w:rPr>
          <w:rFonts w:ascii="Times New Roman" w:cs="Times New Roman" w:eastAsia="Times New Roman" w:hAnsi="Times New Roman"/>
          <w:sz w:val="18"/>
          <w:szCs w:val="18"/>
          <w:color w:val="auto"/>
        </w:rPr>
        <w:t>” means the successor corporation resulting from the Pre-Closing Amalgamation;</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40"/>
          </w:cols>
          <w:pgMar w:left="240" w:top="455" w:right="51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right="480" w:hanging="1436"/>
        <w:spacing w:after="0" w:line="286" w:lineRule="auto"/>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Transaction Documents</w:t>
      </w:r>
      <w:r>
        <w:rPr>
          <w:rFonts w:ascii="Times New Roman" w:cs="Times New Roman" w:eastAsia="Times New Roman" w:hAnsi="Times New Roman"/>
          <w:sz w:val="18"/>
          <w:szCs w:val="18"/>
          <w:color w:val="auto"/>
        </w:rPr>
        <w:t>” means the Escrow Agreement, Escrowed Shares Escrow Agreement, Non-Competition Agreements and Registration Rights Agreement;</w:t>
      </w:r>
    </w:p>
    <w:p>
      <w:pPr>
        <w:spacing w:after="0" w:line="60" w:lineRule="exact"/>
        <w:rPr>
          <w:rFonts w:ascii="Times New Roman" w:cs="Times New Roman" w:eastAsia="Times New Roman" w:hAnsi="Times New Roman"/>
          <w:sz w:val="18"/>
          <w:szCs w:val="18"/>
          <w:color w:val="auto"/>
        </w:rPr>
      </w:pPr>
    </w:p>
    <w:p>
      <w:pPr>
        <w:ind w:left="1640" w:hanging="1436"/>
        <w:spacing w:after="0" w:line="259" w:lineRule="auto"/>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xml:space="preserve">” mean: (i) the OECD Convention on Combating Bribery of Foreign Public Officials in International Business Transactions, 1997; (ii) the </w:t>
      </w:r>
      <w:r>
        <w:rPr>
          <w:rFonts w:ascii="Times New Roman" w:cs="Times New Roman" w:eastAsia="Times New Roman" w:hAnsi="Times New Roman"/>
          <w:sz w:val="18"/>
          <w:szCs w:val="18"/>
          <w:i w:val="1"/>
          <w:iCs w:val="1"/>
          <w:color w:val="auto"/>
        </w:rPr>
        <w:t>Corruption of Foreign Public Officials Act</w:t>
      </w:r>
      <w:r>
        <w:rPr>
          <w:rFonts w:ascii="Times New Roman" w:cs="Times New Roman" w:eastAsia="Times New Roman" w:hAnsi="Times New Roman"/>
          <w:sz w:val="18"/>
          <w:szCs w:val="18"/>
          <w:color w:val="auto"/>
        </w:rPr>
        <w:t xml:space="preserve"> (Canada); (iii) the Foreign Corrupt Practices Act of 1977 of the United States of America, as amended by the Foreign Corrupt Practices Act Amendments of 1988 and 1998, and as may be further “amended and supplemented from time to time; and (iv) any other anti-corruption or anti-bribery Law, regulation or requirement applicable to the Corporation, or any Subsidiary, including Laws against bribery in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(Canada);</w:t>
      </w:r>
    </w:p>
    <w:p>
      <w:pPr>
        <w:spacing w:after="0" w:line="85"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Arbitration Award</w:t>
      </w:r>
      <w:r>
        <w:rPr>
          <w:rFonts w:ascii="Times New Roman" w:cs="Times New Roman" w:eastAsia="Times New Roman" w:hAnsi="Times New Roman"/>
          <w:sz w:val="18"/>
          <w:szCs w:val="18"/>
          <w:color w:val="auto"/>
        </w:rPr>
        <w:t>” has the meaning given in Section 15.2(d);</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ARC Application</w:t>
      </w:r>
      <w:r>
        <w:rPr>
          <w:rFonts w:ascii="Times New Roman" w:cs="Times New Roman" w:eastAsia="Times New Roman" w:hAnsi="Times New Roman"/>
          <w:sz w:val="18"/>
          <w:szCs w:val="18"/>
          <w:color w:val="auto"/>
        </w:rPr>
        <w:t>” has the meaning given in Section 9.3(a);</w:t>
      </w:r>
    </w:p>
    <w:p>
      <w:pPr>
        <w:spacing w:after="0" w:line="130" w:lineRule="exact"/>
        <w:rPr>
          <w:rFonts w:ascii="Times New Roman" w:cs="Times New Roman" w:eastAsia="Times New Roman" w:hAnsi="Times New Roman"/>
          <w:sz w:val="18"/>
          <w:szCs w:val="18"/>
          <w:color w:val="auto"/>
        </w:rPr>
      </w:pPr>
    </w:p>
    <w:p>
      <w:pPr>
        <w:ind w:left="1640" w:right="20" w:hanging="1436"/>
        <w:spacing w:after="0" w:line="286" w:lineRule="auto"/>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w:t>
      </w:r>
      <w:r>
        <w:rPr>
          <w:rFonts w:ascii="Times New Roman" w:cs="Times New Roman" w:eastAsia="Times New Roman" w:hAnsi="Times New Roman"/>
          <w:sz w:val="18"/>
          <w:szCs w:val="18"/>
          <w:color w:val="auto"/>
        </w:rPr>
        <w:t>” means accounting standards for private enterprises, as issued by the Accounting Standard Board and as adopted in Canada, as in effect from time to time;</w:t>
      </w:r>
    </w:p>
    <w:p>
      <w:pPr>
        <w:spacing w:after="0" w:line="60" w:lineRule="exact"/>
        <w:rPr>
          <w:rFonts w:ascii="Times New Roman" w:cs="Times New Roman" w:eastAsia="Times New Roman" w:hAnsi="Times New Roman"/>
          <w:sz w:val="18"/>
          <w:szCs w:val="18"/>
          <w:color w:val="auto"/>
        </w:rPr>
      </w:pPr>
    </w:p>
    <w:p>
      <w:pPr>
        <w:ind w:left="1640" w:right="60" w:hanging="1436"/>
        <w:spacing w:after="0" w:line="268" w:lineRule="auto"/>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means, collectively, all assets associated or used in connection with the Business, including all Corporate Records, Leased Premises, Real Property, Equipment, Equipment Leases, Operating Leases, Intellectual Property, Office Equipment, Vehicles, Working Capital and other assets associated therewith or used in the operation thereof;</w:t>
      </w:r>
    </w:p>
    <w:p>
      <w:pPr>
        <w:spacing w:after="0" w:line="76"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Cash Consideration</w:t>
      </w:r>
      <w:r>
        <w:rPr>
          <w:rFonts w:ascii="Times New Roman" w:cs="Times New Roman" w:eastAsia="Times New Roman" w:hAnsi="Times New Roman"/>
          <w:sz w:val="18"/>
          <w:szCs w:val="18"/>
          <w:color w:val="auto"/>
        </w:rPr>
        <w:t>” means Cdn.$209,500,000.00;</w:t>
      </w:r>
    </w:p>
    <w:p>
      <w:pPr>
        <w:spacing w:after="0" w:line="130" w:lineRule="exact"/>
        <w:rPr>
          <w:rFonts w:ascii="Times New Roman" w:cs="Times New Roman" w:eastAsia="Times New Roman" w:hAnsi="Times New Roman"/>
          <w:sz w:val="18"/>
          <w:szCs w:val="18"/>
          <w:color w:val="auto"/>
        </w:rPr>
      </w:pPr>
    </w:p>
    <w:p>
      <w:pPr>
        <w:ind w:left="1640" w:hanging="1436"/>
        <w:spacing w:after="0" w:line="255" w:lineRule="auto"/>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means all health, welfare, supplemental or regular unemployment benefit, bonus, profit sharing, commission, deferred compensation, disability, employee assistance, life insurance, severance or termination, change-of-control benefit, retention bonus, profit sharing, stock option, stock purchase, stock appreciation, phantom stock or other equity incentive, pension or retirement plans and all other employee compensation or benefit plans, programs, policies or arrangements which are maintained by, contributed to or binding upon the Corporation or its Subsidiaries (whether funded or unfunded, insured or self-insured, written or oral, registered or non-registered) for the benefit of current or former Employees (or the dependents or beneficiaries thereof) or with respect to which the Corporation or its Subsidiaries has any Liability, but excluding any pension, workers’ compensation, unemployment insurance or other comparable plan or program established or administered by any Governmental Entity;</w:t>
      </w:r>
    </w:p>
    <w:p>
      <w:pPr>
        <w:spacing w:after="0" w:line="90" w:lineRule="exact"/>
        <w:rPr>
          <w:rFonts w:ascii="Times New Roman" w:cs="Times New Roman" w:eastAsia="Times New Roman" w:hAnsi="Times New Roman"/>
          <w:sz w:val="18"/>
          <w:szCs w:val="18"/>
          <w:color w:val="auto"/>
        </w:rPr>
      </w:pPr>
    </w:p>
    <w:p>
      <w:pPr>
        <w:ind w:left="1640" w:right="60" w:hanging="1436"/>
        <w:spacing w:after="0" w:line="254" w:lineRule="auto"/>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Borrowed Money Indebtedness</w:t>
      </w:r>
      <w:r>
        <w:rPr>
          <w:rFonts w:ascii="Times New Roman" w:cs="Times New Roman" w:eastAsia="Times New Roman" w:hAnsi="Times New Roman"/>
          <w:sz w:val="18"/>
          <w:szCs w:val="18"/>
          <w:color w:val="auto"/>
        </w:rPr>
        <w:t>” means, without duplication, the unpaid principal amount, accrued interest, premiums, penalties, breakage costs, exit fees and other fees, expenses (if any), and other payment obligations and amounts due (including such amounts that would become due as a result of the consummation of the transactions contemplated by this Agreement) that would be required to be paid by a borrower to a lender pursuant to a customary payoff letter, in each case, in respect of (A) all Indebtedness for borrowed money of the Corporation or any of its Subsidiaries, (B) Indebtedness evidenced by notes, debentures, bonds or other similar instruments, and (C) all obligations with respect to interest-rate hedging, swaps or similar financial arrangements (valued at the termination value thereof and net of all payments owed to the Business, but does not include amounts in respect of any such Indebtedness or obligations solely between or among the Corporation and any Subsidiary and, without limiting the generality of the foregoing, includes all amounts owing under the July 13, 2017 Second Amended and Restated Credit Agreement among the Corporation, as borrower, HSBC Bank of Canada as administrative agent, lead arranger and sole bookrunner and syndication agent, and the lenders thereto, including any amounts in respect of early termination costs associated therewith;</w:t>
      </w:r>
    </w:p>
    <w:p>
      <w:pPr>
        <w:spacing w:after="0" w:line="88" w:lineRule="exact"/>
        <w:rPr>
          <w:rFonts w:ascii="Times New Roman" w:cs="Times New Roman" w:eastAsia="Times New Roman" w:hAnsi="Times New Roman"/>
          <w:sz w:val="18"/>
          <w:szCs w:val="18"/>
          <w:color w:val="auto"/>
        </w:rPr>
      </w:pPr>
    </w:p>
    <w:p>
      <w:pPr>
        <w:ind w:left="1640" w:right="120" w:hanging="1436"/>
        <w:spacing w:after="0" w:line="262" w:lineRule="auto"/>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means the business of providing workforce accommodation, workforce lodging, and logistics, catering and facility management services relating to workforce accommodation and workforce lodging, in each case for the oil and gas industry as conducted in the Province of Alberta by the Corporation, the Subsidiaries, Dene Koe GP and Dene Koe LP up to and including the Closing Date;</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80"/>
          </w:cols>
          <w:pgMar w:left="24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hanging="1436"/>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statutory holiday in Edmonton, Alberta or Houston, Texas;</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Information</w:t>
      </w:r>
      <w:r>
        <w:rPr>
          <w:rFonts w:ascii="Times New Roman" w:cs="Times New Roman" w:eastAsia="Times New Roman" w:hAnsi="Times New Roman"/>
          <w:sz w:val="18"/>
          <w:szCs w:val="18"/>
          <w:color w:val="auto"/>
        </w:rPr>
        <w:t>” has the meaning given in Section 16.2;</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 Notification</w:t>
      </w:r>
      <w:r>
        <w:rPr>
          <w:rFonts w:ascii="Times New Roman" w:cs="Times New Roman" w:eastAsia="Times New Roman" w:hAnsi="Times New Roman"/>
          <w:sz w:val="18"/>
          <w:szCs w:val="18"/>
          <w:color w:val="auto"/>
        </w:rPr>
        <w:t>” has the meaning given in Section 9.3(a);</w:t>
      </w:r>
    </w:p>
    <w:p>
      <w:pPr>
        <w:spacing w:after="0" w:line="130" w:lineRule="exact"/>
        <w:rPr>
          <w:rFonts w:ascii="Times New Roman" w:cs="Times New Roman" w:eastAsia="Times New Roman" w:hAnsi="Times New Roman"/>
          <w:sz w:val="18"/>
          <w:szCs w:val="18"/>
          <w:color w:val="auto"/>
        </w:rPr>
      </w:pPr>
    </w:p>
    <w:p>
      <w:pPr>
        <w:ind w:left="1640" w:hanging="1436"/>
        <w:spacing w:after="0" w:line="268" w:lineRule="auto"/>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means cash, cash equivalents, marketable securities, money on deposit with banks, certificates of deposit and similar instruments and short-term investments, net of outstanding cheques, of the Corporation and its Subsidiaries at the Closing Time, but excluding any amount of Restricted Cash;</w:t>
      </w:r>
    </w:p>
    <w:p>
      <w:pPr>
        <w:spacing w:after="0" w:line="76" w:lineRule="exact"/>
        <w:rPr>
          <w:rFonts w:ascii="Times New Roman" w:cs="Times New Roman" w:eastAsia="Times New Roman" w:hAnsi="Times New Roman"/>
          <w:sz w:val="18"/>
          <w:szCs w:val="18"/>
          <w:color w:val="auto"/>
        </w:rPr>
      </w:pPr>
    </w:p>
    <w:p>
      <w:pPr>
        <w:ind w:left="1640" w:right="20" w:hanging="1436"/>
        <w:spacing w:after="0" w:line="255" w:lineRule="auto"/>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Agreement</w:t>
      </w:r>
      <w:r>
        <w:rPr>
          <w:rFonts w:ascii="Times New Roman" w:cs="Times New Roman" w:eastAsia="Times New Roman" w:hAnsi="Times New Roman"/>
          <w:sz w:val="18"/>
          <w:szCs w:val="18"/>
          <w:color w:val="auto"/>
        </w:rPr>
        <w:t>” means any Contract to which the Corporation is a party or by which it is bound, including any Contract with an Employee, that contains “change of control” provisions that are, will be, or may be activated in connection with the entering into of this Agreement or the Closing, or as result of the change of control of the Corporation on closing and any actions taken by the Corporation or the Purchaser in respect of an Employee’s employment after Closing (as more particularly set forth in the Contract among such Employee and the Corporation) and that, as a consequence thereof, immediately, on demand or notice, with the lapse of time or otherwise: (i) the Corporation or its Subsidiaries will or could be required to pay any amount, transfer any property or asset or incur any Liability; (ii) with respect to Material Contracts only, another party to such Contract will or could be entitled to terminate the Contract; or (iii) with respect to Material Contracts only, the terms or conditions of the Contract, or the respective rights or obligations of the Corporation or the other party will otherwise be materially changed;</w:t>
      </w:r>
    </w:p>
    <w:p>
      <w:pPr>
        <w:spacing w:after="0" w:line="87" w:lineRule="exact"/>
        <w:rPr>
          <w:rFonts w:ascii="Times New Roman" w:cs="Times New Roman" w:eastAsia="Times New Roman" w:hAnsi="Times New Roman"/>
          <w:sz w:val="18"/>
          <w:szCs w:val="18"/>
          <w:color w:val="auto"/>
        </w:rPr>
      </w:pPr>
    </w:p>
    <w:p>
      <w:pPr>
        <w:ind w:left="1640" w:hanging="1436"/>
        <w:spacing w:after="0" w:line="286" w:lineRule="auto"/>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means any suit, action, dispute, civil or criminal litigation, claim, arbitration or legal, administrative or other proceeding or governmental investigation, including appeals and applications for review;</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completion of the transactions contemplated herein;</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Balance Sheet</w:t>
      </w:r>
      <w:r>
        <w:rPr>
          <w:rFonts w:ascii="Times New Roman" w:cs="Times New Roman" w:eastAsia="Times New Roman" w:hAnsi="Times New Roman"/>
          <w:sz w:val="18"/>
          <w:szCs w:val="18"/>
          <w:color w:val="auto"/>
        </w:rPr>
        <w:t>” has the meaning given in Section 2.6(b);</w:t>
      </w:r>
    </w:p>
    <w:p>
      <w:pPr>
        <w:spacing w:after="0" w:line="130" w:lineRule="exact"/>
        <w:rPr>
          <w:rFonts w:ascii="Times New Roman" w:cs="Times New Roman" w:eastAsia="Times New Roman" w:hAnsi="Times New Roman"/>
          <w:sz w:val="18"/>
          <w:szCs w:val="18"/>
          <w:color w:val="auto"/>
        </w:rPr>
      </w:pPr>
    </w:p>
    <w:p>
      <w:pPr>
        <w:jc w:val="both"/>
        <w:ind w:left="1640" w:right="60" w:hanging="1436"/>
        <w:spacing w:after="0" w:line="268" w:lineRule="auto"/>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first Business Day of the month following the month during which the conditions precedent in Article 11 are either satisfied or waived (provided that the Closing Date shall not be less than two Business Days after satisfaction or waiver of such conditions precedent), or such other date as mutually agreed to by the Parties, but in any event no later than the End Date;</w:t>
      </w:r>
    </w:p>
    <w:p>
      <w:pPr>
        <w:spacing w:after="0" w:line="76" w:lineRule="exact"/>
        <w:rPr>
          <w:sz w:val="20"/>
          <w:szCs w:val="20"/>
          <w:color w:val="auto"/>
        </w:rPr>
      </w:pPr>
    </w:p>
    <w:p>
      <w:pPr>
        <w:ind w:left="1640" w:hanging="1436"/>
        <w:spacing w:after="0"/>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has the meaning given in Section 2.6(b);</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 means 12:03 a.m. (Mountain Time) on the Closing Date;</w:t>
      </w:r>
    </w:p>
    <w:p>
      <w:pPr>
        <w:spacing w:after="0" w:line="130" w:lineRule="exact"/>
        <w:rPr>
          <w:rFonts w:ascii="Times New Roman" w:cs="Times New Roman" w:eastAsia="Times New Roman" w:hAnsi="Times New Roman"/>
          <w:sz w:val="18"/>
          <w:szCs w:val="18"/>
          <w:color w:val="auto"/>
        </w:rPr>
      </w:pPr>
    </w:p>
    <w:p>
      <w:pPr>
        <w:ind w:left="1640" w:right="560" w:hanging="1436"/>
        <w:spacing w:after="0" w:line="286" w:lineRule="auto"/>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Commissioner</w:t>
      </w:r>
      <w:r>
        <w:rPr>
          <w:rFonts w:ascii="Times New Roman" w:cs="Times New Roman" w:eastAsia="Times New Roman" w:hAnsi="Times New Roman"/>
          <w:sz w:val="18"/>
          <w:szCs w:val="18"/>
          <w:color w:val="auto"/>
        </w:rPr>
        <w:t>” means the Commissioner of Competition appointed under the Competition Act or any Person authorized to exercise the powers and perform the duties of the Commissioner of Competition;</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R.S.C., 1985, c. C-34;</w:t>
      </w:r>
    </w:p>
    <w:p>
      <w:pPr>
        <w:spacing w:after="0" w:line="130" w:lineRule="exact"/>
        <w:rPr>
          <w:rFonts w:ascii="Times New Roman" w:cs="Times New Roman" w:eastAsia="Times New Roman" w:hAnsi="Times New Roman"/>
          <w:sz w:val="18"/>
          <w:szCs w:val="18"/>
          <w:color w:val="auto"/>
        </w:rPr>
      </w:pPr>
    </w:p>
    <w:p>
      <w:pPr>
        <w:ind w:left="1640" w:right="60" w:hanging="1436"/>
        <w:spacing w:after="0" w:line="255" w:lineRule="auto"/>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Act Clearance</w:t>
      </w:r>
      <w:r>
        <w:rPr>
          <w:rFonts w:ascii="Times New Roman" w:cs="Times New Roman" w:eastAsia="Times New Roman" w:hAnsi="Times New Roman"/>
          <w:sz w:val="18"/>
          <w:szCs w:val="18"/>
          <w:color w:val="auto"/>
        </w:rPr>
        <w:t>” means the occurrence of one or more of the following in respect of the transactions contemplated by this Agreement: (i) the Purchaser shall have received an advance ruling certificate under Section 102 of the Competition Act and such certificate shall not have been withdrawn or rescinded, or (ii) (x) the Commissioner shall have confirmed in writing that he does not, at that time, intend to make an application under Section 92 of the Competition Act (a “no action letter”), on terms satisfactory to the Purchaser, acting reasonably, and such no action letter shall not have been amended or rescinded, and (y) the obligation to submit a notification under Part IX of the Competition Act shall have been waived pursuant to paragraph 113(c) of the Competition Act or the applicable waiting period under subsection 123(1) of the Competition Act shall have expired or shall have been terminated under subsection 123(2) of the Competition Act;</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20"/>
          </w:cols>
          <w:pgMar w:left="240" w:top="455"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right="40" w:hanging="1436"/>
        <w:spacing w:after="0" w:line="268"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Agreements</w:t>
      </w:r>
      <w:r>
        <w:rPr>
          <w:rFonts w:ascii="Times New Roman" w:cs="Times New Roman" w:eastAsia="Times New Roman" w:hAnsi="Times New Roman"/>
          <w:sz w:val="18"/>
          <w:szCs w:val="18"/>
          <w:color w:val="auto"/>
        </w:rPr>
        <w:t>” means, collectively, the confidentiality and non-disclosure agreement entered into between Purchaser and the Corporation, dated June 8, 2017 and accepted and agreed to as of June 13, 2017 and the non-disclosure agreement entered into between the Purchaser and the Corporation dated October 3, 2017;</w:t>
      </w:r>
    </w:p>
    <w:p>
      <w:pPr>
        <w:spacing w:after="0" w:line="76" w:lineRule="exact"/>
        <w:rPr>
          <w:rFonts w:ascii="Times New Roman" w:cs="Times New Roman" w:eastAsia="Times New Roman" w:hAnsi="Times New Roman"/>
          <w:sz w:val="18"/>
          <w:szCs w:val="18"/>
          <w:color w:val="auto"/>
        </w:rPr>
      </w:pPr>
    </w:p>
    <w:p>
      <w:pPr>
        <w:ind w:left="1640" w:right="140" w:hanging="1436"/>
        <w:spacing w:after="0" w:line="286"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Connected Persons</w:t>
      </w:r>
      <w:r>
        <w:rPr>
          <w:rFonts w:ascii="Times New Roman" w:cs="Times New Roman" w:eastAsia="Times New Roman" w:hAnsi="Times New Roman"/>
          <w:sz w:val="18"/>
          <w:szCs w:val="18"/>
          <w:color w:val="auto"/>
        </w:rPr>
        <w:t>” has, with respect to the Vendors, the Corporation and its Subsidiaries, the meaning given in Section 4.1(s)(i) and has, with respect to the Purchaser and its Affiliates, the meaning given in Section 3.1(u)(i);</w:t>
      </w:r>
    </w:p>
    <w:p>
      <w:pPr>
        <w:spacing w:after="0" w:line="60" w:lineRule="exact"/>
        <w:rPr>
          <w:rFonts w:ascii="Times New Roman" w:cs="Times New Roman" w:eastAsia="Times New Roman" w:hAnsi="Times New Roman"/>
          <w:sz w:val="18"/>
          <w:szCs w:val="18"/>
          <w:color w:val="auto"/>
        </w:rPr>
      </w:pPr>
    </w:p>
    <w:p>
      <w:pPr>
        <w:ind w:left="1640" w:right="280" w:hanging="1436"/>
        <w:spacing w:after="0" w:line="286"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collectively, the Purchaser Common Shares and Purchaser Preferred Shares issuable pursuant to Sections 2.3(a)(ii) and 2.3(a)(iii) hereof, respectively;</w:t>
      </w:r>
    </w:p>
    <w:p>
      <w:pPr>
        <w:spacing w:after="0" w:line="60" w:lineRule="exact"/>
        <w:rPr>
          <w:rFonts w:ascii="Times New Roman" w:cs="Times New Roman" w:eastAsia="Times New Roman" w:hAnsi="Times New Roman"/>
          <w:sz w:val="18"/>
          <w:szCs w:val="18"/>
          <w:color w:val="auto"/>
        </w:rPr>
      </w:pPr>
    </w:p>
    <w:p>
      <w:pPr>
        <w:ind w:left="1640" w:right="60" w:hanging="1436"/>
        <w:spacing w:after="0" w:line="259"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of any Person means all contracts, leases, sub-leases, licenses, sub-licenses, commitments, entitlements, understandings, engagements, deeds, indentures, mortgages, securities, warranties, guarantees, instruments, bargains, promises, covenants and other agreements to which such Person is a party or by which such Person is bound, whether written, oral or otherwise, and includes all quotations, orders or tenders issued by such Person which remain open for acceptance, which if accepted will be binding on the party thereto;</w:t>
      </w:r>
    </w:p>
    <w:p>
      <w:pPr>
        <w:spacing w:after="0" w:line="85" w:lineRule="exact"/>
        <w:rPr>
          <w:rFonts w:ascii="Times New Roman" w:cs="Times New Roman" w:eastAsia="Times New Roman" w:hAnsi="Times New Roman"/>
          <w:sz w:val="18"/>
          <w:szCs w:val="18"/>
          <w:color w:val="auto"/>
        </w:rPr>
      </w:pPr>
    </w:p>
    <w:p>
      <w:pPr>
        <w:ind w:left="1640" w:right="20" w:hanging="1436"/>
        <w:spacing w:after="0" w:line="262"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Records</w:t>
      </w:r>
      <w:r>
        <w:rPr>
          <w:rFonts w:ascii="Times New Roman" w:cs="Times New Roman" w:eastAsia="Times New Roman" w:hAnsi="Times New Roman"/>
          <w:sz w:val="18"/>
          <w:szCs w:val="18"/>
          <w:color w:val="auto"/>
        </w:rPr>
        <w:t>” means the corporate records and minute books of the Corporation and its Subsidiaries, including all constating documents and by-laws, or the equivalent, of the Corporation and its Subsidiaries, all minutes of meetings and resolutions of shareholders, and directors (and any committees), all notices filed with Governmental Entities under applicable corporate Laws, and all corporate registers;</w:t>
      </w:r>
    </w:p>
    <w:p>
      <w:pPr>
        <w:spacing w:after="0" w:line="82"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means Noralta Lodge Ltd. and for greater certainty shall include any corporate predecessor thereto;</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Accountants</w:t>
      </w:r>
      <w:r>
        <w:rPr>
          <w:rFonts w:ascii="Times New Roman" w:cs="Times New Roman" w:eastAsia="Times New Roman" w:hAnsi="Times New Roman"/>
          <w:sz w:val="18"/>
          <w:szCs w:val="18"/>
          <w:color w:val="auto"/>
        </w:rPr>
        <w:t>” means PricewaterhouseCoopers LLP, chartered professional accountants;</w:t>
      </w:r>
    </w:p>
    <w:p>
      <w:pPr>
        <w:spacing w:after="0" w:line="130" w:lineRule="exact"/>
        <w:rPr>
          <w:rFonts w:ascii="Times New Roman" w:cs="Times New Roman" w:eastAsia="Times New Roman" w:hAnsi="Times New Roman"/>
          <w:sz w:val="18"/>
          <w:szCs w:val="18"/>
          <w:color w:val="auto"/>
        </w:rPr>
      </w:pPr>
    </w:p>
    <w:p>
      <w:pPr>
        <w:ind w:left="1640" w:right="80" w:hanging="1436"/>
        <w:spacing w:after="0" w:line="256"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Financial Statements</w:t>
      </w:r>
      <w:r>
        <w:rPr>
          <w:rFonts w:ascii="Times New Roman" w:cs="Times New Roman" w:eastAsia="Times New Roman" w:hAnsi="Times New Roman"/>
          <w:sz w:val="18"/>
          <w:szCs w:val="18"/>
          <w:color w:val="auto"/>
        </w:rPr>
        <w:t>” means (i) the audited consolidated financial statements of the Corporation and its Subsidiaries, comprised of the consolidated balance sheets as at May 31, 2017 and May 31, 2016 and the consolidated statements of retained earnings, consolidated statements of operations, and consolidated statements of cash flows for each of the years ended May 31, 2017, May 31, 2016 and May 31, 2015, including all notes thereto, and the report thereon, to the Directors of the Corporation, of the Corporation Accountants, and (ii) the unaudited interim consolidated financial statements, comprised of the consolidated balance sheet, consolidated statement of retained earnings, consolidated statement of earnings, and consolidated statement of cash flows of the Corporation and its Subsidiaries for the three month period ended August 31, 2017;</w:t>
      </w:r>
    </w:p>
    <w:p>
      <w:pPr>
        <w:spacing w:after="0" w:line="88" w:lineRule="exact"/>
        <w:rPr>
          <w:rFonts w:ascii="Times New Roman" w:cs="Times New Roman" w:eastAsia="Times New Roman" w:hAnsi="Times New Roman"/>
          <w:sz w:val="18"/>
          <w:szCs w:val="18"/>
          <w:color w:val="auto"/>
        </w:rPr>
      </w:pPr>
    </w:p>
    <w:p>
      <w:pPr>
        <w:ind w:left="1640" w:right="60" w:hanging="1436"/>
        <w:spacing w:after="0" w:line="282" w:lineRule="auto"/>
        <w:tabs>
          <w:tab w:leader="none" w:pos="1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Current Assets</w:t>
      </w:r>
      <w:r>
        <w:rPr>
          <w:rFonts w:ascii="Times New Roman" w:cs="Times New Roman" w:eastAsia="Times New Roman" w:hAnsi="Times New Roman"/>
          <w:sz w:val="17"/>
          <w:szCs w:val="17"/>
          <w:color w:val="auto"/>
        </w:rPr>
        <w:t>” means all Accounts Receivable, income Taxes receivable, inventory, Restricted Cash, prepaid expenses, deposits, and goods and services Tax recoverable of the Corporation and its Subsidiaries at the Closing Time, in each case to the extent any such item is considered to be a current asset in accordance with ASPE, but for all purposes, shall exclude any advances to the Corporation’s shareholders (including the Shareholder Advance), any related party receivables and any Cash and Cash Equivalents;</w:t>
      </w:r>
    </w:p>
    <w:p>
      <w:pPr>
        <w:spacing w:after="0" w:line="67" w:lineRule="exact"/>
        <w:rPr>
          <w:rFonts w:ascii="Times New Roman" w:cs="Times New Roman" w:eastAsia="Times New Roman" w:hAnsi="Times New Roman"/>
          <w:sz w:val="17"/>
          <w:szCs w:val="17"/>
          <w:color w:val="auto"/>
        </w:rPr>
      </w:pPr>
    </w:p>
    <w:p>
      <w:pPr>
        <w:ind w:left="1640" w:hanging="1436"/>
        <w:spacing w:after="0" w:line="262"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all accounts payable, income Taxes payable, accrued liabilities, government remittances (source deductions), the current portion of asset retirement obligations, goods and services Tax payable and other accrued liabilities of the Corporation and its Subsidiaries at the Closing Time, in each case to the extent any such item is considered to be a current liability in accordance with ASPE and excluding accrued interest;</w:t>
      </w:r>
    </w:p>
    <w:p>
      <w:pPr>
        <w:spacing w:after="0" w:line="82"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Dene Koe GP</w:t>
      </w:r>
      <w:r>
        <w:rPr>
          <w:rFonts w:ascii="Times New Roman" w:cs="Times New Roman" w:eastAsia="Times New Roman" w:hAnsi="Times New Roman"/>
          <w:sz w:val="18"/>
          <w:szCs w:val="18"/>
          <w:color w:val="auto"/>
        </w:rPr>
        <w:t>” means Noralta FMFN General Partner Ltd.;</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Dene Koe LP</w:t>
      </w:r>
      <w:r>
        <w:rPr>
          <w:rFonts w:ascii="Times New Roman" w:cs="Times New Roman" w:eastAsia="Times New Roman" w:hAnsi="Times New Roman"/>
          <w:sz w:val="18"/>
          <w:szCs w:val="18"/>
          <w:color w:val="auto"/>
        </w:rPr>
        <w:t>” means Dene Koe Workforce Lodging &amp; Services Limited Partnership;</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20"/>
          </w:cols>
          <w:pgMar w:left="24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hanging="1436"/>
        <w:spacing w:after="0"/>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given in Section 1.1(kkkkkk);</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has the meaning given in Section 16.2;</w:t>
      </w:r>
    </w:p>
    <w:p>
      <w:pPr>
        <w:spacing w:after="0" w:line="130" w:lineRule="exact"/>
        <w:rPr>
          <w:rFonts w:ascii="Times New Roman" w:cs="Times New Roman" w:eastAsia="Times New Roman" w:hAnsi="Times New Roman"/>
          <w:sz w:val="18"/>
          <w:szCs w:val="18"/>
          <w:color w:val="auto"/>
        </w:rPr>
      </w:pPr>
    </w:p>
    <w:p>
      <w:pPr>
        <w:ind w:left="1640" w:right="120" w:hanging="1436"/>
        <w:spacing w:after="0" w:line="286" w:lineRule="auto"/>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means the disclosure letter relating to this Agreement delivered by the Vendors to the Purchaser on the date of this Agreement;</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has the meaning given in Section 15.1;</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has the meaning given in Section 15.1;</w:t>
      </w:r>
    </w:p>
    <w:p>
      <w:pPr>
        <w:spacing w:after="0" w:line="130" w:lineRule="exact"/>
        <w:rPr>
          <w:rFonts w:ascii="Times New Roman" w:cs="Times New Roman" w:eastAsia="Times New Roman" w:hAnsi="Times New Roman"/>
          <w:sz w:val="18"/>
          <w:szCs w:val="18"/>
          <w:color w:val="auto"/>
        </w:rPr>
      </w:pPr>
    </w:p>
    <w:p>
      <w:pPr>
        <w:ind w:left="1640" w:right="220" w:hanging="1436"/>
        <w:spacing w:after="0" w:line="259" w:lineRule="auto"/>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Economic Sanctions</w:t>
      </w:r>
      <w:r>
        <w:rPr>
          <w:rFonts w:ascii="Times New Roman" w:cs="Times New Roman" w:eastAsia="Times New Roman" w:hAnsi="Times New Roman"/>
          <w:sz w:val="18"/>
          <w:szCs w:val="18"/>
          <w:color w:val="auto"/>
        </w:rPr>
        <w:t xml:space="preserve">” means all Laws restricting or prohibiting international business activities with foreign states and state and non-state actors, including but not limited to, in the case of Canada, the </w:t>
      </w:r>
      <w:r>
        <w:rPr>
          <w:rFonts w:ascii="Times New Roman" w:cs="Times New Roman" w:eastAsia="Times New Roman" w:hAnsi="Times New Roman"/>
          <w:sz w:val="18"/>
          <w:szCs w:val="18"/>
          <w:i w:val="1"/>
          <w:iCs w:val="1"/>
          <w:color w:val="auto"/>
        </w:rPr>
        <w:t>Special Economic Measures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Nations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Freezing Assets of Corrupt Foreign Officials Act </w:t>
      </w:r>
      <w:r>
        <w:rPr>
          <w:rFonts w:ascii="Times New Roman" w:cs="Times New Roman" w:eastAsia="Times New Roman" w:hAnsi="Times New Roman"/>
          <w:sz w:val="18"/>
          <w:szCs w:val="18"/>
          <w:color w:val="auto"/>
        </w:rPr>
        <w:t>(Canada), and in the case of the United States,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Emergency Economic Powers Act, as amended, the Trading With the Enemy Act, as amended, and the various executive orders and regulations administered by the U.S. Department of the Treasury, Office of Foreign Assets Control;</w:t>
      </w:r>
    </w:p>
    <w:p>
      <w:pPr>
        <w:spacing w:after="0" w:line="85" w:lineRule="exact"/>
        <w:rPr>
          <w:rFonts w:ascii="Times New Roman" w:cs="Times New Roman" w:eastAsia="Times New Roman" w:hAnsi="Times New Roman"/>
          <w:sz w:val="18"/>
          <w:szCs w:val="18"/>
          <w:color w:val="auto"/>
        </w:rPr>
      </w:pPr>
    </w:p>
    <w:p>
      <w:pPr>
        <w:ind w:left="1640" w:hanging="1436"/>
        <w:spacing w:after="0" w:line="262" w:lineRule="auto"/>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means all individuals who are employed or engaged as directors, officers, employees or consultants of the Corporation or any of its Subsidiaries, or who are otherwise entitled to receive any form of compensation from the Corporation or any of its Subsidiaries (including deferred or contingent compensation) for regular and ongoing services rendered, including any employees of the Corporation or any of its Subsidiaries on disability leave, parental leave or other leave of absence;</w:t>
      </w:r>
    </w:p>
    <w:p>
      <w:pPr>
        <w:spacing w:after="0" w:line="82" w:lineRule="exact"/>
        <w:rPr>
          <w:rFonts w:ascii="Times New Roman" w:cs="Times New Roman" w:eastAsia="Times New Roman" w:hAnsi="Times New Roman"/>
          <w:sz w:val="18"/>
          <w:szCs w:val="18"/>
          <w:color w:val="auto"/>
        </w:rPr>
      </w:pPr>
    </w:p>
    <w:p>
      <w:pPr>
        <w:jc w:val="both"/>
        <w:ind w:left="1640" w:right="80" w:hanging="1436"/>
        <w:spacing w:after="0" w:line="262" w:lineRule="auto"/>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lien, mortgage, charge, hypothecation, security interest, option, right of first refusal, pre-emptive right, easement, servitude, indenture, deed of trust, statutory or deemed trust, right of way, encroachment, license to third parties, lease to third parties, security agreement, or other encumbrance or restriction or limitation on use of real or personal property, whether fixed or floating, or irregularity or imperfection in title thereto;</w:t>
      </w:r>
    </w:p>
    <w:p>
      <w:pPr>
        <w:spacing w:after="0" w:line="82"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has the meaning given in Section 13.1(b);</w:t>
      </w:r>
    </w:p>
    <w:p>
      <w:pPr>
        <w:spacing w:after="0" w:line="131" w:lineRule="exact"/>
        <w:rPr>
          <w:sz w:val="20"/>
          <w:szCs w:val="20"/>
          <w:color w:val="auto"/>
        </w:rPr>
      </w:pPr>
    </w:p>
    <w:p>
      <w:pPr>
        <w:ind w:left="1640" w:hanging="1436"/>
        <w:spacing w:after="0" w:line="268" w:lineRule="auto"/>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Laws relating to environmental health or safety, or pollution or the protection of the environment, including Laws relating to Releases or the manufacture, processing, distribution, treatment, storage, disposal, transportation, sale, offer for sale, distribution, labeling, handling or use of Hazardous Substances;</w:t>
      </w:r>
    </w:p>
    <w:p>
      <w:pPr>
        <w:spacing w:after="0" w:line="76" w:lineRule="exact"/>
        <w:rPr>
          <w:rFonts w:ascii="Times New Roman" w:cs="Times New Roman" w:eastAsia="Times New Roman" w:hAnsi="Times New Roman"/>
          <w:sz w:val="18"/>
          <w:szCs w:val="18"/>
          <w:color w:val="auto"/>
        </w:rPr>
      </w:pPr>
    </w:p>
    <w:p>
      <w:pPr>
        <w:ind w:left="1640" w:right="100" w:hanging="1436"/>
        <w:spacing w:after="0" w:line="268" w:lineRule="auto"/>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means all machinery, equipment, fixtures, tools, personal property and other tangible property (including all tangible personal property that is not included in Trade Inventory, Office Equipment or Vehicles) owned by the Corporation or any Subsidiary and used in carrying on the Business;</w:t>
      </w:r>
    </w:p>
    <w:p>
      <w:pPr>
        <w:spacing w:after="0" w:line="76" w:lineRule="exact"/>
        <w:rPr>
          <w:rFonts w:ascii="Times New Roman" w:cs="Times New Roman" w:eastAsia="Times New Roman" w:hAnsi="Times New Roman"/>
          <w:sz w:val="18"/>
          <w:szCs w:val="18"/>
          <w:color w:val="auto"/>
        </w:rPr>
      </w:pPr>
    </w:p>
    <w:p>
      <w:pPr>
        <w:ind w:left="1640" w:right="280" w:hanging="1436"/>
        <w:spacing w:after="0" w:line="268" w:lineRule="auto"/>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 Leases</w:t>
      </w:r>
      <w:r>
        <w:rPr>
          <w:rFonts w:ascii="Times New Roman" w:cs="Times New Roman" w:eastAsia="Times New Roman" w:hAnsi="Times New Roman"/>
          <w:sz w:val="18"/>
          <w:szCs w:val="18"/>
          <w:color w:val="auto"/>
        </w:rPr>
        <w:t>” means all finance or capital leases, conditional sales Contracts, title retention agreements and other similar agreements relating to any of the Equipment, Office Equipment or Vehicles, all of which are set out in Schedule 1.1(ccc) of the Disclosure Letter;</w:t>
      </w:r>
    </w:p>
    <w:p>
      <w:pPr>
        <w:spacing w:after="0" w:line="76" w:lineRule="exact"/>
        <w:rPr>
          <w:rFonts w:ascii="Times New Roman" w:cs="Times New Roman" w:eastAsia="Times New Roman" w:hAnsi="Times New Roman"/>
          <w:sz w:val="18"/>
          <w:szCs w:val="18"/>
          <w:color w:val="auto"/>
        </w:rPr>
      </w:pPr>
    </w:p>
    <w:p>
      <w:pPr>
        <w:ind w:left="1640" w:right="440" w:hanging="1436"/>
        <w:spacing w:after="0" w:line="286" w:lineRule="auto"/>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means Alliance Trust Company, acting as escrow agent pursuant to the Escrow Agreement and the Escrowed Shares Escrow Agreement;</w:t>
      </w:r>
    </w:p>
    <w:p>
      <w:pPr>
        <w:spacing w:after="0" w:line="60" w:lineRule="exact"/>
        <w:rPr>
          <w:rFonts w:ascii="Times New Roman" w:cs="Times New Roman" w:eastAsia="Times New Roman" w:hAnsi="Times New Roman"/>
          <w:sz w:val="18"/>
          <w:szCs w:val="18"/>
          <w:color w:val="auto"/>
        </w:rPr>
      </w:pPr>
    </w:p>
    <w:p>
      <w:pPr>
        <w:ind w:left="1640" w:right="520" w:hanging="1436"/>
        <w:spacing w:after="0" w:line="317" w:lineRule="auto"/>
        <w:tabs>
          <w:tab w:leader="none" w:pos="16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Escrow Agreement</w:t>
      </w:r>
      <w:r>
        <w:rPr>
          <w:rFonts w:ascii="Times New Roman" w:cs="Times New Roman" w:eastAsia="Times New Roman" w:hAnsi="Times New Roman"/>
          <w:sz w:val="17"/>
          <w:szCs w:val="17"/>
          <w:color w:val="auto"/>
        </w:rPr>
        <w:t>” means the escrow agreement in respect of the Escrow Amount to be entered into by and between the Purchaser, the Vendors and the Escrow Agent as at the Closing Time, substantially in the form attached hereto as Exhibit “1”;</w:t>
      </w:r>
    </w:p>
    <w:p>
      <w:pPr>
        <w:spacing w:after="0" w:line="37" w:lineRule="exact"/>
        <w:rPr>
          <w:rFonts w:ascii="Times New Roman" w:cs="Times New Roman" w:eastAsia="Times New Roman" w:hAnsi="Times New Roman"/>
          <w:sz w:val="17"/>
          <w:szCs w:val="17"/>
          <w:color w:val="auto"/>
        </w:rPr>
      </w:pPr>
    </w:p>
    <w:p>
      <w:pPr>
        <w:ind w:left="1640" w:hanging="1436"/>
        <w:spacing w:after="0"/>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Amount</w:t>
      </w:r>
      <w:r>
        <w:rPr>
          <w:rFonts w:ascii="Times New Roman" w:cs="Times New Roman" w:eastAsia="Times New Roman" w:hAnsi="Times New Roman"/>
          <w:sz w:val="18"/>
          <w:szCs w:val="18"/>
          <w:color w:val="auto"/>
        </w:rPr>
        <w:t>” has the meaning given in Section 2.3(a)(v);</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Escrowed Shares</w:t>
      </w:r>
      <w:r>
        <w:rPr>
          <w:rFonts w:ascii="Times New Roman" w:cs="Times New Roman" w:eastAsia="Times New Roman" w:hAnsi="Times New Roman"/>
          <w:sz w:val="18"/>
          <w:szCs w:val="18"/>
          <w:color w:val="auto"/>
        </w:rPr>
        <w:t>” has the meaning given in Section 2.3(a)(ii);</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00"/>
          </w:cols>
          <w:pgMar w:left="24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right="100" w:hanging="1436"/>
        <w:spacing w:after="0" w:line="268" w:lineRule="auto"/>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Escrowed Shares Escrow Agreement</w:t>
      </w:r>
      <w:r>
        <w:rPr>
          <w:rFonts w:ascii="Times New Roman" w:cs="Times New Roman" w:eastAsia="Times New Roman" w:hAnsi="Times New Roman"/>
          <w:sz w:val="18"/>
          <w:szCs w:val="18"/>
          <w:color w:val="auto"/>
        </w:rPr>
        <w:t>” means the escrow agreement in respect of the Escrowed Shares to be entered into by and between the Purchaser, the Vendors and the Escrow Agent as at the Closing Time, in the form mutually agreed upon by the Vendors and the Purchaser;</w:t>
      </w:r>
    </w:p>
    <w:p>
      <w:pPr>
        <w:spacing w:after="0" w:line="76"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Estimated Working Capital</w:t>
      </w:r>
      <w:r>
        <w:rPr>
          <w:rFonts w:ascii="Times New Roman" w:cs="Times New Roman" w:eastAsia="Times New Roman" w:hAnsi="Times New Roman"/>
          <w:sz w:val="18"/>
          <w:szCs w:val="18"/>
          <w:color w:val="auto"/>
        </w:rPr>
        <w:t>” has the meaning given in Section 2.6(a)(i);</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Expenditures</w:t>
      </w:r>
      <w:r>
        <w:rPr>
          <w:rFonts w:ascii="Times New Roman" w:cs="Times New Roman" w:eastAsia="Times New Roman" w:hAnsi="Times New Roman"/>
          <w:sz w:val="18"/>
          <w:szCs w:val="18"/>
          <w:color w:val="auto"/>
        </w:rPr>
        <w:t>” has the meaning given in Section 2.6(d)(vi);</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Working Capital</w:t>
      </w:r>
      <w:r>
        <w:rPr>
          <w:rFonts w:ascii="Times New Roman" w:cs="Times New Roman" w:eastAsia="Times New Roman" w:hAnsi="Times New Roman"/>
          <w:sz w:val="18"/>
          <w:szCs w:val="18"/>
          <w:color w:val="auto"/>
        </w:rPr>
        <w:t>” has the meaning given in Section 2.6(a)(i);</w:t>
      </w:r>
    </w:p>
    <w:p>
      <w:pPr>
        <w:spacing w:after="0" w:line="134"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Working Capital Deficiency” has the meaning given in Section 2.6(d)(i)(A);</w:t>
      </w:r>
    </w:p>
    <w:p>
      <w:pPr>
        <w:spacing w:after="0" w:line="126"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2060" w:right="20" w:hanging="425"/>
        <w:spacing w:after="0" w:line="256" w:lineRule="auto"/>
        <w:tabs>
          <w:tab w:leader="none" w:pos="20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Vendors and Torgerson, the representations and warranties set forth in the first sentence of Section 4.1(a) and Section 4.1(b) (Incorporation, Organization, Corporate Structure and Authority), Sections 4.1(d)(i) and 4.1(d)(ii) (Necessary Proceedings), Section 4.1(e) (Valid and Binding Obligation), Section 4.1(g) (Capital), Section 4.1(h) (Rights to Acquire Securities), Section 4.1(i) (Title to Assets), Section 5.1(a) (Ownership of Purchased Shares), Section 5.1(b), Section 5.1(c), Section, 5.1(e), Section 5.1(f), Section 5.1(g) (Incorporation, Organization, Authority and Capacity), Sections 5.1(h)(i) and 5.1(h)(ii) (Necessary Proceedings) and Section 5.1(i) (Valid and Binding Obligation);</w:t>
      </w:r>
    </w:p>
    <w:p>
      <w:pPr>
        <w:spacing w:after="0" w:line="93" w:lineRule="exact"/>
        <w:rPr>
          <w:rFonts w:ascii="Times New Roman" w:cs="Times New Roman" w:eastAsia="Times New Roman" w:hAnsi="Times New Roman"/>
          <w:sz w:val="18"/>
          <w:szCs w:val="18"/>
          <w:color w:val="auto"/>
        </w:rPr>
      </w:pPr>
    </w:p>
    <w:p>
      <w:pPr>
        <w:ind w:left="2060" w:right="340" w:hanging="425"/>
        <w:spacing w:after="0" w:line="266" w:lineRule="auto"/>
        <w:tabs>
          <w:tab w:leader="none" w:pos="20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Purchaser, the representations and warranties set forth in Section 3.1(a) (Incorporation, Organization and Authority of the Purchaser), Section 3.1(b) (Necessary Proceedings), Section 3.1(c) (Issuance of Consideration Shares), Section 3.1(d) (Valid and Binding Obligation) and Section 3.1(g) (Current Share Capital).</w:t>
      </w:r>
    </w:p>
    <w:p>
      <w:pPr>
        <w:spacing w:after="0" w:line="77"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130" w:lineRule="exact"/>
        <w:rPr>
          <w:rFonts w:ascii="Times New Roman" w:cs="Times New Roman" w:eastAsia="Times New Roman" w:hAnsi="Times New Roman"/>
          <w:sz w:val="18"/>
          <w:szCs w:val="18"/>
          <w:color w:val="auto"/>
        </w:rPr>
      </w:pPr>
    </w:p>
    <w:p>
      <w:pPr>
        <w:ind w:left="1640" w:hanging="1436"/>
        <w:spacing w:after="0" w:line="259" w:lineRule="auto"/>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government, parliament, legislature, regulatory authority, governmental department, government agency, government commission, government tribunal, crown corporation, court (federal, provincial or local) or other Law, rule or regulation-making entity having jurisdiction or exercising executive, legislative, judicial, regulatory or administrative powers on behalf of any federation or nation, or any province, territory, state or other subdivision thereof or any municipality, district or other subdivision thereof;</w:t>
      </w:r>
    </w:p>
    <w:p>
      <w:pPr>
        <w:spacing w:after="0" w:line="85"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has the meaning given in Section 2.9;</w:t>
      </w:r>
    </w:p>
    <w:p>
      <w:pPr>
        <w:spacing w:after="0" w:line="130" w:lineRule="exact"/>
        <w:rPr>
          <w:rFonts w:ascii="Times New Roman" w:cs="Times New Roman" w:eastAsia="Times New Roman" w:hAnsi="Times New Roman"/>
          <w:sz w:val="18"/>
          <w:szCs w:val="18"/>
          <w:color w:val="auto"/>
        </w:rPr>
      </w:pPr>
    </w:p>
    <w:p>
      <w:pPr>
        <w:ind w:left="1640" w:right="140" w:hanging="1436"/>
        <w:spacing w:after="0" w:line="262" w:lineRule="auto"/>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Substances</w:t>
      </w:r>
      <w:r>
        <w:rPr>
          <w:rFonts w:ascii="Times New Roman" w:cs="Times New Roman" w:eastAsia="Times New Roman" w:hAnsi="Times New Roman"/>
          <w:sz w:val="18"/>
          <w:szCs w:val="18"/>
          <w:color w:val="auto"/>
        </w:rPr>
        <w:t>” means any substance or material that is defined or otherwise designated under Law (in effect at Closing) as being hazardous, dangerous or toxic or a pollutant or contaminant, the manufacture, processing, distribution, treatment, storage, disposal, transportation, sale, offer for sale, distribution, labeling, handling or use of which is prohibited, controlled or regulated under Law;</w:t>
      </w:r>
    </w:p>
    <w:p>
      <w:pPr>
        <w:spacing w:after="0" w:line="82"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ICA Application</w:t>
      </w:r>
      <w:r>
        <w:rPr>
          <w:rFonts w:ascii="Times New Roman" w:cs="Times New Roman" w:eastAsia="Times New Roman" w:hAnsi="Times New Roman"/>
          <w:sz w:val="18"/>
          <w:szCs w:val="18"/>
          <w:color w:val="auto"/>
        </w:rPr>
        <w:t>” has the meaning given in Section 9.3(b);</w:t>
      </w:r>
    </w:p>
    <w:p>
      <w:pPr>
        <w:spacing w:after="0" w:line="130" w:lineRule="exact"/>
        <w:rPr>
          <w:rFonts w:ascii="Times New Roman" w:cs="Times New Roman" w:eastAsia="Times New Roman" w:hAnsi="Times New Roman"/>
          <w:sz w:val="18"/>
          <w:szCs w:val="18"/>
          <w:color w:val="auto"/>
        </w:rPr>
      </w:pPr>
    </w:p>
    <w:p>
      <w:pPr>
        <w:ind w:left="1640" w:right="60" w:hanging="1436"/>
        <w:spacing w:after="0" w:line="259" w:lineRule="auto"/>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ICA Approval</w:t>
      </w:r>
      <w:r>
        <w:rPr>
          <w:rFonts w:ascii="Times New Roman" w:cs="Times New Roman" w:eastAsia="Times New Roman" w:hAnsi="Times New Roman"/>
          <w:sz w:val="18"/>
          <w:szCs w:val="18"/>
          <w:color w:val="auto"/>
        </w:rPr>
        <w:t>” means, in respect of the transactions contemplated by this Agreement, (a) (i) the Purchaser shall not have received notice from a Governmental Entity under either Section 25.2(1) or Section 25.3(2) of the Investment Canada Act, or (ii) if the Purchaser has received such a notice, the Purchaser shall have subsequently received one of the following notices, as applicable:</w:t>
      </w:r>
    </w:p>
    <w:p>
      <w:pPr>
        <w:ind w:left="1640" w:hanging="5"/>
        <w:spacing w:after="0" w:line="252" w:lineRule="auto"/>
        <w:tabs>
          <w:tab w:leader="none" w:pos="189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25.2(4)(a) of the Investment Canada Act indicating that no order for the review of the transactions contemplated by the Agreement will be made under Section 25.3(1) of the Investment Canada Act, (y) under Section 25.3(6)(b) of the Investment Canada Act indicating that no further action will be taken in respect of the transactions contemplated by this Agreement, or (z) under Section 25.4(1) of the Investment Canada Act indicating that the Governor in Council authorizes the completion of the transactions contemplated by this Agreement, in each case on terms and conditions satisfactory to the Purchaser, acting reasonably; and (b) the Minister of</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20"/>
          </w:cols>
          <w:pgMar w:left="24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640" w:right="160"/>
        <w:spacing w:after="0" w:line="313" w:lineRule="auto"/>
        <w:rPr>
          <w:sz w:val="20"/>
          <w:szCs w:val="20"/>
          <w:color w:val="auto"/>
        </w:rPr>
      </w:pPr>
      <w:r>
        <w:rPr>
          <w:rFonts w:ascii="Times New Roman" w:cs="Times New Roman" w:eastAsia="Times New Roman" w:hAnsi="Times New Roman"/>
          <w:sz w:val="17"/>
          <w:szCs w:val="17"/>
          <w:color w:val="auto"/>
        </w:rPr>
        <w:t>Canadian Heritage has sent a notice to the Purchaser under the Investment Canada Act stating the Minister of Canadian Heritage is satisfied or is deemed to be satisfied that the transactions contemplated by this Agreement are likely to be of net benefit to Canada;</w:t>
      </w:r>
    </w:p>
    <w:p>
      <w:pPr>
        <w:spacing w:after="0" w:line="40" w:lineRule="exact"/>
        <w:rPr>
          <w:sz w:val="20"/>
          <w:szCs w:val="20"/>
          <w:color w:val="auto"/>
        </w:rPr>
      </w:pPr>
    </w:p>
    <w:p>
      <w:pPr>
        <w:ind w:left="1640" w:hanging="1436"/>
        <w:spacing w:after="0" w:line="256" w:lineRule="auto"/>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in respect of the Business and without duplication, (i) Borrowed Money Indebtedness; (ii) all obligations under capitalized leases or leases required to be capitalized, determined on a consolidated basis in accordance with ASPE; (iii) all letters of credit or similar facilities (to the extent drawn down); (iv) any declared but unpaid dividends; and (v) all obligations of the type referred to above of other Persons for the payment of which the Business is responsible or liable, as obligor, guarantor, surety or otherwise, including any guarantee of such obligations together with any penalties, interest or fees arising from the items set out above, provided that none of the foregoing items shall be considered “Indebtedness” if such items have been included as Current Liabilities in the Working Capital adjustment calculation required by Section 2.6(c);</w:t>
      </w:r>
    </w:p>
    <w:p>
      <w:pPr>
        <w:spacing w:after="0" w:line="88"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given in Section 10.3;</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has the meaning given in Section 10.3;</w:t>
      </w:r>
    </w:p>
    <w:p>
      <w:pPr>
        <w:spacing w:after="0" w:line="130" w:lineRule="exact"/>
        <w:rPr>
          <w:rFonts w:ascii="Times New Roman" w:cs="Times New Roman" w:eastAsia="Times New Roman" w:hAnsi="Times New Roman"/>
          <w:sz w:val="18"/>
          <w:szCs w:val="18"/>
          <w:color w:val="auto"/>
        </w:rPr>
      </w:pPr>
    </w:p>
    <w:p>
      <w:pPr>
        <w:ind w:left="1640" w:right="40" w:hanging="1436"/>
        <w:spacing w:after="0" w:line="267" w:lineRule="auto"/>
        <w:tabs>
          <w:tab w:leader="none" w:pos="1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any and all intellectual property (whether foreign or domestic, registered or unregistered) owned by the Corporation and/or its Subsidiaries, licensed to the Corporation and/or its Subsidiaries or used in the operation, conduct or maintenance of the Business, as it is currently and has historically been operated, conducted or maintained, including without limitation: (i) all inventions (whether patentable or unpatentable and whether or not reduced to practice), and all patents, patent applications, and patent disclosures, together with all reissuances, continuations, continuations-in-part, revisions, extensions and re-examinations thereof; (ii) all trade-marks, trade-names, trade dress, logos, business names, corporate names, domain names, uniform resource locators (URLs) and the internet websites related thereto, and including all goodwill associated therewith and all applications, registrations and renewals in connection therewith; (iii) all copyrightable works, all copyrights and all applications, registrations and renewals in connection therewith; (iv) all industrial designs and all applications, registrations and renewals in connection therewith; (v) all proprietary, technical or confidential information, including all trade secrets, processes, procedures, know-how, show-how, formulae, methods, data, databases and corresponding information contained therein; (vi) all Software (including all source code, object code and related documentation); and (vii) all processes and information, manufacturing, engineering and other drawings and manuals, technology, technical information, technical assistance, engineering data and engineering specifications and similar materials recording or evidencing expertise or information used by the Corporation or its Subsidiaries in the Business; in each case together with: (A) all copies and tangible embodiments of the foregoing (in whatever form or medium); (B) all improvements, modifications, translations, adaptations, refinements, derivations and combinations thereof; and</w:t>
      </w:r>
    </w:p>
    <w:p>
      <w:pPr>
        <w:ind w:left="1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all Intellectual Property Rights related thereto;</w:t>
      </w:r>
    </w:p>
    <w:p>
      <w:pPr>
        <w:spacing w:after="0" w:line="108" w:lineRule="exact"/>
        <w:rPr>
          <w:rFonts w:ascii="Times New Roman" w:cs="Times New Roman" w:eastAsia="Times New Roman" w:hAnsi="Times New Roman"/>
          <w:sz w:val="17"/>
          <w:szCs w:val="17"/>
          <w:color w:val="auto"/>
        </w:rPr>
      </w:pPr>
    </w:p>
    <w:p>
      <w:pPr>
        <w:ind w:left="1640" w:right="80" w:hanging="1436"/>
        <w:spacing w:after="0" w:line="262" w:lineRule="auto"/>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right or protection existing from time to time in a specific jurisdiction, whether registered or not, under any patent Law or other invention or discovery Law, industrial design Law, copyright Law, moral rights Law, trade-secret Law, confidential information Law, semi-conductor chip protection Law, trade-mark Law, unfair competition Law or other similar Laws;</w:t>
      </w:r>
    </w:p>
    <w:p>
      <w:pPr>
        <w:spacing w:after="0" w:line="82"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Canada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R.S.C., 1985, c. 28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Supp.);</w:t>
      </w:r>
    </w:p>
    <w:p>
      <w:pPr>
        <w:spacing w:after="0" w:line="130" w:lineRule="exact"/>
        <w:rPr>
          <w:rFonts w:ascii="Times New Roman" w:cs="Times New Roman" w:eastAsia="Times New Roman" w:hAnsi="Times New Roman"/>
          <w:sz w:val="18"/>
          <w:szCs w:val="18"/>
          <w:color w:val="auto"/>
        </w:rPr>
      </w:pPr>
    </w:p>
    <w:p>
      <w:pPr>
        <w:ind w:left="1640" w:right="660" w:hanging="1436"/>
        <w:spacing w:after="0" w:line="286" w:lineRule="auto"/>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Defence Agreement</w:t>
      </w:r>
      <w:r>
        <w:rPr>
          <w:rFonts w:ascii="Times New Roman" w:cs="Times New Roman" w:eastAsia="Times New Roman" w:hAnsi="Times New Roman"/>
          <w:sz w:val="18"/>
          <w:szCs w:val="18"/>
          <w:color w:val="auto"/>
        </w:rPr>
        <w:t>” means the joint defence, common interest privilege and confidentiality agreement between the Vendors’ Counsel and the Purchaser’s Counsel dated September 1, 2017;</w:t>
      </w:r>
    </w:p>
    <w:p>
      <w:pPr>
        <w:spacing w:after="0" w:line="60" w:lineRule="exact"/>
        <w:rPr>
          <w:sz w:val="20"/>
          <w:szCs w:val="20"/>
          <w:color w:val="auto"/>
        </w:rPr>
      </w:pPr>
    </w:p>
    <w:p>
      <w:pPr>
        <w:ind w:left="1640" w:right="60" w:hanging="1436"/>
        <w:spacing w:after="0" w:line="286" w:lineRule="auto"/>
        <w:tabs>
          <w:tab w:leader="none" w:pos="1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with respect to any Person, all applicable statutes, codes, ordinances, regulations, statutory rules, published policies, or published guidelines of any Governmental Entity to the</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20"/>
          </w:cols>
          <w:pgMar w:left="240" w:top="455"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640" w:right="240"/>
        <w:spacing w:after="0" w:line="266" w:lineRule="auto"/>
        <w:rPr>
          <w:sz w:val="20"/>
          <w:szCs w:val="20"/>
          <w:color w:val="auto"/>
        </w:rPr>
      </w:pPr>
      <w:r>
        <w:rPr>
          <w:rFonts w:ascii="Times New Roman" w:cs="Times New Roman" w:eastAsia="Times New Roman" w:hAnsi="Times New Roman"/>
          <w:sz w:val="18"/>
          <w:szCs w:val="18"/>
          <w:color w:val="auto"/>
        </w:rPr>
        <w:t>extent they have the force of law, and terms and conditions of any order, grant of approval, permission, authority or license of any Governmental Entity, and, to the extent applicable to the Purchaser, shall include the published rules and published policies of the New York Stock Exchange and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one of them;</w:t>
      </w:r>
    </w:p>
    <w:p>
      <w:pPr>
        <w:spacing w:after="0" w:line="78" w:lineRule="exact"/>
        <w:rPr>
          <w:sz w:val="20"/>
          <w:szCs w:val="20"/>
          <w:color w:val="auto"/>
        </w:rPr>
      </w:pPr>
    </w:p>
    <w:p>
      <w:pPr>
        <w:ind w:left="1640" w:hanging="1436"/>
        <w:spacing w:after="0"/>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Premises</w:t>
      </w:r>
      <w:r>
        <w:rPr>
          <w:rFonts w:ascii="Times New Roman" w:cs="Times New Roman" w:eastAsia="Times New Roman" w:hAnsi="Times New Roman"/>
          <w:sz w:val="18"/>
          <w:szCs w:val="18"/>
          <w:color w:val="auto"/>
        </w:rPr>
        <w:t>” means the premises which are the subject matter of the Real Property Leases;</w:t>
      </w:r>
    </w:p>
    <w:p>
      <w:pPr>
        <w:spacing w:after="0" w:line="130" w:lineRule="exact"/>
        <w:rPr>
          <w:rFonts w:ascii="Times New Roman" w:cs="Times New Roman" w:eastAsia="Times New Roman" w:hAnsi="Times New Roman"/>
          <w:sz w:val="18"/>
          <w:szCs w:val="18"/>
          <w:color w:val="auto"/>
        </w:rPr>
      </w:pPr>
    </w:p>
    <w:p>
      <w:pPr>
        <w:ind w:left="1640" w:hanging="1436"/>
        <w:spacing w:after="0" w:line="268" w:lineRule="auto"/>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shall mean any liability or obligation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w:t>
      </w:r>
    </w:p>
    <w:p>
      <w:pPr>
        <w:spacing w:after="0" w:line="76" w:lineRule="exact"/>
        <w:rPr>
          <w:rFonts w:ascii="Times New Roman" w:cs="Times New Roman" w:eastAsia="Times New Roman" w:hAnsi="Times New Roman"/>
          <w:sz w:val="18"/>
          <w:szCs w:val="18"/>
          <w:color w:val="auto"/>
        </w:rPr>
      </w:pPr>
    </w:p>
    <w:p>
      <w:pPr>
        <w:ind w:left="1640" w:right="520" w:hanging="1436"/>
        <w:spacing w:after="0" w:line="286" w:lineRule="auto"/>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damages, losses, deficiencies, costs, charges, Claims, causes of action, indemnities, fines, penalties, expenses (including legal fees, charges and disbursements) and any other Liabilities whatsoever;</w:t>
      </w:r>
    </w:p>
    <w:p>
      <w:pPr>
        <w:spacing w:after="0" w:line="60" w:lineRule="exact"/>
        <w:rPr>
          <w:rFonts w:ascii="Times New Roman" w:cs="Times New Roman" w:eastAsia="Times New Roman" w:hAnsi="Times New Roman"/>
          <w:sz w:val="18"/>
          <w:szCs w:val="18"/>
          <w:color w:val="auto"/>
        </w:rPr>
      </w:pPr>
    </w:p>
    <w:p>
      <w:pPr>
        <w:ind w:left="1640" w:right="40" w:hanging="1436"/>
        <w:spacing w:after="0" w:line="252" w:lineRule="auto"/>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when used with respect to either the Purchaser or the Corporation, the Subsidiaries of the Corporation, Dene Koe GP or Dene Koe LP, as applicable, any effect or change that is, or would reasonably be expected to be, material and adverse to the business, operations, assets, capitalization or financial condition of the Purchaser, on the one hand, or the Corporation, the Subsidiaries of the Corporation (taken as a whole) or Dene Koe GP or Dene Koe LP, on the other hand, as applicable, other than any matter, action, effect, occurrence, or change arising or resulting from: (i) general economic, market, financial, currency exchange, securities, bullion or commodity prices in Canada, the United States or elsewhere; (ii) conditions affecting the oil and natural gas industry, hospitality and lodging industry and/or petroleum services industry generally; (iii) in respect of the Purchaser only, any matter that has prior to the date of this Agreement been publicly disclosed in the Purchaser’s SEC Reports; (iv) in respect of the Purchaser only, any change in the trading price or volume of the Purchaser Common Shares (it being understood that the causes underlying such change may be taken into account); (v) any change in ASPE, GAAP or Laws or interpretations thereof; (vii) any adverse change or effect attributable to the announcement or pendency of the transactions contemplated by this Agreement (including any cancellations or delays in customer orders, any reductions in sales, or any disruption in supplier, distributor, partner or similar relationships or any loss of Employees), (viii) the unionization of any Employees or the filing of any certification applications to unionize any Employees or the occurrence of any similar union activities, and (ix) matters permitted or contemplated by this Agreement or consented to or approved in writing by either the Purchaser (with respect to the Corporation or its Subsidiaries) or the Vendors (with respect to the Purchaser);</w:t>
      </w:r>
    </w:p>
    <w:p>
      <w:pPr>
        <w:spacing w:after="0" w:line="101" w:lineRule="exact"/>
        <w:rPr>
          <w:rFonts w:ascii="Times New Roman" w:cs="Times New Roman" w:eastAsia="Times New Roman" w:hAnsi="Times New Roman"/>
          <w:sz w:val="18"/>
          <w:szCs w:val="18"/>
          <w:color w:val="auto"/>
        </w:rPr>
      </w:pPr>
    </w:p>
    <w:p>
      <w:pPr>
        <w:ind w:left="1640" w:hanging="1436"/>
        <w:spacing w:after="0" w:line="268" w:lineRule="auto"/>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means all contracts or other obligations or rights (and all amendments, modifications and supplements thereto to which any Party is a party affecting the obligations of any Party thereunder) to which a Party is a party or by which any of their representative properties or assets are bound that are material to the business, property or assets of the Party;</w:t>
      </w:r>
    </w:p>
    <w:p>
      <w:pPr>
        <w:spacing w:after="0" w:line="76"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fact</w:t>
      </w:r>
      <w:r>
        <w:rPr>
          <w:rFonts w:ascii="Times New Roman" w:cs="Times New Roman" w:eastAsia="Times New Roman" w:hAnsi="Times New Roman"/>
          <w:sz w:val="18"/>
          <w:szCs w:val="18"/>
          <w:color w:val="auto"/>
        </w:rPr>
        <w:t xml:space="preserve">” has the meaning given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(British Columbia);</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misrepresentation</w:t>
      </w:r>
      <w:r>
        <w:rPr>
          <w:rFonts w:ascii="Times New Roman" w:cs="Times New Roman" w:eastAsia="Times New Roman" w:hAnsi="Times New Roman"/>
          <w:sz w:val="18"/>
          <w:szCs w:val="18"/>
          <w:color w:val="auto"/>
        </w:rPr>
        <w:t xml:space="preserve">” has the meaning given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(British Columbia);</w:t>
      </w:r>
    </w:p>
    <w:p>
      <w:pPr>
        <w:spacing w:after="0" w:line="130" w:lineRule="exact"/>
        <w:rPr>
          <w:rFonts w:ascii="Times New Roman" w:cs="Times New Roman" w:eastAsia="Times New Roman" w:hAnsi="Times New Roman"/>
          <w:sz w:val="18"/>
          <w:szCs w:val="18"/>
          <w:color w:val="auto"/>
        </w:rPr>
      </w:pPr>
    </w:p>
    <w:p>
      <w:pPr>
        <w:ind w:left="1640" w:right="560" w:hanging="1436"/>
        <w:spacing w:after="0" w:line="286" w:lineRule="auto"/>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Non-Competition Agreements</w:t>
      </w:r>
      <w:r>
        <w:rPr>
          <w:rFonts w:ascii="Times New Roman" w:cs="Times New Roman" w:eastAsia="Times New Roman" w:hAnsi="Times New Roman"/>
          <w:sz w:val="18"/>
          <w:szCs w:val="18"/>
          <w:color w:val="auto"/>
        </w:rPr>
        <w:t>” means the non-competition and non-solicitation agreements to be entered into between the Purchaser and each of the Vendors, Torgerson and Corey Smith at Closing, in the forms attached hereto as Exhibit “2”;</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Objection</w:t>
      </w:r>
      <w:r>
        <w:rPr>
          <w:rFonts w:ascii="Times New Roman" w:cs="Times New Roman" w:eastAsia="Times New Roman" w:hAnsi="Times New Roman"/>
          <w:sz w:val="18"/>
          <w:szCs w:val="18"/>
          <w:color w:val="auto"/>
        </w:rPr>
        <w:t>” has the meaning given in Section 2.6(c);</w:t>
      </w:r>
    </w:p>
    <w:p>
      <w:pPr>
        <w:spacing w:after="0" w:line="130" w:lineRule="exact"/>
        <w:rPr>
          <w:rFonts w:ascii="Times New Roman" w:cs="Times New Roman" w:eastAsia="Times New Roman" w:hAnsi="Times New Roman"/>
          <w:sz w:val="18"/>
          <w:szCs w:val="18"/>
          <w:color w:val="auto"/>
        </w:rPr>
      </w:pPr>
    </w:p>
    <w:p>
      <w:pPr>
        <w:ind w:left="1640" w:right="200" w:hanging="1436"/>
        <w:spacing w:after="0" w:line="286" w:lineRule="auto"/>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 Equipment</w:t>
      </w:r>
      <w:r>
        <w:rPr>
          <w:rFonts w:ascii="Times New Roman" w:cs="Times New Roman" w:eastAsia="Times New Roman" w:hAnsi="Times New Roman"/>
          <w:sz w:val="18"/>
          <w:szCs w:val="18"/>
          <w:color w:val="auto"/>
        </w:rPr>
        <w:t>” means all furniture, personal computers, computer hardware, office equipment and office supplies owned by the Corporation or its Subsidiaries and used in carrying on the Business;</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20"/>
          </w:cols>
          <w:pgMar w:left="240" w:top="455" w:right="4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right="120" w:hanging="1436"/>
        <w:spacing w:after="0" w:line="286" w:lineRule="auto"/>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 means all operating leases and licenses and other similar agreements relating to any of the Equipment, Office Equipment or Vehicles, as set out in Schedule 1.1(llll) of the Disclosure Letter;</w:t>
      </w:r>
    </w:p>
    <w:p>
      <w:pPr>
        <w:spacing w:after="0" w:line="60" w:lineRule="exact"/>
        <w:rPr>
          <w:rFonts w:ascii="Times New Roman" w:cs="Times New Roman" w:eastAsia="Times New Roman" w:hAnsi="Times New Roman"/>
          <w:sz w:val="18"/>
          <w:szCs w:val="18"/>
          <w:color w:val="auto"/>
        </w:rPr>
      </w:pPr>
    </w:p>
    <w:p>
      <w:pPr>
        <w:ind w:left="1640" w:right="100" w:hanging="1436"/>
        <w:spacing w:after="0" w:line="286" w:lineRule="auto"/>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w:t>
      </w:r>
      <w:r>
        <w:rPr>
          <w:rFonts w:ascii="Times New Roman" w:cs="Times New Roman" w:eastAsia="Times New Roman" w:hAnsi="Times New Roman"/>
          <w:sz w:val="18"/>
          <w:szCs w:val="18"/>
          <w:color w:val="auto"/>
        </w:rPr>
        <w:t>” means, with respect to an action taken by a Person, that such action is consistent with the past practices of the Person and is taken in the ordinary course of the normal day to day operations of the Person;</w:t>
      </w:r>
    </w:p>
    <w:p>
      <w:pPr>
        <w:spacing w:after="0" w:line="60" w:lineRule="exact"/>
        <w:rPr>
          <w:rFonts w:ascii="Times New Roman" w:cs="Times New Roman" w:eastAsia="Times New Roman" w:hAnsi="Times New Roman"/>
          <w:sz w:val="18"/>
          <w:szCs w:val="18"/>
          <w:color w:val="auto"/>
        </w:rPr>
      </w:pPr>
    </w:p>
    <w:p>
      <w:pPr>
        <w:jc w:val="both"/>
        <w:ind w:left="1640" w:hanging="1436"/>
        <w:spacing w:after="0" w:line="268" w:lineRule="auto"/>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means any lands which are owned by the Corporation or any Subsidiary, including lands which are leased by the Corporation or any Subsidiary, Dene Koe GP or Dene Koe LP as landlord, to any other Person, as set out in Schedule 4.1(vv) of the Disclosure Letter;</w:t>
      </w:r>
    </w:p>
    <w:p>
      <w:pPr>
        <w:spacing w:after="0" w:line="76"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all parties to this Agreement;</w:t>
      </w:r>
    </w:p>
    <w:p>
      <w:pPr>
        <w:spacing w:after="0" w:line="130" w:lineRule="exact"/>
        <w:rPr>
          <w:rFonts w:ascii="Times New Roman" w:cs="Times New Roman" w:eastAsia="Times New Roman" w:hAnsi="Times New Roman"/>
          <w:sz w:val="18"/>
          <w:szCs w:val="18"/>
          <w:color w:val="auto"/>
        </w:rPr>
      </w:pPr>
    </w:p>
    <w:p>
      <w:pPr>
        <w:ind w:left="1640" w:right="500" w:hanging="1436"/>
        <w:spacing w:after="0" w:line="286" w:lineRule="auto"/>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in respect of a Party, all permits, licenses, variances, exemptions, orders and approvals of all Governmental Entities necessary for the lawful conduct of the respective businesses of the Party or any of its Subsidiaries;</w:t>
      </w:r>
    </w:p>
    <w:p>
      <w:pPr>
        <w:spacing w:after="0" w:line="60" w:lineRule="exact"/>
        <w:rPr>
          <w:rFonts w:ascii="Times New Roman" w:cs="Times New Roman" w:eastAsia="Times New Roman" w:hAnsi="Times New Roman"/>
          <w:sz w:val="18"/>
          <w:szCs w:val="18"/>
          <w:color w:val="auto"/>
        </w:rPr>
      </w:pPr>
    </w:p>
    <w:p>
      <w:pPr>
        <w:ind w:left="1640" w:hanging="1436"/>
        <w:spacing w:after="0" w:line="252" w:lineRule="auto"/>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xml:space="preserve">” means: (i) Encumbrances for current Taxes not yet due and payable or, if due and payable, Taxes which are not material and are being contested in good faith; (ii) registered agreements with municipalities or public utilities if they have been complied with or adequate security has been furnished to secure compliance; (iii) builders’ liens, warehousemens’ liens, garageman’s liens, materialmens’ liens and similar Encumbrances in respect of costs related to the Assets incurred in the Ordinary Course (and which are not material in any event); (iv) Encumbrances granted in the Ordinary Course to a public utility, municipality or Governmental Entity; (v) servitudes, easements, zoning restrictions, rights-of-way, restrictions that run with the land, encroachments and other similar rights in Real Property or any interest therein that do not materially adversely affect the use or value of the property subject thereto; and (vi) the implied conditions, reservations, limitations and exceptions pursuant to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Titles Act </w:t>
      </w:r>
      <w:r>
        <w:rPr>
          <w:rFonts w:ascii="Times New Roman" w:cs="Times New Roman" w:eastAsia="Times New Roman" w:hAnsi="Times New Roman"/>
          <w:sz w:val="18"/>
          <w:szCs w:val="18"/>
          <w:color w:val="auto"/>
        </w:rPr>
        <w:t>(Alberta) and the</w:t>
      </w:r>
      <w:r>
        <w:rPr>
          <w:rFonts w:ascii="Times New Roman" w:cs="Times New Roman" w:eastAsia="Times New Roman" w:hAnsi="Times New Roman"/>
          <w:sz w:val="18"/>
          <w:szCs w:val="18"/>
          <w:i w:val="1"/>
          <w:iCs w:val="1"/>
          <w:color w:val="auto"/>
        </w:rPr>
        <w:t xml:space="preserve"> Personal Property Security Act </w:t>
      </w:r>
      <w:r>
        <w:rPr>
          <w:rFonts w:ascii="Times New Roman" w:cs="Times New Roman" w:eastAsia="Times New Roman" w:hAnsi="Times New Roman"/>
          <w:sz w:val="18"/>
          <w:szCs w:val="18"/>
          <w:color w:val="auto"/>
        </w:rPr>
        <w:t>(Alberta) and all exceptions and reservations contained in the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Crown grant or transfer or contained in any other grant or disposition from the Crown and the usual statutory exceptions and reservations to title; (vii) a claim of right, title, use or jurisdiction which may be made or established by any First Nations, Métis, tribal or native authorities or communities by virtue of their status as aboriginal peoples to or over any lands, waters, plants, animals or products harvested or mined from any of the assets and any and all lands relating to the assets of the Parties or their Subsidiaries or Affiliates; (viii) in the case of the Corporation, Encumbrances securing Indebtedness reflected in the Corporation Financial Statements that will be discharged on Closing or which form part of any assumed capital leases or assets included in the Working Capital; (ix) Encumbrances and prior claims in the Ordinary Course reserved in or exercisable under any Real Property leases securing the payment of rent and for compliance with the terms of such Real Property leases not yet due or delinquent;</w:t>
      </w:r>
    </w:p>
    <w:p>
      <w:pPr>
        <w:spacing w:after="0" w:line="1" w:lineRule="exact"/>
        <w:rPr>
          <w:rFonts w:ascii="Times New Roman" w:cs="Times New Roman" w:eastAsia="Times New Roman" w:hAnsi="Times New Roman"/>
          <w:sz w:val="18"/>
          <w:szCs w:val="18"/>
          <w:color w:val="auto"/>
        </w:rPr>
      </w:pPr>
    </w:p>
    <w:p>
      <w:pPr>
        <w:ind w:left="164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(x) obligations relating to current operations or obligations under any lease entered into in the Ordinary Course or any guarantee of such obligation given in the Ordinary Course; (xi) Encumbrances imposed in the Ordinary Course by Laws or any Governmental Entity (whether inchoate, undetermined or otherwise) not yet due or delinquent; (xi) Encumbrances in respect of pledges or deposits under workers’ compensation, social security or similar Laws, so long as such Encumbrances are not yet due or are being contested in good faith by appropriate proceedings; (xii) any purchase-money security interests incurred or assumed in the Ordinary Course; and (xiii) Encumbrances listed in Schedule 1.1(qqqq) of the Disclosure Letter in the case of the Corporation or its Subsidiaries;</w:t>
      </w:r>
    </w:p>
    <w:p>
      <w:pPr>
        <w:spacing w:after="0" w:line="76" w:lineRule="exact"/>
        <w:rPr>
          <w:rFonts w:ascii="Times New Roman" w:cs="Times New Roman" w:eastAsia="Times New Roman" w:hAnsi="Times New Roman"/>
          <w:sz w:val="18"/>
          <w:szCs w:val="18"/>
          <w:color w:val="auto"/>
        </w:rPr>
      </w:pPr>
    </w:p>
    <w:p>
      <w:pPr>
        <w:ind w:left="1640" w:right="80" w:hanging="1436"/>
        <w:spacing w:after="0" w:line="268" w:lineRule="auto"/>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and includes an individual, firm, sole proprietorship, partnership, joint venture, venture capital or hedge fund, association, unincorporated association, unincorporated syndicate, unincorporated organization, estate, group, trust, body corporate (including a limited liability</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60"/>
          </w:cols>
          <w:pgMar w:left="240" w:top="455" w:right="4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right="160"/>
        <w:spacing w:after="0" w:line="282" w:lineRule="auto"/>
        <w:rPr>
          <w:sz w:val="20"/>
          <w:szCs w:val="20"/>
          <w:color w:val="auto"/>
        </w:rPr>
      </w:pPr>
      <w:r>
        <w:rPr>
          <w:rFonts w:ascii="Times New Roman" w:cs="Times New Roman" w:eastAsia="Times New Roman" w:hAnsi="Times New Roman"/>
          <w:sz w:val="18"/>
          <w:szCs w:val="18"/>
          <w:color w:val="auto"/>
        </w:rPr>
        <w:t>company and an unlimited liability company), a trustee, executor, administrator or other legal representative, Governmental Entity, syndicate or other entity, whether or not having legal status;</w:t>
      </w:r>
    </w:p>
    <w:p>
      <w:pPr>
        <w:spacing w:after="0" w:line="63" w:lineRule="exact"/>
        <w:rPr>
          <w:sz w:val="20"/>
          <w:szCs w:val="20"/>
          <w:color w:val="auto"/>
        </w:rPr>
      </w:pPr>
    </w:p>
    <w:p>
      <w:pPr>
        <w:ind w:left="1640" w:right="60" w:hanging="1436"/>
        <w:spacing w:after="0" w:line="291" w:lineRule="auto"/>
        <w:tabs>
          <w:tab w:leader="none" w:pos="16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Personal Information</w:t>
      </w:r>
      <w:r>
        <w:rPr>
          <w:rFonts w:ascii="Times New Roman" w:cs="Times New Roman" w:eastAsia="Times New Roman" w:hAnsi="Times New Roman"/>
          <w:sz w:val="17"/>
          <w:szCs w:val="17"/>
          <w:color w:val="auto"/>
        </w:rPr>
        <w:t>” means information about an identifiable individual (other than any information that is used for the purpose of communicating or facilitating communication with an individual in relation to their employment, business or profession such as the individual’s name, position name or title, work address, work telephone number, work fax number or work electronic address);</w:t>
      </w:r>
    </w:p>
    <w:p>
      <w:pPr>
        <w:spacing w:after="0" w:line="58" w:lineRule="exact"/>
        <w:rPr>
          <w:rFonts w:ascii="Times New Roman" w:cs="Times New Roman" w:eastAsia="Times New Roman" w:hAnsi="Times New Roman"/>
          <w:sz w:val="17"/>
          <w:szCs w:val="17"/>
          <w:color w:val="auto"/>
        </w:rPr>
      </w:pPr>
    </w:p>
    <w:p>
      <w:pPr>
        <w:ind w:left="1640" w:right="80" w:hanging="1436"/>
        <w:spacing w:after="0" w:line="286" w:lineRule="auto"/>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Amalgamation</w:t>
      </w:r>
      <w:r>
        <w:rPr>
          <w:rFonts w:ascii="Times New Roman" w:cs="Times New Roman" w:eastAsia="Times New Roman" w:hAnsi="Times New Roman"/>
          <w:sz w:val="18"/>
          <w:szCs w:val="18"/>
          <w:color w:val="auto"/>
        </w:rPr>
        <w:t>” means the amalgamation of the Corporation, SmithCo, 1818939 and 2040618 to form Amalco on or prior to the Closing Date in accordance with the Pre-Closing Transactions;</w:t>
      </w:r>
    </w:p>
    <w:p>
      <w:pPr>
        <w:spacing w:after="0" w:line="60" w:lineRule="exact"/>
        <w:rPr>
          <w:rFonts w:ascii="Times New Roman" w:cs="Times New Roman" w:eastAsia="Times New Roman" w:hAnsi="Times New Roman"/>
          <w:sz w:val="18"/>
          <w:szCs w:val="18"/>
          <w:color w:val="auto"/>
        </w:rPr>
      </w:pPr>
    </w:p>
    <w:p>
      <w:pPr>
        <w:ind w:left="1640" w:hanging="1436"/>
        <w:spacing w:after="0" w:line="268" w:lineRule="auto"/>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Transactions</w:t>
      </w:r>
      <w:r>
        <w:rPr>
          <w:rFonts w:ascii="Times New Roman" w:cs="Times New Roman" w:eastAsia="Times New Roman" w:hAnsi="Times New Roman"/>
          <w:sz w:val="18"/>
          <w:szCs w:val="18"/>
          <w:color w:val="auto"/>
        </w:rPr>
        <w:t>” means, collectively, the transactions set forth in Schedule 1.1(uuuu) of the Disclosure Letter to be completed by the Corporation, the Vendors, SmithCo, Smith HoldCo, 1818939, 2040618,2040624 and certain Employees on or prior to Closing;</w:t>
      </w:r>
    </w:p>
    <w:p>
      <w:pPr>
        <w:spacing w:after="0" w:line="76"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Privileged Communications</w:t>
      </w:r>
      <w:r>
        <w:rPr>
          <w:rFonts w:ascii="Times New Roman" w:cs="Times New Roman" w:eastAsia="Times New Roman" w:hAnsi="Times New Roman"/>
          <w:sz w:val="18"/>
          <w:szCs w:val="18"/>
          <w:color w:val="auto"/>
        </w:rPr>
        <w:t>” has the meaning given in Section 8.7(a);</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given in Section 2.2;</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means, collectively, all of the issued and outstanding shares of Amalco as set out in Part 2 of Schedule “A”;</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has the meaning given in the preamble to this Agreement;</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Common Shares</w:t>
      </w:r>
      <w:r>
        <w:rPr>
          <w:rFonts w:ascii="Times New Roman" w:cs="Times New Roman" w:eastAsia="Times New Roman" w:hAnsi="Times New Roman"/>
          <w:sz w:val="18"/>
          <w:szCs w:val="18"/>
          <w:color w:val="auto"/>
        </w:rPr>
        <w:t>” means the Common Shares in the capital of the Purchaser;</w:t>
      </w:r>
    </w:p>
    <w:p>
      <w:pPr>
        <w:spacing w:after="0" w:line="131" w:lineRule="exact"/>
        <w:rPr>
          <w:sz w:val="20"/>
          <w:szCs w:val="20"/>
          <w:color w:val="auto"/>
        </w:rPr>
      </w:pPr>
    </w:p>
    <w:p>
      <w:pPr>
        <w:ind w:left="1640" w:hanging="1436"/>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Indemnified Parties</w:t>
      </w:r>
      <w:r>
        <w:rPr>
          <w:rFonts w:ascii="Times New Roman" w:cs="Times New Roman" w:eastAsia="Times New Roman" w:hAnsi="Times New Roman"/>
          <w:sz w:val="18"/>
          <w:szCs w:val="18"/>
          <w:color w:val="auto"/>
        </w:rPr>
        <w:t>” has the meaning given in Section 10.2(a);</w:t>
      </w:r>
    </w:p>
    <w:p>
      <w:pPr>
        <w:spacing w:after="0" w:line="130" w:lineRule="exact"/>
        <w:rPr>
          <w:rFonts w:ascii="Times New Roman" w:cs="Times New Roman" w:eastAsia="Times New Roman" w:hAnsi="Times New Roman"/>
          <w:sz w:val="18"/>
          <w:szCs w:val="18"/>
          <w:color w:val="auto"/>
        </w:rPr>
      </w:pPr>
    </w:p>
    <w:p>
      <w:pPr>
        <w:jc w:val="both"/>
        <w:ind w:left="1640" w:right="340" w:hanging="1436"/>
        <w:spacing w:after="0" w:line="268"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Financial Statements</w:t>
      </w:r>
      <w:r>
        <w:rPr>
          <w:rFonts w:ascii="Times New Roman" w:cs="Times New Roman" w:eastAsia="Times New Roman" w:hAnsi="Times New Roman"/>
          <w:sz w:val="18"/>
          <w:szCs w:val="18"/>
          <w:color w:val="auto"/>
        </w:rPr>
        <w:t>” means (i) the Purchaser’s audited consolidated financial statements as of and for the twelve months ended December 31, 2016 and December 31, 2015, including the notes thereto and the report of the Purchaser’s auditors thereon; and (ii) the Purchaser’s unaudited interim financial statements for the period ended September 30, 2017;</w:t>
      </w:r>
    </w:p>
    <w:p>
      <w:pPr>
        <w:spacing w:after="0" w:line="76" w:lineRule="exact"/>
        <w:rPr>
          <w:rFonts w:ascii="Times New Roman" w:cs="Times New Roman" w:eastAsia="Times New Roman" w:hAnsi="Times New Roman"/>
          <w:sz w:val="18"/>
          <w:szCs w:val="18"/>
          <w:color w:val="auto"/>
        </w:rPr>
      </w:pPr>
    </w:p>
    <w:p>
      <w:pPr>
        <w:ind w:left="1640" w:right="100" w:hanging="1436"/>
        <w:spacing w:after="0" w:line="286"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Preferred Shares</w:t>
      </w:r>
      <w:r>
        <w:rPr>
          <w:rFonts w:ascii="Times New Roman" w:cs="Times New Roman" w:eastAsia="Times New Roman" w:hAnsi="Times New Roman"/>
          <w:sz w:val="18"/>
          <w:szCs w:val="18"/>
          <w:color w:val="auto"/>
        </w:rPr>
        <w:t>” means the Class A Series 1 Preferred Shares in the capital of the Purchaser having the terms set out in Exhibit “3”;</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Shares</w:t>
      </w:r>
      <w:r>
        <w:rPr>
          <w:rFonts w:ascii="Times New Roman" w:cs="Times New Roman" w:eastAsia="Times New Roman" w:hAnsi="Times New Roman"/>
          <w:sz w:val="18"/>
          <w:szCs w:val="18"/>
          <w:color w:val="auto"/>
        </w:rPr>
        <w:t>” means, collectively, the Purchaser Common Shares and Purchaser Preferred Shares;</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Counsel</w:t>
      </w:r>
      <w:r>
        <w:rPr>
          <w:rFonts w:ascii="Times New Roman" w:cs="Times New Roman" w:eastAsia="Times New Roman" w:hAnsi="Times New Roman"/>
          <w:sz w:val="18"/>
          <w:szCs w:val="18"/>
          <w:color w:val="auto"/>
        </w:rPr>
        <w:t>” means Bennett Jones LLP and Gibson, Dunn &amp; Crutcher LLP;</w:t>
      </w:r>
    </w:p>
    <w:p>
      <w:pPr>
        <w:spacing w:after="0" w:line="130" w:lineRule="exact"/>
        <w:rPr>
          <w:rFonts w:ascii="Times New Roman" w:cs="Times New Roman" w:eastAsia="Times New Roman" w:hAnsi="Times New Roman"/>
          <w:sz w:val="18"/>
          <w:szCs w:val="18"/>
          <w:color w:val="auto"/>
        </w:rPr>
      </w:pPr>
    </w:p>
    <w:p>
      <w:pPr>
        <w:ind w:left="1640" w:right="100" w:hanging="1436"/>
        <w:spacing w:after="0" w:line="268"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means all lands and other real property, including all buildings, plants, structures, facilities and equipment erected therein or thereupon and all improvements and fixtures situated on or forming a part thereof (including Systems), together with all easements, rights of way, privileges and appurtenances belonging to and enduring to the benefit thereof;</w:t>
      </w:r>
    </w:p>
    <w:p>
      <w:pPr>
        <w:spacing w:after="0" w:line="76" w:lineRule="exact"/>
        <w:rPr>
          <w:rFonts w:ascii="Times New Roman" w:cs="Times New Roman" w:eastAsia="Times New Roman" w:hAnsi="Times New Roman"/>
          <w:sz w:val="18"/>
          <w:szCs w:val="18"/>
          <w:color w:val="auto"/>
        </w:rPr>
      </w:pPr>
    </w:p>
    <w:p>
      <w:pPr>
        <w:ind w:left="1640" w:right="20" w:hanging="1436"/>
        <w:spacing w:after="0" w:line="268"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 Leases</w:t>
      </w:r>
      <w:r>
        <w:rPr>
          <w:rFonts w:ascii="Times New Roman" w:cs="Times New Roman" w:eastAsia="Times New Roman" w:hAnsi="Times New Roman"/>
          <w:sz w:val="18"/>
          <w:szCs w:val="18"/>
          <w:color w:val="auto"/>
        </w:rPr>
        <w:t>” means all leases, sub-leases, licenses, sub-licenses and similar agreements relating to any Real Property entered into by the Corporation or any of its Subsidiaries, Dene Koe GP or Dene Koe LP as tenant, as set out in Schedule 1.1(ggggg) of the Disclosure Letter;</w:t>
      </w:r>
    </w:p>
    <w:p>
      <w:pPr>
        <w:spacing w:after="0" w:line="76"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has the meaning given in Section 1.1(kkkkkk);</w:t>
      </w:r>
    </w:p>
    <w:p>
      <w:pPr>
        <w:spacing w:after="0" w:line="130" w:lineRule="exact"/>
        <w:rPr>
          <w:rFonts w:ascii="Times New Roman" w:cs="Times New Roman" w:eastAsia="Times New Roman" w:hAnsi="Times New Roman"/>
          <w:sz w:val="18"/>
          <w:szCs w:val="18"/>
          <w:color w:val="auto"/>
        </w:rPr>
      </w:pPr>
    </w:p>
    <w:p>
      <w:pPr>
        <w:ind w:left="1640" w:hanging="1436"/>
        <w:spacing w:after="0" w:line="286" w:lineRule="auto"/>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Lock-Up and Standstill Agreement to be entered into between the Purchaser and each of the Vendors, at Closing, in the form attached hereto as Exhibit “4”;</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 means the Competition Act Clearance and the ICA Approval;</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20"/>
          </w:cols>
          <w:pgMar w:left="24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right="80" w:hanging="1436"/>
        <w:spacing w:after="0" w:line="268"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leak, pumping, pouring, emission, emptying, discharge, injection, escape, leaching, disposal, dumping, deposit, spraying, burial, abandonment, incineration, seepage, placement or migrating to, into or through the environment as described under any Environmental Laws;</w:t>
      </w:r>
    </w:p>
    <w:p>
      <w:pPr>
        <w:spacing w:after="0" w:line="76" w:lineRule="exact"/>
        <w:rPr>
          <w:rFonts w:ascii="Times New Roman" w:cs="Times New Roman" w:eastAsia="Times New Roman" w:hAnsi="Times New Roman"/>
          <w:sz w:val="18"/>
          <w:szCs w:val="18"/>
          <w:color w:val="auto"/>
        </w:rPr>
      </w:pPr>
    </w:p>
    <w:p>
      <w:pPr>
        <w:ind w:left="1640" w:right="340" w:hanging="1436"/>
        <w:spacing w:after="0" w:line="286"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Representation and Warranty Insurance</w:t>
      </w:r>
      <w:r>
        <w:rPr>
          <w:rFonts w:ascii="Times New Roman" w:cs="Times New Roman" w:eastAsia="Times New Roman" w:hAnsi="Times New Roman"/>
          <w:sz w:val="18"/>
          <w:szCs w:val="18"/>
          <w:color w:val="auto"/>
        </w:rPr>
        <w:t>” means representation and warranty insurance policy number 16640421 dated with effect November 26, 2017 between the Purchaser and AIG Insurance Company of Canada;</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Work</w:t>
      </w:r>
      <w:r>
        <w:rPr>
          <w:rFonts w:ascii="Times New Roman" w:cs="Times New Roman" w:eastAsia="Times New Roman" w:hAnsi="Times New Roman"/>
          <w:sz w:val="18"/>
          <w:szCs w:val="18"/>
          <w:color w:val="auto"/>
        </w:rPr>
        <w:t>” means the work described in Schedule 1.1(mmmmm);</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Work Cap</w:t>
      </w:r>
      <w:r>
        <w:rPr>
          <w:rFonts w:ascii="Times New Roman" w:cs="Times New Roman" w:eastAsia="Times New Roman" w:hAnsi="Times New Roman"/>
          <w:sz w:val="18"/>
          <w:szCs w:val="18"/>
          <w:color w:val="auto"/>
        </w:rPr>
        <w:t>” has the meaning given in Section 2.6(d)(vi);</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Work Portion of the Escrow Amount</w:t>
      </w:r>
      <w:r>
        <w:rPr>
          <w:rFonts w:ascii="Times New Roman" w:cs="Times New Roman" w:eastAsia="Times New Roman" w:hAnsi="Times New Roman"/>
          <w:sz w:val="18"/>
          <w:szCs w:val="18"/>
          <w:color w:val="auto"/>
        </w:rPr>
        <w:t>” means Cdn.$1,500,000.00;</w:t>
      </w:r>
    </w:p>
    <w:p>
      <w:pPr>
        <w:spacing w:after="0" w:line="130" w:lineRule="exact"/>
        <w:rPr>
          <w:rFonts w:ascii="Times New Roman" w:cs="Times New Roman" w:eastAsia="Times New Roman" w:hAnsi="Times New Roman"/>
          <w:sz w:val="18"/>
          <w:szCs w:val="18"/>
          <w:color w:val="auto"/>
        </w:rPr>
      </w:pPr>
    </w:p>
    <w:p>
      <w:pPr>
        <w:jc w:val="both"/>
        <w:ind w:left="1640" w:right="440" w:hanging="1436"/>
        <w:spacing w:after="0" w:line="268"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means any cash of the Corporation or any of its Subsidiaries which is not freely usable by the Purchaser at Closing because it is subject to restrictions, limitations, or taxes on use or distribution by Law, contract or otherwise, including without limitation, restrictions on dividends and repatriations or any other form of restriction;</w:t>
      </w:r>
    </w:p>
    <w:p>
      <w:pPr>
        <w:spacing w:after="0" w:line="76"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Restrictive Covenant</w:t>
      </w:r>
      <w:r>
        <w:rPr>
          <w:rFonts w:ascii="Times New Roman" w:cs="Times New Roman" w:eastAsia="Times New Roman" w:hAnsi="Times New Roman"/>
          <w:sz w:val="18"/>
          <w:szCs w:val="18"/>
          <w:color w:val="auto"/>
        </w:rPr>
        <w:t>” has the meaning given in Section 2.9;</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has the meaning given in Section 3.1(j);</w:t>
      </w:r>
    </w:p>
    <w:p>
      <w:pPr>
        <w:spacing w:after="0" w:line="130" w:lineRule="exact"/>
        <w:rPr>
          <w:rFonts w:ascii="Times New Roman" w:cs="Times New Roman" w:eastAsia="Times New Roman" w:hAnsi="Times New Roman"/>
          <w:sz w:val="18"/>
          <w:szCs w:val="18"/>
          <w:color w:val="auto"/>
        </w:rPr>
      </w:pPr>
    </w:p>
    <w:p>
      <w:pPr>
        <w:ind w:left="1640" w:right="20" w:hanging="1436"/>
        <w:spacing w:after="0" w:line="286"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(British Columbia) and all blanket rulings, policy statements, orders, rules and notices of the British Columbia Securities Commission;</w:t>
      </w:r>
    </w:p>
    <w:p>
      <w:pPr>
        <w:spacing w:after="0" w:line="60" w:lineRule="exact"/>
        <w:rPr>
          <w:rFonts w:ascii="Times New Roman" w:cs="Times New Roman" w:eastAsia="Times New Roman" w:hAnsi="Times New Roman"/>
          <w:sz w:val="18"/>
          <w:szCs w:val="18"/>
          <w:color w:val="auto"/>
        </w:rPr>
      </w:pPr>
    </w:p>
    <w:p>
      <w:pPr>
        <w:ind w:left="1640" w:right="360" w:hanging="1436"/>
        <w:spacing w:after="0" w:line="286"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Authorities</w:t>
      </w:r>
      <w:r>
        <w:rPr>
          <w:rFonts w:ascii="Times New Roman" w:cs="Times New Roman" w:eastAsia="Times New Roman" w:hAnsi="Times New Roman"/>
          <w:sz w:val="18"/>
          <w:szCs w:val="18"/>
          <w:color w:val="auto"/>
        </w:rPr>
        <w:t>” means the New York Stock Exchange and any applicable securities commissions or similar regulatory authorities in the United States or Canada;</w:t>
      </w:r>
    </w:p>
    <w:p>
      <w:pPr>
        <w:spacing w:after="0" w:line="60" w:lineRule="exact"/>
        <w:rPr>
          <w:rFonts w:ascii="Times New Roman" w:cs="Times New Roman" w:eastAsia="Times New Roman" w:hAnsi="Times New Roman"/>
          <w:sz w:val="18"/>
          <w:szCs w:val="18"/>
          <w:color w:val="auto"/>
        </w:rPr>
      </w:pPr>
    </w:p>
    <w:p>
      <w:pPr>
        <w:ind w:left="1640" w:hanging="1436"/>
        <w:spacing w:after="0" w:line="286"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Advance</w:t>
      </w:r>
      <w:r>
        <w:rPr>
          <w:rFonts w:ascii="Times New Roman" w:cs="Times New Roman" w:eastAsia="Times New Roman" w:hAnsi="Times New Roman"/>
          <w:sz w:val="18"/>
          <w:szCs w:val="18"/>
          <w:color w:val="auto"/>
        </w:rPr>
        <w:t>” means the full amount of all advances to 989677 previously made by the Corporation and outstanding as at the Closing Time (and for reference being Cdn.$5,662,065.70 as at August 31, 2017);</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Approvals</w:t>
      </w:r>
      <w:r>
        <w:rPr>
          <w:rFonts w:ascii="Times New Roman" w:cs="Times New Roman" w:eastAsia="Times New Roman" w:hAnsi="Times New Roman"/>
          <w:sz w:val="18"/>
          <w:szCs w:val="18"/>
          <w:color w:val="auto"/>
        </w:rPr>
        <w:t>” has the meaning given to it in Section 3.1(c);</w:t>
      </w:r>
    </w:p>
    <w:p>
      <w:pPr>
        <w:spacing w:after="0" w:line="130" w:lineRule="exact"/>
        <w:rPr>
          <w:rFonts w:ascii="Times New Roman" w:cs="Times New Roman" w:eastAsia="Times New Roman" w:hAnsi="Times New Roman"/>
          <w:sz w:val="18"/>
          <w:szCs w:val="18"/>
          <w:color w:val="auto"/>
        </w:rPr>
      </w:pPr>
    </w:p>
    <w:p>
      <w:pPr>
        <w:ind w:left="1640" w:right="20" w:hanging="1436"/>
        <w:spacing w:after="0" w:line="257"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means all software computer programs, including all versions thereof and all related documentation, manuals, source code and object code, program files, data files, computer related data, field and data designations and relationships, data definition specifications, data models, program and system logic, interfaces, program modules, routines, sub-routines, algorithms, program architecture, design concepts, system designs, program structure, sequences and organization, screen displays and report layouts, but specifically limited, in the case of commercially available software purchased by the Corporation or any Subsidiary, to the license granted on the purchase of such software and related documentation and manuals;</w:t>
      </w:r>
    </w:p>
    <w:p>
      <w:pPr>
        <w:spacing w:after="0" w:line="88" w:lineRule="exact"/>
        <w:rPr>
          <w:rFonts w:ascii="Times New Roman" w:cs="Times New Roman" w:eastAsia="Times New Roman" w:hAnsi="Times New Roman"/>
          <w:sz w:val="18"/>
          <w:szCs w:val="18"/>
          <w:color w:val="auto"/>
        </w:rPr>
      </w:pPr>
    </w:p>
    <w:p>
      <w:pPr>
        <w:ind w:left="1640" w:hanging="1436"/>
        <w:spacing w:after="0" w:line="259"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 specified body corporate, a body corporate of which more than 50% of the outstanding shares ordinarily entitled to elect a majority of the directors thereof, whether or not shares of any other class or classes shall or might be entitled to vote upon the happening of any event or contingency, are at the time owned, directly or indirectly, by such specified body corporate, and includes a body corporate in like relation to a subsidiary and in respect of the Corporation shall include each of 1698915 Alberta Ltd., 1201148 Alberta Ltd., and 2054976 Alberta Ltd.;</w:t>
      </w:r>
    </w:p>
    <w:p>
      <w:pPr>
        <w:spacing w:after="0" w:line="85" w:lineRule="exact"/>
        <w:rPr>
          <w:rFonts w:ascii="Times New Roman" w:cs="Times New Roman" w:eastAsia="Times New Roman" w:hAnsi="Times New Roman"/>
          <w:sz w:val="18"/>
          <w:szCs w:val="18"/>
          <w:color w:val="auto"/>
        </w:rPr>
      </w:pPr>
    </w:p>
    <w:p>
      <w:pPr>
        <w:ind w:left="1640" w:right="240" w:hanging="1436"/>
        <w:spacing w:after="0" w:line="268" w:lineRule="auto"/>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Suncor Contract</w:t>
      </w:r>
      <w:r>
        <w:rPr>
          <w:rFonts w:ascii="Times New Roman" w:cs="Times New Roman" w:eastAsia="Times New Roman" w:hAnsi="Times New Roman"/>
          <w:sz w:val="18"/>
          <w:szCs w:val="18"/>
          <w:color w:val="auto"/>
        </w:rPr>
        <w:t>” means the accommodation services agreement dated June 22, 2017 among Suncor Energy Oil Sands Limited Partnership, Suncor Energy Services Inc., Dene Koe LP and the Corporation (Agreement No. 4600024147) ), together with all appendices;</w:t>
      </w:r>
    </w:p>
    <w:p>
      <w:pPr>
        <w:spacing w:after="0" w:line="76" w:lineRule="exact"/>
        <w:rPr>
          <w:sz w:val="20"/>
          <w:szCs w:val="20"/>
          <w:color w:val="auto"/>
        </w:rPr>
      </w:pPr>
    </w:p>
    <w:p>
      <w:pPr>
        <w:ind w:left="1640" w:right="640" w:hanging="1436"/>
        <w:spacing w:after="0" w:line="286" w:lineRule="auto"/>
        <w:tabs>
          <w:tab w:leader="none" w:pos="1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Syncrude Contract</w:t>
      </w:r>
      <w:r>
        <w:rPr>
          <w:rFonts w:ascii="Times New Roman" w:cs="Times New Roman" w:eastAsia="Times New Roman" w:hAnsi="Times New Roman"/>
          <w:sz w:val="18"/>
          <w:szCs w:val="18"/>
          <w:color w:val="auto"/>
        </w:rPr>
        <w:t>” means the procurement, construction or services contract No. A2591165 dated May 1, 2017 between Syncrude Canada Ltd. and Dene Koe LP;</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00"/>
          </w:cols>
          <w:pgMar w:left="24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hanging="1436"/>
        <w:spacing w:after="0" w:line="286"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means all mechanical and electrical systems used in connection with the operation and maintenance of any Real Property, including heating, ventilating, air conditioning, plumbing, electrical, sprinkler and drainage systems;</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Working Capital</w:t>
      </w:r>
      <w:r>
        <w:rPr>
          <w:rFonts w:ascii="Times New Roman" w:cs="Times New Roman" w:eastAsia="Times New Roman" w:hAnsi="Times New Roman"/>
          <w:sz w:val="18"/>
          <w:szCs w:val="18"/>
          <w:color w:val="auto"/>
        </w:rPr>
        <w:t>” means Cdn.$15,100,000;</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as amended;</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Representations</w:t>
      </w:r>
      <w:r>
        <w:rPr>
          <w:rFonts w:ascii="Times New Roman" w:cs="Times New Roman" w:eastAsia="Times New Roman" w:hAnsi="Times New Roman"/>
          <w:sz w:val="18"/>
          <w:szCs w:val="18"/>
          <w:color w:val="auto"/>
        </w:rPr>
        <w:t>” means those representations set out in Section 4.1(u);</w:t>
      </w:r>
    </w:p>
    <w:p>
      <w:pPr>
        <w:spacing w:after="0" w:line="130" w:lineRule="exact"/>
        <w:rPr>
          <w:rFonts w:ascii="Times New Roman" w:cs="Times New Roman" w:eastAsia="Times New Roman" w:hAnsi="Times New Roman"/>
          <w:sz w:val="18"/>
          <w:szCs w:val="18"/>
          <w:color w:val="auto"/>
        </w:rPr>
      </w:pPr>
    </w:p>
    <w:p>
      <w:pPr>
        <w:ind w:left="1640" w:right="20" w:hanging="1436"/>
        <w:spacing w:after="0" w:line="262"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and future taxes, levies, imposts, duties, deductions, withholdings, assessments, fees or other charges imposed by any Governmental Entity in the nature of a tax, whatsoever including without limitation any income taxes, withholdings, goods and services taxes, harmonized sales tax, value added tax, provincial sales tax and capital tax, interest, additions to tax and penalties applicable thereto;</w:t>
      </w:r>
    </w:p>
    <w:p>
      <w:pPr>
        <w:spacing w:after="0" w:line="82"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Torgerson Nominee</w:t>
      </w:r>
      <w:r>
        <w:rPr>
          <w:rFonts w:ascii="Times New Roman" w:cs="Times New Roman" w:eastAsia="Times New Roman" w:hAnsi="Times New Roman"/>
          <w:sz w:val="18"/>
          <w:szCs w:val="18"/>
          <w:color w:val="auto"/>
        </w:rPr>
        <w:t>” has the meaning given in Section 8.3;</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Torgerson Vendors</w:t>
      </w:r>
      <w:r>
        <w:rPr>
          <w:rFonts w:ascii="Times New Roman" w:cs="Times New Roman" w:eastAsia="Times New Roman" w:hAnsi="Times New Roman"/>
          <w:sz w:val="18"/>
          <w:szCs w:val="18"/>
          <w:color w:val="auto"/>
        </w:rPr>
        <w:t>” means, collectively, the Torgerson Trust and 989677;</w:t>
      </w:r>
    </w:p>
    <w:p>
      <w:pPr>
        <w:spacing w:after="0" w:line="130" w:lineRule="exact"/>
        <w:rPr>
          <w:rFonts w:ascii="Times New Roman" w:cs="Times New Roman" w:eastAsia="Times New Roman" w:hAnsi="Times New Roman"/>
          <w:sz w:val="18"/>
          <w:szCs w:val="18"/>
          <w:color w:val="auto"/>
        </w:rPr>
      </w:pPr>
    </w:p>
    <w:p>
      <w:pPr>
        <w:ind w:left="1640" w:right="560" w:hanging="1436"/>
        <w:spacing w:after="0" w:line="286"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Inventory</w:t>
      </w:r>
      <w:r>
        <w:rPr>
          <w:rFonts w:ascii="Times New Roman" w:cs="Times New Roman" w:eastAsia="Times New Roman" w:hAnsi="Times New Roman"/>
          <w:sz w:val="18"/>
          <w:szCs w:val="18"/>
          <w:color w:val="auto"/>
        </w:rPr>
        <w:t>” means all inventory, accessories, supplies, and spare parts owned by the Corporation or any Subsidiaries, including raw materials and work-in-progress;</w:t>
      </w:r>
    </w:p>
    <w:p>
      <w:pPr>
        <w:spacing w:after="0" w:line="60" w:lineRule="exact"/>
        <w:rPr>
          <w:rFonts w:ascii="Times New Roman" w:cs="Times New Roman" w:eastAsia="Times New Roman" w:hAnsi="Times New Roman"/>
          <w:sz w:val="18"/>
          <w:szCs w:val="18"/>
          <w:color w:val="auto"/>
        </w:rPr>
      </w:pPr>
    </w:p>
    <w:p>
      <w:pPr>
        <w:ind w:left="1640" w:right="40" w:hanging="1436"/>
        <w:spacing w:after="0" w:line="255"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any fees, costs and expenses or commissions incurred or subject to reimbursement by the Corporation or any Subsidiaries (without duplication), in each case in connection with the Acquisition and the preparation, negotiation and execution of the other transactions contemplated by this Agreement (whether incurred before or after the date of this Agreement), including: (i) any brokerage fees, costs and expenses, commissions, finders’ fees or other financial advisory fees, costs and expenses; (ii) any fees, costs and expenses of counsel, accountants or other advisors or service providers incurred by the Corporation or any Subsidiaries; and (iii) any fees, costs and expenses incurred by, or payment obligations of, the Corporation arising from the execution of this Agreement and/or the consummation of the Acquisition, but excluding any portion of such fees, costs and expenses which are for the account of the Purchaser pursuant to Sections 7.1(i) and 9.3(f);</w:t>
      </w:r>
    </w:p>
    <w:p>
      <w:pPr>
        <w:spacing w:after="0" w:line="90" w:lineRule="exact"/>
        <w:rPr>
          <w:rFonts w:ascii="Times New Roman" w:cs="Times New Roman" w:eastAsia="Times New Roman" w:hAnsi="Times New Roman"/>
          <w:sz w:val="18"/>
          <w:szCs w:val="18"/>
          <w:color w:val="auto"/>
        </w:rPr>
      </w:pPr>
    </w:p>
    <w:p>
      <w:pPr>
        <w:ind w:left="1640" w:right="140" w:hanging="1436"/>
        <w:spacing w:after="0" w:line="262"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Information</w:t>
      </w:r>
      <w:r>
        <w:rPr>
          <w:rFonts w:ascii="Times New Roman" w:cs="Times New Roman" w:eastAsia="Times New Roman" w:hAnsi="Times New Roman"/>
          <w:sz w:val="18"/>
          <w:szCs w:val="18"/>
          <w:color w:val="auto"/>
        </w:rPr>
        <w:t>” means any Personal Information to be disclosed or conveyed to one Party or any of its representatives or agents (a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by or on behalf of another party (a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as a result of or in conjunction with the transactions contemplated herein, and includes any Personal Information disclosed to the Recipient prior to the execution of this Agreement;</w:t>
      </w:r>
    </w:p>
    <w:p>
      <w:pPr>
        <w:spacing w:after="0" w:line="82" w:lineRule="exact"/>
        <w:rPr>
          <w:rFonts w:ascii="Times New Roman" w:cs="Times New Roman" w:eastAsia="Times New Roman" w:hAnsi="Times New Roman"/>
          <w:sz w:val="18"/>
          <w:szCs w:val="18"/>
          <w:color w:val="auto"/>
        </w:rPr>
      </w:pPr>
    </w:p>
    <w:p>
      <w:pPr>
        <w:ind w:left="1640" w:right="140" w:hanging="1436"/>
        <w:spacing w:after="0" w:line="286"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its territories and possessions, any State of the United States, and the District of Columbia;</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means the United States Securities Exchange Act of 1934, as amended;</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means the United States Securities Act of 1933, as amended;</w:t>
      </w:r>
    </w:p>
    <w:p>
      <w:pPr>
        <w:spacing w:after="0" w:line="130" w:lineRule="exact"/>
        <w:rPr>
          <w:rFonts w:ascii="Times New Roman" w:cs="Times New Roman" w:eastAsia="Times New Roman" w:hAnsi="Times New Roman"/>
          <w:sz w:val="18"/>
          <w:szCs w:val="18"/>
          <w:color w:val="auto"/>
        </w:rPr>
      </w:pPr>
    </w:p>
    <w:p>
      <w:pPr>
        <w:ind w:left="1640" w:right="780" w:hanging="1436"/>
        <w:spacing w:after="0" w:line="286"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Vehicles</w:t>
      </w:r>
      <w:r>
        <w:rPr>
          <w:rFonts w:ascii="Times New Roman" w:cs="Times New Roman" w:eastAsia="Times New Roman" w:hAnsi="Times New Roman"/>
          <w:sz w:val="18"/>
          <w:szCs w:val="18"/>
          <w:color w:val="auto"/>
        </w:rPr>
        <w:t>” means all automobiles, trucks, trailers, cars and other motor vehicles owned or leased by the Corporation or its Subsidiaries;</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Vendor Indemnified Parties</w:t>
      </w:r>
      <w:r>
        <w:rPr>
          <w:rFonts w:ascii="Times New Roman" w:cs="Times New Roman" w:eastAsia="Times New Roman" w:hAnsi="Times New Roman"/>
          <w:sz w:val="18"/>
          <w:szCs w:val="18"/>
          <w:color w:val="auto"/>
        </w:rPr>
        <w:t>” has the meaning given in Section 10.1(a);</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Vendors</w:t>
      </w:r>
      <w:r>
        <w:rPr>
          <w:rFonts w:ascii="Times New Roman" w:cs="Times New Roman" w:eastAsia="Times New Roman" w:hAnsi="Times New Roman"/>
          <w:sz w:val="18"/>
          <w:szCs w:val="18"/>
          <w:color w:val="auto"/>
        </w:rPr>
        <w:t>” means, collectively, the Torgerson Vendors;</w:t>
      </w:r>
    </w:p>
    <w:p>
      <w:pPr>
        <w:spacing w:after="0" w:line="13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Vendors’ Counsel</w:t>
      </w:r>
      <w:r>
        <w:rPr>
          <w:rFonts w:ascii="Times New Roman" w:cs="Times New Roman" w:eastAsia="Times New Roman" w:hAnsi="Times New Roman"/>
          <w:sz w:val="18"/>
          <w:szCs w:val="18"/>
          <w:color w:val="auto"/>
        </w:rPr>
        <w:t>” means Dentons Canada LLP and Dentons US LLP; and</w:t>
      </w:r>
    </w:p>
    <w:p>
      <w:pPr>
        <w:spacing w:after="0" w:line="130" w:lineRule="exact"/>
        <w:rPr>
          <w:rFonts w:ascii="Times New Roman" w:cs="Times New Roman" w:eastAsia="Times New Roman" w:hAnsi="Times New Roman"/>
          <w:sz w:val="18"/>
          <w:szCs w:val="18"/>
          <w:color w:val="auto"/>
        </w:rPr>
      </w:pPr>
    </w:p>
    <w:p>
      <w:pPr>
        <w:ind w:left="1640" w:right="20" w:hanging="1436"/>
        <w:spacing w:after="0" w:line="286"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color w:val="auto"/>
        </w:rPr>
        <w:t>” means, at any time, the amount by which the Current Assets of the Corporation or its Subsidiaries exceeds (or is less than) the Current Liabilities of the Corporation and its Subsidiaries;</w:t>
      </w:r>
    </w:p>
    <w:p>
      <w:pPr>
        <w:spacing w:after="0" w:line="60" w:lineRule="exact"/>
        <w:rPr>
          <w:rFonts w:ascii="Times New Roman" w:cs="Times New Roman" w:eastAsia="Times New Roman" w:hAnsi="Times New Roman"/>
          <w:sz w:val="18"/>
          <w:szCs w:val="18"/>
          <w:color w:val="auto"/>
        </w:rPr>
      </w:pPr>
    </w:p>
    <w:p>
      <w:pPr>
        <w:ind w:left="1640" w:hanging="14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Shortfall</w:t>
      </w:r>
      <w:r>
        <w:rPr>
          <w:rFonts w:ascii="Times New Roman" w:cs="Times New Roman" w:eastAsia="Times New Roman" w:hAnsi="Times New Roman"/>
          <w:sz w:val="18"/>
          <w:szCs w:val="18"/>
          <w:color w:val="auto"/>
        </w:rPr>
        <w:t>” has the meaning given to it in Section 2.6(a)(ii);</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20"/>
          </w:cols>
          <w:pgMar w:left="24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1.2 For the purposes of this Agreement, except as otherwise expressly provided:</w:t>
      </w:r>
    </w:p>
    <w:p>
      <w:pPr>
        <w:spacing w:after="0" w:line="131" w:lineRule="exact"/>
        <w:rPr>
          <w:sz w:val="20"/>
          <w:szCs w:val="20"/>
          <w:color w:val="auto"/>
        </w:rPr>
      </w:pPr>
    </w:p>
    <w:p>
      <w:pPr>
        <w:ind w:left="640" w:right="240" w:hanging="436"/>
        <w:spacing w:after="0" w:line="266" w:lineRule="auto"/>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Time</w:t>
      </w:r>
      <w:r>
        <w:rPr>
          <w:rFonts w:ascii="Times New Roman" w:cs="Times New Roman" w:eastAsia="Times New Roman" w:hAnsi="Times New Roman"/>
          <w:sz w:val="18"/>
          <w:szCs w:val="18"/>
          <w:color w:val="auto"/>
        </w:rPr>
        <w:t xml:space="preserve"> – unless otherwise specified, time periods within or following which any action is to be taken or payment is to be made pursuant to this Agreement shall be calculated by excluding the day on which the period commences and including the day on which the period ends;</w:t>
      </w:r>
    </w:p>
    <w:p>
      <w:pPr>
        <w:spacing w:after="0" w:line="81" w:lineRule="exact"/>
        <w:rPr>
          <w:rFonts w:ascii="Times New Roman" w:cs="Times New Roman" w:eastAsia="Times New Roman" w:hAnsi="Times New Roman"/>
          <w:sz w:val="18"/>
          <w:szCs w:val="18"/>
          <w:color w:val="auto"/>
        </w:rPr>
      </w:pPr>
    </w:p>
    <w:p>
      <w:pPr>
        <w:ind w:left="640" w:right="20" w:hanging="436"/>
        <w:spacing w:after="0" w:line="266" w:lineRule="auto"/>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References</w:t>
      </w:r>
      <w:r>
        <w:rPr>
          <w:rFonts w:ascii="Times New Roman" w:cs="Times New Roman" w:eastAsia="Times New Roman" w:hAnsi="Times New Roman"/>
          <w:sz w:val="18"/>
          <w:szCs w:val="18"/>
          <w:color w:val="auto"/>
        </w:rPr>
        <w:t xml:space="preserve"> – a reference to an Article is to an Article of this Agreement, and a reference to a Section followed by a number or some combination of numbers and letters refers to the section, subsection, paragraph, subparagraph, clause or subclause of this Agreement so designated; a reference to a schedule or exhibit is a reference to a schedule or exhibit to this Agreement;</w:t>
      </w:r>
    </w:p>
    <w:p>
      <w:pPr>
        <w:spacing w:after="0" w:line="81" w:lineRule="exact"/>
        <w:rPr>
          <w:rFonts w:ascii="Times New Roman" w:cs="Times New Roman" w:eastAsia="Times New Roman" w:hAnsi="Times New Roman"/>
          <w:sz w:val="18"/>
          <w:szCs w:val="18"/>
          <w:color w:val="auto"/>
        </w:rPr>
      </w:pPr>
    </w:p>
    <w:p>
      <w:pPr>
        <w:ind w:left="640" w:right="160" w:hanging="436"/>
        <w:spacing w:after="0" w:line="266" w:lineRule="auto"/>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 the word “including”, “include” or “includes”, when following any general statement or term, is not to be construed as limiting the general statement or term to the specific items or matters set forth or to similar items or matters, but rather as permitting the general statement or term to refer to all other items or matters that could reasonably fall within its broadest possible scope;</w:t>
      </w:r>
    </w:p>
    <w:p>
      <w:pPr>
        <w:spacing w:after="0" w:line="81" w:lineRule="exact"/>
        <w:rPr>
          <w:rFonts w:ascii="Times New Roman" w:cs="Times New Roman" w:eastAsia="Times New Roman" w:hAnsi="Times New Roman"/>
          <w:sz w:val="18"/>
          <w:szCs w:val="18"/>
          <w:color w:val="auto"/>
        </w:rPr>
      </w:pPr>
    </w:p>
    <w:p>
      <w:pPr>
        <w:ind w:left="640" w:right="40" w:hanging="436"/>
        <w:spacing w:after="0" w:line="282" w:lineRule="auto"/>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xml:space="preserve"> – if any date on which any action is required to be taken hereunder by any of the Parties is not a Business Day, such action shall be required to be taken on the next succeeding day which is a Business Day;</w:t>
      </w:r>
    </w:p>
    <w:p>
      <w:pPr>
        <w:spacing w:after="0" w:line="67" w:lineRule="exact"/>
        <w:rPr>
          <w:rFonts w:ascii="Times New Roman" w:cs="Times New Roman" w:eastAsia="Times New Roman" w:hAnsi="Times New Roman"/>
          <w:sz w:val="18"/>
          <w:szCs w:val="18"/>
          <w:color w:val="auto"/>
        </w:rPr>
      </w:pPr>
    </w:p>
    <w:p>
      <w:pPr>
        <w:ind w:left="640" w:hanging="436"/>
        <w:spacing w:after="0" w:line="258" w:lineRule="auto"/>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References</w:t>
      </w:r>
      <w:r>
        <w:rPr>
          <w:rFonts w:ascii="Times New Roman" w:cs="Times New Roman" w:eastAsia="Times New Roman" w:hAnsi="Times New Roman"/>
          <w:sz w:val="18"/>
          <w:szCs w:val="18"/>
          <w:color w:val="auto"/>
        </w:rPr>
        <w:t xml:space="preserve"> – any reference in this Agreement to a statute shall mean the statute in force as at the date of this Agreement together with all rules, regulations and other subsidiary legislation made or promulgated thereunder and which are legally binding, as the same may be amended, re-enacted, consolidated or replaced from time to time, and any successor statute, rule, regulation or other subsidiary legislation thereto which is legally binding, and any reference to a particular legislative provision shall be read as referring to any amended or substituted provision therefore, unless otherwise expressly provided;</w:t>
      </w:r>
    </w:p>
    <w:p>
      <w:pPr>
        <w:spacing w:after="0" w:line="89" w:lineRule="exact"/>
        <w:rPr>
          <w:rFonts w:ascii="Times New Roman" w:cs="Times New Roman" w:eastAsia="Times New Roman" w:hAnsi="Times New Roman"/>
          <w:sz w:val="18"/>
          <w:szCs w:val="18"/>
          <w:color w:val="auto"/>
        </w:rPr>
      </w:pPr>
    </w:p>
    <w:p>
      <w:pPr>
        <w:ind w:left="640" w:right="540" w:hanging="436"/>
        <w:spacing w:after="0" w:line="282" w:lineRule="auto"/>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Plurals and Gender</w:t>
      </w:r>
      <w:r>
        <w:rPr>
          <w:rFonts w:ascii="Times New Roman" w:cs="Times New Roman" w:eastAsia="Times New Roman" w:hAnsi="Times New Roman"/>
          <w:sz w:val="18"/>
          <w:szCs w:val="18"/>
          <w:color w:val="auto"/>
        </w:rPr>
        <w:t xml:space="preserve"> – words importing the masculine gender include the feminine or neuter, words in the singular include the plural, a word importing a corporate entity includes an individual, and vice versa;</w:t>
      </w:r>
    </w:p>
    <w:p>
      <w:pPr>
        <w:spacing w:after="0" w:line="67" w:lineRule="exact"/>
        <w:rPr>
          <w:rFonts w:ascii="Times New Roman" w:cs="Times New Roman" w:eastAsia="Times New Roman" w:hAnsi="Times New Roman"/>
          <w:sz w:val="18"/>
          <w:szCs w:val="18"/>
          <w:color w:val="auto"/>
        </w:rPr>
      </w:pPr>
    </w:p>
    <w:p>
      <w:pPr>
        <w:ind w:left="640" w:right="140" w:hanging="436"/>
        <w:spacing w:after="0" w:line="261" w:lineRule="auto"/>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Materiality</w:t>
      </w:r>
      <w:r>
        <w:rPr>
          <w:rFonts w:ascii="Times New Roman" w:cs="Times New Roman" w:eastAsia="Times New Roman" w:hAnsi="Times New Roman"/>
          <w:sz w:val="18"/>
          <w:szCs w:val="18"/>
          <w:color w:val="auto"/>
        </w:rPr>
        <w:t xml:space="preserve"> – the word “material”, “materially” and variations thereof, when used in relation to an effect on the Business, the Corporation or its Subsidiaries, Dene Koe GP or Dene Koe LP, as applicable (and including particularly any such reference in Article 4) refers to an effect that is material to the Business, the Corporation or the applicable Subsidiary, Dene Koe GP or Dene Koe LP, and not to an effect that would be material to the Purchaser; and</w:t>
      </w:r>
    </w:p>
    <w:p>
      <w:pPr>
        <w:spacing w:after="0" w:line="85"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xml:space="preserve"> – all dollars amounts in this Agreement, unless otherwise specified, are in Canadian dollars.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Knowledge of a Party</w:t>
      </w:r>
    </w:p>
    <w:p>
      <w:pPr>
        <w:spacing w:after="0" w:line="121"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1.3 Where any matter is stated to be “to the knowledge” of the Purchaser or words to like effect in this Agreement, it shall mean the actual knowledge of any of the senior officers of the Purchaser after due and reasonable inquiry with respect to the relevant matter and the knowledge that any of them would have had if they had conducted such reasonable inquiry with respect to the relevant matter. Where any matter is stated to be “to the knowledge” of the Vendors or the Corporation or words to like effect in this Agreement, it shall mean the actual knowledge of any of Lance Torgerson, Corey Smith, Neil Matheson and David Bulloch after due and reasonable inquiry with respect to the relevant matter and the knowledge that any of them would have had if they had conducted such reasonable inquiry with respect to the relevant matter.</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Terms and Computations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1.4 In this Agreement, accounting terms and computations that are not defined herein shall be construed and computed in accordance with ASPE.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00"/>
          </w:cols>
          <w:pgMar w:left="24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 not Affected by Party Drafting</w:t>
      </w:r>
    </w:p>
    <w:p>
      <w:pPr>
        <w:spacing w:after="0" w:line="121" w:lineRule="exact"/>
        <w:rPr>
          <w:sz w:val="20"/>
          <w:szCs w:val="20"/>
          <w:color w:val="auto"/>
        </w:rPr>
      </w:pPr>
    </w:p>
    <w:p>
      <w:pPr>
        <w:ind w:left="200" w:right="40"/>
        <w:spacing w:after="0" w:line="258" w:lineRule="auto"/>
        <w:rPr>
          <w:sz w:val="20"/>
          <w:szCs w:val="20"/>
          <w:color w:val="auto"/>
        </w:rPr>
      </w:pPr>
      <w:r>
        <w:rPr>
          <w:rFonts w:ascii="Times New Roman" w:cs="Times New Roman" w:eastAsia="Times New Roman" w:hAnsi="Times New Roman"/>
          <w:sz w:val="18"/>
          <w:szCs w:val="18"/>
          <w:color w:val="auto"/>
        </w:rPr>
        <w:t>1.5 The Parties have participated, directly and through their respective legal counsel, collectively in the negotiation, preparation and drafting of this Agreement. If in connection with the construction of this Agreement any ambiguity or question of intent or interpretation arises, this Agreement shall be construed as if drafted jointly by the Parties and no presumption or burden of proof shall arise favouring or disfavouring any Party by virtue of the authorship of any provision of this Agreement, and the Parties agree that any rule of construction to the effect that any ambiguity is to be resolved against the drafting party shall not be applicable.</w:t>
      </w: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SHARE PURCHASE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w:t>
      </w:r>
    </w:p>
    <w:p>
      <w:pPr>
        <w:spacing w:after="0" w:line="121"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2.1 On the terms and subject to the conditions hereof and based upon the mutual representations, warranties, terms and conditions herein contained, each of the Vendors, as applicable, shall sell, transfer and assign to the Purchaser on the Closing Date, effective as of the Closing Time, the Purchased Shares, free and clear of all Encumbrances and the Purchaser shall purchase from the Vendors, as applicable, all of the Purchased Shares.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Purchase Consideration and Payment of Purchase Price</w:t>
      </w:r>
    </w:p>
    <w:p>
      <w:pPr>
        <w:spacing w:after="0" w:line="121"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2.2 The aggregate consideration to be paid by the Purchaser to the Vendors on the Closing Date for the Purchased Shares shall be equal to the sum of the payments, deposits and issuances contemplated by Section 2.3(a), subject to the adjustments set forth in Section 2.6 (collectively,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2.3</w:t>
      </w:r>
    </w:p>
    <w:p>
      <w:pPr>
        <w:spacing w:after="0" w:line="131" w:lineRule="exact"/>
        <w:rPr>
          <w:sz w:val="20"/>
          <w:szCs w:val="20"/>
          <w:color w:val="auto"/>
        </w:rPr>
      </w:pPr>
    </w:p>
    <w:p>
      <w:pPr>
        <w:ind w:left="640" w:hanging="436"/>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Purchase Price shall be paid and satisfied by the Purchaser as follows:</w:t>
      </w:r>
    </w:p>
    <w:p>
      <w:pPr>
        <w:spacing w:after="0" w:line="130" w:lineRule="exact"/>
        <w:rPr>
          <w:rFonts w:ascii="Times New Roman" w:cs="Times New Roman" w:eastAsia="Times New Roman" w:hAnsi="Times New Roman"/>
          <w:sz w:val="18"/>
          <w:szCs w:val="18"/>
          <w:color w:val="auto"/>
        </w:rPr>
      </w:pPr>
    </w:p>
    <w:p>
      <w:pPr>
        <w:ind w:left="1060" w:right="60" w:hanging="424"/>
        <w:spacing w:after="0" w:line="257"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Base Cash Consideration less each of the following (without duplication): (i) the amounts in Section 2.3(a)(vii); (ii) the full amount of Indebtedness, including such Indebtedness set forth in Schedule 2.3(a)(i) of the Disclosure Letter, which is outstanding as of the Closing Date, if any; (iii) the Escrow Amount; (iv) the Shareholder Advance (to the extent outstanding on the Closing Date); and</w:t>
      </w:r>
    </w:p>
    <w:p>
      <w:pPr>
        <w:spacing w:after="0" w:line="1" w:lineRule="exact"/>
        <w:rPr>
          <w:rFonts w:ascii="Times New Roman" w:cs="Times New Roman" w:eastAsia="Times New Roman" w:hAnsi="Times New Roman"/>
          <w:sz w:val="18"/>
          <w:szCs w:val="18"/>
          <w:color w:val="auto"/>
        </w:rPr>
      </w:pPr>
    </w:p>
    <w:p>
      <w:pPr>
        <w:ind w:left="10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the Working Capital Shortfall, if any, determined in accordance with Section 2.6(a)(ii), shall be paid to the Vendors in cash in accordance with the allocation set forth in Schedule “A”; provided however that the Shareholder Advance (to the extent outstanding on the Closing Date) shall only be deducted from the cash payment to 989677;</w:t>
      </w:r>
    </w:p>
    <w:p>
      <w:pPr>
        <w:spacing w:after="0" w:line="91" w:lineRule="exact"/>
        <w:rPr>
          <w:rFonts w:ascii="Times New Roman" w:cs="Times New Roman" w:eastAsia="Times New Roman" w:hAnsi="Times New Roman"/>
          <w:sz w:val="18"/>
          <w:szCs w:val="18"/>
          <w:color w:val="auto"/>
        </w:rPr>
      </w:pPr>
    </w:p>
    <w:p>
      <w:pPr>
        <w:ind w:left="1060" w:right="40" w:hanging="424"/>
        <w:spacing w:after="0" w:line="261"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Two Million Seven Hundred Ninety Thousand Eight Hundred and Sixty Eight (32,790,868) Purchaser Common Shares shall be issued to the applicable Vendors in accordance with the allocation set forth in Schedule “A”, of which an aggregate of Thirteen Million Four Hundred Ninety One Thousand One Hundred (13,491,100) Purchaser Common Shares (the “</w:t>
      </w:r>
      <w:r>
        <w:rPr>
          <w:rFonts w:ascii="Times New Roman" w:cs="Times New Roman" w:eastAsia="Times New Roman" w:hAnsi="Times New Roman"/>
          <w:sz w:val="18"/>
          <w:szCs w:val="18"/>
          <w:b w:val="1"/>
          <w:bCs w:val="1"/>
          <w:color w:val="auto"/>
        </w:rPr>
        <w:t>Escrowed Shares</w:t>
      </w:r>
      <w:r>
        <w:rPr>
          <w:rFonts w:ascii="Times New Roman" w:cs="Times New Roman" w:eastAsia="Times New Roman" w:hAnsi="Times New Roman"/>
          <w:sz w:val="18"/>
          <w:szCs w:val="18"/>
          <w:color w:val="auto"/>
        </w:rPr>
        <w:t>”) shall be deposited with the Escrow Agent on the Closing Date pursuant to the terms of the Escrowed Shares Escrow Agreement;</w:t>
      </w:r>
    </w:p>
    <w:p>
      <w:pPr>
        <w:spacing w:after="0" w:line="85"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Thousand Six Hundred and Seventy Nine (9,679) Purchaser Preferred Shares shall be issued to the Torgerson Trust;</w:t>
      </w:r>
    </w:p>
    <w:p>
      <w:pPr>
        <w:spacing w:after="0" w:line="130" w:lineRule="exact"/>
        <w:rPr>
          <w:rFonts w:ascii="Times New Roman" w:cs="Times New Roman" w:eastAsia="Times New Roman" w:hAnsi="Times New Roman"/>
          <w:sz w:val="18"/>
          <w:szCs w:val="18"/>
          <w:color w:val="auto"/>
        </w:rPr>
      </w:pPr>
    </w:p>
    <w:p>
      <w:pPr>
        <w:ind w:left="1060" w:right="280" w:hanging="424"/>
        <w:spacing w:after="0" w:line="266"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of the Cash and Cash Equivalents at the Closing Time, if any, shall be paid to the Vendors in cash, such amount to be allocated amongst the Vendors as they determine in their sole discretion and set forth in the estimated closing statement pursuant to Section 2.4(b);</w:t>
      </w:r>
    </w:p>
    <w:p>
      <w:pPr>
        <w:spacing w:after="0" w:line="81"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Cdn.$28,500,000.00 in cash shall be deposited with the Escrow Agent as at the Closing Date pursuant to the terms of the Escrow Agreement (the “</w:t>
      </w:r>
      <w:r>
        <w:rPr>
          <w:rFonts w:ascii="Times New Roman" w:cs="Times New Roman" w:eastAsia="Times New Roman" w:hAnsi="Times New Roman"/>
          <w:sz w:val="18"/>
          <w:szCs w:val="18"/>
          <w:b w:val="1"/>
          <w:bCs w:val="1"/>
          <w:color w:val="auto"/>
        </w:rPr>
        <w:t>Escrow Amount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20"/>
          </w:cols>
          <w:pgMar w:left="24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220" w:hanging="424"/>
        <w:spacing w:after="0" w:line="266" w:lineRule="auto"/>
        <w:tabs>
          <w:tab w:leader="none" w:pos="10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 amount equal to the Excess Working Capital, if any, determined in accordance with Section 2.6(a)(i) shall be paid to the Vendors in cash, such amount to be allocated amongst the Vendors as they determine in their sole discretion and set forth in the estimated closing statement pursuant to Section 2.4(b); and</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pay the amount of all Transaction Expenses which are outstanding as of the Closing Date, if any.</w:t>
      </w:r>
    </w:p>
    <w:p>
      <w:pPr>
        <w:spacing w:after="0" w:line="130" w:lineRule="exact"/>
        <w:rPr>
          <w:rFonts w:ascii="Times New Roman" w:cs="Times New Roman" w:eastAsia="Times New Roman" w:hAnsi="Times New Roman"/>
          <w:sz w:val="18"/>
          <w:szCs w:val="18"/>
          <w:color w:val="auto"/>
        </w:rPr>
      </w:pPr>
    </w:p>
    <w:p>
      <w:pPr>
        <w:ind w:left="640" w:right="400" w:hanging="436"/>
        <w:spacing w:after="0" w:line="282" w:lineRule="auto"/>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Purchaser shall pay the amount of any Indebtedness set forth in Part 1 of Schedule 2.3(a)(i) of the Disclosure Letter which is outstanding as of the Closing Date.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Allocation of Purchase Price</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2.4</w:t>
      </w:r>
    </w:p>
    <w:p>
      <w:pPr>
        <w:spacing w:after="0" w:line="131" w:lineRule="exact"/>
        <w:rPr>
          <w:sz w:val="20"/>
          <w:szCs w:val="20"/>
          <w:color w:val="auto"/>
        </w:rPr>
      </w:pPr>
    </w:p>
    <w:p>
      <w:pPr>
        <w:ind w:left="640" w:hanging="436"/>
        <w:spacing w:after="0" w:line="282"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2.3(a)(iv) and 2.3(a)(vi), the Purchase Price shall be allocated and paid to the Vendors in accordance with Schedule “A”.</w:t>
      </w:r>
    </w:p>
    <w:p>
      <w:pPr>
        <w:spacing w:after="0" w:line="67" w:lineRule="exact"/>
        <w:rPr>
          <w:rFonts w:ascii="Times New Roman" w:cs="Times New Roman" w:eastAsia="Times New Roman" w:hAnsi="Times New Roman"/>
          <w:sz w:val="18"/>
          <w:szCs w:val="18"/>
          <w:color w:val="auto"/>
        </w:rPr>
      </w:pPr>
    </w:p>
    <w:p>
      <w:pPr>
        <w:ind w:left="640" w:right="60" w:hanging="436"/>
        <w:spacing w:after="0" w:line="255"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three Business Days prior to the Closing Date, the Vendors shall deliver to the Purchaser an estimated closing statement which includes the Vendors reasonable best estimate of the Cash and Cash Equivalents, Indebtedness, Transaction Expenses and Working Capital of the Corporation as at the Closing Time and a calculation of the Purchase Price, along with all applicable supporting documentation and the allocation of the payments contemplated by Sections 2.3(a)(iv) and 2.3(a)(vi). The Purchaser shall be entitled to review and comment upon such estimated closing statement and the Vendors and the Corporation shall consider in good faith any amendments or clarifications to such statement requested by the Purchaser. As of the date hereof, Schedule 2.4(b) of the Disclosure Letter contains a sample template which shall be used to prepare the estimated closing statement.</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Consideration Shares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2.5 The Consideration Shares shall be delivered as follows:</w:t>
      </w:r>
    </w:p>
    <w:p>
      <w:pPr>
        <w:spacing w:after="0" w:line="131" w:lineRule="exact"/>
        <w:rPr>
          <w:sz w:val="20"/>
          <w:szCs w:val="20"/>
          <w:color w:val="auto"/>
        </w:rPr>
      </w:pPr>
    </w:p>
    <w:p>
      <w:pPr>
        <w:ind w:left="640" w:right="80" w:hanging="436"/>
        <w:spacing w:after="0" w:line="282" w:lineRule="auto"/>
        <w:tabs>
          <w:tab w:leader="none" w:pos="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Escrowed Shares referenced in Section 2.3(a)(ii) will be delivered in certificated form at Closing, and registered in the name of the applicable Vendors, as allocated in accordance with Schedule “A” and shall be deposited with the Escrow Agent on Closing;</w:t>
      </w:r>
    </w:p>
    <w:p>
      <w:pPr>
        <w:spacing w:after="0" w:line="67" w:lineRule="exact"/>
        <w:rPr>
          <w:rFonts w:ascii="Times New Roman" w:cs="Times New Roman" w:eastAsia="Times New Roman" w:hAnsi="Times New Roman"/>
          <w:sz w:val="18"/>
          <w:szCs w:val="18"/>
          <w:color w:val="auto"/>
        </w:rPr>
      </w:pPr>
    </w:p>
    <w:p>
      <w:pPr>
        <w:ind w:left="640" w:right="680" w:hanging="436"/>
        <w:spacing w:after="0" w:line="282" w:lineRule="auto"/>
        <w:tabs>
          <w:tab w:leader="none" w:pos="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referenced in Section 2.3(a)(ii) other than the Escrowed Shares will be delivered in book-entry form at Closing, registered in the name of the applicable Vendors as allocated in accordance with Schedule “A”; and</w:t>
      </w:r>
    </w:p>
    <w:p>
      <w:pPr>
        <w:spacing w:after="0" w:line="67" w:lineRule="exact"/>
        <w:rPr>
          <w:rFonts w:ascii="Times New Roman" w:cs="Times New Roman" w:eastAsia="Times New Roman" w:hAnsi="Times New Roman"/>
          <w:sz w:val="18"/>
          <w:szCs w:val="18"/>
          <w:color w:val="auto"/>
        </w:rPr>
      </w:pPr>
    </w:p>
    <w:p>
      <w:pPr>
        <w:ind w:left="640" w:right="100" w:hanging="436"/>
        <w:spacing w:after="0" w:line="282" w:lineRule="auto"/>
        <w:tabs>
          <w:tab w:leader="none" w:pos="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referenced in Section 2.3(a)(iii) (being the Purchaser Preferred Shares) will be delivered in certificated form at Closing, registered in the name of the Torgerson Trust.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Purchase Price Adjustments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2.6 The Purchase Price shall be adjusted as provided in this Section 2.6.</w:t>
      </w:r>
    </w:p>
    <w:p>
      <w:pPr>
        <w:spacing w:after="0" w:line="131" w:lineRule="exact"/>
        <w:rPr>
          <w:sz w:val="20"/>
          <w:szCs w:val="20"/>
          <w:color w:val="auto"/>
        </w:rPr>
      </w:pPr>
    </w:p>
    <w:p>
      <w:pPr>
        <w:ind w:left="640" w:hanging="436"/>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at the Closing Time, the Base Cash Consideration and Purchase Price shall be adjusted:</w:t>
      </w:r>
    </w:p>
    <w:p>
      <w:pPr>
        <w:spacing w:after="0" w:line="126" w:lineRule="exact"/>
        <w:rPr>
          <w:rFonts w:ascii="Times New Roman" w:cs="Times New Roman" w:eastAsia="Times New Roman" w:hAnsi="Times New Roman"/>
          <w:sz w:val="18"/>
          <w:szCs w:val="18"/>
          <w:color w:val="auto"/>
        </w:rPr>
      </w:pPr>
    </w:p>
    <w:p>
      <w:pPr>
        <w:ind w:left="1060" w:right="520" w:hanging="424"/>
        <w:spacing w:after="0" w:line="286" w:lineRule="auto"/>
        <w:tabs>
          <w:tab w:leader="none" w:pos="10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by the amount by which the estimated Working Capital calculated pursuant to Section 2.4(b) (the “</w:t>
      </w:r>
      <w:r>
        <w:rPr>
          <w:rFonts w:ascii="Times New Roman" w:cs="Times New Roman" w:eastAsia="Times New Roman" w:hAnsi="Times New Roman"/>
          <w:sz w:val="18"/>
          <w:szCs w:val="18"/>
          <w:b w:val="1"/>
          <w:bCs w:val="1"/>
          <w:color w:val="auto"/>
        </w:rPr>
        <w:t>Estimated Working Capital</w:t>
      </w:r>
      <w:r>
        <w:rPr>
          <w:rFonts w:ascii="Times New Roman" w:cs="Times New Roman" w:eastAsia="Times New Roman" w:hAnsi="Times New Roman"/>
          <w:sz w:val="18"/>
          <w:szCs w:val="18"/>
          <w:color w:val="auto"/>
        </w:rPr>
        <w:t>”) exceeds the Target Working Capital (the “</w:t>
      </w:r>
      <w:r>
        <w:rPr>
          <w:rFonts w:ascii="Times New Roman" w:cs="Times New Roman" w:eastAsia="Times New Roman" w:hAnsi="Times New Roman"/>
          <w:sz w:val="18"/>
          <w:szCs w:val="18"/>
          <w:b w:val="1"/>
          <w:bCs w:val="1"/>
          <w:color w:val="auto"/>
        </w:rPr>
        <w:t>Excess Working Capital</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 by the amount by which the Estimated Working Capital is less than the Target Working Capital (the “</w:t>
      </w:r>
      <w:r>
        <w:rPr>
          <w:rFonts w:ascii="Times New Roman" w:cs="Times New Roman" w:eastAsia="Times New Roman" w:hAnsi="Times New Roman"/>
          <w:sz w:val="18"/>
          <w:szCs w:val="18"/>
          <w:b w:val="1"/>
          <w:bCs w:val="1"/>
          <w:color w:val="auto"/>
        </w:rPr>
        <w:t>Working Capital Shortfall</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640" w:right="120" w:hanging="436"/>
        <w:spacing w:after="0" w:line="282"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Closing Date, the Purchaser shall, at its expense and election, engage its internal accountants to prepare and deliver to the Vendors: (i) the closing balance sheet of the Business as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80"/>
          </w:cols>
          <w:pgMar w:left="24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270" w:lineRule="auto"/>
        <w:rPr>
          <w:sz w:val="20"/>
          <w:szCs w:val="20"/>
          <w:color w:val="auto"/>
        </w:rPr>
      </w:pPr>
      <w:r>
        <w:rPr>
          <w:rFonts w:ascii="Times New Roman" w:cs="Times New Roman" w:eastAsia="Times New Roman" w:hAnsi="Times New Roman"/>
          <w:sz w:val="17"/>
          <w:szCs w:val="17"/>
          <w:color w:val="auto"/>
        </w:rPr>
        <w:t>at the Closing Time on the Closing Date, based on the accrual method of accounting and prepared in accordance with ASPE, applying the same significant accounting policies and practices as applied to the Corporation Financial Statements and consistent with Schedule 2.4(b) of the Disclosure Letter (provided for certainty, that if there is a conflict between the accounting policies and ASPE, ASPE shall prevail)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Balance Sheet</w:t>
      </w:r>
      <w:r>
        <w:rPr>
          <w:rFonts w:ascii="Times New Roman" w:cs="Times New Roman" w:eastAsia="Times New Roman" w:hAnsi="Times New Roman"/>
          <w:sz w:val="17"/>
          <w:szCs w:val="17"/>
          <w:color w:val="auto"/>
        </w:rPr>
        <w:t>”), and (ii) a closing statement (the “</w:t>
      </w:r>
      <w:r>
        <w:rPr>
          <w:rFonts w:ascii="Times New Roman" w:cs="Times New Roman" w:eastAsia="Times New Roman" w:hAnsi="Times New Roman"/>
          <w:sz w:val="17"/>
          <w:szCs w:val="17"/>
          <w:b w:val="1"/>
          <w:bCs w:val="1"/>
          <w:color w:val="auto"/>
        </w:rPr>
        <w:t>Closing Statement</w:t>
      </w:r>
      <w:r>
        <w:rPr>
          <w:rFonts w:ascii="Times New Roman" w:cs="Times New Roman" w:eastAsia="Times New Roman" w:hAnsi="Times New Roman"/>
          <w:sz w:val="17"/>
          <w:szCs w:val="17"/>
          <w:color w:val="auto"/>
        </w:rPr>
        <w:t>”) that will be prepared using the Closing Balance Sheet, which sets out:</w:t>
      </w:r>
    </w:p>
    <w:p>
      <w:pPr>
        <w:spacing w:after="0" w:line="3" w:lineRule="exact"/>
        <w:rPr>
          <w:sz w:val="20"/>
          <w:szCs w:val="20"/>
          <w:color w:val="auto"/>
        </w:rPr>
      </w:pPr>
    </w:p>
    <w:p>
      <w:pPr>
        <w:ind w:left="640" w:right="60"/>
        <w:spacing w:after="0" w:line="251" w:lineRule="auto"/>
        <w:rPr>
          <w:sz w:val="20"/>
          <w:szCs w:val="20"/>
          <w:color w:val="auto"/>
        </w:rPr>
      </w:pPr>
      <w:r>
        <w:rPr>
          <w:rFonts w:ascii="Times New Roman" w:cs="Times New Roman" w:eastAsia="Times New Roman" w:hAnsi="Times New Roman"/>
          <w:sz w:val="18"/>
          <w:szCs w:val="18"/>
          <w:color w:val="auto"/>
        </w:rPr>
        <w:t>(1) the Working Capital of the Corporation as at the Closing Time and the difference between such Working Capital and the Estimated Working Capital; (2) the amount of the Cash and Cash Equivalents as at the Closing Time and any difference between such Cash and Cash Equivalents and the value of the Cash and Cash Equivalents used to calculate the Purchase Price, (3) the amount of Indebtedness as at the Closing Time and any difference between such Indebtedness and the value of Indebtedness used to calculate the Purchase Price; and (4) the amount of Transaction Expenses as at the Closing Time and any difference between such Transaction Expenses and the value of Transaction Expenses paid by the Purchaser, if any, on Closing in accordance with Section 2.3(a)(vii), and providing details of any variance. Upon request, the Vendors shall be entitled to review all financial and other information used in preparing the Closing Balance Sheet and the Closing Statement, including working papers and a statement of any adjustments or assumptions made by the accountants. The Closing Balance Sheet and Closing Statement shall be completed no later than 90 days following the Closing Date.</w:t>
      </w:r>
    </w:p>
    <w:p>
      <w:pPr>
        <w:spacing w:after="0" w:line="99" w:lineRule="exact"/>
        <w:rPr>
          <w:sz w:val="20"/>
          <w:szCs w:val="20"/>
          <w:color w:val="auto"/>
        </w:rPr>
      </w:pPr>
    </w:p>
    <w:p>
      <w:pPr>
        <w:ind w:left="640" w:hanging="436"/>
        <w:spacing w:after="0" w:line="253" w:lineRule="auto"/>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shall have 30 days from the date they receive the Closing Balance Sheet and the Closing Statement to review the Closing Balance Sheet and the Closing Statement and to inform the Purchaser in writing of any objection (in this Section 2.6(c) an “</w:t>
      </w:r>
      <w:r>
        <w:rPr>
          <w:rFonts w:ascii="Times New Roman" w:cs="Times New Roman" w:eastAsia="Times New Roman" w:hAnsi="Times New Roman"/>
          <w:sz w:val="18"/>
          <w:szCs w:val="18"/>
          <w:b w:val="1"/>
          <w:bCs w:val="1"/>
          <w:color w:val="auto"/>
        </w:rPr>
        <w:t>Objection</w:t>
      </w:r>
      <w:r>
        <w:rPr>
          <w:rFonts w:ascii="Times New Roman" w:cs="Times New Roman" w:eastAsia="Times New Roman" w:hAnsi="Times New Roman"/>
          <w:sz w:val="18"/>
          <w:szCs w:val="18"/>
          <w:color w:val="auto"/>
        </w:rPr>
        <w:t>”) they have to the Closing Balance Sheet or the Closing Statement and the Vendors proposed adjustments to any figures included in the Closing Balance Sheet or Closing Statement (including any disagreement regarding whether the Purchaser has delivered all financial and other information used in preparing the Closing Balance Sheet or the Closing Statement, as contemplated by Section 2.6(b)). If the Purchaser does not receive an Objection within the 30 day review period, the Closing Balance Sheet and the Closing Statement shall be deemed to have been accepted by the Vendors and shall become final and binding upon the Vendors. If the Vendors (or any of them) deliver an Objection to the Purchaser within the permitted review period, the Purchaser shall then have 30 days from the time the Objection is received to review and respond to the Objection. If the Vendors do not receive a response within the 30 day review period, the Objection shall be deemed to have been accepted by the Purchaser and shall become final and binding upon the Purchaser. If the Purchaser responds and the Vendors and the Purchaser are unable to resolve their disagreement(s) with respect to the Closing Balance Sheet or the Closing Statement within 10 days following the foregoing 30 day period, then the provisions of Section 2.7 herein shall apply with respect to such disagreement(s) in order to finalize the Closing Balance Sheet or the Closing Statement.</w:t>
      </w:r>
    </w:p>
    <w:p>
      <w:pPr>
        <w:spacing w:after="0" w:line="94" w:lineRule="exact"/>
        <w:rPr>
          <w:rFonts w:ascii="Times New Roman" w:cs="Times New Roman" w:eastAsia="Times New Roman" w:hAnsi="Times New Roman"/>
          <w:sz w:val="18"/>
          <w:szCs w:val="18"/>
          <w:color w:val="auto"/>
        </w:rPr>
      </w:pPr>
    </w:p>
    <w:p>
      <w:pPr>
        <w:ind w:left="640" w:right="200" w:hanging="436"/>
        <w:spacing w:after="0" w:line="282" w:lineRule="auto"/>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the Closing Balance Sheet and the Closing Statement by the Purchaser and the Vendors, or a final determination pursuant to Section 2.6(c) hereof,</w:t>
      </w:r>
    </w:p>
    <w:p>
      <w:pPr>
        <w:spacing w:after="0" w:line="67" w:lineRule="exact"/>
        <w:rPr>
          <w:sz w:val="20"/>
          <w:szCs w:val="20"/>
          <w:color w:val="auto"/>
        </w:rPr>
      </w:pPr>
    </w:p>
    <w:p>
      <w:pPr>
        <w:ind w:left="1060" w:hanging="424"/>
        <w:spacing w:after="0"/>
        <w:tabs>
          <w:tab w:leader="none" w:pos="10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Working Capital, as finally determined in accordance with the provisions contained in 2.6(c) is:</w:t>
      </w:r>
    </w:p>
    <w:p>
      <w:pPr>
        <w:spacing w:after="0" w:line="130" w:lineRule="exact"/>
        <w:rPr>
          <w:rFonts w:ascii="Times New Roman" w:cs="Times New Roman" w:eastAsia="Times New Roman" w:hAnsi="Times New Roman"/>
          <w:sz w:val="18"/>
          <w:szCs w:val="18"/>
          <w:color w:val="auto"/>
        </w:rPr>
      </w:pPr>
    </w:p>
    <w:p>
      <w:pPr>
        <w:ind w:left="1620" w:right="40" w:hanging="538"/>
        <w:spacing w:after="0" w:line="255" w:lineRule="auto"/>
        <w:tabs>
          <w:tab w:leader="none" w:pos="16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the Estimated Working Capital, the Escrow Agent shall promptly, and in any event, within fifteen (15) days of acceptance of the Closing Balance Sheet and the Closing Statement by the Vendors or the date of final determination pursuant to Section 2.6(c) hereof, as applicable, pay from the Escrow Amount by certified cheque or wire transfer to Purchaser, an amount equal to the difference between the Working Capital as finally determined in accordance with the provisions in Section 2.6(c) and the Estimated Working Capital (the “</w:t>
      </w:r>
      <w:r>
        <w:rPr>
          <w:rFonts w:ascii="Times New Roman" w:cs="Times New Roman" w:eastAsia="Times New Roman" w:hAnsi="Times New Roman"/>
          <w:sz w:val="18"/>
          <w:szCs w:val="18"/>
          <w:b w:val="1"/>
          <w:bCs w:val="1"/>
          <w:color w:val="auto"/>
        </w:rPr>
        <w:t>Final Working Capital Deficiency</w:t>
      </w:r>
      <w:r>
        <w:rPr>
          <w:rFonts w:ascii="Times New Roman" w:cs="Times New Roman" w:eastAsia="Times New Roman" w:hAnsi="Times New Roman"/>
          <w:sz w:val="18"/>
          <w:szCs w:val="18"/>
          <w:color w:val="auto"/>
        </w:rPr>
        <w:t>”). If the Final Working Capital Deficiency is greater than the Escrow Amount, then, in addition to payment by the Escrow Agent of the entire Escrow Amount to the Purchaser, the Vendors shall also pay by certified cheque or wire transfer to the Purchaser within such fifteen (15) day period, an amount equal to the difference between the Escrow Amount and the Final Working Capital Deficiency; or</w:t>
      </w:r>
    </w:p>
    <w:p>
      <w:pPr>
        <w:spacing w:after="0" w:line="90" w:lineRule="exact"/>
        <w:rPr>
          <w:rFonts w:ascii="Times New Roman" w:cs="Times New Roman" w:eastAsia="Times New Roman" w:hAnsi="Times New Roman"/>
          <w:sz w:val="18"/>
          <w:szCs w:val="18"/>
          <w:color w:val="auto"/>
        </w:rPr>
      </w:pPr>
    </w:p>
    <w:p>
      <w:pPr>
        <w:ind w:left="1620" w:right="60" w:hanging="538"/>
        <w:spacing w:after="0" w:line="282" w:lineRule="auto"/>
        <w:tabs>
          <w:tab w:leader="none" w:pos="16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the Estimated Working Capital, the Purchaser shall promptly, and in any event, within fifteen (15) days of acceptance of the Closing Balance Sheet and the Closing Statement by the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220"/>
          </w:cols>
          <w:pgMar w:left="240" w:top="455" w:right="4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640"/>
        <w:spacing w:after="0" w:line="261" w:lineRule="auto"/>
        <w:rPr>
          <w:sz w:val="20"/>
          <w:szCs w:val="20"/>
          <w:color w:val="auto"/>
        </w:rPr>
      </w:pPr>
      <w:r>
        <w:rPr>
          <w:rFonts w:ascii="Times New Roman" w:cs="Times New Roman" w:eastAsia="Times New Roman" w:hAnsi="Times New Roman"/>
          <w:sz w:val="18"/>
          <w:szCs w:val="18"/>
          <w:color w:val="auto"/>
        </w:rPr>
        <w:t>Vendors or the date of final determination pursuant to Section 2.6(c) hereof, as applicable, pay by certified cheque or wire transfer to the Vendors, an aggregate amount equal to the difference between the Working Capital, as finally determined in accordance with the provisions in Section 2.6(c) and the Estimated Working Capital, such amount to be allocated amongst the Vendors as they determine in their sole discretion and set forth in a notice to the Purchaser,</w:t>
      </w:r>
    </w:p>
    <w:p>
      <w:pPr>
        <w:spacing w:after="0" w:line="86" w:lineRule="exact"/>
        <w:rPr>
          <w:sz w:val="20"/>
          <w:szCs w:val="20"/>
          <w:color w:val="auto"/>
        </w:rPr>
      </w:pPr>
    </w:p>
    <w:p>
      <w:pPr>
        <w:ind w:left="1060" w:hanging="424"/>
        <w:spacing w:after="0"/>
        <w:tabs>
          <w:tab w:leader="none" w:pos="1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Cash and Cash Equivalents, as finally determined in accordance with the provisions in Section 2.6(c) is:</w:t>
      </w:r>
    </w:p>
    <w:p>
      <w:pPr>
        <w:spacing w:after="0" w:line="130" w:lineRule="exact"/>
        <w:rPr>
          <w:rFonts w:ascii="Times New Roman" w:cs="Times New Roman" w:eastAsia="Times New Roman" w:hAnsi="Times New Roman"/>
          <w:sz w:val="18"/>
          <w:szCs w:val="18"/>
          <w:color w:val="auto"/>
        </w:rPr>
      </w:pPr>
    </w:p>
    <w:p>
      <w:pPr>
        <w:ind w:left="1620" w:right="120" w:hanging="538"/>
        <w:spacing w:after="0" w:line="256" w:lineRule="auto"/>
        <w:tabs>
          <w:tab w:leader="none" w:pos="16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the value of Cash and Cash Equivalents used to calculate the Purchase Price, the Purchaser shall promptly, and in any event, within fifteen (15) 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value of Cash and Cash Equivalents used to calculate the Purchase Price and the amount of Cash and Cash Equivalents as finally determined in accordance with the provisions in Section 2.6(c), such amount to be allocated amongst the Vendors as they determine in their sole discretion and set forth in a notice to the Purchaser; or</w:t>
      </w:r>
    </w:p>
    <w:p>
      <w:pPr>
        <w:spacing w:after="0" w:line="93" w:lineRule="exact"/>
        <w:rPr>
          <w:rFonts w:ascii="Times New Roman" w:cs="Times New Roman" w:eastAsia="Times New Roman" w:hAnsi="Times New Roman"/>
          <w:sz w:val="18"/>
          <w:szCs w:val="18"/>
          <w:color w:val="auto"/>
        </w:rPr>
      </w:pPr>
    </w:p>
    <w:p>
      <w:pPr>
        <w:ind w:left="1620" w:right="180" w:hanging="538"/>
        <w:spacing w:after="0" w:line="258" w:lineRule="auto"/>
        <w:tabs>
          <w:tab w:leader="none" w:pos="16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the value of the Cash and Cash Equivalents used to calculate the Purchase Price,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the Cash and Cash Equivalents used to calculate the Purchase Price and the amount of the Cash and Cash Equivalents as finally determined in accordance with the provisions in Section 2.6(c).</w:t>
      </w:r>
    </w:p>
    <w:p>
      <w:pPr>
        <w:spacing w:after="0" w:line="89" w:lineRule="exact"/>
        <w:rPr>
          <w:rFonts w:ascii="Times New Roman" w:cs="Times New Roman" w:eastAsia="Times New Roman" w:hAnsi="Times New Roman"/>
          <w:sz w:val="18"/>
          <w:szCs w:val="18"/>
          <w:color w:val="auto"/>
        </w:rPr>
      </w:pPr>
    </w:p>
    <w:p>
      <w:pPr>
        <w:ind w:left="1060" w:right="120" w:hanging="424"/>
        <w:spacing w:after="0" w:line="282" w:lineRule="auto"/>
        <w:tabs>
          <w:tab w:leader="none" w:pos="1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Indebtedness in the Closing Statement, as finally determined in accordance with the provisions contained in Section 2.6(c) is:</w:t>
      </w:r>
    </w:p>
    <w:p>
      <w:pPr>
        <w:spacing w:after="0" w:line="67" w:lineRule="exact"/>
        <w:rPr>
          <w:rFonts w:ascii="Times New Roman" w:cs="Times New Roman" w:eastAsia="Times New Roman" w:hAnsi="Times New Roman"/>
          <w:sz w:val="18"/>
          <w:szCs w:val="18"/>
          <w:color w:val="auto"/>
        </w:rPr>
      </w:pPr>
    </w:p>
    <w:p>
      <w:pPr>
        <w:ind w:left="1620" w:hanging="538"/>
        <w:spacing w:after="0" w:line="256" w:lineRule="auto"/>
        <w:tabs>
          <w:tab w:leader="none" w:pos="16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the value of Indebtedness used to calculate the Purchase Price, the Purchaser shall promptly, and in any event, within fifteen (15) days of acceptance of the Closing Balance Sheet and the Closing Statement by Vendors or the date of final determination pursuant to Section 2.6(c) hereof, as applicable, pay by certified cheque or wire transfer to the Vendors an amount equal to the difference between the value of Indebtedness used to calculate the Purchase Price and the amount of Indebtedness as finally determined in accordance with the provisions in Section 2.6(c), such amount to be allocated amongst the Vendors as they determine in their sole discretion and set forth in a notice to the Purchaser; or</w:t>
      </w:r>
    </w:p>
    <w:p>
      <w:pPr>
        <w:spacing w:after="0" w:line="93" w:lineRule="exact"/>
        <w:rPr>
          <w:rFonts w:ascii="Times New Roman" w:cs="Times New Roman" w:eastAsia="Times New Roman" w:hAnsi="Times New Roman"/>
          <w:sz w:val="18"/>
          <w:szCs w:val="18"/>
          <w:color w:val="auto"/>
        </w:rPr>
      </w:pPr>
    </w:p>
    <w:p>
      <w:pPr>
        <w:ind w:left="1620" w:right="20" w:hanging="538"/>
        <w:spacing w:after="0" w:line="258" w:lineRule="auto"/>
        <w:tabs>
          <w:tab w:leader="none" w:pos="16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the value of Indebtedness used to calculate the Purchase Price,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Indebtedness used to calculate the Purchase Price and the amount of Indebtedness as finally determined in accordance with the provisions in Section 2.6(c);</w:t>
      </w:r>
    </w:p>
    <w:p>
      <w:pPr>
        <w:spacing w:after="0" w:line="89"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Expenses, as finally determined in accordance with the provisions contained in Section 2.6(c) are:</w:t>
      </w:r>
    </w:p>
    <w:p>
      <w:pPr>
        <w:spacing w:after="0" w:line="130" w:lineRule="exact"/>
        <w:rPr>
          <w:rFonts w:ascii="Times New Roman" w:cs="Times New Roman" w:eastAsia="Times New Roman" w:hAnsi="Times New Roman"/>
          <w:sz w:val="18"/>
          <w:szCs w:val="18"/>
          <w:color w:val="auto"/>
        </w:rPr>
      </w:pPr>
    </w:p>
    <w:p>
      <w:pPr>
        <w:ind w:left="1620" w:right="120" w:hanging="538"/>
        <w:spacing w:after="0" w:line="258" w:lineRule="auto"/>
        <w:tabs>
          <w:tab w:leader="none" w:pos="16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the value of Transaction Expenses calculated under Section 2.3(a)(vii), the Purchaser shall promptly, and in any event, within fifteen (15) 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value of Transaction Expenses calculated under Section 2.3(a)(vii) and the amount of Transaction Expenses as finally determined in</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200"/>
          </w:cols>
          <w:pgMar w:left="24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right="240"/>
        <w:spacing w:after="0" w:line="282" w:lineRule="auto"/>
        <w:rPr>
          <w:sz w:val="20"/>
          <w:szCs w:val="20"/>
          <w:color w:val="auto"/>
        </w:rPr>
      </w:pPr>
      <w:r>
        <w:rPr>
          <w:rFonts w:ascii="Times New Roman" w:cs="Times New Roman" w:eastAsia="Times New Roman" w:hAnsi="Times New Roman"/>
          <w:sz w:val="18"/>
          <w:szCs w:val="18"/>
          <w:color w:val="auto"/>
        </w:rPr>
        <w:t>accordance with the provisions of Section 2.6(c), such amount to be allocated amongst the Vendors as they determine in their sole discretion and set forth in a notice to the Purchaser; or</w:t>
      </w:r>
    </w:p>
    <w:p>
      <w:pPr>
        <w:spacing w:after="0" w:line="67" w:lineRule="exact"/>
        <w:rPr>
          <w:sz w:val="20"/>
          <w:szCs w:val="20"/>
          <w:color w:val="auto"/>
        </w:rPr>
      </w:pPr>
    </w:p>
    <w:p>
      <w:pPr>
        <w:ind w:left="1620" w:right="40" w:hanging="538"/>
        <w:spacing w:after="0" w:line="256" w:lineRule="auto"/>
        <w:tabs>
          <w:tab w:leader="none" w:pos="16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the value of Transaction Expenses calculated under Section 2.3(a)(vii),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Transaction Expenses paid by the Purchaser to the applicable creditors in accordance with Section 2.3(a)(vii) and the Transaction Expenses as finally determined in accordance with the provisions in Section 2.6(c).</w:t>
      </w:r>
    </w:p>
    <w:p>
      <w:pPr>
        <w:spacing w:after="0" w:line="93" w:lineRule="exact"/>
        <w:rPr>
          <w:rFonts w:ascii="Times New Roman" w:cs="Times New Roman" w:eastAsia="Times New Roman" w:hAnsi="Times New Roman"/>
          <w:sz w:val="18"/>
          <w:szCs w:val="18"/>
          <w:color w:val="auto"/>
        </w:rPr>
      </w:pPr>
    </w:p>
    <w:p>
      <w:pPr>
        <w:ind w:left="1060" w:hanging="424"/>
        <w:spacing w:after="0" w:line="282" w:lineRule="auto"/>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Vendors and the Purchaser agrees that the amounts payable under Section 2.6(c) shall be aggregated into a single payment by the Vendors to the Purchaser or by the Purchaser to the Vendors, as applicable.</w:t>
      </w:r>
    </w:p>
    <w:p>
      <w:pPr>
        <w:spacing w:after="0" w:line="67" w:lineRule="exact"/>
        <w:rPr>
          <w:rFonts w:ascii="Times New Roman" w:cs="Times New Roman" w:eastAsia="Times New Roman" w:hAnsi="Times New Roman"/>
          <w:sz w:val="18"/>
          <w:szCs w:val="18"/>
          <w:color w:val="auto"/>
        </w:rPr>
      </w:pPr>
    </w:p>
    <w:p>
      <w:pPr>
        <w:ind w:left="1060" w:right="20" w:hanging="424"/>
        <w:spacing w:after="0" w:line="252" w:lineRule="auto"/>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their reasonable efforts to complete the Required Work by no later than 18 months from the Closing Date. On and after the Closing Time, the Purchaser shall promptly provide the Vendors with evidence of all expenditures made by the Corporation or the Purchaser in respect of the Required Work. The amount of any expenditures to complete the Required Work to a maximum of Cdn.$3,400,000.00 (the “</w:t>
      </w:r>
      <w:r>
        <w:rPr>
          <w:rFonts w:ascii="Times New Roman" w:cs="Times New Roman" w:eastAsia="Times New Roman" w:hAnsi="Times New Roman"/>
          <w:sz w:val="18"/>
          <w:szCs w:val="18"/>
          <w:b w:val="1"/>
          <w:bCs w:val="1"/>
          <w:color w:val="auto"/>
        </w:rPr>
        <w:t>Required Work Cap</w:t>
      </w:r>
      <w:r>
        <w:rPr>
          <w:rFonts w:ascii="Times New Roman" w:cs="Times New Roman" w:eastAsia="Times New Roman" w:hAnsi="Times New Roman"/>
          <w:sz w:val="18"/>
          <w:szCs w:val="18"/>
          <w:color w:val="auto"/>
        </w:rPr>
        <w:t>”) shall constitute a deduction from the Escrow Amount, and shall be the sole and exclusive remedy of the Purchaser for such expenditures on Required Work, and, within fifteen (15) days of delivery of evidence of such paid expenditures for the Required Work, the Escrow Agent shall pay (and shall be jointly instructed by the Purchaser and the Vendors to pay) from the Escrow Amount by certified cheque or wire transfer to the Purchaser, an amount equal to such paid expenditures for the Required Work to a maximum of the Required Work Cap. If expenditures for Required Work equal to at least the Required Work Portion of the Escrow Agreement is not completed by the date that is 18 months from the Closing Date, then an amount equal to the Required Work Portion of the Escrow Amount, less any amounts previously released to the Purchaser in respect of any Required Work, shall be paid and released by the Escrow Agent to the Vendors (and the Escrow Agent shall be jointly instructed by the Purchaser and the Vendors to do so) from the Escrow Amount by certified cheque or wire transfer. There shall be no deduction to the Escrow Amount or the Purchase Price for any amount by which the actual expenditures for the Required Work exceed the Required Work Cap (the “</w:t>
      </w:r>
      <w:r>
        <w:rPr>
          <w:rFonts w:ascii="Times New Roman" w:cs="Times New Roman" w:eastAsia="Times New Roman" w:hAnsi="Times New Roman"/>
          <w:sz w:val="18"/>
          <w:szCs w:val="18"/>
          <w:b w:val="1"/>
          <w:bCs w:val="1"/>
          <w:color w:val="auto"/>
        </w:rPr>
        <w:t>Excess Expenditures</w:t>
      </w:r>
      <w:r>
        <w:rPr>
          <w:rFonts w:ascii="Times New Roman" w:cs="Times New Roman" w:eastAsia="Times New Roman" w:hAnsi="Times New Roman"/>
          <w:sz w:val="18"/>
          <w:szCs w:val="18"/>
          <w:color w:val="auto"/>
        </w:rPr>
        <w:t>”) and the Purchaser shall not be entitled make any claim against the Vendors or Torgerson pursuant to Article 10 for any of the Excess Expenditures. Any Dispute in relation to whether or not the Required Work has been completed, or the amount of any expenditure in respect of the Required Work by the Purchaser, shall be determined in accordance with Article 15. For greater certainty, the Parties acknowledge and agree that the condition of the carpets or general aesthetics at the Corporation’s locations shall not constitute Required Work.</w:t>
      </w: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Purchase Price Adjustment Dispute Resolution</w:t>
      </w:r>
    </w:p>
    <w:p>
      <w:pPr>
        <w:spacing w:after="0" w:line="121" w:lineRule="exact"/>
        <w:rPr>
          <w:sz w:val="20"/>
          <w:szCs w:val="20"/>
          <w:color w:val="auto"/>
        </w:rPr>
      </w:pPr>
    </w:p>
    <w:p>
      <w:pPr>
        <w:ind w:left="200" w:right="60"/>
        <w:spacing w:after="0" w:line="254" w:lineRule="auto"/>
        <w:rPr>
          <w:sz w:val="20"/>
          <w:szCs w:val="20"/>
          <w:color w:val="auto"/>
        </w:rPr>
      </w:pPr>
      <w:r>
        <w:rPr>
          <w:rFonts w:ascii="Times New Roman" w:cs="Times New Roman" w:eastAsia="Times New Roman" w:hAnsi="Times New Roman"/>
          <w:sz w:val="18"/>
          <w:szCs w:val="18"/>
          <w:color w:val="auto"/>
        </w:rPr>
        <w:t xml:space="preserve">2.7 Each of the Vendors and the Purchaser shall endeavor in good faith to resolve any dispute with respect to (a) the calculation of amounts in accordance with Section 2.6; (b) the delivery of financial and other information used in preparing the Closing Balance Sheet and the Closing Statement; and (c) the preparation of financial statements and Tax returns in accordance with Section 9.5, failing which the Vendors or the Purchaser may refer the dispute to Deloitte LLP or such other independent Canadian accounting firm as the Vendors and the Purchaser may mutually agree to definitively settle the dispute. Deloitte LLP or such other accounting firm shall be a public accounting firm selected jointly by the Purchaser and the Vendors, each acting reasonably, so long as such firm is a “participating audit firm” within the meaning of National Instrument 52-108 – </w:t>
      </w:r>
      <w:r>
        <w:rPr>
          <w:rFonts w:ascii="Times New Roman" w:cs="Times New Roman" w:eastAsia="Times New Roman" w:hAnsi="Times New Roman"/>
          <w:sz w:val="18"/>
          <w:szCs w:val="18"/>
          <w:i w:val="1"/>
          <w:iCs w:val="1"/>
          <w:color w:val="auto"/>
        </w:rPr>
        <w:t>Auditor Oversight</w:t>
      </w:r>
      <w:r>
        <w:rPr>
          <w:rFonts w:ascii="Times New Roman" w:cs="Times New Roman" w:eastAsia="Times New Roman" w:hAnsi="Times New Roman"/>
          <w:sz w:val="18"/>
          <w:szCs w:val="18"/>
          <w:color w:val="auto"/>
        </w:rPr>
        <w:t xml:space="preserve"> of the Canadian Securities Administrators and is independent of the Purchaser and the Corporation in accordance with the rules of professional conduct in Alberta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If Deloitte LLP is unable or unwilling to act and the Parties are unable to jointly select the Accounting Firm, any Party may apply to the</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220"/>
          </w:cols>
          <w:pgMar w:left="240" w:top="455" w:right="4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Court of Queen’s Bench in the City of Edmonton, Alberta, to request that the Court of Queen’s Bench appoint the Accounting Firm, upon which appointment the accounting firm so selected shall be the Accounting Firm, and the costs of such application shall be allocated equally between the Purchaser, on the one hand, and the Vendors, on the other. The Parties shall furnish the Accounting Firm with such information and records as the Accounting Firm may reasonably request and otherwise provide the Accounting Firm with all reasonable cooperation so as to enable the Accounting Firm to confirm a determination of any disputed amounts under Section 2.6. In resolving any disputed item, the Accounting Firm may not assign a value to any item greater than the maximum value for such item claimed by either Party or less than the minimum value for such item claimed by either Party and will only assign values in order to ensure that each disputed item has been calculated in accordance with the provisions of this Agreement. The cost of any fees payable to the Accounting Firm for its services in determining any dispute as contemplated herein shall be paid by the Party (either the Purchaser or the Vendors) whose estimate of the amount in question differs the most from the determination made by the Accounting Firm (without regard to any related disputes over any matter that is not “an amount”). If there are multiple disputed amounts, the fees payable to the Accounting Firm for its services shall be paid by the Party (either the Purchaser or the Vendors) the aggregate of whose estimates of the amounts in question differs the most from the aggregate of the amounts subject to determination by the Accounting Firm (without regard to any related disputes over any matter that is not “an amount”). If the only dispute at issue relates to a matter that is not reasonably considered “an amount” or “amounts” and therefore the previous two sentences do not apply, then the fees payable to the Accounting Firm for its services shall be paid by the Party (either the Purchaser or the Vendors) who is determined by the Accounting Firm to have been substantially unsuccessful in relation to such dispute (or if the Accounting Firm is not willing to make such determination, then the Vendors and the Purchaser shall make such determination jointly, acting reasonably). Any determination of amounts under Section 2.6 made by the Accounting Firm pursuant to a referral contemplated by this Section 2.7 and any determination made by the Accounting Firm pursuant to the foregoing sentence shall be final and binding upon the Vendors and the Purchaser for all purposes of this Agreement.</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Tax Elections</w:t>
      </w:r>
    </w:p>
    <w:p>
      <w:pPr>
        <w:spacing w:after="0" w:line="121" w:lineRule="exact"/>
        <w:rPr>
          <w:sz w:val="20"/>
          <w:szCs w:val="20"/>
          <w:color w:val="auto"/>
        </w:rPr>
      </w:pPr>
    </w:p>
    <w:p>
      <w:pPr>
        <w:ind w:left="200" w:right="220"/>
        <w:spacing w:after="0" w:line="282" w:lineRule="auto"/>
        <w:rPr>
          <w:sz w:val="20"/>
          <w:szCs w:val="20"/>
          <w:color w:val="auto"/>
        </w:rPr>
      </w:pPr>
      <w:r>
        <w:rPr>
          <w:rFonts w:ascii="Times New Roman" w:cs="Times New Roman" w:eastAsia="Times New Roman" w:hAnsi="Times New Roman"/>
          <w:sz w:val="18"/>
          <w:szCs w:val="18"/>
          <w:color w:val="auto"/>
        </w:rPr>
        <w:t>2.8 All adjustments to the Purchase Price pursuant to Section 2.6, and any amounts recovered pursuant to Article 10, shall be treated by all Parties for Tax purposes as adjustments to the Purchase Price.</w:t>
      </w:r>
    </w:p>
    <w:p>
      <w:pPr>
        <w:spacing w:after="0" w:line="162" w:lineRule="exact"/>
        <w:rPr>
          <w:sz w:val="20"/>
          <w:szCs w:val="20"/>
          <w:color w:val="auto"/>
        </w:rPr>
      </w:pPr>
    </w:p>
    <w:p>
      <w:pPr>
        <w:ind w:left="200" w:right="20"/>
        <w:spacing w:after="0" w:line="253" w:lineRule="auto"/>
        <w:rPr>
          <w:sz w:val="20"/>
          <w:szCs w:val="20"/>
          <w:color w:val="auto"/>
        </w:rPr>
      </w:pPr>
      <w:r>
        <w:rPr>
          <w:rFonts w:ascii="Times New Roman" w:cs="Times New Roman" w:eastAsia="Times New Roman" w:hAnsi="Times New Roman"/>
          <w:sz w:val="18"/>
          <w:szCs w:val="18"/>
          <w:color w:val="auto"/>
        </w:rPr>
        <w:t>2.9 The Purchaser and the Vendors each acknowledge and confirm that, and their collective intention is that, Cdn.$1.00 shall be allocated to any non-competition agreement that is a restrictive covenant (a “</w:t>
      </w:r>
      <w:r>
        <w:rPr>
          <w:rFonts w:ascii="Times New Roman" w:cs="Times New Roman" w:eastAsia="Times New Roman" w:hAnsi="Times New Roman"/>
          <w:sz w:val="18"/>
          <w:szCs w:val="18"/>
          <w:b w:val="1"/>
          <w:bCs w:val="1"/>
          <w:color w:val="auto"/>
        </w:rPr>
        <w:t>Restrictive Covenant</w:t>
      </w:r>
      <w:r>
        <w:rPr>
          <w:rFonts w:ascii="Times New Roman" w:cs="Times New Roman" w:eastAsia="Times New Roman" w:hAnsi="Times New Roman"/>
          <w:sz w:val="18"/>
          <w:szCs w:val="18"/>
          <w:color w:val="auto"/>
        </w:rPr>
        <w:t>”) as defined in Section 56.4 of the Tax Act granted by any Person (a “</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to the Purchaser pursuant to this Agreement of any agreement contemplated herein. Nothing in this Section 2.9 diminishes, limits derogates or questions the validity or enforceability of any Restrictive Covenant granted pursuant to this Agreement and all Grantors shall covenant and agree that they shall not assert or claim that this Section 2.9 diminishes, limits, derogates or questions the validity or enforceability of such Restrictive Covenant in any manner whatsoever. The Purchaser will make with a Grantor, within five Business Days after receiving a written request from the Grantor to do so and in the form prescribed for such purposes, such one or more elections pursuant to or in respect of Section 56.4 of the Tax Act or other provision of the Tax Act as will cause subsection 56.4(5) of the Tax Act to apply to the Restrictive Covenant granted by the Grantor. Such election shall reflect that the applicable parties thereto have allocated $1.00 to the Restrictive Covenant in order to ensure enforceability of such Restrictive Covenant, but such amount shall not be an estimate of value of the Restrictive Covenant. If an election hereunder is not filed within the time required, the Purchaser covenants and agrees to take all necessary steps to make a late election in order for such Tax treatment to apply forthwith upon notification by the Grantor. In the event that the Grantor provides late written notice, the Purchaser shall not be responsible for any late filing penalties, or any resulting Taxes.</w:t>
      </w:r>
    </w:p>
    <w:p>
      <w:pPr>
        <w:spacing w:after="0" w:line="189"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2.10 The Vendors may, to the extent possible under applicable Laws, acquire the Consideration Shares contemplated under Section 2.3 on a Tax deferred basis pursuant to subsection 85(1) of the Tax Act. The Vendors shall each be responsible for preparing the applicable Tax election contemplated by subsection 85(1) of</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200"/>
          </w:cols>
          <w:pgMar w:left="24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Times New Roman" w:cs="Times New Roman" w:eastAsia="Times New Roman" w:hAnsi="Times New Roman"/>
          <w:sz w:val="18"/>
          <w:szCs w:val="18"/>
          <w:color w:val="auto"/>
        </w:rPr>
        <w:t>the Tax Act for the purposes of achieving a Tax deferral and shall be solely responsible for all expenses, charges and other liabilities associated therewith (including any Taxes which may be assessed as a result of the transactions contemplated herein). After the applicable Tax election has been prepared, the applicable Vendor shall deliver it to the Purchaser, together with all supporting documents for review and comment. The agreed amounts for the purposes of any such Tax elections shall be within the parameters set out in the Tax Act and shall be determined at the sole and absolute discretion of the applicable Vendor. After reviewing any such Tax elections prepared by the applicable Vendor and provided such elections are satisfactory, the Purchaser will execute such elections and deliver them to the applicable Vendor within a reasonable period of time after the receipt thereof from the applicable Vendor. The Vendors shall each be solely responsible for filing the applicable Tax election within the prescribed time and with the applicable Tax authority.</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Cash Payments</w:t>
      </w:r>
    </w:p>
    <w:p>
      <w:pPr>
        <w:spacing w:after="0" w:line="121" w:lineRule="exact"/>
        <w:rPr>
          <w:sz w:val="20"/>
          <w:szCs w:val="20"/>
          <w:color w:val="auto"/>
        </w:rPr>
      </w:pPr>
    </w:p>
    <w:p>
      <w:pPr>
        <w:ind w:left="200" w:right="140"/>
        <w:spacing w:after="0" w:line="282" w:lineRule="auto"/>
        <w:rPr>
          <w:sz w:val="20"/>
          <w:szCs w:val="20"/>
          <w:color w:val="auto"/>
        </w:rPr>
      </w:pPr>
      <w:r>
        <w:rPr>
          <w:rFonts w:ascii="Times New Roman" w:cs="Times New Roman" w:eastAsia="Times New Roman" w:hAnsi="Times New Roman"/>
          <w:sz w:val="18"/>
          <w:szCs w:val="18"/>
          <w:color w:val="auto"/>
        </w:rPr>
        <w:t>2.11 Any cash payments required by this Agreement to be made by any Party to any other Party (or their representative) shall be made by way of wire transfer, certified cheque or other form of payment reasonably acceptable to such other Party.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Closing Date</w:t>
      </w:r>
    </w:p>
    <w:p>
      <w:pPr>
        <w:spacing w:after="0" w:line="121" w:lineRule="exact"/>
        <w:rPr>
          <w:sz w:val="20"/>
          <w:szCs w:val="20"/>
          <w:color w:val="auto"/>
        </w:rPr>
      </w:pPr>
    </w:p>
    <w:p>
      <w:pPr>
        <w:ind w:left="200" w:right="460"/>
        <w:spacing w:after="0" w:line="282" w:lineRule="auto"/>
        <w:rPr>
          <w:sz w:val="20"/>
          <w:szCs w:val="20"/>
          <w:color w:val="auto"/>
        </w:rPr>
      </w:pPr>
      <w:r>
        <w:rPr>
          <w:rFonts w:ascii="Times New Roman" w:cs="Times New Roman" w:eastAsia="Times New Roman" w:hAnsi="Times New Roman"/>
          <w:sz w:val="18"/>
          <w:szCs w:val="18"/>
          <w:color w:val="auto"/>
        </w:rPr>
        <w:t>2.12 The Closing shall occur at the Closing Time on the Closing Date with effect as of the Closing Time. The Parties shall use their commercially reasonable efforts to cause the Closing Date to occur on or before the End Date.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Resale Restrictions</w:t>
      </w:r>
    </w:p>
    <w:p>
      <w:pPr>
        <w:spacing w:after="0" w:line="121"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2.13 The Vendors hereby acknowledge that the Consideration Shares will be issued in accordance with applicable Canadian and United States securities Laws, will be “restricted securities” (as defined in Rule 144(a)(3) under the U.S. Securities Act) and will be subject to restrictions on resale and any certificates or evidence therefore will contain a restrictive legend substantially in the form set forth in Section (i) of the Registration Rights Agreement, subject to the removal of any such legend pursuant to the terms and conditions of the Registration Rights Agreement. The Vendors are aware of the restrictions on resale relating to the Consideration Shares and have had the opportunity to obtain legal advice with respect to such restrictions. Each of the Vendors hereby consents to the Purchaser making a notation on its records or giving instructions to any transfer agent for the Consideration Shares, including stop transfer orders, to implement the foregoing restrictions on transfer, subject to the termination or removal of any such restrictions on transfer pursuant to the Registration Rights Agreement.</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Pre-Closing Transactions</w:t>
      </w:r>
    </w:p>
    <w:p>
      <w:pPr>
        <w:spacing w:after="0" w:line="121" w:lineRule="exact"/>
        <w:rPr>
          <w:sz w:val="20"/>
          <w:szCs w:val="20"/>
          <w:color w:val="auto"/>
        </w:rPr>
      </w:pPr>
    </w:p>
    <w:p>
      <w:pPr>
        <w:ind w:left="200" w:right="140"/>
        <w:spacing w:after="0" w:line="282" w:lineRule="auto"/>
        <w:rPr>
          <w:sz w:val="20"/>
          <w:szCs w:val="20"/>
          <w:color w:val="auto"/>
        </w:rPr>
      </w:pPr>
      <w:r>
        <w:rPr>
          <w:rFonts w:ascii="Times New Roman" w:cs="Times New Roman" w:eastAsia="Times New Roman" w:hAnsi="Times New Roman"/>
          <w:sz w:val="18"/>
          <w:szCs w:val="18"/>
          <w:color w:val="auto"/>
        </w:rPr>
        <w:t>2.14 On or prior to the Closing Date, the Corporation, the Vendors, SmithCo, Smith HoldCo, 1818939, 2040618, 2040624 and certain Employees will complete the Pre-Closing Transactions, which includes the Pre-Closing Amalgamation.</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60"/>
          </w:cols>
          <w:pgMar w:left="240" w:top="455" w:right="49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7" w:lineRule="exact"/>
        <w:rPr>
          <w:sz w:val="20"/>
          <w:szCs w:val="20"/>
          <w:color w:val="auto"/>
        </w:rPr>
      </w:pPr>
    </w:p>
    <w:p>
      <w:pPr>
        <w:ind w:left="200" w:right="420"/>
        <w:spacing w:after="0" w:line="282" w:lineRule="auto"/>
        <w:rPr>
          <w:sz w:val="20"/>
          <w:szCs w:val="20"/>
          <w:color w:val="auto"/>
        </w:rPr>
      </w:pPr>
      <w:r>
        <w:rPr>
          <w:rFonts w:ascii="Times New Roman" w:cs="Times New Roman" w:eastAsia="Times New Roman" w:hAnsi="Times New Roman"/>
          <w:sz w:val="18"/>
          <w:szCs w:val="18"/>
          <w:color w:val="auto"/>
        </w:rPr>
        <w:t>3.1 The Purchaser hereby represents and warrants to each of the Vendors as follows and acknowledges that each of the Vendors are relying on such representations and warranties in connection with the transactions contemplated hereby: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Incorporation, Organization and Authority of the Purchaser</w:t>
      </w:r>
    </w:p>
    <w:p>
      <w:pPr>
        <w:spacing w:after="0" w:line="135" w:lineRule="exact"/>
        <w:rPr>
          <w:sz w:val="20"/>
          <w:szCs w:val="20"/>
          <w:color w:val="auto"/>
        </w:rPr>
      </w:pPr>
    </w:p>
    <w:p>
      <w:pPr>
        <w:jc w:val="both"/>
        <w:ind w:left="640" w:right="540" w:hanging="436"/>
        <w:spacing w:after="0" w:line="313" w:lineRule="auto"/>
        <w:tabs>
          <w:tab w:leader="none" w:pos="6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is a corporation duly incorporated and validly subsisting under the Laws of the Province of British Columbia, and has all the requisite corporate capacity and authority to enter into this Agreement and to perform its obligations hereunder and to carry on its business.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Necessary Proceedings</w:t>
      </w:r>
    </w:p>
    <w:p>
      <w:pPr>
        <w:spacing w:after="0" w:line="135" w:lineRule="exact"/>
        <w:rPr>
          <w:sz w:val="20"/>
          <w:szCs w:val="20"/>
          <w:color w:val="auto"/>
        </w:rPr>
      </w:pPr>
    </w:p>
    <w:p>
      <w:pPr>
        <w:ind w:left="640" w:right="80" w:hanging="436"/>
        <w:spacing w:after="0" w:line="261" w:lineRule="auto"/>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and required corporate measures, proceedings and actions of the directors of the Purchaser have been taken to authorize and enable the Purchaser to enter into and deliver this Agreement and each document delivered at Closing to which it is a party and to perform its obligations hereunder and thereunder, and for the Purchaser to issue the Consideration Shares to the Vendors, as applicable, in accordance with the terms of this Agreement.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Consideration Shares</w:t>
      </w:r>
    </w:p>
    <w:p>
      <w:pPr>
        <w:spacing w:after="0" w:line="131" w:lineRule="exact"/>
        <w:rPr>
          <w:sz w:val="20"/>
          <w:szCs w:val="20"/>
          <w:color w:val="auto"/>
        </w:rPr>
      </w:pPr>
    </w:p>
    <w:p>
      <w:pPr>
        <w:ind w:left="640" w:hanging="436"/>
        <w:spacing w:after="0" w:line="259"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all required approvals of Purchaser’s shareholders (“</w:t>
      </w:r>
      <w:r>
        <w:rPr>
          <w:rFonts w:ascii="Times New Roman" w:cs="Times New Roman" w:eastAsia="Times New Roman" w:hAnsi="Times New Roman"/>
          <w:sz w:val="18"/>
          <w:szCs w:val="18"/>
          <w:b w:val="1"/>
          <w:bCs w:val="1"/>
          <w:color w:val="auto"/>
        </w:rPr>
        <w:t>Shareholder Approvals</w:t>
      </w:r>
      <w:r>
        <w:rPr>
          <w:rFonts w:ascii="Times New Roman" w:cs="Times New Roman" w:eastAsia="Times New Roman" w:hAnsi="Times New Roman"/>
          <w:sz w:val="18"/>
          <w:szCs w:val="18"/>
          <w:color w:val="auto"/>
        </w:rPr>
        <w:t>”), the Consideration Shares to be issued to the Vendors pursuant to this Agreement on Closing will be: (i) duly authorized, validly issued, fully paid and non-assessable shares of the Purchaser; (ii) issued to the Vendors with good and marketable title, free and clear of all Encumbrances; and (iii) assuming the accuracy of the representations and warranties of the Vendors in Section 5.2, issued in compliance with all applicable securities Laws and not in violation of any purchase option, call option, right of first refusal, first offer, co-sale or participation preemptive right, subscription right or any similar right.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Valid and Binding Obligations</w:t>
      </w:r>
    </w:p>
    <w:p>
      <w:pPr>
        <w:spacing w:after="0" w:line="135" w:lineRule="exact"/>
        <w:rPr>
          <w:sz w:val="20"/>
          <w:szCs w:val="20"/>
          <w:color w:val="auto"/>
        </w:rPr>
      </w:pPr>
    </w:p>
    <w:p>
      <w:pPr>
        <w:ind w:left="640" w:right="120" w:hanging="436"/>
        <w:spacing w:after="0" w:line="261" w:lineRule="auto"/>
        <w:tabs>
          <w:tab w:leader="none" w:pos="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document delivered at Closing to which the Purchaser is a party will on Closing be, duly executed and delivered by the Purchaser and constitutes, and each document delivered at Closing to which the Purchaser is a party will on Closing constitute, a legal, valid and binding obligation of the Purchaser, enforceable against it in accordance with its terms subject only to the qualification that such enforceability may be limited by:</w:t>
      </w:r>
    </w:p>
    <w:p>
      <w:pPr>
        <w:spacing w:after="0" w:line="85" w:lineRule="exact"/>
        <w:rPr>
          <w:rFonts w:ascii="Times New Roman" w:cs="Times New Roman" w:eastAsia="Times New Roman" w:hAnsi="Times New Roman"/>
          <w:sz w:val="18"/>
          <w:szCs w:val="18"/>
          <w:color w:val="auto"/>
        </w:rPr>
      </w:pPr>
    </w:p>
    <w:p>
      <w:pPr>
        <w:ind w:left="1060" w:right="240" w:hanging="424"/>
        <w:spacing w:after="0" w:line="282" w:lineRule="auto"/>
        <w:tabs>
          <w:tab w:leader="none" w:pos="10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under applicable Laws relating to bankruptcy, insolvency, fraudulent transfer, moratorium, reorganization and other similar Laws relating to or affecting the enforcement of creditors’ rights generally; and</w:t>
      </w:r>
    </w:p>
    <w:p>
      <w:pPr>
        <w:spacing w:after="0" w:line="67" w:lineRule="exact"/>
        <w:rPr>
          <w:rFonts w:ascii="Times New Roman" w:cs="Times New Roman" w:eastAsia="Times New Roman" w:hAnsi="Times New Roman"/>
          <w:sz w:val="18"/>
          <w:szCs w:val="18"/>
          <w:color w:val="auto"/>
        </w:rPr>
      </w:pPr>
    </w:p>
    <w:p>
      <w:pPr>
        <w:ind w:left="1060" w:right="260" w:hanging="424"/>
        <w:spacing w:after="0" w:line="282" w:lineRule="auto"/>
        <w:tabs>
          <w:tab w:leader="none" w:pos="10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equitable remedies, including the remedies of specific performance and injunction, may only be granted in the discretion of a court.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Required Consents</w:t>
      </w:r>
    </w:p>
    <w:p>
      <w:pPr>
        <w:spacing w:after="0" w:line="135" w:lineRule="exact"/>
        <w:rPr>
          <w:sz w:val="20"/>
          <w:szCs w:val="20"/>
          <w:color w:val="auto"/>
        </w:rPr>
      </w:pPr>
    </w:p>
    <w:p>
      <w:pPr>
        <w:ind w:left="640" w:right="40" w:hanging="436"/>
        <w:spacing w:after="0" w:line="258" w:lineRule="auto"/>
        <w:tabs>
          <w:tab w:leader="none" w:pos="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Shareholder Approvals, as contemplated by Section 3.1(k), or pursuant to the Regulatory Approvals, there is no requirement on the part of the Purchaser to obtain any consent, approval or waiver of any Governmental Entity or any Person under any permits, licenses or Contracts to which the Purchaser is a party or pursuant to which the Consideration Shares may be affected in connection with the execution and delivery of this Agreement by the Purchaser, the completion of the transactions contemplated in this Agreement, or the compliance of the Purchaser with any of the provisions hereof.</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220"/>
          </w:cols>
          <w:pgMar w:left="240" w:top="455" w:right="4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Breach Caused by this Agreement</w:t>
      </w:r>
    </w:p>
    <w:p>
      <w:pPr>
        <w:spacing w:after="0" w:line="135" w:lineRule="exact"/>
        <w:rPr>
          <w:sz w:val="20"/>
          <w:szCs w:val="20"/>
          <w:color w:val="auto"/>
        </w:rPr>
      </w:pPr>
    </w:p>
    <w:p>
      <w:pPr>
        <w:ind w:left="640" w:hanging="436"/>
        <w:spacing w:after="0" w:line="270" w:lineRule="auto"/>
        <w:tabs>
          <w:tab w:leader="none" w:pos="6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or any other agreements contemplated hereunder by the Purchaser, the consummation of the transactions contemplated hereby and thereby nor the compliance of the Purchaser with any of the provisions hereof or thereof will: (i) contravene, conflict with or result in a violation or breach of any provision of any applicable Laws or any license, approval, consent or authorization held by the Purchaser or the articles or by-laws or other constating documents of the Purchaser; (ii) require any notice or consent or other action by any Person under, contravene, conflict with, violate, breach or constitute a default or an event that, with or without notice or lapse of time or both, would constitute a default, under, or cause or permit the termination, cancellation, acceleration or other change of any right or obligation or the loss of any benefit to which the Purchaser is entitled under, or give rise to any rights of first refusal or trigger any change in control provisions or any restriction under, any provision of any Material Contract binding upon the Purchaser or affecting any of its assets; or (iii) result in the creation or imposition of any Encumbrance on any assets of the Purchaser; with such exceptions, in the case of each of clauses (i), (ii) and (iii), as do not have or would not have, or be reasonably expected to have, individually or in the aggregate, a Material Adverse Effect on the Purchaser.</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Current Share Capital</w:t>
      </w:r>
    </w:p>
    <w:p>
      <w:pPr>
        <w:spacing w:after="0" w:line="135" w:lineRule="exact"/>
        <w:rPr>
          <w:sz w:val="20"/>
          <w:szCs w:val="20"/>
          <w:color w:val="auto"/>
        </w:rPr>
      </w:pPr>
    </w:p>
    <w:p>
      <w:pPr>
        <w:ind w:left="640" w:right="280" w:hanging="436"/>
        <w:spacing w:after="0" w:line="261" w:lineRule="auto"/>
        <w:tabs>
          <w:tab w:leader="none" w:pos="6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this Agreement, the authorized capital of the Purchaser consists of 550,000,000 common shares, 50,000,000 Class A Series 1 preferred shares, and 50,000,000 Class B Series 1 preferred shares, of which there are 132,259,000 common shares duly and validly issued and outstanding as fully paid and non-assessable shares and no Class A Series 1 preferred shares or Class B Series 1 preferred shares issued and outstanding.</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135" w:lineRule="exact"/>
        <w:rPr>
          <w:sz w:val="20"/>
          <w:szCs w:val="20"/>
          <w:color w:val="auto"/>
        </w:rPr>
      </w:pPr>
    </w:p>
    <w:p>
      <w:pPr>
        <w:ind w:left="640" w:right="100" w:hanging="436"/>
        <w:spacing w:after="0" w:line="261" w:lineRule="auto"/>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in the case of the unaudited interim financial statements, the lack of footnotes and year-end adjustments, the Purchaser Financial Statements have been prepared in accordance with GAAP and present fairly, in all material respects, the assets, Liabilities and financial condition of the Purchaser as of the respective dates thereof and the results of operations and cash flows of the Purchaser for the respective fiscal periods covered thereby.</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Material Change</w:t>
      </w:r>
    </w:p>
    <w:p>
      <w:pPr>
        <w:spacing w:after="0" w:line="135" w:lineRule="exact"/>
        <w:rPr>
          <w:sz w:val="20"/>
          <w:szCs w:val="20"/>
          <w:color w:val="auto"/>
        </w:rPr>
      </w:pPr>
    </w:p>
    <w:p>
      <w:pPr>
        <w:ind w:left="640" w:hanging="436"/>
        <w:spacing w:after="0" w:line="256" w:lineRule="auto"/>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facts which exist, and there has been no material change in the capital, business, assets, Liabilities, operations, condition (financial or otherwise), results of operations, financial position, capital affairs or prospects of the Purchaser since December 31, 2016, which have not been disclosed in the manner required by applicable Law and there have been no material facts, transactions, events or occurrences in respect of the Purchaser or any of its Affiliates, any of which could reasonably be expected to have a Material Adverse Effect on the Purchaser or any of its Affiliates and that have not been disclosed in writing to the Vendors or that could significantly impede the Purchaser’s or any of its Affiliates’ ability to consummate the transactions contemplated by the Agreement.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Public Disclosure</w:t>
      </w:r>
    </w:p>
    <w:p>
      <w:pPr>
        <w:spacing w:after="0" w:line="135" w:lineRule="exact"/>
        <w:rPr>
          <w:sz w:val="20"/>
          <w:szCs w:val="20"/>
          <w:color w:val="auto"/>
        </w:rPr>
      </w:pPr>
    </w:p>
    <w:p>
      <w:pPr>
        <w:ind w:left="640" w:right="160" w:hanging="436"/>
        <w:spacing w:after="0" w:line="256" w:lineRule="auto"/>
        <w:tabs>
          <w:tab w:leader="none" w:pos="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during the two years prior to the date hereof, the Purchaser has filed or furnished, as applicable, all forms, statements, certifications, reports and other documents required to be filed or furnished by it with the SEC under Section 13 or Section 15(d) of the U.S. Exchange Act and the rules promulgated thereunder (such documents collectively, including all exhibits and other information incorporated therein and all amendments or supplements thereto,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None of such SEC Reports contained an untrue statement of a material fact or omitted to state a material fact necessary in order to make the statements made, in light of the circumstances under which they were made therein, not misleading as at the date of such filing, which has not been corrected.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220"/>
          </w:cols>
          <w:pgMar w:left="240" w:top="455" w:right="4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Governmental Approvals</w:t>
      </w:r>
    </w:p>
    <w:p>
      <w:pPr>
        <w:spacing w:after="0" w:line="135" w:lineRule="exact"/>
        <w:rPr>
          <w:sz w:val="20"/>
          <w:szCs w:val="20"/>
          <w:color w:val="auto"/>
        </w:rPr>
      </w:pPr>
    </w:p>
    <w:p>
      <w:pPr>
        <w:ind w:left="640" w:right="40" w:hanging="436"/>
        <w:spacing w:after="0" w:line="254" w:lineRule="auto"/>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approval by the New York Stock Exchange of the issuance and listing of the Purchaser Common Shares forming part of Consideration Shares and the Purchaser Common Shares issuable upon conversion of the Purchaser Preferred Shares forming part of the Consideration Shares, the filing of Disclosure Documents with the SEC, the Regulatory Approvals and assuming the accuracy of the representations and warranties of the Vendors in Section 5.2, no approval of, registration, notice to, authorization of, declaration or filing with any Governmental Entity is necessary to authorize the execution and delivery of this Agreement, or any and all of the documents and instruments which are contemplated by or ancillary to the transactions detailed under this Agreement by the Purchaser or the consummation by the Purchaser of the transactions contemplated herein, where the failure to obtain such approval, registration, declaration or filing with any Governmental Entity would prevent the Purchaser from executing and delivering this Agreement, or any and all of the documents and instruments which are contemplated by or ancillary to the transactions detailed under this Agreement by the Purchaser or the consummation by the Purchaser of the transactions contemplated herein or would have a Material Adverse Effect on the Purchaser.</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Laws</w:t>
      </w:r>
    </w:p>
    <w:p>
      <w:pPr>
        <w:spacing w:after="0" w:line="135" w:lineRule="exact"/>
        <w:rPr>
          <w:sz w:val="20"/>
          <w:szCs w:val="20"/>
          <w:color w:val="auto"/>
        </w:rPr>
      </w:pPr>
    </w:p>
    <w:p>
      <w:pPr>
        <w:ind w:left="640" w:right="80" w:hanging="436"/>
        <w:spacing w:after="0" w:line="282" w:lineRule="auto"/>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not in violation of any Laws save and except for acts of non-compliance which would not have a Material Adverse Effect on the Purchaser.</w:t>
      </w:r>
    </w:p>
    <w:p>
      <w:pPr>
        <w:spacing w:after="0" w:line="67" w:lineRule="exact"/>
        <w:rPr>
          <w:rFonts w:ascii="Times New Roman" w:cs="Times New Roman" w:eastAsia="Times New Roman" w:hAnsi="Times New Roman"/>
          <w:sz w:val="18"/>
          <w:szCs w:val="18"/>
          <w:color w:val="auto"/>
        </w:rPr>
      </w:pPr>
    </w:p>
    <w:p>
      <w:pPr>
        <w:ind w:left="640" w:right="80" w:hanging="436"/>
        <w:spacing w:after="0" w:line="282" w:lineRule="auto"/>
        <w:tabs>
          <w:tab w:leader="none" w:pos="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Purchaser’s SEC Reports has complied, in the case of SEC Reports filed on or prior to the date hereof, or will comply, in the case of SEC Reports to be filed after the date hereof, with applicable requirements of the U.S. Exchange Act in all material respects.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Brokers and Finders</w:t>
      </w:r>
    </w:p>
    <w:p>
      <w:pPr>
        <w:spacing w:after="0" w:line="135" w:lineRule="exact"/>
        <w:rPr>
          <w:sz w:val="20"/>
          <w:szCs w:val="20"/>
          <w:color w:val="auto"/>
        </w:rPr>
      </w:pPr>
    </w:p>
    <w:p>
      <w:pPr>
        <w:ind w:left="640" w:right="220" w:hanging="436"/>
        <w:spacing w:after="0" w:line="261"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Lazard Ltd., neither the Purchaser nor any of its Affiliates has retained nor will it retain any financial advisor, broker, agent or finder nor paid, or agreed to pay, any financial advisor, broker, agent or finder on account of this Agreement or any of the transactions contemplated hereby nor have they granted any right of first refusal or commitment to engage any such Person in connection with any future transaction on account of this Agreement or any of the transactions contemplated hereby.</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WTO Investor</w:t>
      </w:r>
    </w:p>
    <w:p>
      <w:pPr>
        <w:spacing w:after="0" w:line="135" w:lineRule="exact"/>
        <w:rPr>
          <w:sz w:val="20"/>
          <w:szCs w:val="20"/>
          <w:color w:val="auto"/>
        </w:rPr>
      </w:pPr>
    </w:p>
    <w:p>
      <w:pPr>
        <w:ind w:left="640" w:right="440" w:hanging="436"/>
        <w:spacing w:after="0" w:line="282" w:lineRule="auto"/>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“WTO investor” as that term is defined in the Investment Canada Act and is not a “state-owned enterprise” as that term is defined in the Investment Canada Act.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Title to Assets</w:t>
      </w:r>
    </w:p>
    <w:p>
      <w:pPr>
        <w:spacing w:after="0" w:line="135" w:lineRule="exact"/>
        <w:rPr>
          <w:sz w:val="20"/>
          <w:szCs w:val="20"/>
          <w:color w:val="auto"/>
        </w:rPr>
      </w:pPr>
    </w:p>
    <w:p>
      <w:pPr>
        <w:ind w:left="640" w:hanging="436"/>
        <w:spacing w:after="0" w:line="258" w:lineRule="auto"/>
        <w:tabs>
          <w:tab w:leader="none" w:pos="6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each of its Affiliates have good and marketable title to their assets, free and clear of any actual, pending or, to the knowledge of the Purchaser, threatened Claims or Encumbrances whatsoever, except for Permitted Encumbrances. The assets currently owned or leased by the Purchaser and each of its Affiliates constitute all of the property, rights and assets that are necessary to permit the operation of their business as it is currently carried on and, to the knowledge of the Purchaser, there are no material defects, material failures or material impairments in the title of the Purchaser or any of its Affiliates to such assets.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Reporting Issuer Status</w:t>
      </w:r>
    </w:p>
    <w:p>
      <w:pPr>
        <w:spacing w:after="0" w:line="135" w:lineRule="exact"/>
        <w:rPr>
          <w:sz w:val="20"/>
          <w:szCs w:val="20"/>
          <w:color w:val="auto"/>
        </w:rPr>
      </w:pPr>
    </w:p>
    <w:p>
      <w:pPr>
        <w:ind w:left="640" w:right="40" w:hanging="436"/>
        <w:spacing w:after="0" w:line="261" w:lineRule="auto"/>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any of its Affiliates is a reporting issuer or equivalent in any province or territory of Canada. None of the shares of the Purchaser or any of its Affiliates are listed or posted for trading on any stock exchange in Canada. The Purchaser Common Shares are posted for trading on the New York Stock Exchange and the Purchaser is an SEC registrant. As of the date of this Agreement, the Purchaser is eligible to use SEC Form S-3.</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200"/>
          </w:cols>
          <w:pgMar w:left="24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Bankruptcy</w:t>
      </w:r>
    </w:p>
    <w:p>
      <w:pPr>
        <w:spacing w:after="0" w:line="135" w:lineRule="exact"/>
        <w:rPr>
          <w:sz w:val="20"/>
          <w:szCs w:val="20"/>
          <w:color w:val="auto"/>
        </w:rPr>
      </w:pPr>
    </w:p>
    <w:p>
      <w:pPr>
        <w:ind w:left="640" w:right="560" w:hanging="436"/>
        <w:spacing w:after="0" w:line="282" w:lineRule="auto"/>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proceedings have been taken, are pending or authorized by the Purchaser or any of its Affiliates or by any other Person in respect of the bankruptcy, insolvency, liquidation or winding up of the Purchaser or any of its Affiliates.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Ability</w:t>
      </w:r>
    </w:p>
    <w:p>
      <w:pPr>
        <w:spacing w:after="0" w:line="135" w:lineRule="exact"/>
        <w:rPr>
          <w:sz w:val="20"/>
          <w:szCs w:val="20"/>
          <w:color w:val="auto"/>
        </w:rPr>
      </w:pPr>
    </w:p>
    <w:p>
      <w:pPr>
        <w:ind w:left="640" w:right="40" w:hanging="436"/>
        <w:spacing w:after="0" w:line="261" w:lineRule="auto"/>
        <w:tabs>
          <w:tab w:leader="none" w:pos="6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or will as at the Closing Time have, the financial ability to consummate the transactions contemplated by this Agreement, including the payment of the Base Cash Consideration and all fees and expenses of the Purchaser related to the transactions contemplated hereby. The Purchaser acknowledges that its obligations hereunder are not in any way contingent or otherwise subject to the Purchaser’s consummation of any financing arrangements, obtaining any financing or the availability of any financing to the Purchaser.</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Laws</w:t>
      </w:r>
    </w:p>
    <w:p>
      <w:pPr>
        <w:spacing w:after="0" w:line="135" w:lineRule="exact"/>
        <w:rPr>
          <w:sz w:val="20"/>
          <w:szCs w:val="20"/>
          <w:color w:val="auto"/>
        </w:rPr>
      </w:pPr>
    </w:p>
    <w:p>
      <w:pPr>
        <w:ind w:left="640" w:hanging="436"/>
        <w:spacing w:after="0" w:line="282" w:lineRule="auto"/>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each of its Affiliates are not in violation of any Laws except for acts of non-compliance that would not have a Material Adverse Effect on the Purchaser or any of its Affiliates.</w:t>
      </w:r>
    </w:p>
    <w:p>
      <w:pPr>
        <w:spacing w:after="0" w:line="67" w:lineRule="exact"/>
        <w:rPr>
          <w:rFonts w:ascii="Times New Roman" w:cs="Times New Roman" w:eastAsia="Times New Roman" w:hAnsi="Times New Roman"/>
          <w:sz w:val="18"/>
          <w:szCs w:val="18"/>
          <w:color w:val="auto"/>
        </w:rPr>
      </w:pPr>
    </w:p>
    <w:p>
      <w:pPr>
        <w:ind w:left="1080" w:right="100" w:hanging="876"/>
        <w:spacing w:after="0" w:line="261" w:lineRule="auto"/>
        <w:tabs>
          <w:tab w:leader="none" w:pos="5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Purchaser or any of its Affiliates nor, to the knowledge of the Purchaser, any employee, director, officer, agent, or other Person associated with or acting on behalf of such a Person, (collectively, the “</w:t>
      </w:r>
      <w:r>
        <w:rPr>
          <w:rFonts w:ascii="Times New Roman" w:cs="Times New Roman" w:eastAsia="Times New Roman" w:hAnsi="Times New Roman"/>
          <w:sz w:val="18"/>
          <w:szCs w:val="18"/>
          <w:b w:val="1"/>
          <w:bCs w:val="1"/>
          <w:color w:val="auto"/>
        </w:rPr>
        <w:t>Connected Persons</w:t>
      </w:r>
      <w:r>
        <w:rPr>
          <w:rFonts w:ascii="Times New Roman" w:cs="Times New Roman" w:eastAsia="Times New Roman" w:hAnsi="Times New Roman"/>
          <w:sz w:val="18"/>
          <w:szCs w:val="18"/>
          <w:color w:val="auto"/>
        </w:rPr>
        <w:t>”), has taken or has offered or agreed to take, in relation to the business or assets of the Purchaser or any of its Affiliates, any action, directly or indirectly, on behalf of or to the benefit of any of the Purchaser or any of its Affiliates in violation of any Anti-Corruption Laws.</w:t>
      </w:r>
    </w:p>
    <w:p>
      <w:pPr>
        <w:spacing w:after="0" w:line="85"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any of its Affiliates nor, to the knowledge of the Purchaser, any of the Connected Persons have taken any action or made any omission in connection with the business or assets of the Purchaser or any of its Affiliates in violation of Economic Sanctions.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Contracts of the business of the Purchaser or any of its Affiliates require the Purchaser or any of its Affiliates to:</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to any Persons which would cause a violation of Anti-Corruption Laws.</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make any omission that would violate Economic Sanctions.</w:t>
      </w:r>
    </w:p>
    <w:p>
      <w:pPr>
        <w:spacing w:after="0" w:line="130" w:lineRule="exact"/>
        <w:rPr>
          <w:rFonts w:ascii="Times New Roman" w:cs="Times New Roman" w:eastAsia="Times New Roman" w:hAnsi="Times New Roman"/>
          <w:sz w:val="18"/>
          <w:szCs w:val="18"/>
          <w:color w:val="auto"/>
        </w:rPr>
      </w:pPr>
    </w:p>
    <w:p>
      <w:pPr>
        <w:ind w:left="1060" w:right="20" w:hanging="424"/>
        <w:spacing w:after="0" w:line="256" w:lineRule="auto"/>
        <w:tabs>
          <w:tab w:leader="none" w:pos="10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two (2) years prior to the date of this Agreement, neither the Purchaser nor any of its Affiliates nor, to the knowledge of the Purchaser, any of their Connected Persons have been under administrative, civil or criminal investigation, inquiry or enforcement proceedings in connection with alleged or possible violations of any Anti-Corruption Laws and Economic Sanctions in connection with the conduct of their business or assets, nor have such Persons or, to the knowledge of the Purchaser, have their Connected Persons received notice from, or made a voluntary disclosure to, any Governmental Entity regarding violations or alleged or possible violations of such Anti-Corruption Laws in connection with the conduct of their business or assets.</w:t>
      </w:r>
    </w:p>
    <w:p>
      <w:pPr>
        <w:spacing w:after="0" w:line="93"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its Affiliates have in place adequate policies and procedures designed to ensure compliance with Anti-Corruption Laws.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135" w:lineRule="exact"/>
        <w:rPr>
          <w:sz w:val="20"/>
          <w:szCs w:val="20"/>
          <w:color w:val="auto"/>
        </w:rPr>
      </w:pPr>
    </w:p>
    <w:p>
      <w:pPr>
        <w:jc w:val="both"/>
        <w:ind w:left="640" w:right="20" w:hanging="436"/>
        <w:spacing w:after="0" w:line="266" w:lineRule="auto"/>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any of its Affiliates is in material default or breach of any of its obligations under any of the Material Contracts to which it is a party or by which it is bound and there exists no state of facts which, to the knowledge of the Purchaser, after notice or lapse of time or both, would constitute such a material default or breach.</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220"/>
          </w:cols>
          <w:pgMar w:left="240" w:top="455" w:right="4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Inducement or Reliance</w:t>
      </w:r>
    </w:p>
    <w:p>
      <w:pPr>
        <w:spacing w:after="0" w:line="121" w:lineRule="exact"/>
        <w:rPr>
          <w:sz w:val="20"/>
          <w:szCs w:val="20"/>
          <w:color w:val="auto"/>
        </w:rPr>
      </w:pPr>
    </w:p>
    <w:p>
      <w:pPr>
        <w:ind w:left="200" w:right="100"/>
        <w:spacing w:after="0" w:line="261" w:lineRule="auto"/>
        <w:rPr>
          <w:sz w:val="20"/>
          <w:szCs w:val="20"/>
          <w:color w:val="auto"/>
        </w:rPr>
      </w:pPr>
      <w:r>
        <w:rPr>
          <w:rFonts w:ascii="Times New Roman" w:cs="Times New Roman" w:eastAsia="Times New Roman" w:hAnsi="Times New Roman"/>
          <w:sz w:val="18"/>
          <w:szCs w:val="18"/>
          <w:color w:val="auto"/>
        </w:rPr>
        <w:t>3.2 The Purchaser agrees that it has not been induced by or relied upon any representations, warranties or statements, whether express or implied, made by the Parties or any of their respective Affiliates, officers, directors, members, employees, agents or representatives that are not expressly set forth in this Agreement and other agreements specifically contemplated herein, whether or not any such representations, warranties or statements were made in writing or orally.</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REPRESENTATIONS AND WARRANTIES IN RESPECT OF THE CORPORATION</w:t>
      </w:r>
    </w:p>
    <w:p>
      <w:pPr>
        <w:spacing w:after="0" w:line="207" w:lineRule="exact"/>
        <w:rPr>
          <w:sz w:val="20"/>
          <w:szCs w:val="20"/>
          <w:color w:val="auto"/>
        </w:rPr>
      </w:pPr>
    </w:p>
    <w:p>
      <w:pPr>
        <w:ind w:left="200" w:right="340"/>
        <w:spacing w:after="0" w:line="282" w:lineRule="auto"/>
        <w:rPr>
          <w:sz w:val="20"/>
          <w:szCs w:val="20"/>
          <w:color w:val="auto"/>
        </w:rPr>
      </w:pPr>
      <w:r>
        <w:rPr>
          <w:rFonts w:ascii="Times New Roman" w:cs="Times New Roman" w:eastAsia="Times New Roman" w:hAnsi="Times New Roman"/>
          <w:sz w:val="18"/>
          <w:szCs w:val="18"/>
          <w:color w:val="auto"/>
        </w:rPr>
        <w:t>4.1 The Vendors jointly represent and warrant to the Purchaser as follows and acknowledge that the Purchaser is relying on such representations and warranties in connection with the transactions contemplated hereby: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Incorporation, Organization, Corporation Structure and Authority</w:t>
      </w:r>
    </w:p>
    <w:p>
      <w:pPr>
        <w:spacing w:after="0" w:line="135" w:lineRule="exact"/>
        <w:rPr>
          <w:sz w:val="20"/>
          <w:szCs w:val="20"/>
          <w:color w:val="auto"/>
        </w:rPr>
      </w:pPr>
    </w:p>
    <w:p>
      <w:pPr>
        <w:ind w:left="1180" w:hanging="976"/>
        <w:spacing w:after="0" w:line="255" w:lineRule="auto"/>
        <w:tabs>
          <w:tab w:leader="none" w:pos="11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corporation duly incorporated and validly subsisting and in good standing under the Laws of Alberta, and has all the requisite capacity and authority to enter into this Agreement and to perform its obligations hereunder and to carry on its business as now conducted and to own, lease and operate its Assets as now owned, leased and operated. The Corporation is duly registered and in good standing to conduct its affairs or do business, as applicable, in each jurisdiction in which the character of its Assets, owned or leased, or the nature of their activities makes such registration necessary. Copies of the constating documents of the Corporation have been made available to the Purchaser, which included all amendments to date, and such constating documents are accurate and complete in all material respects as of the date hereof.</w:t>
      </w:r>
    </w:p>
    <w:p>
      <w:pPr>
        <w:spacing w:after="0" w:line="94" w:lineRule="exact"/>
        <w:rPr>
          <w:rFonts w:ascii="Times New Roman" w:cs="Times New Roman" w:eastAsia="Times New Roman" w:hAnsi="Times New Roman"/>
          <w:sz w:val="18"/>
          <w:szCs w:val="18"/>
          <w:color w:val="auto"/>
        </w:rPr>
      </w:pPr>
    </w:p>
    <w:p>
      <w:pPr>
        <w:ind w:left="1180" w:right="200" w:hanging="976"/>
        <w:spacing w:after="0" w:line="258" w:lineRule="auto"/>
        <w:tabs>
          <w:tab w:leader="none" w:pos="11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have any Subsidiaries or own any securities issued by, or any equity or ownership interest in, any other Person except as disclosed in Schedule 4.1(b) of the Disclosure Letter and each such disclosed Subsidiary is duly formed or incorporated and validly subsisting and in good standing under the Laws of its jurisdiction of formation or incorporation, is, except as otherwise disclosed Schedule 4.1(b) of the Disclosure Letter, wholly owned by the Corporation and has all the requisite capacity and authority to carry on its business as now conducted and to own, lease and operate its Assets.</w:t>
      </w:r>
    </w:p>
    <w:p>
      <w:pPr>
        <w:spacing w:after="0" w:line="89" w:lineRule="exact"/>
        <w:rPr>
          <w:rFonts w:ascii="Times New Roman" w:cs="Times New Roman" w:eastAsia="Times New Roman" w:hAnsi="Times New Roman"/>
          <w:sz w:val="18"/>
          <w:szCs w:val="18"/>
          <w:color w:val="auto"/>
        </w:rPr>
      </w:pPr>
    </w:p>
    <w:p>
      <w:pPr>
        <w:ind w:left="1180" w:right="320" w:hanging="976"/>
        <w:spacing w:after="0" w:line="282" w:lineRule="auto"/>
        <w:tabs>
          <w:tab w:leader="none" w:pos="11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its Subsidiaries are not currently subject to any obligation to purchase securities in, or to provide funds by way of loan or capital contribution, to any Person.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Necessary Proceedings</w:t>
      </w:r>
    </w:p>
    <w:p>
      <w:pPr>
        <w:spacing w:after="0" w:line="135" w:lineRule="exact"/>
        <w:rPr>
          <w:sz w:val="20"/>
          <w:szCs w:val="20"/>
          <w:color w:val="auto"/>
        </w:rPr>
      </w:pPr>
    </w:p>
    <w:p>
      <w:pPr>
        <w:ind w:left="1180" w:hanging="976"/>
        <w:spacing w:after="0"/>
        <w:tabs>
          <w:tab w:leader="none" w:pos="1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and required corporate proceedings and actions of:</w:t>
      </w:r>
    </w:p>
    <w:p>
      <w:pPr>
        <w:spacing w:after="0" w:line="130" w:lineRule="exact"/>
        <w:rPr>
          <w:rFonts w:ascii="Times New Roman" w:cs="Times New Roman" w:eastAsia="Times New Roman" w:hAnsi="Times New Roman"/>
          <w:sz w:val="18"/>
          <w:szCs w:val="18"/>
          <w:color w:val="auto"/>
        </w:rPr>
      </w:pPr>
    </w:p>
    <w:p>
      <w:pPr>
        <w:ind w:left="1740" w:right="100" w:hanging="550"/>
        <w:spacing w:after="0" w:line="266" w:lineRule="auto"/>
        <w:tabs>
          <w:tab w:leader="none" w:pos="17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shareholders and officers of the Corporation and its Subsidiaries have been taken to authorize and enable the Corporation to enter into and deliver this Agreement and each of the documents contemplated herein to which the Corporation is a party, and to perform its obligations hereunder; and</w:t>
      </w:r>
    </w:p>
    <w:p>
      <w:pPr>
        <w:spacing w:after="0" w:line="81" w:lineRule="exact"/>
        <w:rPr>
          <w:rFonts w:ascii="Times New Roman" w:cs="Times New Roman" w:eastAsia="Times New Roman" w:hAnsi="Times New Roman"/>
          <w:sz w:val="18"/>
          <w:szCs w:val="18"/>
          <w:color w:val="auto"/>
        </w:rPr>
      </w:pPr>
    </w:p>
    <w:p>
      <w:pPr>
        <w:ind w:left="1740" w:right="80" w:hanging="550"/>
        <w:spacing w:after="0" w:line="282" w:lineRule="auto"/>
        <w:tabs>
          <w:tab w:leader="none" w:pos="17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shareholders and officers of Amalco will have been taken on or prior to the Closing Date, to authorize the transfer by the Vendors of the Purchased Shares to the Purchaser as contemplated by this Agreement.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Valid and Binding Obligation</w:t>
      </w:r>
    </w:p>
    <w:p>
      <w:pPr>
        <w:spacing w:after="0" w:line="135" w:lineRule="exact"/>
        <w:rPr>
          <w:sz w:val="20"/>
          <w:szCs w:val="20"/>
          <w:color w:val="auto"/>
        </w:rPr>
      </w:pPr>
    </w:p>
    <w:p>
      <w:pPr>
        <w:ind w:left="1180" w:right="180" w:hanging="976"/>
        <w:spacing w:after="0" w:line="282" w:lineRule="auto"/>
        <w:tabs>
          <w:tab w:leader="none" w:pos="11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document delivered at Closing to which the Corporation, Amalco or any of its Subsidiaries is a party will on Closing be, duly executed and delivered by the applicable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220"/>
          </w:cols>
          <w:pgMar w:left="240" w:top="455" w:right="4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66" w:lineRule="auto"/>
        <w:rPr>
          <w:sz w:val="20"/>
          <w:szCs w:val="20"/>
          <w:color w:val="auto"/>
        </w:rPr>
      </w:pPr>
      <w:r>
        <w:rPr>
          <w:rFonts w:ascii="Times New Roman" w:cs="Times New Roman" w:eastAsia="Times New Roman" w:hAnsi="Times New Roman"/>
          <w:sz w:val="18"/>
          <w:szCs w:val="18"/>
          <w:color w:val="auto"/>
        </w:rPr>
        <w:t>party and constitutes, and each document delivered at Closing to which any of the Corporation, Amalco or any of its Subsidiaries is a party will on Closing constitute, a legal, valid and binding obligation of such party, enforceable against it in accordance with its terms subject only to the qualification that such enforceability may be limited by:</w:t>
      </w:r>
    </w:p>
    <w:p>
      <w:pPr>
        <w:spacing w:after="0" w:line="82" w:lineRule="exact"/>
        <w:rPr>
          <w:sz w:val="20"/>
          <w:szCs w:val="20"/>
          <w:color w:val="auto"/>
        </w:rPr>
      </w:pPr>
    </w:p>
    <w:p>
      <w:pPr>
        <w:ind w:left="1740" w:right="100" w:hanging="550"/>
        <w:spacing w:after="0" w:line="282" w:lineRule="auto"/>
        <w:tabs>
          <w:tab w:leader="none" w:pos="17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under applicable Laws relating to bankruptcy, insolvency, fraudulent transfer, moratorium, reorganization and other similar Laws relating to or affecting the enforcement of creditors’ rights generally; and</w:t>
      </w:r>
    </w:p>
    <w:p>
      <w:pPr>
        <w:spacing w:after="0" w:line="67" w:lineRule="exact"/>
        <w:rPr>
          <w:rFonts w:ascii="Times New Roman" w:cs="Times New Roman" w:eastAsia="Times New Roman" w:hAnsi="Times New Roman"/>
          <w:sz w:val="18"/>
          <w:szCs w:val="18"/>
          <w:color w:val="auto"/>
        </w:rPr>
      </w:pPr>
    </w:p>
    <w:p>
      <w:pPr>
        <w:ind w:left="1740" w:right="640" w:hanging="550"/>
        <w:spacing w:after="0" w:line="282" w:lineRule="auto"/>
        <w:tabs>
          <w:tab w:leader="none" w:pos="17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equitable remedies, including the remedies of specific performance and injunction, may only be granted in the discretion of a court.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Required Consents</w:t>
      </w:r>
    </w:p>
    <w:p>
      <w:pPr>
        <w:spacing w:after="0" w:line="135" w:lineRule="exact"/>
        <w:rPr>
          <w:sz w:val="20"/>
          <w:szCs w:val="20"/>
          <w:color w:val="auto"/>
        </w:rPr>
      </w:pPr>
    </w:p>
    <w:p>
      <w:pPr>
        <w:ind w:left="1180" w:hanging="976"/>
        <w:spacing w:after="0" w:line="254" w:lineRule="auto"/>
        <w:tabs>
          <w:tab w:leader="none" w:pos="11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4.1(f) of the Disclosure Letter and except for the Regulatory Approvals, there is no requirement on the part of the Vendors, the Corporation or any of its Subsidiaries to obtain any consent, approval or waiver of any Governmental Entity or of any Person under any Material Contracts to which the Vendors, the Corporation or any of it Subsidiaries is a party or pursuant to which the Purchased Shares or any of the Assets may be affected in connection with the completion of the transactions contemplated in this Agreement where the failure to obtain such consent, approval or waiver of any Governmental Entity or of any Person under any Material Contracts would: (A) prevent the Vendors from executing and delivering this Agreement, or any and all of the documents and instruments which are contemplated by or ancillary to the transactions detailed under this Agreement by the Vendors or the consummation by the Vendors of the transactions contemplated herein; or would (B) be reasonably expected to have a Material Adverse Effect on the Corporation or any Subsidiary.</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Capital</w:t>
      </w:r>
    </w:p>
    <w:p>
      <w:pPr>
        <w:spacing w:after="0" w:line="135" w:lineRule="exact"/>
        <w:rPr>
          <w:sz w:val="20"/>
          <w:szCs w:val="20"/>
          <w:color w:val="auto"/>
        </w:rPr>
      </w:pPr>
    </w:p>
    <w:p>
      <w:pPr>
        <w:ind w:left="1180" w:hanging="976"/>
        <w:spacing w:after="0" w:line="258" w:lineRule="auto"/>
        <w:tabs>
          <w:tab w:leader="none" w:pos="11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of the Corporation consists of an unlimited number of Class A Shares, an unlimited number of Class B Shares, an unlimited number of Class C Shares, an unlimited number of Class D Shares, an unlimited number of Class E Shares, an unlimited number of Class F Shares, an unlimited number of Class G Shares, and an unlimited number of Class H Shares. As of the date of this Agreement, there are 291 Class A Shares, 9 Class B Shares, 424,000,000 Class G Shares, and 54,526,775 Class H Shares duly and validly issued and outstanding as fully paid and non-assessable.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Rights to Acquire Securities</w:t>
      </w:r>
    </w:p>
    <w:p>
      <w:pPr>
        <w:spacing w:after="0" w:line="135" w:lineRule="exact"/>
        <w:rPr>
          <w:sz w:val="20"/>
          <w:szCs w:val="20"/>
          <w:color w:val="auto"/>
        </w:rPr>
      </w:pPr>
    </w:p>
    <w:p>
      <w:pPr>
        <w:ind w:left="1180" w:right="120" w:hanging="976"/>
        <w:spacing w:after="0" w:line="254" w:lineRule="auto"/>
        <w:tabs>
          <w:tab w:leader="none" w:pos="11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Purchaser, and as contemplated in the Pre-Closing Transactions, no Person has any agreement or option or any right or privilege (whether by Law, pre-emptive or contractual) capable of becoming an agreement or option for the purchase, subscription or issuance from treasury of any shares, units or other securities of the Corporation or any Subsidiary or securities convertible into, exchangeable for, or which carry the right to purchase shares, units or other securities of the Corporation or any Subsidiary. There are no outstanding bonds, debentures or other evidences of Indebtedness of the Corporation having the right to vote (or that are convertible for, exercisable into or exchangeable for securities having the right to vote) on any matter on which the holders of shares may vote. Except as contemplated in the Pre-Closing Transactions, there are no outstanding contractual obligations of the Corporation or any Subsidiary to repurchase, redeem or otherwise acquire any outstanding shares of the Corporation or any Subsidiary or any agreements or other arrangements regarding the voting or disposition of any outstanding shares of the Corporation or any Subsidiary.</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200"/>
          </w:cols>
          <w:pgMar w:left="24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Title to Assets</w:t>
      </w:r>
    </w:p>
    <w:p>
      <w:pPr>
        <w:spacing w:after="0" w:line="135" w:lineRule="exact"/>
        <w:rPr>
          <w:sz w:val="20"/>
          <w:szCs w:val="20"/>
          <w:color w:val="auto"/>
        </w:rPr>
      </w:pPr>
    </w:p>
    <w:p>
      <w:pPr>
        <w:ind w:left="1180" w:right="60" w:hanging="976"/>
        <w:spacing w:after="0" w:line="258" w:lineRule="auto"/>
        <w:tabs>
          <w:tab w:leader="none" w:pos="11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each of its Subsidiaries have good and marketable title to their Assets, free and clear of any actual, pending or, to the knowledge of the Vendors, threatened Claims or Encumbrances whatsoever, except for Permitted Encumbrances. The Assets currently owned or leased by the Corporation and each of its Subsidiaries constitute all of the property, rights and assets that are necessary to permit the operation of the Business as it is currently carried on and, to the knowledge of the Vendors, there are no material defects, material failures or material impairments in the title of the Corporation or any Subsidiary to such Assets.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Operation and Condition of Assets</w:t>
      </w:r>
    </w:p>
    <w:p>
      <w:pPr>
        <w:spacing w:after="0" w:line="135" w:lineRule="exact"/>
        <w:rPr>
          <w:sz w:val="20"/>
          <w:szCs w:val="20"/>
          <w:color w:val="auto"/>
        </w:rPr>
      </w:pPr>
    </w:p>
    <w:p>
      <w:pPr>
        <w:ind w:left="1180" w:hanging="976"/>
        <w:spacing w:after="0" w:line="256" w:lineRule="auto"/>
        <w:tabs>
          <w:tab w:leader="none" w:pos="1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1.1(mmmmm) of the Disclosure Letter or with respect to the condition of the carpets or general aesthetics at the Corporation’s locations, the Assets which are material to the Business are in operable working condition and have been maintained in accordance with industry standards (normal wear and tear accepted). To the knowledge of the Vendors, except as disclosed in Schedule 1.1(mmmmm) of the Disclosure Letter, no buildings, plants, structures, fixtures, Equipment or other property owned or leased by the Corporation or any Subsidiary in relation to the Business, are in need of material repairs except for ordinary routine maintenance and repairs consistent with past practice.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Warranties and Claims</w:t>
      </w:r>
    </w:p>
    <w:p>
      <w:pPr>
        <w:spacing w:after="0" w:line="135" w:lineRule="exact"/>
        <w:rPr>
          <w:sz w:val="20"/>
          <w:szCs w:val="20"/>
          <w:color w:val="auto"/>
        </w:rPr>
      </w:pPr>
    </w:p>
    <w:p>
      <w:pPr>
        <w:ind w:left="1180" w:right="100" w:hanging="976"/>
        <w:spacing w:after="0" w:line="272" w:lineRule="auto"/>
        <w:tabs>
          <w:tab w:leader="none" w:pos="11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out in Part 1 of Schedule 4.1(k) of the Disclosure Letter, neither the Corporation nor any Subsidiary has given any warranty, express or implied, to any Person, and no warranty Claim (or Claim in the nature thereof) has been made against the Corporation or any Subsidiary and which is currently unresolved other than warranty claims received in the Ordinary Course and which could not in the aggregate be considered material, nor to the knowledge of the Vendors, do facts or circumstances exist that could reasonably be expected to result in any such warranty Claim. Part 2 of Schedule 4.1(k) of the Disclosure Letter contains a complete list of all express, written warranties given to purchasers of products or services supplied by the Corporation or any of its Subsidiaries within the two-year period prior to the date of this Agreement. The Corporation has made no material warranty Claim (or Claim in the nature thereof) against any supplier thereto within the two-year period prior to the date of this Agreement other than warranty claims made in the Ordinary Course.</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Permits</w:t>
      </w:r>
    </w:p>
    <w:p>
      <w:pPr>
        <w:spacing w:after="0" w:line="135" w:lineRule="exact"/>
        <w:rPr>
          <w:sz w:val="20"/>
          <w:szCs w:val="20"/>
          <w:color w:val="auto"/>
        </w:rPr>
      </w:pPr>
    </w:p>
    <w:p>
      <w:pPr>
        <w:ind w:left="1180" w:right="120" w:hanging="976"/>
        <w:spacing w:after="0" w:line="258" w:lineRule="auto"/>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each of its Subsidiaries have obtained and are in compliance with all material Permits necessary to conduct the Business as are now being or are proposed to be conducted. All such Permits are listed in Schedule 4.1(l) to the Disclosure Letter (including any applicable expiry dates) and are in full force and effect, and there are no proceedings in progress, pending or, to the knowledge of the Vendors, threatened which may result in revocation, cancellation, suspension, rescission or any adverse modification of any of the Permits nor, to the knowledge of the Vendors, are there any facts upon which such proceedings could reasonably be based.</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135" w:lineRule="exact"/>
        <w:rPr>
          <w:sz w:val="20"/>
          <w:szCs w:val="20"/>
          <w:color w:val="auto"/>
        </w:rPr>
      </w:pPr>
    </w:p>
    <w:p>
      <w:pPr>
        <w:ind w:left="1180" w:right="140" w:hanging="976"/>
        <w:spacing w:after="0" w:line="261" w:lineRule="auto"/>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Financial Statements have been prepared in accordance with ASPE and present fairly in all material respects the Assets, Liabilities and financial condition of the Corporation as of the respective dates thereof and the results of operations and cash flows of the Corporation for the respective fiscal periods covered thereby. In the case of the interim Corporation Financial Statements, such interim Corporation Financial Statements shall be subject to normal year-end adjustments and the exclusion of notes thereto.</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200"/>
          </w:cols>
          <w:pgMar w:left="24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Absence of Undisclosed Liabilities</w:t>
      </w:r>
    </w:p>
    <w:p>
      <w:pPr>
        <w:spacing w:after="0" w:line="135" w:lineRule="exact"/>
        <w:rPr>
          <w:sz w:val="20"/>
          <w:szCs w:val="20"/>
          <w:color w:val="auto"/>
        </w:rPr>
      </w:pPr>
    </w:p>
    <w:p>
      <w:pPr>
        <w:ind w:left="1180" w:right="160" w:hanging="976"/>
        <w:spacing w:after="0" w:line="282" w:lineRule="auto"/>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1.1(mmmmm) of the Disclosure Letter, neither the Corporation nor any Subsidiaries has any material Liabilities or debt instrument or has entered into any Contract or commitment to create, assume, or issue any debt instrument, other than:</w:t>
      </w:r>
    </w:p>
    <w:p>
      <w:pPr>
        <w:spacing w:after="0" w:line="67" w:lineRule="exact"/>
        <w:rPr>
          <w:rFonts w:ascii="Times New Roman" w:cs="Times New Roman" w:eastAsia="Times New Roman" w:hAnsi="Times New Roman"/>
          <w:sz w:val="18"/>
          <w:szCs w:val="18"/>
          <w:color w:val="auto"/>
        </w:rPr>
      </w:pPr>
    </w:p>
    <w:p>
      <w:pPr>
        <w:ind w:left="1740" w:right="220" w:hanging="550"/>
        <w:spacing w:after="0" w:line="282" w:lineRule="auto"/>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specifically reflected and adequately provided for in the most recent balance sheet and associated notes thereto included in the Corporation Financial Statements;</w:t>
      </w:r>
    </w:p>
    <w:p>
      <w:pPr>
        <w:spacing w:after="0" w:line="67" w:lineRule="exact"/>
        <w:rPr>
          <w:rFonts w:ascii="Times New Roman" w:cs="Times New Roman" w:eastAsia="Times New Roman" w:hAnsi="Times New Roman"/>
          <w:sz w:val="18"/>
          <w:szCs w:val="18"/>
          <w:color w:val="auto"/>
        </w:rPr>
      </w:pPr>
    </w:p>
    <w:p>
      <w:pPr>
        <w:ind w:left="1740" w:hanging="550"/>
        <w:spacing w:after="0"/>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set out in Schedule 4.1(n) of the Disclosure Letter;</w:t>
      </w:r>
    </w:p>
    <w:p>
      <w:pPr>
        <w:spacing w:after="0" w:line="130" w:lineRule="exact"/>
        <w:rPr>
          <w:rFonts w:ascii="Times New Roman" w:cs="Times New Roman" w:eastAsia="Times New Roman" w:hAnsi="Times New Roman"/>
          <w:sz w:val="18"/>
          <w:szCs w:val="18"/>
          <w:color w:val="auto"/>
        </w:rPr>
      </w:pPr>
    </w:p>
    <w:p>
      <w:pPr>
        <w:ind w:left="1740" w:hanging="550"/>
        <w:spacing w:after="0"/>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since the date of the balance sheet included in the Corporation Financial Statements;</w:t>
      </w:r>
    </w:p>
    <w:p>
      <w:pPr>
        <w:spacing w:after="0" w:line="130" w:lineRule="exact"/>
        <w:rPr>
          <w:rFonts w:ascii="Times New Roman" w:cs="Times New Roman" w:eastAsia="Times New Roman" w:hAnsi="Times New Roman"/>
          <w:sz w:val="18"/>
          <w:szCs w:val="18"/>
          <w:color w:val="auto"/>
        </w:rPr>
      </w:pPr>
    </w:p>
    <w:p>
      <w:pPr>
        <w:ind w:left="1740" w:right="260" w:hanging="550"/>
        <w:spacing w:after="0" w:line="282" w:lineRule="auto"/>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which shall be set forth or specifically reflected and adequately provided for in the Closing Balance Sheet and the Closing Statement; and</w:t>
      </w:r>
    </w:p>
    <w:p>
      <w:pPr>
        <w:spacing w:after="0" w:line="67" w:lineRule="exact"/>
        <w:rPr>
          <w:rFonts w:ascii="Times New Roman" w:cs="Times New Roman" w:eastAsia="Times New Roman" w:hAnsi="Times New Roman"/>
          <w:sz w:val="18"/>
          <w:szCs w:val="18"/>
          <w:color w:val="auto"/>
        </w:rPr>
      </w:pPr>
    </w:p>
    <w:p>
      <w:pPr>
        <w:ind w:left="1740" w:hanging="550"/>
        <w:spacing w:after="0"/>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incurred in connection with the execution of this Agreement.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Indebtedness</w:t>
      </w:r>
    </w:p>
    <w:p>
      <w:pPr>
        <w:spacing w:after="0" w:line="135" w:lineRule="exact"/>
        <w:rPr>
          <w:sz w:val="20"/>
          <w:szCs w:val="20"/>
          <w:color w:val="auto"/>
        </w:rPr>
      </w:pPr>
    </w:p>
    <w:p>
      <w:pPr>
        <w:ind w:left="1180" w:hanging="976"/>
        <w:spacing w:after="0" w:line="261" w:lineRule="auto"/>
        <w:tabs>
          <w:tab w:leader="none" w:pos="11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Corporation Financial Statements or in Schedule 2.3(a)(i) of the Disclosure Letter or as may be incurred in the Ordinary Course, neither the Corporation nor any Subsidiary has outstanding any bonds, debentures, notes, mortgages or other Indebtedness and neither the Corporation nor any Subsidiary has agreed to create or issue any bonds, debentures, notes, mortgages or other Indebtedness which will mature more than one year after the date of their creation or issuance.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Accountants</w:t>
      </w:r>
    </w:p>
    <w:p>
      <w:pPr>
        <w:spacing w:after="0" w:line="135" w:lineRule="exact"/>
        <w:rPr>
          <w:sz w:val="20"/>
          <w:szCs w:val="20"/>
          <w:color w:val="auto"/>
        </w:rPr>
      </w:pPr>
    </w:p>
    <w:p>
      <w:pPr>
        <w:ind w:left="1180" w:right="780" w:hanging="976"/>
        <w:spacing w:after="0" w:line="282" w:lineRule="auto"/>
        <w:tabs>
          <w:tab w:leader="none" w:pos="1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Accountants, who audited the Corporation Financial Statements (to the extent the same have been audited), are independent from the Corporation.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Material Change</w:t>
      </w:r>
    </w:p>
    <w:p>
      <w:pPr>
        <w:spacing w:after="0" w:line="135" w:lineRule="exact"/>
        <w:rPr>
          <w:sz w:val="20"/>
          <w:szCs w:val="20"/>
          <w:color w:val="auto"/>
        </w:rPr>
      </w:pPr>
    </w:p>
    <w:p>
      <w:pPr>
        <w:ind w:left="1180" w:right="100" w:hanging="976"/>
        <w:spacing w:after="0" w:line="274" w:lineRule="auto"/>
        <w:tabs>
          <w:tab w:leader="none" w:pos="11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May 31, 2017, and except as disclosed in Schedule 4.1(q) of the Disclosure Letter and as contemplated in the Pre-Closing Transactions, there has been no material changes in the capital, Business, the Assets, Liabilities, condition, results of operations, financial position, long-term debt, affairs or prospects of the Corporation or any Subsidiaries and there have been no material facts, transactions, events or occurrences in respect of the Corporation or any of its Subsidiaries, any of which could reasonably be expected to have a Material Adverse Effect on the Corporation or its Subsidiaries and that have not been disclosed in writing to the Purchaser or that could significantly impede the Corporation’s or any of its Subsidiaries’ ability to consummate the transactions contemplated by this Agreement.</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Laws</w:t>
      </w:r>
    </w:p>
    <w:p>
      <w:pPr>
        <w:spacing w:after="0" w:line="135" w:lineRule="exact"/>
        <w:rPr>
          <w:sz w:val="20"/>
          <w:szCs w:val="20"/>
          <w:color w:val="auto"/>
        </w:rPr>
      </w:pPr>
    </w:p>
    <w:p>
      <w:pPr>
        <w:ind w:left="1180" w:right="100" w:hanging="976"/>
        <w:spacing w:after="0" w:line="266" w:lineRule="auto"/>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4.1(r) or Schedule 1.1(mmmmm) of the Disclosure Letter, the Corporation and each of its Subsidiaries are not in violation of any Laws except for acts of non-compliance that would not have a Material Adverse Effect on the Corporation or its Subsidiaries.</w:t>
      </w:r>
    </w:p>
    <w:p>
      <w:pPr>
        <w:spacing w:after="0" w:line="81" w:lineRule="exact"/>
        <w:rPr>
          <w:rFonts w:ascii="Times New Roman" w:cs="Times New Roman" w:eastAsia="Times New Roman" w:hAnsi="Times New Roman"/>
          <w:sz w:val="18"/>
          <w:szCs w:val="18"/>
          <w:color w:val="auto"/>
        </w:rPr>
      </w:pPr>
    </w:p>
    <w:p>
      <w:pPr>
        <w:ind w:left="1740" w:right="360" w:hanging="1536"/>
        <w:spacing w:after="0" w:line="266" w:lineRule="auto"/>
        <w:tabs>
          <w:tab w:leader="none" w:pos="11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(i)None of the Vendors, the Corporation or any of its Subsidiaries nor, to the knowledge of the Vendors, any Employee, agent, or other Person associated with or acting on behalf of such a Person, (collectively, the “</w:t>
      </w:r>
      <w:r>
        <w:rPr>
          <w:rFonts w:ascii="Times New Roman" w:cs="Times New Roman" w:eastAsia="Times New Roman" w:hAnsi="Times New Roman"/>
          <w:sz w:val="18"/>
          <w:szCs w:val="18"/>
          <w:b w:val="1"/>
          <w:bCs w:val="1"/>
          <w:color w:val="auto"/>
        </w:rPr>
        <w:t>Connected Persons</w:t>
      </w:r>
      <w:r>
        <w:rPr>
          <w:rFonts w:ascii="Times New Roman" w:cs="Times New Roman" w:eastAsia="Times New Roman" w:hAnsi="Times New Roman"/>
          <w:sz w:val="18"/>
          <w:szCs w:val="18"/>
          <w:color w:val="auto"/>
        </w:rPr>
        <w:t>”), has taken or has offered or agreed to take, in relation to the Business or the Assets, any action, directly or indirectly, on behalf of or to the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200"/>
          </w:cols>
          <w:pgMar w:left="240" w:top="455" w:right="4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benefit of any of the Vendors, the Corporation or any of its Subsidiaries in violation of any Anti-Corruption Laws.</w:t>
      </w:r>
    </w:p>
    <w:p>
      <w:pPr>
        <w:spacing w:after="0" w:line="131" w:lineRule="exact"/>
        <w:rPr>
          <w:sz w:val="20"/>
          <w:szCs w:val="20"/>
          <w:color w:val="auto"/>
        </w:rPr>
      </w:pPr>
    </w:p>
    <w:p>
      <w:pPr>
        <w:ind w:left="1740" w:right="20" w:hanging="550"/>
        <w:spacing w:after="0" w:line="313" w:lineRule="auto"/>
        <w:tabs>
          <w:tab w:leader="none" w:pos="174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Vendors, the Corporation or any of its Subsidiaries nor, to the knowledge of the Vendors, any of the Connected Persons have taken any action or made any omission in connection with the Business or Assets in violation of Economic Sanctions.</w:t>
      </w:r>
    </w:p>
    <w:p>
      <w:pPr>
        <w:spacing w:after="0" w:line="43" w:lineRule="exact"/>
        <w:rPr>
          <w:rFonts w:ascii="Times New Roman" w:cs="Times New Roman" w:eastAsia="Times New Roman" w:hAnsi="Times New Roman"/>
          <w:sz w:val="17"/>
          <w:szCs w:val="17"/>
          <w:color w:val="auto"/>
        </w:rPr>
      </w:pPr>
    </w:p>
    <w:p>
      <w:pPr>
        <w:ind w:left="1740" w:hanging="550"/>
        <w:spacing w:after="0"/>
        <w:tabs>
          <w:tab w:leader="none" w:pos="1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Contracts of the Business would require the Purchaser or any of its Subsidiaries subsequent to the Closing Date, to:</w:t>
      </w:r>
    </w:p>
    <w:p>
      <w:pPr>
        <w:spacing w:after="0" w:line="130" w:lineRule="exact"/>
        <w:rPr>
          <w:rFonts w:ascii="Times New Roman" w:cs="Times New Roman" w:eastAsia="Times New Roman" w:hAnsi="Times New Roman"/>
          <w:sz w:val="18"/>
          <w:szCs w:val="18"/>
          <w:color w:val="auto"/>
        </w:rPr>
      </w:pPr>
    </w:p>
    <w:p>
      <w:pPr>
        <w:ind w:left="2180" w:hanging="437"/>
        <w:spacing w:after="0"/>
        <w:tabs>
          <w:tab w:leader="none" w:pos="21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to any Persons which would cause a violation of Anti-Corruption Laws.</w:t>
      </w:r>
    </w:p>
    <w:p>
      <w:pPr>
        <w:spacing w:after="0" w:line="130" w:lineRule="exact"/>
        <w:rPr>
          <w:rFonts w:ascii="Times New Roman" w:cs="Times New Roman" w:eastAsia="Times New Roman" w:hAnsi="Times New Roman"/>
          <w:sz w:val="18"/>
          <w:szCs w:val="18"/>
          <w:color w:val="auto"/>
        </w:rPr>
      </w:pPr>
    </w:p>
    <w:p>
      <w:pPr>
        <w:ind w:left="2180" w:hanging="437"/>
        <w:spacing w:after="0"/>
        <w:tabs>
          <w:tab w:leader="none" w:pos="21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make any omission that would violate Economic Sanctions.</w:t>
      </w:r>
    </w:p>
    <w:p>
      <w:pPr>
        <w:spacing w:after="0" w:line="130" w:lineRule="exact"/>
        <w:rPr>
          <w:rFonts w:ascii="Times New Roman" w:cs="Times New Roman" w:eastAsia="Times New Roman" w:hAnsi="Times New Roman"/>
          <w:sz w:val="18"/>
          <w:szCs w:val="18"/>
          <w:color w:val="auto"/>
        </w:rPr>
      </w:pPr>
    </w:p>
    <w:p>
      <w:pPr>
        <w:ind w:left="1740" w:hanging="550"/>
        <w:spacing w:after="0" w:line="255" w:lineRule="auto"/>
        <w:tabs>
          <w:tab w:leader="none" w:pos="1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(3) years prior to the date of this Agreement, none of the Vendors, the Corporation nor any of its Subsidiaries nor, to the knowledge of the Vendors, any of their Connected Persons have been under administrative, civil or criminal investigation, inquiry or enforcement proceedings in connection with alleged or possible violations of any Anti-Corruption Laws and Economic Sanctions in connection with the conduct of the Business or the Assets, nor have such Persons or, to the knowledge of the Vendors, have their Connected Persons received notice from, or made a voluntary disclosure to, any Governmental Entity regarding violations or alleged or possible violations of such Anti-Corruption Laws in connection with the conduct of the Business or the Assets.</w:t>
      </w:r>
    </w:p>
    <w:p>
      <w:pPr>
        <w:spacing w:after="0" w:line="94" w:lineRule="exact"/>
        <w:rPr>
          <w:rFonts w:ascii="Times New Roman" w:cs="Times New Roman" w:eastAsia="Times New Roman" w:hAnsi="Times New Roman"/>
          <w:sz w:val="18"/>
          <w:szCs w:val="18"/>
          <w:color w:val="auto"/>
        </w:rPr>
      </w:pPr>
    </w:p>
    <w:p>
      <w:pPr>
        <w:ind w:left="1740" w:right="120" w:hanging="550"/>
        <w:spacing w:after="0" w:line="266" w:lineRule="auto"/>
        <w:tabs>
          <w:tab w:leader="none" w:pos="1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a written code of conduct that prohibits Employees from offering or receiving bribes, kickbacks, or other payments that can influence business decisions and restricts the basis on which Employees can give or accept gifts, entertainment, or meals to or from any other Person in the conduct of the Business.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Guarantees</w:t>
      </w:r>
    </w:p>
    <w:p>
      <w:pPr>
        <w:spacing w:after="0" w:line="135" w:lineRule="exact"/>
        <w:rPr>
          <w:sz w:val="20"/>
          <w:szCs w:val="20"/>
          <w:color w:val="auto"/>
        </w:rPr>
      </w:pPr>
    </w:p>
    <w:p>
      <w:pPr>
        <w:ind w:left="1180" w:right="100" w:hanging="976"/>
        <w:spacing w:after="0" w:line="266" w:lineRule="auto"/>
        <w:tabs>
          <w:tab w:leader="none" w:pos="11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intercorporate matters otherwise disclosed in the Corporation Financial Statements and except as disclosed on Schedule 4.1(t) of the Disclosure Letter, neither the Corporation nor any of its Subsidiaries is a party to, or bound by, any guarantee of the Liabilities or Indebtedness of any other Person.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Tax Matters</w:t>
      </w:r>
    </w:p>
    <w:p>
      <w:pPr>
        <w:spacing w:after="0" w:line="135" w:lineRule="exact"/>
        <w:rPr>
          <w:sz w:val="20"/>
          <w:szCs w:val="20"/>
          <w:color w:val="auto"/>
        </w:rPr>
      </w:pPr>
    </w:p>
    <w:p>
      <w:pPr>
        <w:ind w:left="1180" w:hanging="976"/>
        <w:spacing w:after="0"/>
        <w:tabs>
          <w:tab w:leader="none" w:pos="1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4.1(u) of the Disclosure Letter:</w:t>
      </w:r>
    </w:p>
    <w:p>
      <w:pPr>
        <w:spacing w:after="0" w:line="130" w:lineRule="exact"/>
        <w:rPr>
          <w:rFonts w:ascii="Times New Roman" w:cs="Times New Roman" w:eastAsia="Times New Roman" w:hAnsi="Times New Roman"/>
          <w:sz w:val="18"/>
          <w:szCs w:val="18"/>
          <w:color w:val="auto"/>
        </w:rPr>
      </w:pPr>
    </w:p>
    <w:p>
      <w:pPr>
        <w:ind w:left="1840" w:right="420" w:hanging="650"/>
        <w:spacing w:after="0" w:line="282" w:lineRule="auto"/>
        <w:tabs>
          <w:tab w:leader="none" w:pos="18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Corporation or its Subsidiaries is in arrears or in default in respect of the timely filing of any federal, provincial, municipal or foreign Tax return required to be filed by them pursuant to any applicable Law.</w:t>
      </w:r>
    </w:p>
    <w:p>
      <w:pPr>
        <w:spacing w:after="0" w:line="67" w:lineRule="exact"/>
        <w:rPr>
          <w:rFonts w:ascii="Times New Roman" w:cs="Times New Roman" w:eastAsia="Times New Roman" w:hAnsi="Times New Roman"/>
          <w:sz w:val="18"/>
          <w:szCs w:val="18"/>
          <w:color w:val="auto"/>
        </w:rPr>
      </w:pPr>
    </w:p>
    <w:p>
      <w:pPr>
        <w:ind w:left="1840" w:right="160" w:hanging="650"/>
        <w:spacing w:after="0" w:line="266" w:lineRule="auto"/>
        <w:tabs>
          <w:tab w:leader="none" w:pos="18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filing fees and other assessments or reassessments due and payable, collectible or which are required to be withheld prior to the Closing Date from or by the Corporation or its Subsidiaries shall have been duly and timely paid, collected withheld or remitted or adequate provision shall have been made therefore prior to the Closing Date.</w:t>
      </w:r>
    </w:p>
    <w:p>
      <w:pPr>
        <w:spacing w:after="0" w:line="81" w:lineRule="exact"/>
        <w:rPr>
          <w:rFonts w:ascii="Times New Roman" w:cs="Times New Roman" w:eastAsia="Times New Roman" w:hAnsi="Times New Roman"/>
          <w:sz w:val="18"/>
          <w:szCs w:val="18"/>
          <w:color w:val="auto"/>
        </w:rPr>
      </w:pPr>
    </w:p>
    <w:p>
      <w:pPr>
        <w:ind w:left="1840" w:right="300" w:hanging="650"/>
        <w:spacing w:after="0" w:line="282" w:lineRule="auto"/>
        <w:tabs>
          <w:tab w:leader="none" w:pos="18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assessment or reassessment for additional Taxes, filing fees or other amounts and assessments due and payable or collectible from the Corporation or its Subsidiaries has been made or threatened which has not been paid or collected.</w:t>
      </w:r>
    </w:p>
    <w:p>
      <w:pPr>
        <w:spacing w:after="0" w:line="67" w:lineRule="exact"/>
        <w:rPr>
          <w:rFonts w:ascii="Times New Roman" w:cs="Times New Roman" w:eastAsia="Times New Roman" w:hAnsi="Times New Roman"/>
          <w:sz w:val="18"/>
          <w:szCs w:val="18"/>
          <w:color w:val="auto"/>
        </w:rPr>
      </w:pPr>
    </w:p>
    <w:p>
      <w:pPr>
        <w:ind w:left="1840" w:right="180" w:hanging="650"/>
        <w:spacing w:after="0" w:line="282" w:lineRule="auto"/>
        <w:tabs>
          <w:tab w:leader="none" w:pos="18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Tax returns referred to in Section 4.1(u)(i) are correct and complete in all material respects and no such return contains any misstatement or conceals any statement that should have been included therein.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220"/>
          </w:cols>
          <w:pgMar w:left="240" w:top="455" w:right="4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840" w:hanging="650"/>
        <w:spacing w:after="0" w:line="282" w:lineRule="auto"/>
        <w:tabs>
          <w:tab w:leader="none" w:pos="1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extensions or waivers of the applicable limitation periods of any jurisdiction regarding the assessment, reassessment or collection of Taxes in respect of the Corporation or its Subsidiaries.</w:t>
      </w:r>
    </w:p>
    <w:p>
      <w:pPr>
        <w:spacing w:after="0" w:line="67" w:lineRule="exact"/>
        <w:rPr>
          <w:rFonts w:ascii="Times New Roman" w:cs="Times New Roman" w:eastAsia="Times New Roman" w:hAnsi="Times New Roman"/>
          <w:sz w:val="18"/>
          <w:szCs w:val="18"/>
          <w:color w:val="auto"/>
        </w:rPr>
      </w:pPr>
    </w:p>
    <w:p>
      <w:pPr>
        <w:ind w:left="1840" w:right="20" w:hanging="650"/>
        <w:spacing w:after="0" w:line="261" w:lineRule="auto"/>
        <w:tabs>
          <w:tab w:leader="none" w:pos="1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Corporation or its Subsidiaries has either directly or indirectly transferred any property to or supplied any services to or acquired any property from a Person with whom it was not acting at arm’s length (for the purposes of the Tax Act) for consideration other than consideration equal to the fair market value of the property or services at the time of the transfer, supply or acquisition of the property or services.</w:t>
      </w:r>
    </w:p>
    <w:p>
      <w:pPr>
        <w:spacing w:after="0" w:line="83" w:lineRule="exact"/>
        <w:rPr>
          <w:rFonts w:ascii="Times New Roman" w:cs="Times New Roman" w:eastAsia="Times New Roman" w:hAnsi="Times New Roman"/>
          <w:sz w:val="18"/>
          <w:szCs w:val="18"/>
          <w:color w:val="auto"/>
        </w:rPr>
      </w:pPr>
    </w:p>
    <w:p>
      <w:pPr>
        <w:ind w:left="1840" w:right="120" w:hanging="650"/>
        <w:spacing w:after="0" w:line="261" w:lineRule="auto"/>
        <w:tabs>
          <w:tab w:leader="none" w:pos="1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and each of its Subsidiaries is registered for purposes of the </w:t>
      </w:r>
      <w:r>
        <w:rPr>
          <w:rFonts w:ascii="Times New Roman" w:cs="Times New Roman" w:eastAsia="Times New Roman" w:hAnsi="Times New Roman"/>
          <w:sz w:val="18"/>
          <w:szCs w:val="18"/>
          <w:i w:val="1"/>
          <w:iCs w:val="1"/>
          <w:color w:val="auto"/>
        </w:rPr>
        <w:t>Excise Tax Act</w:t>
      </w:r>
      <w:r>
        <w:rPr>
          <w:rFonts w:ascii="Times New Roman" w:cs="Times New Roman" w:eastAsia="Times New Roman" w:hAnsi="Times New Roman"/>
          <w:sz w:val="18"/>
          <w:szCs w:val="18"/>
          <w:color w:val="auto"/>
        </w:rPr>
        <w:t xml:space="preserve"> (Canada). All input Tax credits claimed by the Corporation and any of its Subsidiaries were calculated in accordance with applicable Laws and the Corporation and each of its Subsidiaries has complied with all registration, reporting, payment, collection and remittance requirements in respect of any and all applicable goods and services Tax, provincial sales Tax and harmonized sales Tax.</w:t>
      </w:r>
    </w:p>
    <w:p>
      <w:pPr>
        <w:spacing w:after="0" w:line="87" w:lineRule="exact"/>
        <w:rPr>
          <w:rFonts w:ascii="Times New Roman" w:cs="Times New Roman" w:eastAsia="Times New Roman" w:hAnsi="Times New Roman"/>
          <w:sz w:val="18"/>
          <w:szCs w:val="18"/>
          <w:color w:val="auto"/>
        </w:rPr>
      </w:pPr>
    </w:p>
    <w:p>
      <w:pPr>
        <w:ind w:left="1840" w:right="60" w:hanging="650"/>
        <w:spacing w:after="0" w:line="282" w:lineRule="auto"/>
        <w:tabs>
          <w:tab w:leader="none" w:pos="1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dividends paid or deemed to be paid by the Corporation or its Subsidiaries are subject to subsection 55(2) of the Tax Act.</w:t>
      </w:r>
    </w:p>
    <w:p>
      <w:pPr>
        <w:spacing w:after="0" w:line="67" w:lineRule="exact"/>
        <w:rPr>
          <w:rFonts w:ascii="Times New Roman" w:cs="Times New Roman" w:eastAsia="Times New Roman" w:hAnsi="Times New Roman"/>
          <w:sz w:val="18"/>
          <w:szCs w:val="18"/>
          <w:color w:val="auto"/>
        </w:rPr>
      </w:pPr>
    </w:p>
    <w:p>
      <w:pPr>
        <w:ind w:left="1840" w:right="60" w:hanging="650"/>
        <w:spacing w:after="0" w:line="282" w:lineRule="auto"/>
        <w:tabs>
          <w:tab w:leader="none" w:pos="1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circumstances which exist and would result in or which have existed and resulted in sections 79 to 80.04 of the Tax Act applying to the Corporation or its Subsidiaries.</w:t>
      </w:r>
    </w:p>
    <w:p>
      <w:pPr>
        <w:spacing w:after="0" w:line="67" w:lineRule="exact"/>
        <w:rPr>
          <w:rFonts w:ascii="Times New Roman" w:cs="Times New Roman" w:eastAsia="Times New Roman" w:hAnsi="Times New Roman"/>
          <w:sz w:val="18"/>
          <w:szCs w:val="18"/>
          <w:color w:val="auto"/>
        </w:rPr>
      </w:pPr>
    </w:p>
    <w:p>
      <w:pPr>
        <w:ind w:left="1840" w:hanging="650"/>
        <w:spacing w:after="0"/>
        <w:tabs>
          <w:tab w:leader="none" w:pos="1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its Subsidiaries have complied with all provisions of Section 247 of the Tax Act.</w:t>
      </w:r>
    </w:p>
    <w:p>
      <w:pPr>
        <w:spacing w:after="0" w:line="130" w:lineRule="exact"/>
        <w:rPr>
          <w:rFonts w:ascii="Times New Roman" w:cs="Times New Roman" w:eastAsia="Times New Roman" w:hAnsi="Times New Roman"/>
          <w:sz w:val="18"/>
          <w:szCs w:val="18"/>
          <w:color w:val="auto"/>
        </w:rPr>
      </w:pPr>
    </w:p>
    <w:p>
      <w:pPr>
        <w:ind w:left="1840" w:right="240" w:hanging="650"/>
        <w:spacing w:after="0" w:line="282" w:lineRule="auto"/>
        <w:tabs>
          <w:tab w:leader="none" w:pos="1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circumstances which exist and would result in or which have existed and resulted in the Corporation or any of its Subsidiaries being assessed or responsible for any Taxes under any of Parts III, III.1, IV.1 or VI.1 of the Tax Act.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Deferred Payments</w:t>
      </w:r>
    </w:p>
    <w:p>
      <w:pPr>
        <w:spacing w:after="0" w:line="135" w:lineRule="exact"/>
        <w:rPr>
          <w:sz w:val="20"/>
          <w:szCs w:val="20"/>
          <w:color w:val="auto"/>
        </w:rPr>
      </w:pPr>
    </w:p>
    <w:p>
      <w:pPr>
        <w:ind w:left="1180" w:right="20" w:hanging="976"/>
        <w:spacing w:after="0" w:line="258" w:lineRule="auto"/>
        <w:tabs>
          <w:tab w:leader="none" w:pos="11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of its Subsidiaries owes any amounts for the deferred purchase price in respect of past acquisitions of any business, assets or securities, including any earn-out Liabilities (assuming the maximum amount is earned), post-closing price true-ups, indemnifications and “vendor take-back notes” payable associated with past acquisitions of any business, assets or securities (including that of North County Catering Ltd.) but excluding trade accounts payable and other accrued Current Liabilities all only to the extent included as Current Liabilities in Working Capital.</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135" w:lineRule="exact"/>
        <w:rPr>
          <w:sz w:val="20"/>
          <w:szCs w:val="20"/>
          <w:color w:val="auto"/>
        </w:rPr>
      </w:pPr>
    </w:p>
    <w:p>
      <w:pPr>
        <w:ind w:left="1180" w:hanging="976"/>
        <w:spacing w:after="0" w:line="256" w:lineRule="auto"/>
        <w:tabs>
          <w:tab w:leader="none" w:pos="1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of its Subsidiaries is in material default or breach of any of its obligations under any of the Material Contracts to which it is a party or by which it is bound and there exists no state of facts which, to the knowledge of the Vendors, after notice or lapse of time or both, would constitute such a material default or breach. All such Material Contracts have been duly authorized, executed and delivered and are now in good standing, in full force and effect. The Corporation and its Subsidiaries are entitled to all material benefits thereunder and, to the knowledge of the Vendors, the other parties to such Material Contracts, agreements, commitments, indentures and other instruments are not in material default or breach of any of their obligations thereunder.</w:t>
      </w:r>
    </w:p>
    <w:p>
      <w:pPr>
        <w:spacing w:after="0" w:line="93" w:lineRule="exact"/>
        <w:rPr>
          <w:rFonts w:ascii="Times New Roman" w:cs="Times New Roman" w:eastAsia="Times New Roman" w:hAnsi="Times New Roman"/>
          <w:sz w:val="18"/>
          <w:szCs w:val="18"/>
          <w:color w:val="auto"/>
        </w:rPr>
      </w:pPr>
    </w:p>
    <w:p>
      <w:pPr>
        <w:ind w:left="1180" w:hanging="976"/>
        <w:spacing w:after="0" w:line="282" w:lineRule="auto"/>
        <w:tabs>
          <w:tab w:leader="none" w:pos="1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and complete copies of all Material Contracts of the Corporation and its Subsidiaries, each of which is listed on Schedule 4.1(x) to the Disclosure Letter, have been made available to the Purchaser.</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Other Disclosures</w:t>
      </w:r>
    </w:p>
    <w:p>
      <w:pPr>
        <w:spacing w:after="0" w:line="135" w:lineRule="exact"/>
        <w:rPr>
          <w:sz w:val="20"/>
          <w:szCs w:val="20"/>
          <w:color w:val="auto"/>
        </w:rPr>
      </w:pPr>
    </w:p>
    <w:p>
      <w:pPr>
        <w:ind w:left="1180" w:right="200" w:hanging="976"/>
        <w:spacing w:after="0" w:line="282" w:lineRule="auto"/>
        <w:tabs>
          <w:tab w:leader="none" w:pos="1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the Vendors have disclosed to the Purchaser in Schedule 4.1(y) of the Disclosure Letter all material information in their possession not otherwise referred to in this Agreement or the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60"/>
          </w:cols>
          <w:pgMar w:left="240" w:top="455" w:right="49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right="500"/>
        <w:spacing w:after="0" w:line="282" w:lineRule="auto"/>
        <w:rPr>
          <w:sz w:val="20"/>
          <w:szCs w:val="20"/>
          <w:color w:val="auto"/>
        </w:rPr>
      </w:pPr>
      <w:r>
        <w:rPr>
          <w:rFonts w:ascii="Times New Roman" w:cs="Times New Roman" w:eastAsia="Times New Roman" w:hAnsi="Times New Roman"/>
          <w:sz w:val="18"/>
          <w:szCs w:val="18"/>
          <w:color w:val="auto"/>
        </w:rPr>
        <w:t>Disclosure Letter regarding any event, circumstance or action taken which could reasonably be expected to have a Material Adverse Effect.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Dispositions</w:t>
      </w:r>
    </w:p>
    <w:p>
      <w:pPr>
        <w:spacing w:after="0" w:line="135" w:lineRule="exact"/>
        <w:rPr>
          <w:sz w:val="20"/>
          <w:szCs w:val="20"/>
          <w:color w:val="auto"/>
        </w:rPr>
      </w:pPr>
    </w:p>
    <w:p>
      <w:pPr>
        <w:ind w:left="1180" w:right="40" w:hanging="976"/>
        <w:spacing w:after="0" w:line="258" w:lineRule="auto"/>
        <w:tabs>
          <w:tab w:leader="none" w:pos="11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Schedule 4.1(z) to the Disclosure Letter, Schedule 4.1(x) of the Disclosure Letter, or pursuant to the Pre-Closing Transactions, and except for such rights or obligations as have been, or will be, incurred in the Ordinary Course and which are not, or will not be, material to the Corporation or any of its Subsidiaries, the Corporation and its Subsidiaries have no obligations to sell or otherwise dispose of any material part of the Assets, properties or undertakings to other Persons under any Contracts (other than this Agreement and the transactions contemplated herein).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Records</w:t>
      </w:r>
    </w:p>
    <w:p>
      <w:pPr>
        <w:spacing w:after="0" w:line="135" w:lineRule="exact"/>
        <w:rPr>
          <w:sz w:val="20"/>
          <w:szCs w:val="20"/>
          <w:color w:val="auto"/>
        </w:rPr>
      </w:pPr>
    </w:p>
    <w:p>
      <w:pPr>
        <w:ind w:left="1180" w:right="540" w:hanging="976"/>
        <w:spacing w:after="0" w:line="282" w:lineRule="auto"/>
        <w:tabs>
          <w:tab w:leader="none" w:pos="11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Records have been maintained in material compliance with all applicable corporate Laws and contain, in all material respects, complete and accurate minutes and of all meetings and resolutions of the directors and shareholders.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Breach Caused by this Agreement</w:t>
      </w:r>
    </w:p>
    <w:p>
      <w:pPr>
        <w:spacing w:after="0" w:line="135" w:lineRule="exact"/>
        <w:rPr>
          <w:sz w:val="20"/>
          <w:szCs w:val="20"/>
          <w:color w:val="auto"/>
        </w:rPr>
      </w:pPr>
    </w:p>
    <w:p>
      <w:pPr>
        <w:ind w:left="1180" w:hanging="976"/>
        <w:spacing w:after="0" w:line="252" w:lineRule="auto"/>
        <w:tabs>
          <w:tab w:leader="none" w:pos="11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the Regulatory Approvals and other than as disclosed in Schedule 4.1(bb) to the Disclosure Letter, neither the execution and delivery of this Agreement nor any other agreements contemplated hereunder by the Corporation or any of its Subsidiaries or the Vendors, the consummation of the transactions contemplated hereby and thereby nor compliance by the Corporation and its Subsidiaries and the Vendors with any of the provisions hereof or thereof will: (i) violate, conflict with, or result in a breach of any provision of, require any consent, approval or notice under, or constitute a default (or an event which, with notice or lapse of time or both, would constitute a default) or result in a right of termination or acceleration under, or result in a creation of any Encumbrance (other than Permitted Encumbrances) upon any of the properties or Assets of the Corporation or its Subsidiaries or the Vendors under any of the terms, conditions or provisions of (a) their respective constating documents, as applicable, or (b) any Material Contract to which the Corporation or its Subsidiaries or the Vendors is a party or to which any of them, or either of their respective properties or assets, may be subject or by which the Corporation or its Subsidiaries or the Vendors is bound; (ii) violate any judgment, ruling, order, writ, injunction, determination, award, decree, statute, ordinance, rule or regulation applicable the Corporation or its Subsidiaries or the Vendors; or (iii) cause the suspension or revocation of any authorization, consent, approval or license currently in effect, with such exceptions, in the case of each of clauses (i), (ii) and (iii), as do not have or would not have, or be reasonably expected to have, individually or in the aggregate, a Material Adverse Effect on the Corporation or its Subsidiaries or the Vendors.</w:t>
      </w: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Litigation</w:t>
      </w:r>
    </w:p>
    <w:p>
      <w:pPr>
        <w:spacing w:after="0" w:line="135" w:lineRule="exact"/>
        <w:rPr>
          <w:sz w:val="20"/>
          <w:szCs w:val="20"/>
          <w:color w:val="auto"/>
        </w:rPr>
      </w:pPr>
    </w:p>
    <w:p>
      <w:pPr>
        <w:ind w:left="1180" w:right="20" w:hanging="976"/>
        <w:spacing w:after="0" w:line="258" w:lineRule="auto"/>
        <w:tabs>
          <w:tab w:leader="none" w:pos="1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Claims together with the estimated value of such Claims as disclosed on Schedule 4.1(cc) of the Disclosure Letter, there are no Claims in existence or pending or, to the knowledge of the Vendors, threatened against or for which there is a reasonable basis, affecting or that would be reasonably expected to affect the Corporation or its Subsidiaries or any of the Assets, at Law or before or by any Governmental Entity, nor is the Corporation or any of its Subsidiaries subject to any presently effective adverse order, writ, injunction or decree of any such Governmental Entity.</w:t>
      </w:r>
    </w:p>
    <w:p>
      <w:pPr>
        <w:spacing w:after="0" w:line="89" w:lineRule="exact"/>
        <w:rPr>
          <w:rFonts w:ascii="Times New Roman" w:cs="Times New Roman" w:eastAsia="Times New Roman" w:hAnsi="Times New Roman"/>
          <w:sz w:val="18"/>
          <w:szCs w:val="18"/>
          <w:color w:val="auto"/>
        </w:rPr>
      </w:pPr>
    </w:p>
    <w:p>
      <w:pPr>
        <w:ind w:left="1180" w:right="300" w:hanging="976"/>
        <w:spacing w:after="0" w:line="282" w:lineRule="auto"/>
        <w:tabs>
          <w:tab w:leader="none" w:pos="1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the Corporation and its Subsidiaries has not received notice of any outstanding Claims or complaints from any of its customers with respect to its occupational health and safety conditions or practices.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220"/>
          </w:cols>
          <w:pgMar w:left="240" w:top="455" w:right="4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Brokers and Finders</w:t>
      </w:r>
    </w:p>
    <w:p>
      <w:pPr>
        <w:spacing w:after="0" w:line="135" w:lineRule="exact"/>
        <w:rPr>
          <w:sz w:val="20"/>
          <w:szCs w:val="20"/>
          <w:color w:val="auto"/>
        </w:rPr>
      </w:pPr>
    </w:p>
    <w:p>
      <w:pPr>
        <w:ind w:left="1180" w:right="80" w:hanging="976"/>
        <w:spacing w:after="0" w:line="261" w:lineRule="auto"/>
        <w:tabs>
          <w:tab w:leader="none" w:pos="11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Sequeira Partners Inc., neither the Corporation nor any of its Subsidiaries has retained nor will it retain any financial advisor, broker, agent or finder nor paid, or agreed to pay, any financial advisor, broker, agent or finder on account of this Agreement or any of the transactions contemplated hereby nor have they granted any right of first refusal or commitment to engage any such Person in connection with any future transaction.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Employee, Consultant, Officer and Director Obligations</w:t>
      </w:r>
    </w:p>
    <w:p>
      <w:pPr>
        <w:spacing w:after="0" w:line="135" w:lineRule="exact"/>
        <w:rPr>
          <w:sz w:val="20"/>
          <w:szCs w:val="20"/>
          <w:color w:val="auto"/>
        </w:rPr>
      </w:pPr>
    </w:p>
    <w:p>
      <w:pPr>
        <w:ind w:left="1180" w:hanging="976"/>
        <w:spacing w:after="0" w:line="253" w:lineRule="auto"/>
        <w:tabs>
          <w:tab w:leader="none" w:pos="11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made available to the Purchaser prior to the date hereof a true, complete and correct a list (from which Employee names have been redacted) of all Employees including their income, position, consulting arrangements (if applicable), location of employment or consulting service, recognized date of hire, vacation entitlement, employment benefit entitlement and compensation rate (including wage or base compensation and any bonus, commission or other variable compensation) as of the date specified therein. The Corporation has made available to the Purchaser the status of any Employee as full or part time, identifies any Employee on leave of absence, and the type of leave (including short term or long term disability, if applicable). The Corporation has made available to the Purchaser a copy of all Benefit Plans, the Corporation’s standard form of employment offer letter, and all Change of Control Contracts, bonus or retention agreements, plans or policies of any of the Corporation and any of its Subsidiaries, and all agreements, plans or policies pursuant to which residual payments or loyalty payments are or could be payable. Except as disclosed on Schedule 4.1(ff) of the Disclosure Letter, none of the execution or delivery of this Agreement or the fulfillment of or compliance with the terms of this Agreement or the consummation of any of the transactions or other matters contemplated in this Agreement will (either alone or in combination with another event) will:</w:t>
      </w:r>
    </w:p>
    <w:p>
      <w:pPr>
        <w:spacing w:after="0" w:line="96" w:lineRule="exact"/>
        <w:rPr>
          <w:rFonts w:ascii="Times New Roman" w:cs="Times New Roman" w:eastAsia="Times New Roman" w:hAnsi="Times New Roman"/>
          <w:sz w:val="18"/>
          <w:szCs w:val="18"/>
          <w:color w:val="auto"/>
        </w:rPr>
      </w:pPr>
    </w:p>
    <w:p>
      <w:pPr>
        <w:ind w:left="1740" w:right="240" w:hanging="550"/>
        <w:spacing w:after="0" w:line="266" w:lineRule="auto"/>
        <w:tabs>
          <w:tab w:leader="none" w:pos="174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payment or benefit (including bonus, golden parachute, retirement, severance, or other benefit or enhanced benefit) becoming due or payable to any present or former Employee of the Corporation or its Subsidiaries including under any Benefit Plan; or</w:t>
      </w:r>
    </w:p>
    <w:p>
      <w:pPr>
        <w:spacing w:after="0" w:line="81" w:lineRule="exact"/>
        <w:rPr>
          <w:rFonts w:ascii="Times New Roman" w:cs="Times New Roman" w:eastAsia="Times New Roman" w:hAnsi="Times New Roman"/>
          <w:sz w:val="18"/>
          <w:szCs w:val="18"/>
          <w:color w:val="auto"/>
        </w:rPr>
      </w:pPr>
    </w:p>
    <w:p>
      <w:pPr>
        <w:ind w:left="1740" w:right="240" w:hanging="550"/>
        <w:spacing w:after="0" w:line="282" w:lineRule="auto"/>
        <w:tabs>
          <w:tab w:leader="none" w:pos="174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acceleration of the time of payment or vesting, or in the funding, of any benefit payable to any Employee, including under any Benefit Plan.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Employee Benefit Plans</w:t>
      </w:r>
    </w:p>
    <w:p>
      <w:pPr>
        <w:spacing w:after="0" w:line="135" w:lineRule="exact"/>
        <w:rPr>
          <w:sz w:val="20"/>
          <w:szCs w:val="20"/>
          <w:color w:val="auto"/>
        </w:rPr>
      </w:pPr>
    </w:p>
    <w:p>
      <w:pPr>
        <w:ind w:left="1180" w:right="40" w:hanging="976"/>
        <w:spacing w:after="0" w:line="255" w:lineRule="auto"/>
        <w:tabs>
          <w:tab w:leader="none" w:pos="11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made available to the Purchaser prior to the date hereof true, complete and correct copies of all Benefit Plans covering active, former and retired Employees of any of the Corporation and its Subsidiaries. Schedule 4.1(gg) to the Disclosure Letter includes a list of all of the Benefit Plans of the Corporation and its Subsidiaries. The Benefit Plans have been maintained and administered in material compliance with their terms and applicable Law, and no Benefit Plan is required to be funded or has any deficit or unfunded actuarial liability. No Benefit Plan is a defined benefit or registered pension plan, and none of the Corporation or its Subsidiaries has any obligation with respect to retirement or pension benefits. The Corporation has provided adequate accruals in the Corporation Financial Statements in accordance with ASPE for all Benefit Plan obligations of the Corporation and its Subsidiaries.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Matters</w:t>
      </w:r>
    </w:p>
    <w:p>
      <w:pPr>
        <w:spacing w:after="0" w:line="135" w:lineRule="exact"/>
        <w:rPr>
          <w:sz w:val="20"/>
          <w:szCs w:val="20"/>
          <w:color w:val="auto"/>
        </w:rPr>
      </w:pPr>
    </w:p>
    <w:p>
      <w:pPr>
        <w:ind w:left="1180" w:right="180" w:hanging="976"/>
        <w:spacing w:after="0" w:line="266" w:lineRule="auto"/>
        <w:tabs>
          <w:tab w:leader="none" w:pos="11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4.1(hh) of the Disclosure Letter, the Corporation and its Subsidiaries are in material compliance with all applicable Laws respecting employment and employment standards, terms and conditions of employment, wages, hours of work, occupational health and safety, human rights and workers compensation, and is not engaged in any unfair labour practices. Except as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200"/>
          </w:cols>
          <w:pgMar w:left="24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right="20"/>
        <w:spacing w:after="0" w:line="253" w:lineRule="auto"/>
        <w:rPr>
          <w:sz w:val="20"/>
          <w:szCs w:val="20"/>
          <w:color w:val="auto"/>
        </w:rPr>
      </w:pPr>
      <w:r>
        <w:rPr>
          <w:rFonts w:ascii="Times New Roman" w:cs="Times New Roman" w:eastAsia="Times New Roman" w:hAnsi="Times New Roman"/>
          <w:sz w:val="18"/>
          <w:szCs w:val="18"/>
          <w:color w:val="auto"/>
        </w:rPr>
        <w:t>disclosed on Schedule 4.1(hh) of the Disclosure Letter, with respect to any Employee whose employment or consultancy has been terminated within two years prior to the date of this Agreement, all amounts owing in respect of such termination (whether as salary, benefits, severance or termination pay) have been paid and no such Employee has made or, the knowledge of the Vendors, has any legal basis to make, any claim for further payment, whether in respect of salary, human rights breach, benefits, severance, termination payment or otherwise. Other than as disclosed in Schedule 4.1(hh) of the Disclosure Letter, the Corporation and its Subsidiaries have not agreed to recognize any union or other collective bargaining representative or conducted any negotiation with a union or collective bargaining representative regarding possible representation, nor has any union or other collective bargaining representative been certified as the exclusive bargaining representative of any Employees, and none of the Corporation or its Subsidiaries is a party to, or bound by, any collective bargaining agreement or any other labour contract applicable to any Employees. Except as disclosed in Schedule 4.1(hh) of the Disclosure Letter, to the knowledge of the Vendors, no union organizational campaign or representation petitions are currently pending with respect to any Employees. There is no labour strike or labour dispute, slowdown, lockout or stoppage actually pending or, to the knowledge of the Vendors, threatened against or affecting the Corporation or its Subsidiaries and the Corporation and its Subsidiaries have not experienced any labour strikes or labour disputes, slowdowns, lockouts or stoppages within the last two years.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135" w:lineRule="exact"/>
        <w:rPr>
          <w:sz w:val="20"/>
          <w:szCs w:val="20"/>
          <w:color w:val="auto"/>
        </w:rPr>
      </w:pPr>
    </w:p>
    <w:p>
      <w:pPr>
        <w:ind w:left="1180" w:hanging="976"/>
        <w:spacing w:after="0" w:line="266" w:lineRule="auto"/>
        <w:tabs>
          <w:tab w:leader="none" w:pos="11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4.1(ii) to the Disclosure Letter lists all material Intellectual Property, or Intellectual Property which could reasonably be expected to be material, owned by the Corporation and/or its Subsidiaries, or licensed to the Corporation and/or its Subsidiaries, or used in the operation, conduct or maintenance of the Business, as it is currently and has historically been operated, conducted or maintained;.</w:t>
      </w:r>
    </w:p>
    <w:p>
      <w:pPr>
        <w:spacing w:after="0" w:line="81" w:lineRule="exact"/>
        <w:rPr>
          <w:rFonts w:ascii="Times New Roman" w:cs="Times New Roman" w:eastAsia="Times New Roman" w:hAnsi="Times New Roman"/>
          <w:sz w:val="18"/>
          <w:szCs w:val="18"/>
          <w:color w:val="auto"/>
        </w:rPr>
      </w:pPr>
    </w:p>
    <w:p>
      <w:pPr>
        <w:ind w:left="1180" w:right="60" w:hanging="976"/>
        <w:spacing w:after="0" w:line="258" w:lineRule="auto"/>
        <w:tabs>
          <w:tab w:leader="none" w:pos="11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4.1(jj) to the Disclosure Letter includes complete and accurate particulars of all registrations and applications for registration of the Intellectual Property owned by Corporation and/or its Subsidiaries. All such Intellectual Property which has been registered or applied for has been properly maintained and renewed by the Corporation and/or its Subsidiaries, as applicable, in accordance with all applicable Laws and has not been used or enforced, or failed to be used or enforced, in a manner that would result in the abandonment, cancellation or unenforceability of any rights in such Intellectual Property.</w:t>
      </w:r>
    </w:p>
    <w:p>
      <w:pPr>
        <w:spacing w:after="0" w:line="89" w:lineRule="exact"/>
        <w:rPr>
          <w:rFonts w:ascii="Times New Roman" w:cs="Times New Roman" w:eastAsia="Times New Roman" w:hAnsi="Times New Roman"/>
          <w:sz w:val="18"/>
          <w:szCs w:val="18"/>
          <w:color w:val="auto"/>
        </w:rPr>
      </w:pPr>
    </w:p>
    <w:p>
      <w:pPr>
        <w:ind w:left="1180" w:right="20" w:hanging="976"/>
        <w:spacing w:after="0" w:line="256" w:lineRule="auto"/>
        <w:tabs>
          <w:tab w:leader="none" w:pos="11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4.1(kk) to the Disclosure Letter, the Corporation and its Subsidiaries own all right, title and interest to the Intellectual Property owned by, licensed to or used by the Corporation and/or its Subsidiaries in the conduct of the Business free and clear of all Encumbrances, other than Permitted Encumbrances. Except as set forth in Schedule 4.1(kk) of the Disclosure Letter, the Corporation and its Subsidiaries have the sufficient and legally enforceable right to use all Intellectual Property and Intellectual Property Rights used in carrying on the Business. The Corporation and its Subsidiaries have taken all reasonable steps to protect their respective rights in and to the Intellectual Property in Canada in accordance with industry practice.</w:t>
      </w:r>
    </w:p>
    <w:p>
      <w:pPr>
        <w:spacing w:after="0" w:line="93" w:lineRule="exact"/>
        <w:rPr>
          <w:rFonts w:ascii="Times New Roman" w:cs="Times New Roman" w:eastAsia="Times New Roman" w:hAnsi="Times New Roman"/>
          <w:sz w:val="18"/>
          <w:szCs w:val="18"/>
          <w:color w:val="auto"/>
        </w:rPr>
      </w:pPr>
    </w:p>
    <w:p>
      <w:pPr>
        <w:ind w:left="1180" w:right="40" w:hanging="976"/>
        <w:spacing w:after="0" w:line="255" w:lineRule="auto"/>
        <w:tabs>
          <w:tab w:leader="none" w:pos="11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4.1(ll) to the Disclosure Letter, neither the Corporation nor any of its Subsidiaries is party to or bound by any agreement or other obligation that limits or impairs its respective ability to use, sell, transfer, assign or convey, or that otherwise affects: (i) any of the Intellectual Property owned by it or (ii) any of the Intellectual Property licensed to or used by it, the loss of which would have an adverse effect on the Business. Except as set forth in Schedule 4.1(ll) to the Disclosure Letter, neither the Corporation nor any of its Subsidiaries has granted to any Person any right, license or permission to use all or any portion of, or otherwise encumbered any of their rights in, or to, any of the Intellectual Property owned by, licensed to or used by the Corporation or any of its Subsidiaries. Except as set forth in Schedule 4.1(ll) to the Disclosure Letter, neither the</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200"/>
          </w:cols>
          <w:pgMar w:left="24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right="680"/>
        <w:spacing w:after="0" w:line="282" w:lineRule="auto"/>
        <w:rPr>
          <w:sz w:val="20"/>
          <w:szCs w:val="20"/>
          <w:color w:val="auto"/>
        </w:rPr>
      </w:pPr>
      <w:r>
        <w:rPr>
          <w:rFonts w:ascii="Times New Roman" w:cs="Times New Roman" w:eastAsia="Times New Roman" w:hAnsi="Times New Roman"/>
          <w:sz w:val="18"/>
          <w:szCs w:val="18"/>
          <w:color w:val="auto"/>
        </w:rPr>
        <w:t>Corporation nor any of its Subsidiaries is obligated to pay any royalties, fees or other compensation to any Person in respect of its ownership, use or license of any Intellectual Property.</w:t>
      </w:r>
    </w:p>
    <w:p>
      <w:pPr>
        <w:spacing w:after="0" w:line="67" w:lineRule="exact"/>
        <w:rPr>
          <w:sz w:val="20"/>
          <w:szCs w:val="20"/>
          <w:color w:val="auto"/>
        </w:rPr>
      </w:pPr>
    </w:p>
    <w:p>
      <w:pPr>
        <w:ind w:left="1180" w:hanging="976"/>
        <w:spacing w:after="0" w:line="270" w:lineRule="auto"/>
        <w:tabs>
          <w:tab w:leader="none" w:pos="118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Schedule 4.1(mm) of the Disclosure Letter: (i) to the knowledge of the Vendors, the operation of the Business does not and has not infringed upon or violated the Intellectual Property Rights of any Person; and (ii) no Claims have been asserted or are threatened against the Corporation or any of its Subsidiaries by any Person alleging that the conduct of the Business, including the use of the Intellectual Property owned by, licensed to or used by the Corporation or any of its Subsidiaries, infringes upon or violates any of their Intellectual Property Rights. To the knowledge of the Vendors, neither the Corporation nor any of its Subsidiaries have received any notice, complaint, threat or claim alleging: (i) the infringement, misappropriation, misuse or violation of any Intellectual Property Rights or other right of any Person or breach of any duty or obligation owed to any Person; or (ii) that the Corporation, one of its Subsidiaries does not own the Intellectual Property it purports to own. To the knowledge of the Vendors: (i) there are no valid grounds for any such Claims by any such Persons alleging infringement of their respective Intellectual Property Rights; and (ii) there is no state of facts that casts doubt on the validity or enforceability of any of the Intellectual Property owned by, licensed to or used by the Corporation or any of its Subsidiaries.</w:t>
      </w:r>
    </w:p>
    <w:p>
      <w:pPr>
        <w:spacing w:after="0" w:line="83" w:lineRule="exact"/>
        <w:rPr>
          <w:rFonts w:ascii="Times New Roman" w:cs="Times New Roman" w:eastAsia="Times New Roman" w:hAnsi="Times New Roman"/>
          <w:sz w:val="17"/>
          <w:szCs w:val="17"/>
          <w:color w:val="auto"/>
        </w:rPr>
      </w:pPr>
    </w:p>
    <w:p>
      <w:pPr>
        <w:ind w:left="1180" w:right="100" w:hanging="976"/>
        <w:spacing w:after="0" w:line="261" w:lineRule="auto"/>
        <w:tabs>
          <w:tab w:leader="none" w:pos="1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4.1(nn) of the Disclosure Letter, the transactions contemplated by this Agreement and the continued operation of the Business as currently conducted will not violate or breach the terms of any Intellectual Property license or agreement, or entitle any other Person to any such Intellectual Property license or agreement to terminate or modify it, or otherwise materially adversely affect the rights of the Corporation or any of its Subsidiaries under it.</w:t>
      </w:r>
    </w:p>
    <w:p>
      <w:pPr>
        <w:spacing w:after="0" w:line="85" w:lineRule="exact"/>
        <w:rPr>
          <w:rFonts w:ascii="Times New Roman" w:cs="Times New Roman" w:eastAsia="Times New Roman" w:hAnsi="Times New Roman"/>
          <w:sz w:val="18"/>
          <w:szCs w:val="18"/>
          <w:color w:val="auto"/>
        </w:rPr>
      </w:pPr>
    </w:p>
    <w:p>
      <w:pPr>
        <w:ind w:left="1180" w:right="20" w:hanging="976"/>
        <w:spacing w:after="0" w:line="266" w:lineRule="auto"/>
        <w:tabs>
          <w:tab w:leader="none" w:pos="1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4.1(oo) to the Disclosure Letter, to the knowledge of the Vendors, no Person is infringing or violating or has infringed or violated any of the registered patents or any registered trademarks owned by, licensed to or used by the Corporation or any of its Subsidiaries.</w:t>
      </w:r>
    </w:p>
    <w:p>
      <w:pPr>
        <w:spacing w:after="0" w:line="81" w:lineRule="exact"/>
        <w:rPr>
          <w:rFonts w:ascii="Times New Roman" w:cs="Times New Roman" w:eastAsia="Times New Roman" w:hAnsi="Times New Roman"/>
          <w:sz w:val="18"/>
          <w:szCs w:val="18"/>
          <w:color w:val="auto"/>
        </w:rPr>
      </w:pPr>
    </w:p>
    <w:p>
      <w:pPr>
        <w:ind w:left="1180" w:right="220" w:hanging="976"/>
        <w:spacing w:after="0" w:line="266" w:lineRule="auto"/>
        <w:tabs>
          <w:tab w:leader="none" w:pos="1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may have been assigned by Contract and disclosed in Schedule 4.1(pp) of the Disclosure Letter, the Intellectual Property owned by the Corporation and its Subsidiaries has not been developed with the assistance or use of any funding from any Governmental Entity.</w:t>
      </w:r>
    </w:p>
    <w:p>
      <w:pPr>
        <w:spacing w:after="0" w:line="81" w:lineRule="exact"/>
        <w:rPr>
          <w:rFonts w:ascii="Times New Roman" w:cs="Times New Roman" w:eastAsia="Times New Roman" w:hAnsi="Times New Roman"/>
          <w:sz w:val="18"/>
          <w:szCs w:val="18"/>
          <w:color w:val="auto"/>
        </w:rPr>
      </w:pPr>
    </w:p>
    <w:p>
      <w:pPr>
        <w:ind w:left="1180" w:right="40" w:hanging="976"/>
        <w:spacing w:after="0" w:line="254" w:lineRule="auto"/>
        <w:tabs>
          <w:tab w:leader="none" w:pos="1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4.1(qq) to the Disclosure Letter, all current and former Employees of the Corporation and its Subsidiaries whose duties or responsibilities relate to the development, creation or conception of Intellectual Property have entered into confidentiality, intellectual property assignment and proprietary information agreements with and in favour of the Corporation or any of its Subsidiaries. Except as set forth in Schedule 4.1(qq) to the Disclosure Letter, each such Person has: (i) assigned all right, title and interest that such Person may possess in and to the Intellectual Property developed, created or conceived by such Person in favour of the Corporation or any of its Subsidiaries; and (ii) irrevocably waived in writing its non-assignable rights (including moral rights) to any Intellectual Property Rights created by such Person. To the knowledge of the Vendors, no Employee of the Corporation or any of its Subsidiaries is in violation of any term of any employment or consulting Contract, confidentiality agreement, proprietary information agreement, intellectual property assignment, non-competition agreement, or any other Contract or agreement relating to the relationship of any such Employee or consultant with the Corporation or any of its Subsidiaries, as applicable.</w:t>
      </w:r>
    </w:p>
    <w:p>
      <w:pPr>
        <w:spacing w:after="0" w:line="91" w:lineRule="exact"/>
        <w:rPr>
          <w:rFonts w:ascii="Times New Roman" w:cs="Times New Roman" w:eastAsia="Times New Roman" w:hAnsi="Times New Roman"/>
          <w:sz w:val="18"/>
          <w:szCs w:val="18"/>
          <w:color w:val="auto"/>
        </w:rPr>
      </w:pPr>
    </w:p>
    <w:p>
      <w:pPr>
        <w:ind w:left="1180" w:hanging="976"/>
        <w:spacing w:after="0"/>
        <w:tabs>
          <w:tab w:leader="none" w:pos="1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Intellectual Property includes any Software, such Software:</w:t>
      </w:r>
    </w:p>
    <w:p>
      <w:pPr>
        <w:spacing w:after="0" w:line="130" w:lineRule="exact"/>
        <w:rPr>
          <w:rFonts w:ascii="Times New Roman" w:cs="Times New Roman" w:eastAsia="Times New Roman" w:hAnsi="Times New Roman"/>
          <w:sz w:val="18"/>
          <w:szCs w:val="18"/>
          <w:color w:val="auto"/>
        </w:rPr>
      </w:pPr>
    </w:p>
    <w:p>
      <w:pPr>
        <w:ind w:left="1740" w:right="40" w:hanging="550"/>
        <w:spacing w:after="0" w:line="261" w:lineRule="auto"/>
        <w:tabs>
          <w:tab w:leader="none" w:pos="17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at all times in the last three (3) years, operated in accordance with the operational documentation and specifications therefor without any material operating defects, delays or non-conformance and without the requirement for work around or non-automated process steps which could materially affect the operation, conduct or maintenance of the Business, as it is currently and has during the last two years been operated, conducted or maintained;</w:t>
      </w:r>
    </w:p>
    <w:p>
      <w:pPr>
        <w:spacing w:after="0" w:line="85" w:lineRule="exact"/>
        <w:rPr>
          <w:rFonts w:ascii="Times New Roman" w:cs="Times New Roman" w:eastAsia="Times New Roman" w:hAnsi="Times New Roman"/>
          <w:sz w:val="18"/>
          <w:szCs w:val="18"/>
          <w:color w:val="auto"/>
        </w:rPr>
      </w:pPr>
    </w:p>
    <w:p>
      <w:pPr>
        <w:ind w:left="1740" w:right="220" w:hanging="550"/>
        <w:spacing w:after="0" w:line="282" w:lineRule="auto"/>
        <w:tabs>
          <w:tab w:leader="none" w:pos="17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does not contain any unauthorized code, disabling mechanism or protection feature designed to prevent its use, including any clock, timer, counter, computer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220"/>
          </w:cols>
          <w:pgMar w:left="240" w:top="455" w:right="4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740" w:right="360"/>
        <w:spacing w:after="0" w:line="313" w:lineRule="auto"/>
        <w:rPr>
          <w:sz w:val="20"/>
          <w:szCs w:val="20"/>
          <w:color w:val="auto"/>
        </w:rPr>
      </w:pPr>
      <w:r>
        <w:rPr>
          <w:rFonts w:ascii="Times New Roman" w:cs="Times New Roman" w:eastAsia="Times New Roman" w:hAnsi="Times New Roman"/>
          <w:sz w:val="17"/>
          <w:szCs w:val="17"/>
          <w:color w:val="auto"/>
        </w:rPr>
        <w:t>virus, worm, software lock, drop dead device, Trojan-horse routine, trap door or time bomb that may be used to distort, delete, modify, damage or disable such Software or otherwise modify, disable or harm the Intellectual Property or the Business; and</w:t>
      </w:r>
    </w:p>
    <w:p>
      <w:pPr>
        <w:spacing w:after="0" w:line="44" w:lineRule="exact"/>
        <w:rPr>
          <w:sz w:val="20"/>
          <w:szCs w:val="20"/>
          <w:color w:val="auto"/>
        </w:rPr>
      </w:pPr>
    </w:p>
    <w:p>
      <w:pPr>
        <w:ind w:left="1740" w:right="40" w:hanging="550"/>
        <w:spacing w:after="0" w:line="261" w:lineRule="auto"/>
        <w:tabs>
          <w:tab w:leader="none" w:pos="17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contain any open source, “copyleft” or community source code, including any libraries or code licensed under the “General Public License”, “Lesser General Public License” or any other license agreement or arrangement obliging Corporation to make source code publicly available, whether or not approved by the “Open Source Initiative”, except as set forth in Schedule 4.1(qq) to the Disclosure Letter.</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Governmental Entity Approvals</w:t>
      </w:r>
    </w:p>
    <w:p>
      <w:pPr>
        <w:spacing w:after="0" w:line="135" w:lineRule="exact"/>
        <w:rPr>
          <w:sz w:val="20"/>
          <w:szCs w:val="20"/>
          <w:color w:val="auto"/>
        </w:rPr>
      </w:pPr>
    </w:p>
    <w:p>
      <w:pPr>
        <w:ind w:left="1180" w:hanging="976"/>
        <w:spacing w:after="0" w:line="255" w:lineRule="auto"/>
        <w:tabs>
          <w:tab w:leader="none" w:pos="11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respect of the Regulatory Approvals or with respect to the Required Work, no approval of, registration, notice to, authorization of, declaration or filing with any Governmental Entity is necessary to authorize the execution and delivery of this Agreement, or any and all of the documents and instruments which are contemplated by or ancillary to the transactions detailed under this Agreement or the consummation by the Corporation of the transactions contemplated herein, where the failure to obtain such approval, registration, authorization, declaration or filing with any Governmental Entity would prevent the Corporation or any of the Vendors from execution and delivery of this Agreement, or any and all of the documents and instruments which are contemplated by or ancillary to the transactions detailed under this Agreement or the consummation of the transactions contemplated herein or would have a Material Adverse Effect on the Corporation or any of its Subsidiaries.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Reporting Issuer Status</w:t>
      </w:r>
    </w:p>
    <w:p>
      <w:pPr>
        <w:spacing w:after="0" w:line="135" w:lineRule="exact"/>
        <w:rPr>
          <w:sz w:val="20"/>
          <w:szCs w:val="20"/>
          <w:color w:val="auto"/>
        </w:rPr>
      </w:pPr>
    </w:p>
    <w:p>
      <w:pPr>
        <w:ind w:left="1180" w:right="200" w:hanging="976"/>
        <w:spacing w:after="0" w:line="282" w:lineRule="auto"/>
        <w:tabs>
          <w:tab w:leader="none" w:pos="11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of its Subsidiaries is a reporting issuer or equivalent in any province or territory of Canada. None of the shares of the Corporation or any of its Subsidiaries are listed or posted for trading on any stock exchange.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35" w:lineRule="exact"/>
        <w:rPr>
          <w:sz w:val="20"/>
          <w:szCs w:val="20"/>
          <w:color w:val="auto"/>
        </w:rPr>
      </w:pPr>
    </w:p>
    <w:p>
      <w:pPr>
        <w:ind w:left="1180" w:hanging="976"/>
        <w:spacing w:after="0"/>
        <w:tabs>
          <w:tab w:leader="none" w:pos="11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of its Subsidiaries have any “off-balance sheet arrangements” as such term is described under ASPE.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Owned Real Property</w:t>
      </w:r>
    </w:p>
    <w:p>
      <w:pPr>
        <w:spacing w:after="0" w:line="135" w:lineRule="exact"/>
        <w:rPr>
          <w:sz w:val="20"/>
          <w:szCs w:val="20"/>
          <w:color w:val="auto"/>
        </w:rPr>
      </w:pPr>
    </w:p>
    <w:p>
      <w:pPr>
        <w:ind w:left="1180" w:right="500" w:hanging="976"/>
        <w:spacing w:after="0" w:line="282" w:lineRule="auto"/>
        <w:tabs>
          <w:tab w:leader="none" w:pos="11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1 of Schedule 4.1(vv) to the Disclosure Letter sets forth a complete and accurate list of all the Owned Real Property and a legal description and municipal address for such Owned Real Property.</w:t>
      </w:r>
    </w:p>
    <w:p>
      <w:pPr>
        <w:spacing w:after="0" w:line="67" w:lineRule="exact"/>
        <w:rPr>
          <w:rFonts w:ascii="Times New Roman" w:cs="Times New Roman" w:eastAsia="Times New Roman" w:hAnsi="Times New Roman"/>
          <w:sz w:val="18"/>
          <w:szCs w:val="18"/>
          <w:color w:val="auto"/>
        </w:rPr>
      </w:pPr>
    </w:p>
    <w:p>
      <w:pPr>
        <w:ind w:left="1180" w:right="140" w:hanging="976"/>
        <w:spacing w:after="0" w:line="313" w:lineRule="auto"/>
        <w:tabs>
          <w:tab w:leader="none" w:pos="118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Part 2 of Schedule 4.1(vv) to the Disclosure Letter, there are no options to purchase or rights of first refusal to purchase with respect to the Corporation’s interest in the Owned Real Property or any parts thereof that have not expired or been waived.</w:t>
      </w:r>
    </w:p>
    <w:p>
      <w:pPr>
        <w:spacing w:after="0" w:line="43" w:lineRule="exact"/>
        <w:rPr>
          <w:rFonts w:ascii="Times New Roman" w:cs="Times New Roman" w:eastAsia="Times New Roman" w:hAnsi="Times New Roman"/>
          <w:sz w:val="17"/>
          <w:szCs w:val="17"/>
          <w:color w:val="auto"/>
        </w:rPr>
      </w:pPr>
    </w:p>
    <w:p>
      <w:pPr>
        <w:ind w:left="1180" w:right="80" w:hanging="976"/>
        <w:spacing w:after="0" w:line="258" w:lineRule="auto"/>
        <w:tabs>
          <w:tab w:leader="none" w:pos="11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except as disclosed in Schedule 1.1(mmmmm) of the Disclosure Letter, the Owned Real Property is currently used in compliance in all material respects with all applicable Laws applicable thereto, including zoning, construction and development. To the knowledge of the Vendors, the Corporation has all of the necessary operating Permits for the operation of the Owned Real Property for its present use, such operating Permits are in full force and effect and the Owned Real Property is zoned to permit all of the uses for which such property is used.</w:t>
      </w:r>
    </w:p>
    <w:p>
      <w:pPr>
        <w:spacing w:after="0" w:line="89" w:lineRule="exact"/>
        <w:rPr>
          <w:rFonts w:ascii="Times New Roman" w:cs="Times New Roman" w:eastAsia="Times New Roman" w:hAnsi="Times New Roman"/>
          <w:sz w:val="18"/>
          <w:szCs w:val="18"/>
          <w:color w:val="auto"/>
        </w:rPr>
      </w:pPr>
    </w:p>
    <w:p>
      <w:pPr>
        <w:ind w:left="1180" w:right="60" w:hanging="976"/>
        <w:spacing w:after="0" w:line="266" w:lineRule="auto"/>
        <w:tabs>
          <w:tab w:leader="none" w:pos="11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have no knowledge of any existing fact or condition which could result in the amendment or termination of full, free and unobstructed access of the Owned Real Property to adjoining public highways, streets and/or roads; and, to the knowledge of the Vendors, all entrances/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200"/>
          </w:cols>
          <w:pgMar w:left="24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82" w:lineRule="auto"/>
        <w:rPr>
          <w:sz w:val="20"/>
          <w:szCs w:val="20"/>
          <w:color w:val="auto"/>
        </w:rPr>
      </w:pPr>
      <w:r>
        <w:rPr>
          <w:rFonts w:ascii="Times New Roman" w:cs="Times New Roman" w:eastAsia="Times New Roman" w:hAnsi="Times New Roman"/>
          <w:sz w:val="18"/>
          <w:szCs w:val="18"/>
          <w:color w:val="auto"/>
        </w:rPr>
        <w:t>exits to the Owned Real Property are, in all material respects, permitted under applicable Law and allow free and uninterrupted ingress and egress to public highways, streets and/or roads for the operation of the Business.</w:t>
      </w:r>
    </w:p>
    <w:p>
      <w:pPr>
        <w:spacing w:after="0" w:line="67" w:lineRule="exact"/>
        <w:rPr>
          <w:sz w:val="20"/>
          <w:szCs w:val="20"/>
          <w:color w:val="auto"/>
        </w:rPr>
      </w:pPr>
    </w:p>
    <w:p>
      <w:pPr>
        <w:ind w:left="1180" w:right="120" w:hanging="976"/>
        <w:spacing w:after="0" w:line="256" w:lineRule="auto"/>
        <w:tabs>
          <w:tab w:leader="none" w:pos="11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1.1(mmmmm) of the Disclosure Letter, the Vendors have no knowledge of any material structural, mechanical or other defects in the buildings and/or fixtures located on or at Owned Real Property (for greater certainty, such defects shall include, without limitation, defects in footings, foundations, floors, bearing walls and roofs) and, without limiting the foregoing, each above-ground storage tank for petroleum substances, above-ground waste and sewage or any other purpose that is used or held for use by the Corporation at any of the Owned Real Property has been maintained, in material compliance with the industry standards applicable thereto and applicable Law.</w:t>
      </w:r>
    </w:p>
    <w:p>
      <w:pPr>
        <w:spacing w:after="0" w:line="93" w:lineRule="exact"/>
        <w:rPr>
          <w:sz w:val="20"/>
          <w:szCs w:val="20"/>
          <w:color w:val="auto"/>
        </w:rPr>
      </w:pPr>
    </w:p>
    <w:p>
      <w:pPr>
        <w:ind w:left="1180" w:right="740" w:hanging="976"/>
        <w:spacing w:after="0" w:line="266" w:lineRule="auto"/>
        <w:tabs>
          <w:tab w:leader="none" w:pos="11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there exists no outstanding work order, compliance notice, or work directive issued by any Governmental Entity in respect of the Owned Real Property requesting the Corporation or any of its Subsidiaries to comply with applicable Laws.</w:t>
      </w:r>
    </w:p>
    <w:p>
      <w:pPr>
        <w:spacing w:after="0" w:line="81" w:lineRule="exact"/>
        <w:rPr>
          <w:rFonts w:ascii="Times New Roman" w:cs="Times New Roman" w:eastAsia="Times New Roman" w:hAnsi="Times New Roman"/>
          <w:sz w:val="18"/>
          <w:szCs w:val="18"/>
          <w:color w:val="auto"/>
        </w:rPr>
      </w:pPr>
    </w:p>
    <w:p>
      <w:pPr>
        <w:ind w:left="1180" w:right="100" w:hanging="976"/>
        <w:spacing w:after="0" w:line="282" w:lineRule="auto"/>
        <w:tabs>
          <w:tab w:leader="none" w:pos="11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there are no expropriation, condemnation or similar proceedings, pending or threatened, with respect to any of Owned Real Property or any part thereof.</w:t>
      </w:r>
    </w:p>
    <w:p>
      <w:pPr>
        <w:spacing w:after="0" w:line="67" w:lineRule="exact"/>
        <w:rPr>
          <w:rFonts w:ascii="Times New Roman" w:cs="Times New Roman" w:eastAsia="Times New Roman" w:hAnsi="Times New Roman"/>
          <w:sz w:val="18"/>
          <w:szCs w:val="18"/>
          <w:color w:val="auto"/>
        </w:rPr>
      </w:pPr>
    </w:p>
    <w:p>
      <w:pPr>
        <w:ind w:left="1180" w:right="40" w:hanging="976"/>
        <w:spacing w:after="0" w:line="281" w:lineRule="auto"/>
        <w:tabs>
          <w:tab w:leader="none" w:pos="118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Schedule 4.1(vv) to the Disclosure Letter, there are no agreements, options, contracts or commitments to purchase, sell, transfer or otherwise dispose of any of the Owned Real Property. Except as disclosed in Schedule 1.1(ggggg) to the Disclosure Letter, there are no leases, tenancies, licenses, or other rights of occupancy or use for any portion of any of the Owned Real Property by any other Person and no Person other than the Corporation or any of its Subsidiaries occupies or uses any portion of any of Owned Real Property.</w:t>
      </w:r>
    </w:p>
    <w:p>
      <w:pPr>
        <w:spacing w:after="0" w:line="70" w:lineRule="exact"/>
        <w:rPr>
          <w:rFonts w:ascii="Times New Roman" w:cs="Times New Roman" w:eastAsia="Times New Roman" w:hAnsi="Times New Roman"/>
          <w:sz w:val="17"/>
          <w:szCs w:val="17"/>
          <w:color w:val="auto"/>
        </w:rPr>
      </w:pPr>
    </w:p>
    <w:p>
      <w:pPr>
        <w:ind w:left="1180" w:right="140" w:hanging="976"/>
        <w:spacing w:after="0" w:line="282" w:lineRule="auto"/>
        <w:tabs>
          <w:tab w:leader="none" w:pos="11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the buildings and structures on the Owned Real Property do not encroach on any lands that are not part of the Owned Real Property.</w:t>
      </w:r>
    </w:p>
    <w:p>
      <w:pPr>
        <w:spacing w:after="0" w:line="67" w:lineRule="exact"/>
        <w:rPr>
          <w:rFonts w:ascii="Times New Roman" w:cs="Times New Roman" w:eastAsia="Times New Roman" w:hAnsi="Times New Roman"/>
          <w:sz w:val="18"/>
          <w:szCs w:val="18"/>
          <w:color w:val="auto"/>
        </w:rPr>
      </w:pPr>
    </w:p>
    <w:p>
      <w:pPr>
        <w:ind w:left="1180" w:right="260" w:hanging="976"/>
        <w:spacing w:after="0" w:line="282" w:lineRule="auto"/>
        <w:tabs>
          <w:tab w:leader="none" w:pos="11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the sole beneficial and registered owner of, and has title in fee simple to, the Owned Real Property, free and clear of any and all Encumbrances, except for the Permitted Encumbrances.</w:t>
      </w:r>
    </w:p>
    <w:p>
      <w:pPr>
        <w:spacing w:after="0" w:line="67" w:lineRule="exact"/>
        <w:rPr>
          <w:rFonts w:ascii="Times New Roman" w:cs="Times New Roman" w:eastAsia="Times New Roman" w:hAnsi="Times New Roman"/>
          <w:sz w:val="18"/>
          <w:szCs w:val="18"/>
          <w:color w:val="auto"/>
        </w:rPr>
      </w:pPr>
    </w:p>
    <w:p>
      <w:pPr>
        <w:ind w:left="1180" w:right="40" w:hanging="976"/>
        <w:spacing w:after="0" w:line="261" w:lineRule="auto"/>
        <w:tabs>
          <w:tab w:leader="none" w:pos="11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except as disclosed in Schedule 1.1(mmmmm) of the Disclosure Letter, none of the Leased Premises or Owned Real Property or the buildings, fixtures, improvements and other structures thereon, nor their use, operation or maintenance for the purpose of operating, conducting or maintaining the Business, violates any restrictive covenant registered against title to the applicable lands or any provision of any Law applicable to the Leased Premises or Owned Real Property.</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Leased Real Property</w:t>
      </w:r>
    </w:p>
    <w:p>
      <w:pPr>
        <w:spacing w:after="0" w:line="135" w:lineRule="exact"/>
        <w:rPr>
          <w:sz w:val="20"/>
          <w:szCs w:val="20"/>
          <w:color w:val="auto"/>
        </w:rPr>
      </w:pPr>
    </w:p>
    <w:p>
      <w:pPr>
        <w:ind w:left="1180" w:hanging="976"/>
        <w:spacing w:after="0"/>
        <w:tabs>
          <w:tab w:leader="none" w:pos="11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4.1(ggg) to the Disclosure Letter contains a complete legal description and municipal address of all Leased Premises.</w:t>
      </w:r>
    </w:p>
    <w:p>
      <w:pPr>
        <w:spacing w:after="0" w:line="130" w:lineRule="exact"/>
        <w:rPr>
          <w:rFonts w:ascii="Times New Roman" w:cs="Times New Roman" w:eastAsia="Times New Roman" w:hAnsi="Times New Roman"/>
          <w:sz w:val="18"/>
          <w:szCs w:val="18"/>
          <w:color w:val="auto"/>
        </w:rPr>
      </w:pPr>
    </w:p>
    <w:p>
      <w:pPr>
        <w:ind w:left="1180" w:right="20" w:hanging="976"/>
        <w:spacing w:after="0" w:line="258" w:lineRule="auto"/>
        <w:tabs>
          <w:tab w:leader="none" w:pos="11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and complete copies of the Real Property Leases disclosed in Schedule 4.1(ggg) to the Disclosure Letter have been made available to the Purchaser. Other than as disclosed in Schedule 4.1(hhh) to the Disclosure Letter, each of the Real Property Leases is in good standing and in full force and effect and constitutes the entire agreement between the Corporation or its Subsidiary, as applicable, and the landlord thereunder and, to the knowledge of the Vendors, the applicable landlord is not in material breach of any covenant, condition or obligation contained therein.</w:t>
      </w:r>
    </w:p>
    <w:p>
      <w:pPr>
        <w:spacing w:after="0" w:line="89" w:lineRule="exact"/>
        <w:rPr>
          <w:rFonts w:ascii="Times New Roman" w:cs="Times New Roman" w:eastAsia="Times New Roman" w:hAnsi="Times New Roman"/>
          <w:sz w:val="18"/>
          <w:szCs w:val="18"/>
          <w:color w:val="auto"/>
        </w:rPr>
      </w:pPr>
    </w:p>
    <w:p>
      <w:pPr>
        <w:ind w:left="1180" w:hanging="976"/>
        <w:spacing w:after="0" w:line="266" w:lineRule="auto"/>
        <w:tabs>
          <w:tab w:leader="none" w:pos="11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4.1(ggg) and Schedule 1.1(mmmmm) of the Disclosure Letter, all buildings, structures, improvements and appurtenances comprising the Leased Premises used by the Corporation or its Subsidiaries in the conduct of the Business, are in good operating condition and in a</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200"/>
          </w:cols>
          <w:pgMar w:left="24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right="160"/>
        <w:spacing w:after="0" w:line="313" w:lineRule="auto"/>
        <w:rPr>
          <w:sz w:val="20"/>
          <w:szCs w:val="20"/>
          <w:color w:val="auto"/>
        </w:rPr>
      </w:pPr>
      <w:r>
        <w:rPr>
          <w:rFonts w:ascii="Times New Roman" w:cs="Times New Roman" w:eastAsia="Times New Roman" w:hAnsi="Times New Roman"/>
          <w:sz w:val="17"/>
          <w:szCs w:val="17"/>
          <w:color w:val="auto"/>
        </w:rPr>
        <w:t>state of good maintenance and repair, wear and tear excepted, and are adequate and suitable for the purposes for which they are currently being used by the Corporation or its Subsidiaries. Without limiting the generality of the foregoing, to the knowledge of the Vendors:</w:t>
      </w:r>
    </w:p>
    <w:p>
      <w:pPr>
        <w:spacing w:after="0" w:line="44" w:lineRule="exact"/>
        <w:rPr>
          <w:sz w:val="20"/>
          <w:szCs w:val="20"/>
          <w:color w:val="auto"/>
        </w:rPr>
      </w:pPr>
    </w:p>
    <w:p>
      <w:pPr>
        <w:jc w:val="both"/>
        <w:ind w:left="1840" w:right="20" w:hanging="650"/>
        <w:spacing w:after="0" w:line="266" w:lineRule="auto"/>
        <w:tabs>
          <w:tab w:leader="none" w:pos="1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Leased Premises, the current use of the Leased Premises in the conduct of the Business, comply, in all material respects, with all applicable Laws, including, without limitation, those dealing with zoning, parking, access, loading facilities, landscaped areas, building construction, fire and public health and safety and Environmental Laws;</w:t>
      </w:r>
    </w:p>
    <w:p>
      <w:pPr>
        <w:spacing w:after="0" w:line="81" w:lineRule="exact"/>
        <w:rPr>
          <w:rFonts w:ascii="Times New Roman" w:cs="Times New Roman" w:eastAsia="Times New Roman" w:hAnsi="Times New Roman"/>
          <w:sz w:val="18"/>
          <w:szCs w:val="18"/>
          <w:color w:val="auto"/>
        </w:rPr>
      </w:pPr>
    </w:p>
    <w:p>
      <w:pPr>
        <w:ind w:left="1840" w:hanging="650"/>
        <w:spacing w:after="0" w:line="258" w:lineRule="auto"/>
        <w:tabs>
          <w:tab w:leader="none" w:pos="1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alteration, repair, improvement or other work has been ordered, directed or requested in writing to be done or performed to or in respect of the Leased Premises, or to any of the Systems, by any Governmental Entity, which alteration, repair, improvement or other work has not been completed, and the Vendors know of no written notification having been given to the Corporation or any of its Subsidiaries of any such outstanding work being ordered, directed or requested, other than those that have been complied with;</w:t>
      </w:r>
    </w:p>
    <w:p>
      <w:pPr>
        <w:spacing w:after="0" w:line="89" w:lineRule="exact"/>
        <w:rPr>
          <w:rFonts w:ascii="Times New Roman" w:cs="Times New Roman" w:eastAsia="Times New Roman" w:hAnsi="Times New Roman"/>
          <w:sz w:val="18"/>
          <w:szCs w:val="18"/>
          <w:color w:val="auto"/>
        </w:rPr>
      </w:pPr>
    </w:p>
    <w:p>
      <w:pPr>
        <w:ind w:left="1840" w:right="40" w:hanging="650"/>
        <w:spacing w:after="0" w:line="256" w:lineRule="auto"/>
        <w:tabs>
          <w:tab w:leader="none" w:pos="1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accounts for work and services performed and materials placed or furnished upon or in respect of the Leased Premises at the request of the Corporation or any of its Subsidiaries have been fully paid and satisfied by the Corporation or any of its Subsidiaries, and no Person is entitled to claim a lien under the </w:t>
      </w:r>
      <w:r>
        <w:rPr>
          <w:rFonts w:ascii="Times New Roman" w:cs="Times New Roman" w:eastAsia="Times New Roman" w:hAnsi="Times New Roman"/>
          <w:sz w:val="18"/>
          <w:szCs w:val="18"/>
          <w:i w:val="1"/>
          <w:iCs w:val="1"/>
          <w:color w:val="auto"/>
        </w:rPr>
        <w:t>Builders’ Lien Act</w:t>
      </w:r>
      <w:r>
        <w:rPr>
          <w:rFonts w:ascii="Times New Roman" w:cs="Times New Roman" w:eastAsia="Times New Roman" w:hAnsi="Times New Roman"/>
          <w:sz w:val="18"/>
          <w:szCs w:val="18"/>
          <w:color w:val="auto"/>
        </w:rPr>
        <w:t xml:space="preserve"> (Alberta) (or similar legislation) against the Leased Premises for work and services performed and materials placed or furnished upon or in respect of the Leased Premises at the request of the Corporation or any of its Subsidiaries, other than current accounts in respect of which the payment due date has not yet passed;</w:t>
      </w:r>
    </w:p>
    <w:p>
      <w:pPr>
        <w:spacing w:after="0" w:line="93" w:lineRule="exact"/>
        <w:rPr>
          <w:rFonts w:ascii="Times New Roman" w:cs="Times New Roman" w:eastAsia="Times New Roman" w:hAnsi="Times New Roman"/>
          <w:sz w:val="18"/>
          <w:szCs w:val="18"/>
          <w:color w:val="auto"/>
        </w:rPr>
      </w:pPr>
    </w:p>
    <w:p>
      <w:pPr>
        <w:ind w:left="1840" w:hanging="650"/>
        <w:spacing w:after="0" w:line="261" w:lineRule="auto"/>
        <w:tabs>
          <w:tab w:leader="none" w:pos="1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nothing owing in respect of the Leased Premises by the Corporation or any of its Subsidiaries to any municipal corporation nor to any other corporation or commission owning or operating a public utility for water, gas, electrical power or energy, steam or hot water, or for the use thereof, other than current accounts in respect of which the payment due date has not yet passed;</w:t>
      </w:r>
    </w:p>
    <w:p>
      <w:pPr>
        <w:spacing w:after="0" w:line="85" w:lineRule="exact"/>
        <w:rPr>
          <w:rFonts w:ascii="Times New Roman" w:cs="Times New Roman" w:eastAsia="Times New Roman" w:hAnsi="Times New Roman"/>
          <w:sz w:val="18"/>
          <w:szCs w:val="18"/>
          <w:color w:val="auto"/>
        </w:rPr>
      </w:pPr>
    </w:p>
    <w:p>
      <w:pPr>
        <w:ind w:left="1840" w:right="60" w:hanging="650"/>
        <w:spacing w:after="0" w:line="282" w:lineRule="auto"/>
        <w:tabs>
          <w:tab w:leader="none" w:pos="1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Leased Premises has been taken or expropriated by any federal, provincial, municipal or other competent authority, nor to the knowledge of the Vendors has any such notice or proceeding in respect thereof been given or commenced;</w:t>
      </w:r>
    </w:p>
    <w:p>
      <w:pPr>
        <w:spacing w:after="0" w:line="67" w:lineRule="exact"/>
        <w:rPr>
          <w:rFonts w:ascii="Times New Roman" w:cs="Times New Roman" w:eastAsia="Times New Roman" w:hAnsi="Times New Roman"/>
          <w:sz w:val="18"/>
          <w:szCs w:val="18"/>
          <w:color w:val="auto"/>
        </w:rPr>
      </w:pPr>
    </w:p>
    <w:p>
      <w:pPr>
        <w:ind w:left="1840" w:right="80" w:hanging="650"/>
        <w:spacing w:after="0" w:line="266" w:lineRule="auto"/>
        <w:tabs>
          <w:tab w:leader="none" w:pos="1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Leased Premises is fit in all material respects for its present use in the conduct of the Business, and, to the knowledge of the Vendors, there are no material structural repairs or material replacements that are necessary to be made to the Leased Premises or the Systems for the conduct of the Business from the Leased Premises as currently conducted;</w:t>
      </w:r>
    </w:p>
    <w:p>
      <w:pPr>
        <w:spacing w:after="0" w:line="81" w:lineRule="exact"/>
        <w:rPr>
          <w:rFonts w:ascii="Times New Roman" w:cs="Times New Roman" w:eastAsia="Times New Roman" w:hAnsi="Times New Roman"/>
          <w:sz w:val="18"/>
          <w:szCs w:val="18"/>
          <w:color w:val="auto"/>
        </w:rPr>
      </w:pPr>
    </w:p>
    <w:p>
      <w:pPr>
        <w:ind w:left="1840" w:right="280" w:hanging="650"/>
        <w:spacing w:after="0" w:line="313" w:lineRule="auto"/>
        <w:tabs>
          <w:tab w:leader="none" w:pos="184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Systems included in the Leased Premises will be in substantially the same condition as of the date hereof, wear and tear excepted, except for such changes as may be made in the Ordinary Course or any other necessary maintenance and repair; and</w:t>
      </w:r>
    </w:p>
    <w:p>
      <w:pPr>
        <w:spacing w:after="0" w:line="43" w:lineRule="exact"/>
        <w:rPr>
          <w:rFonts w:ascii="Times New Roman" w:cs="Times New Roman" w:eastAsia="Times New Roman" w:hAnsi="Times New Roman"/>
          <w:sz w:val="17"/>
          <w:szCs w:val="17"/>
          <w:color w:val="auto"/>
        </w:rPr>
      </w:pPr>
    </w:p>
    <w:p>
      <w:pPr>
        <w:ind w:left="1840" w:right="40" w:hanging="650"/>
        <w:spacing w:after="0" w:line="256" w:lineRule="auto"/>
        <w:tabs>
          <w:tab w:leader="none" w:pos="18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Leased Premises has suitable access and uninterrupted ingress and egress to public roads and there are no outstanding material levies, charges or fees assessed against the Leased Premises by any public authority (including development or improvement or offsite levies, charges or fees) and which are payable by the Corporation or any of its Subsidiaries. To the best of the Vendors’ knowledge, no facts or conditions exist which could result in the termination of the current public access from the Leased Premises to any currently existing public roads adjoining or situated on the Leased Premises, or to any existing sewer or other utility facilities servicing, adjoining or situated on the Leased Premises.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200"/>
          </w:cols>
          <w:pgMar w:left="24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and Safety Laws</w:t>
      </w:r>
    </w:p>
    <w:p>
      <w:pPr>
        <w:spacing w:after="0" w:line="135" w:lineRule="exact"/>
        <w:rPr>
          <w:sz w:val="20"/>
          <w:szCs w:val="20"/>
          <w:color w:val="auto"/>
        </w:rPr>
      </w:pPr>
    </w:p>
    <w:p>
      <w:pPr>
        <w:ind w:left="1180" w:hanging="976"/>
        <w:spacing w:after="0"/>
        <w:tabs>
          <w:tab w:leader="none" w:pos="11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4.1(jjj) and Schedule 1.1(mmmmm) of the Disclosure Letter, with respect to environmental matters:</w:t>
      </w:r>
    </w:p>
    <w:p>
      <w:pPr>
        <w:spacing w:after="0" w:line="130" w:lineRule="exact"/>
        <w:rPr>
          <w:rFonts w:ascii="Times New Roman" w:cs="Times New Roman" w:eastAsia="Times New Roman" w:hAnsi="Times New Roman"/>
          <w:sz w:val="18"/>
          <w:szCs w:val="18"/>
          <w:color w:val="auto"/>
        </w:rPr>
      </w:pPr>
    </w:p>
    <w:p>
      <w:pPr>
        <w:ind w:left="1840" w:right="680" w:hanging="650"/>
        <w:spacing w:after="0" w:line="282"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of its Subsidiaries is in violation of any Environmental Laws, save and except for acts of non-compliance which would not have a Material Adverse Effect on the Corporation or any of its Subsidiaries;</w:t>
      </w:r>
    </w:p>
    <w:p>
      <w:pPr>
        <w:spacing w:after="0" w:line="67" w:lineRule="exact"/>
        <w:rPr>
          <w:rFonts w:ascii="Times New Roman" w:cs="Times New Roman" w:eastAsia="Times New Roman" w:hAnsi="Times New Roman"/>
          <w:sz w:val="18"/>
          <w:szCs w:val="18"/>
          <w:color w:val="auto"/>
        </w:rPr>
      </w:pPr>
    </w:p>
    <w:p>
      <w:pPr>
        <w:ind w:left="1840" w:right="240" w:hanging="650"/>
        <w:spacing w:after="0" w:line="266"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its Subsidiaries operate their Business in, and have generated, received, handled, transported, used, stored, deposited, documented, treated, shipped, recycled and disposed of all Hazardous Substances in material compliance with Environmental Laws and Permits;</w:t>
      </w:r>
    </w:p>
    <w:p>
      <w:pPr>
        <w:spacing w:after="0" w:line="81" w:lineRule="exact"/>
        <w:rPr>
          <w:rFonts w:ascii="Times New Roman" w:cs="Times New Roman" w:eastAsia="Times New Roman" w:hAnsi="Times New Roman"/>
          <w:sz w:val="18"/>
          <w:szCs w:val="18"/>
          <w:color w:val="auto"/>
        </w:rPr>
      </w:pPr>
    </w:p>
    <w:p>
      <w:pPr>
        <w:ind w:left="1840" w:right="320" w:hanging="650"/>
        <w:spacing w:after="0" w:line="266"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Releases of Hazardous Substances on any of the Owned Real Property or Leased Premises or any other Real Property by the Corporation or any of its Subsidiaries in material violation of Environmental Laws or where such Release could result in material Liability to the Corporation or any of its Subsidiaries;</w:t>
      </w:r>
    </w:p>
    <w:p>
      <w:pPr>
        <w:spacing w:after="0" w:line="81" w:lineRule="exact"/>
        <w:rPr>
          <w:rFonts w:ascii="Times New Roman" w:cs="Times New Roman" w:eastAsia="Times New Roman" w:hAnsi="Times New Roman"/>
          <w:sz w:val="18"/>
          <w:szCs w:val="18"/>
          <w:color w:val="auto"/>
        </w:rPr>
      </w:pPr>
    </w:p>
    <w:p>
      <w:pPr>
        <w:ind w:left="1840" w:right="200" w:hanging="650"/>
        <w:spacing w:after="0" w:line="261"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Owned Real Property and Leased Premises have not during the term of the Corporation’s or its Subsidiaries, as applicable, title or lease, and to the knowledge of the Vendors, the Owned Real Property and Leased Premises have never been used for the treatment, transportation, handling, generation, manufacture, storage, disposal or Release of Hazardous Substances or for waste disposal, service station, dry-cleaning or landfill purposes;</w:t>
      </w:r>
    </w:p>
    <w:p>
      <w:pPr>
        <w:spacing w:after="0" w:line="85" w:lineRule="exact"/>
        <w:rPr>
          <w:rFonts w:ascii="Times New Roman" w:cs="Times New Roman" w:eastAsia="Times New Roman" w:hAnsi="Times New Roman"/>
          <w:sz w:val="18"/>
          <w:szCs w:val="18"/>
          <w:color w:val="auto"/>
        </w:rPr>
      </w:pPr>
    </w:p>
    <w:p>
      <w:pPr>
        <w:ind w:left="1840" w:right="140" w:hanging="650"/>
        <w:spacing w:after="0" w:line="266"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orders, directions or notices have been threatened or have been issued and remain outstanding pursuant to any Environmental Laws relating to the Business or Assets of the Corporation or any of its Subsidiaries other than abandonment and reclamation orders, directions or notices issued in connection with the normal course of business;</w:t>
      </w:r>
    </w:p>
    <w:p>
      <w:pPr>
        <w:spacing w:after="0" w:line="81" w:lineRule="exact"/>
        <w:rPr>
          <w:rFonts w:ascii="Times New Roman" w:cs="Times New Roman" w:eastAsia="Times New Roman" w:hAnsi="Times New Roman"/>
          <w:sz w:val="18"/>
          <w:szCs w:val="18"/>
          <w:color w:val="auto"/>
        </w:rPr>
      </w:pPr>
    </w:p>
    <w:p>
      <w:pPr>
        <w:ind w:left="1840" w:right="40" w:hanging="650"/>
        <w:spacing w:after="0" w:line="261"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not received any Claim or notice of any Claim nor is it aware of any grounds that might reasonably give rise to a Claim, against the Corporation or any of its Subsidiaries related to material non-compliance with Environmental Laws, or the material Release of any Hazardous Substance, save and except for acts of non-compliance which would not have a Material Adverse Effect on the Corporation or any of its Subsidiaries;</w:t>
      </w:r>
    </w:p>
    <w:p>
      <w:pPr>
        <w:spacing w:after="0" w:line="85" w:lineRule="exact"/>
        <w:rPr>
          <w:rFonts w:ascii="Times New Roman" w:cs="Times New Roman" w:eastAsia="Times New Roman" w:hAnsi="Times New Roman"/>
          <w:sz w:val="18"/>
          <w:szCs w:val="18"/>
          <w:color w:val="auto"/>
        </w:rPr>
      </w:pPr>
    </w:p>
    <w:p>
      <w:pPr>
        <w:ind w:left="1840" w:right="40" w:hanging="650"/>
        <w:spacing w:after="0" w:line="282"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of its Subsidiaries has been convicted of any offence for non-compliance with any Environmental Laws;</w:t>
      </w:r>
    </w:p>
    <w:p>
      <w:pPr>
        <w:spacing w:after="0" w:line="67" w:lineRule="exact"/>
        <w:rPr>
          <w:rFonts w:ascii="Times New Roman" w:cs="Times New Roman" w:eastAsia="Times New Roman" w:hAnsi="Times New Roman"/>
          <w:sz w:val="18"/>
          <w:szCs w:val="18"/>
          <w:color w:val="auto"/>
        </w:rPr>
      </w:pPr>
    </w:p>
    <w:p>
      <w:pPr>
        <w:ind w:left="1840" w:right="20" w:hanging="650"/>
        <w:spacing w:after="0" w:line="261"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its Subsidiaries hold and are in material compliance with all material licenses and Permits required under any Environmental Laws in connection with the operation of their Business and the ownership and use of their Assets and all such licenses and Permits are in full force and effect, save and except for acts of non-compliance which would not have a Material Adverse Effect on the Corporation or any of its Subsidiaries; and</w:t>
      </w:r>
    </w:p>
    <w:p>
      <w:pPr>
        <w:spacing w:after="0" w:line="85" w:lineRule="exact"/>
        <w:rPr>
          <w:rFonts w:ascii="Times New Roman" w:cs="Times New Roman" w:eastAsia="Times New Roman" w:hAnsi="Times New Roman"/>
          <w:sz w:val="18"/>
          <w:szCs w:val="18"/>
          <w:color w:val="auto"/>
        </w:rPr>
      </w:pPr>
    </w:p>
    <w:p>
      <w:pPr>
        <w:ind w:left="1840" w:hanging="650"/>
        <w:spacing w:after="0" w:line="282" w:lineRule="auto"/>
        <w:tabs>
          <w:tab w:leader="none" w:pos="1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4.1(jjj) to the Disclosure Letter contains a list of all environmental or site assessments, environmental reports and audits, conducted in respect of all Leased Premises, copies of which have been provided to the Purchaser.</w:t>
      </w:r>
    </w:p>
    <w:p>
      <w:pPr>
        <w:spacing w:after="0" w:line="67" w:lineRule="exact"/>
        <w:rPr>
          <w:rFonts w:ascii="Times New Roman" w:cs="Times New Roman" w:eastAsia="Times New Roman" w:hAnsi="Times New Roman"/>
          <w:sz w:val="18"/>
          <w:szCs w:val="18"/>
          <w:color w:val="auto"/>
        </w:rPr>
      </w:pPr>
    </w:p>
    <w:p>
      <w:pPr>
        <w:ind w:left="1180" w:right="80" w:hanging="976"/>
        <w:spacing w:after="0" w:line="258" w:lineRule="auto"/>
        <w:tabs>
          <w:tab w:leader="none" w:pos="11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4.1(jjj) and Schedule 1.1(mmmmm) of the Disclosure Letter or in the Corporation Financial Statements, the Corporation and its Subsidiaries are not subject to any Liability relating to the restoration or rehabilitation of land, water or any other part of the environment (except for those derived from its operations in the Ordinary Course) or non-compliance with Environmental Law which could, individually or in the aggregate, reasonably be expected to have a Material Adverse Effect on the Corporation or any of its Subsidiaries.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220"/>
          </w:cols>
          <w:pgMar w:left="240" w:top="455" w:right="4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 Agreements, etc.</w:t>
      </w:r>
    </w:p>
    <w:p>
      <w:pPr>
        <w:spacing w:after="0" w:line="135" w:lineRule="exact"/>
        <w:rPr>
          <w:sz w:val="20"/>
          <w:szCs w:val="20"/>
          <w:color w:val="auto"/>
        </w:rPr>
      </w:pPr>
    </w:p>
    <w:p>
      <w:pPr>
        <w:ind w:left="1180" w:right="280" w:hanging="976"/>
        <w:spacing w:after="0" w:line="282" w:lineRule="auto"/>
        <w:tabs>
          <w:tab w:leader="none" w:pos="11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shareholders’ agreements, pooling agreements, voting trusts or other similar agreements with respect to the ownership or voting of any of the Purchased Shares which will not be terminated or wound up prior to the Closing Date.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Bankruptcy</w:t>
      </w:r>
    </w:p>
    <w:p>
      <w:pPr>
        <w:spacing w:after="0" w:line="135" w:lineRule="exact"/>
        <w:rPr>
          <w:sz w:val="20"/>
          <w:szCs w:val="20"/>
          <w:color w:val="auto"/>
        </w:rPr>
      </w:pPr>
    </w:p>
    <w:p>
      <w:pPr>
        <w:ind w:left="1180" w:hanging="976"/>
        <w:spacing w:after="0" w:line="282" w:lineRule="auto"/>
        <w:tabs>
          <w:tab w:leader="none" w:pos="11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proceedings have been taken, are pending or authorized by the Corporation or any of its Subsidiaries or by any other Person in respect of the bankruptcy, insolvency, liquidation or winding up of the Corporation or any of its Subsidiaries.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in Competitors</w:t>
      </w:r>
    </w:p>
    <w:p>
      <w:pPr>
        <w:spacing w:after="0" w:line="135" w:lineRule="exact"/>
        <w:rPr>
          <w:sz w:val="20"/>
          <w:szCs w:val="20"/>
          <w:color w:val="auto"/>
        </w:rPr>
      </w:pPr>
    </w:p>
    <w:p>
      <w:pPr>
        <w:ind w:left="1180" w:hanging="976"/>
        <w:spacing w:after="0" w:line="261" w:lineRule="auto"/>
        <w:tabs>
          <w:tab w:leader="none" w:pos="11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officers or directors of the Corporation or any of its Subsidiaries has any direct or indirect ownership interest in any firm or corporation which competes with any of the Corporation or any of its Subsidiaries, other than as a passive investor may acquire incidental to managed trading accounts, registered savings plans or other managed investment accounts and in any event representing not more than 5% of any shares or units in any such competitor.</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Protection of Confidentiality</w:t>
      </w:r>
    </w:p>
    <w:p>
      <w:pPr>
        <w:spacing w:after="0" w:line="135" w:lineRule="exact"/>
        <w:rPr>
          <w:sz w:val="20"/>
          <w:szCs w:val="20"/>
          <w:color w:val="auto"/>
        </w:rPr>
      </w:pPr>
    </w:p>
    <w:p>
      <w:pPr>
        <w:ind w:left="1180" w:right="300" w:hanging="976"/>
        <w:spacing w:after="0" w:line="282" w:lineRule="auto"/>
        <w:tabs>
          <w:tab w:leader="none" w:pos="11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its Subsidiaries have taken all commercially reasonable precautions and used commercially reasonable efforts to protect and to secure the confidentiality of their respective trade secrets and other proprietary and confidential information.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Privacy</w:t>
      </w:r>
    </w:p>
    <w:p>
      <w:pPr>
        <w:spacing w:after="0" w:line="135" w:lineRule="exact"/>
        <w:rPr>
          <w:sz w:val="20"/>
          <w:szCs w:val="20"/>
          <w:color w:val="auto"/>
        </w:rPr>
      </w:pPr>
    </w:p>
    <w:p>
      <w:pPr>
        <w:ind w:left="1180" w:right="20" w:hanging="976"/>
        <w:spacing w:after="0" w:line="261" w:lineRule="auto"/>
        <w:tabs>
          <w:tab w:leader="none" w:pos="11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4.1(ppp) of the Disclosure Letter, the Corporation and its Subsidiaries are in material compliance with all privacy Laws applicable to them and the Corporation has not received written notice of any request, complaint, investigation, inquiry or claim relating to its handling of Personal Information, save and except for acts of non-compliance which would not have a Material Adverse Effect on the Corporation or any of its Subsidiaries.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Partnerships or Joint Ventures</w:t>
      </w:r>
    </w:p>
    <w:p>
      <w:pPr>
        <w:spacing w:after="0" w:line="135" w:lineRule="exact"/>
        <w:rPr>
          <w:sz w:val="20"/>
          <w:szCs w:val="20"/>
          <w:color w:val="auto"/>
        </w:rPr>
      </w:pPr>
    </w:p>
    <w:p>
      <w:pPr>
        <w:ind w:left="1180" w:right="120" w:hanging="976"/>
        <w:spacing w:after="0" w:line="261" w:lineRule="auto"/>
        <w:tabs>
          <w:tab w:leader="none" w:pos="11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described in Schedule 4.1(qqq) to the Disclosure Letter, neither the Corporation nor any of its Subsidiaries is a partner, co-tenant, joint venturer or otherwise a participant in any partnership, joint venture, co-tenancy or other similarly joint owned business. Other than Dene Koe GP and Dene Koe LP, there are no joint ventures, partnerships, co-ownership arrangements or other similarly joint owned businesses that are, either in the aggregate or singularly, material to the Business.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Insurance</w:t>
      </w:r>
    </w:p>
    <w:p>
      <w:pPr>
        <w:spacing w:after="0" w:line="135" w:lineRule="exact"/>
        <w:rPr>
          <w:sz w:val="20"/>
          <w:szCs w:val="20"/>
          <w:color w:val="auto"/>
        </w:rPr>
      </w:pPr>
    </w:p>
    <w:p>
      <w:pPr>
        <w:ind w:left="1180" w:right="40" w:hanging="976"/>
        <w:spacing w:after="0" w:line="255" w:lineRule="auto"/>
        <w:tabs>
          <w:tab w:leader="none" w:pos="11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of insurance in force as of the date hereof naming the Corporation or any of its Subsidiaries as an insured are listed in Part 1 of Schedule 4.1(rrr) to the Disclosure Letter and outstanding claims under such policies of insurance as of the date hereof are listed in Part 2 of Schedule 4.1(rrr) to the Disclosure Letter. To the knowledge of the Vendors, all such policies of insurance adequately cover all risks reasonably and prudently foreseeable in the operation and conduct of the Business as would be customarily covered by companies operating the same Business that the Corporation or its Subsidiaries operates. To the knowledge of the Vendors, all such policies will remain in full force and effect and will not be cancelled or otherwise terminated as a result of the transactions contemplated by this Agreement other than in the Ordinary Course.</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240" w:top="456" w:right="5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35" w:lineRule="exact"/>
        <w:rPr>
          <w:sz w:val="20"/>
          <w:szCs w:val="20"/>
          <w:color w:val="auto"/>
        </w:rPr>
      </w:pPr>
    </w:p>
    <w:p>
      <w:pPr>
        <w:ind w:left="1180" w:right="60" w:hanging="976"/>
        <w:spacing w:after="0" w:line="255" w:lineRule="auto"/>
        <w:tabs>
          <w:tab w:leader="none" w:pos="11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Schedule 4.1(sss) to the Disclosure Letter, there are no Contracts or arrangements (other than obligations to Employees that arise by operation of Law, and option agreements, consulting agreements, Change of Control Agreements, employment agreements, and indemnity agreements, the details of which have been previously disclosed to the Purchaser) to which the Corporation or any of its Subsidiaries is a party with any present or former Employee of the Corporation or any of its Subsidiaries or any other Person not dealing at arm’s length with the Corporation or any of its Subsidiaries or any associate or Affiliate of any such Employee, nor is there any Indebtedness owing by the Corporation or any of its Subsidiaries to any such parties or by any such parties to the Corporation or any of its Subsidiaries, that will remain outstanding as of the Closing Date other than trade accounts receivable and trade accounts payable.</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Customers and Suppliers</w:t>
      </w:r>
    </w:p>
    <w:p>
      <w:pPr>
        <w:spacing w:after="0" w:line="135" w:lineRule="exact"/>
        <w:rPr>
          <w:sz w:val="20"/>
          <w:szCs w:val="20"/>
          <w:color w:val="auto"/>
        </w:rPr>
      </w:pPr>
    </w:p>
    <w:p>
      <w:pPr>
        <w:ind w:left="1180" w:hanging="976"/>
        <w:spacing w:after="0" w:line="254" w:lineRule="auto"/>
        <w:tabs>
          <w:tab w:leader="none" w:pos="11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5 largest current customers and the 10 largest current suppliers of the Corporation and its Subsidiaries, collectively, is disclosed in Schedule 4.1(ttt) to the Disclosure Letter. Since the date of the Corporation Financial Statements, there has been no termination or cancellation of, and no modification or change in, the business relationship with any customer or group of customers which singly or in the aggregate provided more than 5% of the consolidated gross revenues of the Corporation for the fiscal year ended on the date of the Corporation Financial Statements. Except as disclosed in Schedule 4.1(zzz) to the Disclosure Letter, and to the knowledge of the Vendors, the benefits of any relationship with any of the Corporation’s customers or suppliers listed on Schedule 4.1(zzz) to the Disclosure Letter will continue after the Closing Date in substantially the same manner as prior to the date of this Agreement, assuming the completion on the Closing Date of the transactions contemplated by this Agreement. To the knowledge of the Vendors, as at the date hereof, no customer or supplier of the Corporation or its Subsidiaries is in material breach of any of its material obligations to the Corporation or its Subsidiaries.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and Distributions</w:t>
      </w:r>
    </w:p>
    <w:p>
      <w:pPr>
        <w:spacing w:after="0" w:line="135" w:lineRule="exact"/>
        <w:rPr>
          <w:sz w:val="20"/>
          <w:szCs w:val="20"/>
          <w:color w:val="auto"/>
        </w:rPr>
      </w:pPr>
    </w:p>
    <w:p>
      <w:pPr>
        <w:ind w:left="1180" w:right="40" w:hanging="976"/>
        <w:spacing w:after="0" w:line="266" w:lineRule="auto"/>
        <w:tabs>
          <w:tab w:leader="none" w:pos="11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Corporation Financial Statements, other than as disclosed in Schedule 4.1(uuu) to the Disclosure Letter, the Corporation has not, directly or indirectly, declared or paid any dividends or declared or made any other distribution on any of its shares of any class and has not, directly or indirectly, redeemed, purchased or otherwise acquired any of its shares of any class or agreed to do so.</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35" w:lineRule="exact"/>
        <w:rPr>
          <w:sz w:val="20"/>
          <w:szCs w:val="20"/>
          <w:color w:val="auto"/>
        </w:rPr>
      </w:pPr>
    </w:p>
    <w:p>
      <w:pPr>
        <w:ind w:left="1180" w:right="220" w:hanging="976"/>
        <w:spacing w:after="0" w:line="266" w:lineRule="auto"/>
        <w:tabs>
          <w:tab w:leader="none" w:pos="11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respect of the Equipment Leases, Operating Leases and Real Property Leases, neither the Corporation nor any of its Subsidiaries holds under lease any land, buildings, machinery, equipment or vehicles, which are material to the Corporation or any of its Subsidiaries.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Default under Lending Agreements</w:t>
      </w:r>
    </w:p>
    <w:p>
      <w:pPr>
        <w:spacing w:after="0" w:line="135" w:lineRule="exact"/>
        <w:rPr>
          <w:sz w:val="20"/>
          <w:szCs w:val="20"/>
          <w:color w:val="auto"/>
        </w:rPr>
      </w:pPr>
    </w:p>
    <w:p>
      <w:pPr>
        <w:ind w:left="1180" w:hanging="976"/>
        <w:spacing w:after="0" w:line="282" w:lineRule="auto"/>
        <w:tabs>
          <w:tab w:leader="none" w:pos="11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Schedule 4.1(www) of the Disclosure Letter, no event of default or material breach of any covenant under any of the Corporation’s or any of its Subsidiaries’ existing banking and lending agreements currently exists.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w:t>
      </w:r>
    </w:p>
    <w:p>
      <w:pPr>
        <w:spacing w:after="0" w:line="135" w:lineRule="exact"/>
        <w:rPr>
          <w:sz w:val="20"/>
          <w:szCs w:val="20"/>
          <w:color w:val="auto"/>
        </w:rPr>
      </w:pPr>
    </w:p>
    <w:p>
      <w:pPr>
        <w:ind w:left="1180" w:right="40" w:hanging="976"/>
        <w:spacing w:after="0" w:line="282" w:lineRule="auto"/>
        <w:tabs>
          <w:tab w:leader="none" w:pos="11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Receivable reflected on the balance sheet forming part of the Corporation Financial Statements and all Accounts Receivable arising after the date thereof (i) are valid and enforceable and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220"/>
          </w:cols>
          <w:pgMar w:left="240" w:top="455" w:right="4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right="60"/>
        <w:spacing w:after="0" w:line="261" w:lineRule="auto"/>
        <w:rPr>
          <w:sz w:val="20"/>
          <w:szCs w:val="20"/>
          <w:color w:val="auto"/>
        </w:rPr>
      </w:pPr>
      <w:r>
        <w:rPr>
          <w:rFonts w:ascii="Times New Roman" w:cs="Times New Roman" w:eastAsia="Times New Roman" w:hAnsi="Times New Roman"/>
          <w:sz w:val="18"/>
          <w:szCs w:val="18"/>
          <w:color w:val="auto"/>
        </w:rPr>
        <w:t>were generated in the Ordinary Course, (ii) are not subject to any assignment, or any right of discount, counterclaim or set-off by the customer or account debtor except in accordance with the terms of the applicable Contract pursuant to which they arose, and (iii) other than those Accounts Receivable which are doubtful accounts and in respect of which an adequate allowance has been made, in accordance with ASPE, are collectible.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Bank Accounts</w:t>
      </w:r>
    </w:p>
    <w:p>
      <w:pPr>
        <w:spacing w:after="0" w:line="135" w:lineRule="exact"/>
        <w:rPr>
          <w:sz w:val="20"/>
          <w:szCs w:val="20"/>
          <w:color w:val="auto"/>
        </w:rPr>
      </w:pPr>
    </w:p>
    <w:p>
      <w:pPr>
        <w:ind w:left="1180" w:right="200" w:hanging="976"/>
        <w:spacing w:after="0" w:line="266" w:lineRule="auto"/>
        <w:tabs>
          <w:tab w:leader="none" w:pos="11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4.1(yyy) to the Disclosure Letter is a complete and correct list (including addresses and account numbers) of each bank, trust company or similar institution in which the Corporation, or any of its Subsidiaries has an account or safety deposit box and the names of all Persons, including any individual or firm holding a power of attorney, authorized to draw thereon or to have access thereto.</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Restrictions on Doing Business</w:t>
      </w:r>
    </w:p>
    <w:p>
      <w:pPr>
        <w:spacing w:after="0" w:line="135" w:lineRule="exact"/>
        <w:rPr>
          <w:sz w:val="20"/>
          <w:szCs w:val="20"/>
          <w:color w:val="auto"/>
        </w:rPr>
      </w:pPr>
    </w:p>
    <w:p>
      <w:pPr>
        <w:ind w:left="1180" w:right="120" w:hanging="976"/>
        <w:spacing w:after="0" w:line="266" w:lineRule="auto"/>
        <w:tabs>
          <w:tab w:leader="none" w:pos="11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restrictions on doing business disclosed in Schedule 4.1(zzz) of the Disclosure Letter, none of the Corporation or any of its Subsidiaries is a party to or bound by any Contract that would restrict or limit the right of the Corporation or any of its Subsidiaries to carry on any activity or to solicit business from any Person or in any geographical area or otherwise to conduct the Business.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Incorporation, Organization, Corporation Structure and Authority of Dene Koe GP and Dene Koe LP</w:t>
      </w:r>
    </w:p>
    <w:p>
      <w:pPr>
        <w:spacing w:after="0" w:line="135" w:lineRule="exact"/>
        <w:rPr>
          <w:sz w:val="20"/>
          <w:szCs w:val="20"/>
          <w:color w:val="auto"/>
        </w:rPr>
      </w:pPr>
    </w:p>
    <w:p>
      <w:pPr>
        <w:ind w:left="1180" w:right="100" w:hanging="976"/>
        <w:spacing w:after="0" w:line="256" w:lineRule="auto"/>
        <w:tabs>
          <w:tab w:leader="none" w:pos="1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Dene Koe GP is a corporation duly incorporated and validly subsisting and in good standing under the Laws of Alberta, and has all the requisite capacity and authority to carry on its business as now conducted and to own, lease and operate its assets as now owned, leased and operated. Dene Koe GP is duly registered and in good standing to conduct its affairs or do business, as applicable, in each jurisdiction in which the character of its assets, owned or leased, or the nature of their activities makes such registration necessary. Copies of the constating documents of Dene Koe GP have been made available to the Purchaser, which included all amendments to date, and such constating documents are accurate and complete in all material respects as of the date hereof.</w:t>
      </w:r>
    </w:p>
    <w:p>
      <w:pPr>
        <w:spacing w:after="0" w:line="93" w:lineRule="exact"/>
        <w:rPr>
          <w:rFonts w:ascii="Times New Roman" w:cs="Times New Roman" w:eastAsia="Times New Roman" w:hAnsi="Times New Roman"/>
          <w:sz w:val="18"/>
          <w:szCs w:val="18"/>
          <w:color w:val="auto"/>
        </w:rPr>
      </w:pPr>
    </w:p>
    <w:p>
      <w:pPr>
        <w:ind w:left="1180" w:hanging="976"/>
        <w:spacing w:after="0" w:line="256" w:lineRule="auto"/>
        <w:tabs>
          <w:tab w:leader="none" w:pos="1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Dene Koe LP is a limited partnership duly registered and in good standing under the Laws of Alberta, and has all the requisite capacity and authority to carry on its business as now conducted and to own, lease and operate its assets as now owned, leased and operated. Dene Koe LP is in good standing to conduct its affairs or do business, as applicable, in each jurisdiction in which the character of its assets, owned or leased, or the nature of their activities makes such registration necessary. Copies of the constating documents of Dene Koe LP have been made available to the Purchaser, which included all amendments to date, and such constating documents are accurate and complete in all material respects as of the date hereof.</w:t>
      </w:r>
    </w:p>
    <w:p>
      <w:pPr>
        <w:spacing w:after="0" w:line="93" w:lineRule="exact"/>
        <w:rPr>
          <w:rFonts w:ascii="Times New Roman" w:cs="Times New Roman" w:eastAsia="Times New Roman" w:hAnsi="Times New Roman"/>
          <w:sz w:val="18"/>
          <w:szCs w:val="18"/>
          <w:color w:val="auto"/>
        </w:rPr>
      </w:pPr>
    </w:p>
    <w:p>
      <w:pPr>
        <w:ind w:left="1180" w:right="80" w:hanging="976"/>
        <w:spacing w:after="0" w:line="266" w:lineRule="auto"/>
        <w:tabs>
          <w:tab w:leader="none" w:pos="1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Dene Koe GP does not have any Subsidiaries or own any securities issued by, or any equity or ownership interest in, any other Person except for Dene Koe LP. Dene Koe LP does not have any Subsidiaries or own any securities issued by, or any equity or ownership interest in, any other Person.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Capital of Dene Koe GP and Dene Koe GP</w:t>
      </w:r>
    </w:p>
    <w:p>
      <w:pPr>
        <w:spacing w:after="0" w:line="135" w:lineRule="exact"/>
        <w:rPr>
          <w:sz w:val="20"/>
          <w:szCs w:val="20"/>
          <w:color w:val="auto"/>
        </w:rPr>
      </w:pPr>
    </w:p>
    <w:p>
      <w:pPr>
        <w:ind w:left="1180" w:right="40" w:hanging="976"/>
        <w:spacing w:after="0" w:line="266" w:lineRule="auto"/>
        <w:tabs>
          <w:tab w:leader="none" w:pos="11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of Dene Koe GP consists of an unlimited number of Class A Shares. As of the date of this Agreement, there are 100 Class A Shares duly and validly issued and outstanding as fully paid and non-assessable, of which 49 are owned by and registered in the name of the Corporation.</w:t>
      </w:r>
    </w:p>
    <w:p>
      <w:pPr>
        <w:spacing w:after="0" w:line="81" w:lineRule="exact"/>
        <w:rPr>
          <w:rFonts w:ascii="Times New Roman" w:cs="Times New Roman" w:eastAsia="Times New Roman" w:hAnsi="Times New Roman"/>
          <w:sz w:val="18"/>
          <w:szCs w:val="18"/>
          <w:color w:val="auto"/>
        </w:rPr>
      </w:pPr>
    </w:p>
    <w:p>
      <w:pPr>
        <w:ind w:left="1180" w:right="60" w:hanging="976"/>
        <w:spacing w:after="0" w:line="266" w:lineRule="auto"/>
        <w:tabs>
          <w:tab w:leader="none" w:pos="11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of Dene Koe LP consists of an unlimited number of limited partnership units. As of the date of this Agreement, there are 100 limited partnership units duly and validly issued and outstanding as fully paid and non-assessable, of which 49 are owned by and registered in the name of the Corporation.</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220"/>
          </w:cols>
          <w:pgMar w:left="240" w:top="455" w:right="4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Rights to Acquire Securities re: Dene Koe GP and Dene Koe GP</w:t>
      </w:r>
    </w:p>
    <w:p>
      <w:pPr>
        <w:spacing w:after="0" w:line="135" w:lineRule="exact"/>
        <w:rPr>
          <w:sz w:val="20"/>
          <w:szCs w:val="20"/>
          <w:color w:val="auto"/>
        </w:rPr>
      </w:pPr>
    </w:p>
    <w:p>
      <w:pPr>
        <w:ind w:left="1180" w:right="140" w:hanging="976"/>
        <w:spacing w:after="0" w:line="277" w:lineRule="auto"/>
        <w:tabs>
          <w:tab w:leader="none" w:pos="118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set forth in the limited partnership agreement of Dene Koe LP or the unanimous shareholder agreement of Dene Koe GP (copies of which having been previously provided to the Purchaser), to the knowledge of the Vendors no Person has any agreement or option or any right or privilege (whether by Law, pre-emptive or contractual) capable of becoming an agreement or option for the purchase, subscription or issuance from treasury of any shares, units or other securities of Dene Koe GP or Dene Koe LP or securities convertible into, exchangeable for, or which carry the right to purchase shares, units or other securities of Dene Koe GP or Dene Koe LP.</w:t>
      </w: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Tax Matters of Dene Koe GP and Dene Koe LP</w:t>
      </w:r>
    </w:p>
    <w:p>
      <w:pPr>
        <w:spacing w:after="0" w:line="135" w:lineRule="exact"/>
        <w:rPr>
          <w:sz w:val="20"/>
          <w:szCs w:val="20"/>
          <w:color w:val="auto"/>
        </w:rPr>
      </w:pPr>
    </w:p>
    <w:p>
      <w:pPr>
        <w:ind w:left="1180" w:hanging="976"/>
        <w:spacing w:after="0" w:line="258" w:lineRule="auto"/>
        <w:tabs>
          <w:tab w:leader="none" w:pos="11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nether Dene Koe GP nor Dene Koe LP is in arrears or in default in respect of the timely filing of any Tax return required to be filed by them pursuant to any applicable Law, and all such Tax returns are correct and complete in all material respects. All Taxes payable, collectible or which are required to be withheld prior to the Closing Date from or by Dene Koe GP or Dene Koe LP have been paid, collected, withheld or remitted or adequate provision shall have been made therefore prior to the Closing Date. No claim for additional Taxes payable or collectible from Dene Koe GP or Dene Koe LP has been made or threatened.</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Absence of Undisclosed Liabilities</w:t>
      </w:r>
    </w:p>
    <w:p>
      <w:pPr>
        <w:spacing w:after="0" w:line="135" w:lineRule="exact"/>
        <w:rPr>
          <w:sz w:val="20"/>
          <w:szCs w:val="20"/>
          <w:color w:val="auto"/>
        </w:rPr>
      </w:pPr>
    </w:p>
    <w:p>
      <w:pPr>
        <w:ind w:left="1180" w:right="260" w:hanging="976"/>
        <w:spacing w:after="0" w:line="282" w:lineRule="auto"/>
        <w:tabs>
          <w:tab w:leader="none" w:pos="11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neither Dene Koe GP nor Dene Koe LP has any material Liabilities or debt instrument or has entered into any Contract or commitment to create, assume, or issue any debt instrument.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Indebtedness of Dene Koe GP and Dene Koe LP</w:t>
      </w:r>
    </w:p>
    <w:p>
      <w:pPr>
        <w:spacing w:after="0" w:line="135" w:lineRule="exact"/>
        <w:rPr>
          <w:sz w:val="20"/>
          <w:szCs w:val="20"/>
          <w:color w:val="auto"/>
        </w:rPr>
      </w:pPr>
    </w:p>
    <w:p>
      <w:pPr>
        <w:ind w:left="1180" w:right="40" w:hanging="976"/>
        <w:spacing w:after="0" w:line="266" w:lineRule="auto"/>
        <w:tabs>
          <w:tab w:leader="none" w:pos="11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neither Dene Koe GP or Dene Koe LP has outstanding any bonds, debentures, notes, mortgages or other indebtedness and neither Dene Koe GP nor Dene Koe LP has agreed to create or issue any bonds, debentures, notes, mortgages or other indebtedness which will mature more than one year after the date of their creation or issuance.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Dene Koe GP and Dene Koe LP Compliance with Laws</w:t>
      </w:r>
    </w:p>
    <w:p>
      <w:pPr>
        <w:spacing w:after="0" w:line="135" w:lineRule="exact"/>
        <w:rPr>
          <w:sz w:val="20"/>
          <w:szCs w:val="20"/>
          <w:color w:val="auto"/>
        </w:rPr>
      </w:pPr>
    </w:p>
    <w:p>
      <w:pPr>
        <w:ind w:left="1180" w:right="120" w:hanging="976"/>
        <w:spacing w:after="0" w:line="282" w:lineRule="auto"/>
        <w:tabs>
          <w:tab w:leader="none" w:pos="11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neither Dene Koe GP nor Dene Koe LP are in violation of any Laws except for acts of non-compliance that would not have a Material Adverse Effect on Dene Koe GP, Dene Koe LP, the Corporation or its Subsidiaries.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Material Contracts of Dene Koe GP and Dene Koe LP</w:t>
      </w:r>
    </w:p>
    <w:p>
      <w:pPr>
        <w:spacing w:after="0" w:line="135" w:lineRule="exact"/>
        <w:rPr>
          <w:sz w:val="20"/>
          <w:szCs w:val="20"/>
          <w:color w:val="auto"/>
        </w:rPr>
      </w:pPr>
    </w:p>
    <w:p>
      <w:pPr>
        <w:ind w:left="1180" w:hanging="976"/>
        <w:spacing w:after="0"/>
        <w:tabs>
          <w:tab w:leader="none" w:pos="11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the Material Contracts of Dene Koe GP and Dene Koe LP consist of:</w:t>
      </w:r>
    </w:p>
    <w:p>
      <w:pPr>
        <w:spacing w:after="0" w:line="130" w:lineRule="exact"/>
        <w:rPr>
          <w:rFonts w:ascii="Times New Roman" w:cs="Times New Roman" w:eastAsia="Times New Roman" w:hAnsi="Times New Roman"/>
          <w:sz w:val="18"/>
          <w:szCs w:val="18"/>
          <w:color w:val="auto"/>
        </w:rPr>
      </w:pPr>
    </w:p>
    <w:p>
      <w:pPr>
        <w:ind w:left="1740" w:hanging="550"/>
        <w:spacing w:after="0"/>
        <w:tabs>
          <w:tab w:leader="none" w:pos="17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Suncor Contract;</w:t>
      </w:r>
    </w:p>
    <w:p>
      <w:pPr>
        <w:spacing w:after="0" w:line="130" w:lineRule="exact"/>
        <w:rPr>
          <w:rFonts w:ascii="Times New Roman" w:cs="Times New Roman" w:eastAsia="Times New Roman" w:hAnsi="Times New Roman"/>
          <w:sz w:val="18"/>
          <w:szCs w:val="18"/>
          <w:color w:val="auto"/>
        </w:rPr>
      </w:pPr>
    </w:p>
    <w:p>
      <w:pPr>
        <w:ind w:left="1740" w:hanging="550"/>
        <w:spacing w:after="0"/>
        <w:tabs>
          <w:tab w:leader="none" w:pos="17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agreement re: the Suncor Contract dated June 22, 2017 between the Corporation and Dene Koe LP;</w:t>
      </w:r>
    </w:p>
    <w:p>
      <w:pPr>
        <w:spacing w:after="0" w:line="130" w:lineRule="exact"/>
        <w:rPr>
          <w:rFonts w:ascii="Times New Roman" w:cs="Times New Roman" w:eastAsia="Times New Roman" w:hAnsi="Times New Roman"/>
          <w:sz w:val="18"/>
          <w:szCs w:val="18"/>
          <w:color w:val="auto"/>
        </w:rPr>
      </w:pPr>
    </w:p>
    <w:p>
      <w:pPr>
        <w:ind w:left="1740" w:hanging="550"/>
        <w:spacing w:after="0"/>
        <w:tabs>
          <w:tab w:leader="none" w:pos="17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Syncrude Contract; and</w:t>
      </w:r>
    </w:p>
    <w:p>
      <w:pPr>
        <w:spacing w:after="0" w:line="130" w:lineRule="exact"/>
        <w:rPr>
          <w:rFonts w:ascii="Times New Roman" w:cs="Times New Roman" w:eastAsia="Times New Roman" w:hAnsi="Times New Roman"/>
          <w:sz w:val="18"/>
          <w:szCs w:val="18"/>
          <w:color w:val="auto"/>
        </w:rPr>
      </w:pPr>
    </w:p>
    <w:p>
      <w:pPr>
        <w:ind w:left="1740" w:hanging="550"/>
        <w:spacing w:after="0"/>
        <w:tabs>
          <w:tab w:leader="none" w:pos="17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agreement re: the Syncrude Contract dated May 1, 2017 between the Corporation and Dene Koe LP.</w:t>
      </w:r>
    </w:p>
    <w:p>
      <w:pPr>
        <w:spacing w:after="0" w:line="130" w:lineRule="exact"/>
        <w:rPr>
          <w:rFonts w:ascii="Times New Roman" w:cs="Times New Roman" w:eastAsia="Times New Roman" w:hAnsi="Times New Roman"/>
          <w:sz w:val="18"/>
          <w:szCs w:val="18"/>
          <w:color w:val="auto"/>
        </w:rPr>
      </w:pPr>
    </w:p>
    <w:p>
      <w:pPr>
        <w:ind w:left="1180" w:right="220" w:hanging="976"/>
        <w:spacing w:after="0" w:line="282" w:lineRule="auto"/>
        <w:tabs>
          <w:tab w:leader="none" w:pos="11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neither Dene Koe GP nor Dene Koe LP is in material default or breach of any of its obligations under any of the Material Contracts listed in Section 4.1(kkkk) and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200"/>
          </w:cols>
          <w:pgMar w:left="24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right="80"/>
        <w:spacing w:after="0" w:line="258" w:lineRule="auto"/>
        <w:rPr>
          <w:sz w:val="20"/>
          <w:szCs w:val="20"/>
          <w:color w:val="auto"/>
        </w:rPr>
      </w:pPr>
      <w:r>
        <w:rPr>
          <w:rFonts w:ascii="Times New Roman" w:cs="Times New Roman" w:eastAsia="Times New Roman" w:hAnsi="Times New Roman"/>
          <w:sz w:val="18"/>
          <w:szCs w:val="18"/>
          <w:color w:val="auto"/>
        </w:rPr>
        <w:t>there exists no state of facts which, to the knowledge of the Vendors, after notice or lapse of time or both, would constitute such a material default or breach. To the knowledge of the Vendors, all such Material Contracts listed in Section 4.1(kkkk) have been duly authorized, executed and delivered and are now in good standing, in full force and effect. To the knowledge of the Vendors, Dene Koe GP and Dene Koe LP are entitled to all material benefits thereunder and, to the knowledge of the Vendors, the other parties to such Material Contracts are not in material default or breach of any of their obligations thereunder.</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Disclosure</w:t>
      </w:r>
    </w:p>
    <w:p>
      <w:pPr>
        <w:spacing w:after="0" w:line="135" w:lineRule="exact"/>
        <w:rPr>
          <w:sz w:val="20"/>
          <w:szCs w:val="20"/>
          <w:color w:val="auto"/>
        </w:rPr>
      </w:pPr>
    </w:p>
    <w:p>
      <w:pPr>
        <w:ind w:left="1180" w:right="100" w:hanging="976"/>
        <w:spacing w:after="0" w:line="266" w:lineRule="auto"/>
        <w:tabs>
          <w:tab w:leader="none" w:pos="11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have disclosed to the Purchaser all material information in respect of Dene Koe GP and Dene Koe LP in their possession not otherwise referred to in this Agreement regarding any event, circumstance or action taken which could reasonably be expected to have a Material Adverse Effect.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Litigation Against Dene Koe GP or Dene Koe LP</w:t>
      </w:r>
    </w:p>
    <w:p>
      <w:pPr>
        <w:spacing w:after="0" w:line="135" w:lineRule="exact"/>
        <w:rPr>
          <w:sz w:val="20"/>
          <w:szCs w:val="20"/>
          <w:color w:val="auto"/>
        </w:rPr>
      </w:pPr>
    </w:p>
    <w:p>
      <w:pPr>
        <w:ind w:left="1180" w:hanging="976"/>
        <w:spacing w:after="0" w:line="261" w:lineRule="auto"/>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there are no Claims in existence or pending or, to the knowledge of the Vendors, threatened against or for which there is a reasonable basis, affecting or that would be reasonably expected to affect Dene Koe GP or Dene Koe LP or any of their assets at Law or before or by any Governmental Entity, nor, to the knowledge of the Vendors, is Dene Koe GP or Dene Koe LP subject to any presently effective adverse order, writ, injunction or decree of any such Governmental Entity.</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Insurance re: Dene Koe GP and Dene Koe LP</w:t>
      </w:r>
    </w:p>
    <w:p>
      <w:pPr>
        <w:spacing w:after="0" w:line="135" w:lineRule="exact"/>
        <w:rPr>
          <w:sz w:val="20"/>
          <w:szCs w:val="20"/>
          <w:color w:val="auto"/>
        </w:rPr>
      </w:pPr>
    </w:p>
    <w:p>
      <w:pPr>
        <w:ind w:left="1180" w:right="160" w:hanging="976"/>
        <w:spacing w:after="0" w:line="282" w:lineRule="auto"/>
        <w:tabs>
          <w:tab w:leader="none" w:pos="11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all policies of insurance in force as of the date hereof naming Dene Koe GP and/or Dene Koe GP as an insured are listed in Part 1 of Schedule 4.1(rrr) to the Disclosure Letter.</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Bank Accounts of Dene Koe GP and Dene Koe LP</w:t>
      </w:r>
    </w:p>
    <w:p>
      <w:pPr>
        <w:spacing w:after="0" w:line="135" w:lineRule="exact"/>
        <w:rPr>
          <w:sz w:val="20"/>
          <w:szCs w:val="20"/>
          <w:color w:val="auto"/>
        </w:rPr>
      </w:pPr>
    </w:p>
    <w:p>
      <w:pPr>
        <w:ind w:left="1180" w:right="260" w:hanging="976"/>
        <w:spacing w:after="0" w:line="261"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Schedule 4.1(yyy) to the Disclosure Letter is a complete and correct list (including addresses and account numbers) of each bank, trust company or similar institution in which Dene Koe GP or Dene Koe LP has an account or safety deposit box and the names of all Persons, including any individual or firm holding a power of attorney, authorized to draw thereon or to have access thereto.</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Employees or Owned or Leased Real Property of Dene Koe GP and Dene Koe LP</w:t>
      </w:r>
    </w:p>
    <w:p>
      <w:pPr>
        <w:spacing w:after="0" w:line="135" w:lineRule="exact"/>
        <w:rPr>
          <w:sz w:val="20"/>
          <w:szCs w:val="20"/>
          <w:color w:val="auto"/>
        </w:rPr>
      </w:pPr>
    </w:p>
    <w:p>
      <w:pPr>
        <w:ind w:left="1180" w:hanging="976"/>
        <w:spacing w:after="0"/>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neither Dene Koe GP or Dene Koe LP employs any employees or owns or leases any Real Property.</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of Dene Koe GP and Dene Koe LP</w:t>
      </w:r>
    </w:p>
    <w:p>
      <w:pPr>
        <w:spacing w:after="0" w:line="135" w:lineRule="exact"/>
        <w:rPr>
          <w:sz w:val="20"/>
          <w:szCs w:val="20"/>
          <w:color w:val="auto"/>
        </w:rPr>
      </w:pPr>
    </w:p>
    <w:p>
      <w:pPr>
        <w:ind w:left="1180" w:right="520" w:hanging="976"/>
        <w:spacing w:after="0" w:line="282" w:lineRule="auto"/>
        <w:tabs>
          <w:tab w:leader="none" w:pos="11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Vendors, the only intellectual property owned by Dene Koe GP or Dene Koe LP are their rights to use their respective names and the rights associated with the website located at the URL </w:t>
      </w:r>
      <w:r>
        <w:rPr>
          <w:rFonts w:ascii="Times New Roman" w:cs="Times New Roman" w:eastAsia="Times New Roman" w:hAnsi="Times New Roman"/>
          <w:sz w:val="18"/>
          <w:szCs w:val="18"/>
          <w:u w:val="single" w:color="auto"/>
          <w:color w:val="auto"/>
        </w:rPr>
        <w:t>www.denekoe.com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Business of Dene Koe GP and Dene Koe LP</w:t>
      </w:r>
    </w:p>
    <w:p>
      <w:pPr>
        <w:spacing w:after="0" w:line="135" w:lineRule="exact"/>
        <w:rPr>
          <w:sz w:val="20"/>
          <w:szCs w:val="20"/>
          <w:color w:val="auto"/>
        </w:rPr>
      </w:pPr>
    </w:p>
    <w:p>
      <w:pPr>
        <w:ind w:left="5520" w:right="1460" w:hanging="5316"/>
        <w:spacing w:after="0" w:line="454" w:lineRule="auto"/>
        <w:tabs>
          <w:tab w:leader="none" w:pos="118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the business of Dene Koe GP is limited to being the general partner of Dene Koe LP. A-44</w:t>
      </w:r>
    </w:p>
    <w:p>
      <w:pPr>
        <w:sectPr>
          <w:pgSz w:w="11900" w:h="16838" w:orient="portrait"/>
          <w:cols w:equalWidth="0" w:num="1">
            <w:col w:w="11220"/>
          </w:cols>
          <w:pgMar w:left="240" w:top="455" w:right="4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right="140" w:hanging="976"/>
        <w:spacing w:after="0" w:line="282" w:lineRule="auto"/>
        <w:tabs>
          <w:tab w:leader="none" w:pos="11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the activities of Dene Koe LP are limited to providing accommodation services and associated support services to Dene Koe LP’s customers and their guests at lodge facilities.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Bankruptcy of Dene Koe GP or Dene Koe LP</w:t>
      </w:r>
    </w:p>
    <w:p>
      <w:pPr>
        <w:spacing w:after="0" w:line="135" w:lineRule="exact"/>
        <w:rPr>
          <w:sz w:val="20"/>
          <w:szCs w:val="20"/>
          <w:color w:val="auto"/>
        </w:rPr>
      </w:pPr>
    </w:p>
    <w:p>
      <w:pPr>
        <w:ind w:left="1180" w:right="80" w:hanging="976"/>
        <w:spacing w:after="0" w:line="282" w:lineRule="auto"/>
        <w:tabs>
          <w:tab w:leader="none" w:pos="11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no proceedings have been taken, are pending or authorized by Dene Koe GP or Dene Koe LP or by any other Person in respect of the bankruptcy, insolvency, liquidation or winding up of Dene Koe GP or Dene Koe LP.</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Equipment Leased or Owned or Guarantees given by Dene Koe GP or Dene Koe LP</w:t>
      </w:r>
    </w:p>
    <w:p>
      <w:pPr>
        <w:spacing w:after="0" w:line="135" w:lineRule="exact"/>
        <w:rPr>
          <w:sz w:val="20"/>
          <w:szCs w:val="20"/>
          <w:color w:val="auto"/>
        </w:rPr>
      </w:pPr>
    </w:p>
    <w:p>
      <w:pPr>
        <w:ind w:left="1180" w:right="660" w:hanging="976"/>
        <w:spacing w:after="0" w:line="282" w:lineRule="auto"/>
        <w:tabs>
          <w:tab w:leader="none" w:pos="11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 neither Dene Koe GP or Dene Koe LP leases or owns any equipment or guarantees the debts or obligations of any other Person.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Material Change</w:t>
      </w:r>
    </w:p>
    <w:p>
      <w:pPr>
        <w:spacing w:after="0" w:line="135" w:lineRule="exact"/>
        <w:rPr>
          <w:sz w:val="20"/>
          <w:szCs w:val="20"/>
          <w:color w:val="auto"/>
        </w:rPr>
      </w:pPr>
    </w:p>
    <w:p>
      <w:pPr>
        <w:ind w:left="1180" w:right="40" w:hanging="976"/>
        <w:spacing w:after="0" w:line="258" w:lineRule="auto"/>
        <w:tabs>
          <w:tab w:leader="none" w:pos="11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May 31, 2017, and except as disclosed in Schedule 4.1(q) of the Disclosure Letter, to the knowledge of the Vendors there has been no material changes in the capital, business, the assets, Liabilities, condition, results of operations, financial position, long-term debt, affairs or prospects of Dene Koe GP or Dene Koe LP and there have been no material facts, transactions, events or occurrences in respect of Dene Koe GP or Dene Koe LP, any of which could reasonably be expected to have a Material Adverse Effect on Dene Koe GP or Dene Koe LP and that have not been disclosed in writing to the Purchaser.</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Laws</w:t>
      </w:r>
    </w:p>
    <w:p>
      <w:pPr>
        <w:spacing w:after="0" w:line="135" w:lineRule="exact"/>
        <w:rPr>
          <w:sz w:val="20"/>
          <w:szCs w:val="20"/>
          <w:color w:val="auto"/>
        </w:rPr>
      </w:pPr>
    </w:p>
    <w:p>
      <w:pPr>
        <w:jc w:val="both"/>
        <w:ind w:left="1180" w:right="40" w:hanging="976"/>
        <w:spacing w:after="0" w:line="313" w:lineRule="auto"/>
        <w:tabs>
          <w:tab w:leader="none" w:pos="118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Schedule 4.1(r) of the Disclosure Letter, to the knowledge of the Vendors Dene Koe GP and Dene Koe LP are not in violation of any Laws except for acts of non-compliance that would not have a Material Adverse Effect on Dene Koe GP or Dene Koe LP.</w:t>
      </w:r>
    </w:p>
    <w:p>
      <w:pPr>
        <w:spacing w:after="0" w:line="43" w:lineRule="exact"/>
        <w:rPr>
          <w:rFonts w:ascii="Times New Roman" w:cs="Times New Roman" w:eastAsia="Times New Roman" w:hAnsi="Times New Roman"/>
          <w:sz w:val="17"/>
          <w:szCs w:val="17"/>
          <w:color w:val="auto"/>
        </w:rPr>
      </w:pPr>
    </w:p>
    <w:p>
      <w:pPr>
        <w:ind w:left="1180" w:hanging="976"/>
        <w:spacing w:after="0"/>
        <w:tabs>
          <w:tab w:leader="none" w:pos="11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Vendors:</w:t>
      </w:r>
    </w:p>
    <w:p>
      <w:pPr>
        <w:spacing w:after="0" w:line="130" w:lineRule="exact"/>
        <w:rPr>
          <w:rFonts w:ascii="Times New Roman" w:cs="Times New Roman" w:eastAsia="Times New Roman" w:hAnsi="Times New Roman"/>
          <w:sz w:val="18"/>
          <w:szCs w:val="18"/>
          <w:color w:val="auto"/>
        </w:rPr>
      </w:pPr>
    </w:p>
    <w:p>
      <w:pPr>
        <w:jc w:val="both"/>
        <w:ind w:left="1740" w:right="280" w:hanging="550"/>
        <w:spacing w:after="0" w:line="266" w:lineRule="auto"/>
        <w:tabs>
          <w:tab w:leader="none" w:pos="17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Dene Koe GP nor Dene Koe LP have taken or have offered or agreed to take, in relation to their business or assets, any action, directly or indirectly, on behalf of or to the benefit of any of the Dene Koe GP or Dene Koe LP in violation of any Anti-Corruption Laws.</w:t>
      </w:r>
    </w:p>
    <w:p>
      <w:pPr>
        <w:spacing w:after="0" w:line="81" w:lineRule="exact"/>
        <w:rPr>
          <w:rFonts w:ascii="Times New Roman" w:cs="Times New Roman" w:eastAsia="Times New Roman" w:hAnsi="Times New Roman"/>
          <w:sz w:val="18"/>
          <w:szCs w:val="18"/>
          <w:color w:val="auto"/>
        </w:rPr>
      </w:pPr>
    </w:p>
    <w:p>
      <w:pPr>
        <w:ind w:left="1740" w:hanging="550"/>
        <w:spacing w:after="0" w:line="282" w:lineRule="auto"/>
        <w:tabs>
          <w:tab w:leader="none" w:pos="17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Dene Koe GP or Dene Koe LP have taken any action or made any omission in connection with their business or assets in violation of Economic Sanctions.</w:t>
      </w:r>
    </w:p>
    <w:p>
      <w:pPr>
        <w:spacing w:after="0" w:line="67" w:lineRule="exact"/>
        <w:rPr>
          <w:rFonts w:ascii="Times New Roman" w:cs="Times New Roman" w:eastAsia="Times New Roman" w:hAnsi="Times New Roman"/>
          <w:sz w:val="18"/>
          <w:szCs w:val="18"/>
          <w:color w:val="auto"/>
        </w:rPr>
      </w:pPr>
    </w:p>
    <w:p>
      <w:pPr>
        <w:ind w:left="1740" w:right="60" w:hanging="550"/>
        <w:spacing w:after="0" w:line="282" w:lineRule="auto"/>
        <w:tabs>
          <w:tab w:leader="none" w:pos="17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Contracts of the business of Dene Koe GP and Dene Koe LP would require Dene Koe GP or Dene Koe LP subsequent to the Closing Date, to:</w:t>
      </w:r>
    </w:p>
    <w:p>
      <w:pPr>
        <w:spacing w:after="0" w:line="67" w:lineRule="exact"/>
        <w:rPr>
          <w:rFonts w:ascii="Times New Roman" w:cs="Times New Roman" w:eastAsia="Times New Roman" w:hAnsi="Times New Roman"/>
          <w:sz w:val="18"/>
          <w:szCs w:val="18"/>
          <w:color w:val="auto"/>
        </w:rPr>
      </w:pPr>
    </w:p>
    <w:p>
      <w:pPr>
        <w:ind w:left="2180" w:hanging="437"/>
        <w:spacing w:after="0"/>
        <w:tabs>
          <w:tab w:leader="none" w:pos="218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to any Persons which would cause a violation of Anti-Corruption Laws.</w:t>
      </w:r>
    </w:p>
    <w:p>
      <w:pPr>
        <w:spacing w:after="0" w:line="130" w:lineRule="exact"/>
        <w:rPr>
          <w:rFonts w:ascii="Times New Roman" w:cs="Times New Roman" w:eastAsia="Times New Roman" w:hAnsi="Times New Roman"/>
          <w:sz w:val="18"/>
          <w:szCs w:val="18"/>
          <w:color w:val="auto"/>
        </w:rPr>
      </w:pPr>
    </w:p>
    <w:p>
      <w:pPr>
        <w:ind w:left="2180" w:hanging="437"/>
        <w:spacing w:after="0"/>
        <w:tabs>
          <w:tab w:leader="none" w:pos="218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make any omission that would violate Economic Sanctions.</w:t>
      </w:r>
    </w:p>
    <w:p>
      <w:pPr>
        <w:spacing w:after="0" w:line="130" w:lineRule="exact"/>
        <w:rPr>
          <w:rFonts w:ascii="Times New Roman" w:cs="Times New Roman" w:eastAsia="Times New Roman" w:hAnsi="Times New Roman"/>
          <w:sz w:val="18"/>
          <w:szCs w:val="18"/>
          <w:color w:val="auto"/>
        </w:rPr>
      </w:pPr>
    </w:p>
    <w:p>
      <w:pPr>
        <w:ind w:left="1740" w:right="120" w:hanging="550"/>
        <w:spacing w:after="0" w:line="258" w:lineRule="auto"/>
        <w:tabs>
          <w:tab w:leader="none" w:pos="17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neither of Dene Koe GP or Dene Koe LP have been under administrative, civil or criminal investigation, inquiry or enforcement proceedings in connection with alleged or possible violations of any Anti-Corruption Laws and Economic Sanctions in connection with the conduct of their business or assets, nor have such Persons received notice from, or made a voluntary disclosure to, any Governmental Entity regarding violations or alleged or possible violations of such Anti-Corruption Laws in connection with the conduct of their business or assets.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80"/>
          </w:cols>
          <w:pgMar w:left="240" w:top="455" w:right="47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REPRESENTATIONS AND WARRANTIES OF</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VENDORS</w:t>
      </w:r>
    </w:p>
    <w:p>
      <w:pPr>
        <w:spacing w:after="0" w:line="207" w:lineRule="exact"/>
        <w:rPr>
          <w:sz w:val="20"/>
          <w:szCs w:val="20"/>
          <w:color w:val="auto"/>
        </w:rPr>
      </w:pPr>
    </w:p>
    <w:p>
      <w:pPr>
        <w:ind w:left="200" w:right="160"/>
        <w:spacing w:after="0" w:line="282" w:lineRule="auto"/>
        <w:rPr>
          <w:sz w:val="20"/>
          <w:szCs w:val="20"/>
          <w:color w:val="auto"/>
        </w:rPr>
      </w:pPr>
      <w:r>
        <w:rPr>
          <w:rFonts w:ascii="Times New Roman" w:cs="Times New Roman" w:eastAsia="Times New Roman" w:hAnsi="Times New Roman"/>
          <w:sz w:val="18"/>
          <w:szCs w:val="18"/>
          <w:color w:val="auto"/>
        </w:rPr>
        <w:t>5.1 Each of the Vendors jointly and severally represent and warrant to the Purchaser as follows and acknowledges that the Purchaser is relying on such representations and warranties in connection with the transactions contemplated hereby: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Ownership of Purchased Shares</w:t>
      </w:r>
    </w:p>
    <w:p>
      <w:pPr>
        <w:spacing w:after="0" w:line="135" w:lineRule="exact"/>
        <w:rPr>
          <w:sz w:val="20"/>
          <w:szCs w:val="20"/>
          <w:color w:val="auto"/>
        </w:rPr>
      </w:pPr>
    </w:p>
    <w:p>
      <w:pPr>
        <w:ind w:left="640" w:right="100" w:hanging="436"/>
        <w:spacing w:after="0" w:line="261" w:lineRule="auto"/>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Vendors will at the Closing Date be, the legal and beneficial owner of that number of Purchased Shares set forth opposite its name in Part 2 of Schedule “A”, being the aggregate of all of the issued and outstanding shares of the Corporation on the Closing Date and will have good title to them, free and clear of any Encumbrances. At Closing, each such Vendor will have the absolute and exclusive right to sell the Purchased Shares to the Purchaser as contemplated by this Agreement.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Incorporation, Organization, Authority and Capacity</w:t>
      </w:r>
    </w:p>
    <w:p>
      <w:pPr>
        <w:spacing w:after="0" w:line="135" w:lineRule="exact"/>
        <w:rPr>
          <w:sz w:val="20"/>
          <w:szCs w:val="20"/>
          <w:color w:val="auto"/>
        </w:rPr>
      </w:pPr>
    </w:p>
    <w:p>
      <w:pPr>
        <w:ind w:left="640" w:hanging="436"/>
        <w:spacing w:after="0" w:line="256" w:lineRule="auto"/>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1818939 is a corporation duly incorporated and validly subsisting and in good standing under the Laws of the Province of Alberta. 2040618 is a corporation duly incorporated and validly subsisting and in good standing under the Laws of the Province of Alberta. 2040624 is a corporation duly incorporated and validly subsisting and in good standing under the Laws of the Province of Alberta. Each of 1818939, and 2040618, 2040624 have all the requisite corporate capacity and authority to enter into this Agreement and to perform their obligations hereunder and to carry on their business and to own, lease and operate their property and assets as now owned, leased and operated and to carry on their business as now conducted.</w:t>
      </w:r>
    </w:p>
    <w:p>
      <w:pPr>
        <w:spacing w:after="0" w:line="93" w:lineRule="exact"/>
        <w:rPr>
          <w:rFonts w:ascii="Times New Roman" w:cs="Times New Roman" w:eastAsia="Times New Roman" w:hAnsi="Times New Roman"/>
          <w:sz w:val="18"/>
          <w:szCs w:val="18"/>
          <w:color w:val="auto"/>
        </w:rPr>
      </w:pPr>
    </w:p>
    <w:p>
      <w:pPr>
        <w:ind w:left="640" w:right="180" w:hanging="436"/>
        <w:spacing w:after="0" w:line="282" w:lineRule="auto"/>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989677 is a corporation duly incorporated and validly subsisting and in good standing under the Laws of the Province of Alberta. 989677 has all necessary power, authority and capacity to execute, deliver and perform its obligations under this Agreement.</w:t>
      </w:r>
    </w:p>
    <w:p>
      <w:pPr>
        <w:spacing w:after="0" w:line="67" w:lineRule="exact"/>
        <w:rPr>
          <w:rFonts w:ascii="Times New Roman" w:cs="Times New Roman" w:eastAsia="Times New Roman" w:hAnsi="Times New Roman"/>
          <w:sz w:val="18"/>
          <w:szCs w:val="18"/>
          <w:color w:val="auto"/>
        </w:rPr>
      </w:pPr>
    </w:p>
    <w:p>
      <w:pPr>
        <w:ind w:left="640" w:right="80" w:hanging="436"/>
        <w:spacing w:after="0" w:line="282" w:lineRule="auto"/>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Torgerson Trust is a resident of the Province of British Columbia and has all requisite capacity and authority to enter into this Agreement and to perform its obligations hereunder.</w:t>
      </w:r>
    </w:p>
    <w:p>
      <w:pPr>
        <w:spacing w:after="0" w:line="67" w:lineRule="exact"/>
        <w:rPr>
          <w:rFonts w:ascii="Times New Roman" w:cs="Times New Roman" w:eastAsia="Times New Roman" w:hAnsi="Times New Roman"/>
          <w:sz w:val="18"/>
          <w:szCs w:val="18"/>
          <w:color w:val="auto"/>
        </w:rPr>
      </w:pPr>
    </w:p>
    <w:p>
      <w:pPr>
        <w:ind w:left="640" w:right="200" w:hanging="436"/>
        <w:spacing w:after="0" w:line="266" w:lineRule="auto"/>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SmithCo is a corporation duly incorporated and validly subsisting and in good standing under the Laws of the Province of Alberta. SmithCo has all necessary power, authority and capacity to execute, deliver and perform its obligations under this Agreement. SmithCo was incorporated on October 10, 2017 and has not carried on any business to date.</w:t>
      </w:r>
    </w:p>
    <w:p>
      <w:pPr>
        <w:spacing w:after="0" w:line="81" w:lineRule="exact"/>
        <w:rPr>
          <w:rFonts w:ascii="Times New Roman" w:cs="Times New Roman" w:eastAsia="Times New Roman" w:hAnsi="Times New Roman"/>
          <w:sz w:val="18"/>
          <w:szCs w:val="18"/>
          <w:color w:val="auto"/>
        </w:rPr>
      </w:pPr>
    </w:p>
    <w:p>
      <w:pPr>
        <w:ind w:left="640" w:right="160" w:hanging="436"/>
        <w:spacing w:after="0" w:line="266" w:lineRule="auto"/>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Smith HoldCo is a corporation duly incorporated and validly subsisting and in good standing under the Laws of the Province of Alberta. Smith HoldCo has all necessary power, authority and capacity to execute, deliver and perform its obligations under this Agreement. Smith HoldCo was incorporated on October 10, 2017 and has not carried on any business to date.</w:t>
      </w:r>
    </w:p>
    <w:p>
      <w:pPr>
        <w:spacing w:after="0" w:line="81" w:lineRule="exact"/>
        <w:rPr>
          <w:rFonts w:ascii="Times New Roman" w:cs="Times New Roman" w:eastAsia="Times New Roman" w:hAnsi="Times New Roman"/>
          <w:sz w:val="18"/>
          <w:szCs w:val="18"/>
          <w:color w:val="auto"/>
        </w:rPr>
      </w:pPr>
    </w:p>
    <w:p>
      <w:pPr>
        <w:ind w:left="640" w:right="100" w:hanging="436"/>
        <w:spacing w:after="0" w:line="261" w:lineRule="auto"/>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Vendors is duly registered and is in good standing to conduct its affairs or do business, as applicable, in each jurisdiction in which the character of its assets, owned or leased, or the nature of its activities makes such registration necessary. Copies of the constating documents of each of the Vendors have been made available to the Purchaser, which included all amendments to date, and such constating documents are accurate and complete as of the date hereof.</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Necessary Proceedings</w:t>
      </w:r>
    </w:p>
    <w:p>
      <w:pPr>
        <w:spacing w:after="0" w:line="135" w:lineRule="exact"/>
        <w:rPr>
          <w:sz w:val="20"/>
          <w:szCs w:val="20"/>
          <w:color w:val="auto"/>
        </w:rPr>
      </w:pPr>
    </w:p>
    <w:p>
      <w:pPr>
        <w:ind w:left="640" w:hanging="436"/>
        <w:spacing w:after="0"/>
        <w:tabs>
          <w:tab w:leader="none" w:pos="6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proceedings and actions of the directors, shareholders and trustees of each of the Vendors who is not a natural Person:</w:t>
      </w:r>
    </w:p>
    <w:p>
      <w:pPr>
        <w:spacing w:after="0" w:line="130" w:lineRule="exact"/>
        <w:rPr>
          <w:rFonts w:ascii="Times New Roman" w:cs="Times New Roman" w:eastAsia="Times New Roman" w:hAnsi="Times New Roman"/>
          <w:sz w:val="18"/>
          <w:szCs w:val="18"/>
          <w:color w:val="auto"/>
        </w:rPr>
      </w:pPr>
    </w:p>
    <w:p>
      <w:pPr>
        <w:ind w:left="1060" w:right="320" w:hanging="424"/>
        <w:spacing w:after="0" w:line="282" w:lineRule="auto"/>
        <w:tabs>
          <w:tab w:leader="none" w:pos="10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taken to authorize and enable the applicable Vendor entity to enter into and deliver this Agreement and each of the documents contemplated herein to which the applicable Vendor entity is a party, and to perform its obligations hereunder; and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220"/>
          </w:cols>
          <w:pgMar w:left="240" w:top="455" w:right="4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780" w:hanging="424"/>
        <w:spacing w:after="0" w:line="282" w:lineRule="auto"/>
        <w:tabs>
          <w:tab w:leader="none" w:pos="10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taken on or prior to the Closing Date, to authorize the transfer by the Vendors of the Purchased Shares to the Purchaser as contemplated by this Agreement.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Valid and Binding Obligation</w:t>
      </w:r>
    </w:p>
    <w:p>
      <w:pPr>
        <w:spacing w:after="0" w:line="135" w:lineRule="exact"/>
        <w:rPr>
          <w:sz w:val="20"/>
          <w:szCs w:val="20"/>
          <w:color w:val="auto"/>
        </w:rPr>
      </w:pPr>
    </w:p>
    <w:p>
      <w:pPr>
        <w:ind w:left="640" w:right="40" w:hanging="436"/>
        <w:spacing w:after="0" w:line="261" w:lineRule="auto"/>
        <w:tabs>
          <w:tab w:leader="none" w:pos="6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document delivered at Closing to which each of the Vendors is a party will on Closing be, duly executed and delivered by each of the Vendors and constitutes, and each document delivered at Closing to which each of the Vendors is a party will on Closing constitute, a legal, valid and binding obligation of each such Vendor, enforceable against it in accordance with its terms subject only to the qualification that such enforceability may be limited by:</w:t>
      </w:r>
    </w:p>
    <w:p>
      <w:pPr>
        <w:spacing w:after="0" w:line="85" w:lineRule="exact"/>
        <w:rPr>
          <w:rFonts w:ascii="Times New Roman" w:cs="Times New Roman" w:eastAsia="Times New Roman" w:hAnsi="Times New Roman"/>
          <w:sz w:val="18"/>
          <w:szCs w:val="18"/>
          <w:color w:val="auto"/>
        </w:rPr>
      </w:pPr>
    </w:p>
    <w:p>
      <w:pPr>
        <w:ind w:left="1060" w:right="160" w:hanging="424"/>
        <w:spacing w:after="0" w:line="282" w:lineRule="auto"/>
        <w:tabs>
          <w:tab w:leader="none" w:pos="10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under applicable Laws relating to bankruptcy, insolvency, fraudulent transfer, moratorium, reorganization and other similar Laws relating to or affecting the enforcement of creditors’ rights generally; and</w:t>
      </w:r>
    </w:p>
    <w:p>
      <w:pPr>
        <w:spacing w:after="0" w:line="67" w:lineRule="exact"/>
        <w:rPr>
          <w:rFonts w:ascii="Times New Roman" w:cs="Times New Roman" w:eastAsia="Times New Roman" w:hAnsi="Times New Roman"/>
          <w:sz w:val="18"/>
          <w:szCs w:val="18"/>
          <w:color w:val="auto"/>
        </w:rPr>
      </w:pPr>
    </w:p>
    <w:p>
      <w:pPr>
        <w:ind w:left="1060" w:right="180" w:hanging="424"/>
        <w:spacing w:after="0" w:line="282" w:lineRule="auto"/>
        <w:tabs>
          <w:tab w:leader="none" w:pos="10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equitable remedies, including the remedies of specific performance and injunction, may only be granted in the discretion of a court.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Residency</w:t>
      </w:r>
    </w:p>
    <w:p>
      <w:pPr>
        <w:spacing w:after="0" w:line="135" w:lineRule="exact"/>
        <w:rPr>
          <w:sz w:val="20"/>
          <w:szCs w:val="20"/>
          <w:color w:val="auto"/>
        </w:rPr>
      </w:pPr>
    </w:p>
    <w:p>
      <w:pPr>
        <w:ind w:left="640" w:hanging="436"/>
        <w:spacing w:after="0"/>
        <w:tabs>
          <w:tab w:leader="none" w:pos="6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Vendors is not a non-resident of Canada for the purposes of the Tax Act.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Bankruptcy</w:t>
      </w:r>
    </w:p>
    <w:p>
      <w:pPr>
        <w:spacing w:after="0" w:line="135" w:lineRule="exact"/>
        <w:rPr>
          <w:sz w:val="20"/>
          <w:szCs w:val="20"/>
          <w:color w:val="auto"/>
        </w:rPr>
      </w:pPr>
    </w:p>
    <w:p>
      <w:pPr>
        <w:ind w:left="640" w:right="460" w:hanging="436"/>
        <w:spacing w:after="0" w:line="282" w:lineRule="auto"/>
        <w:tabs>
          <w:tab w:leader="none" w:pos="6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proceedings have been taken, are pending or authorized by such Vendor or by any other person in respect of the bankruptcy, insolvency, liquidation or winding up of such Vendor.</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Law Matters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5.2</w:t>
      </w:r>
    </w:p>
    <w:p>
      <w:pPr>
        <w:spacing w:after="0" w:line="131" w:lineRule="exact"/>
        <w:rPr>
          <w:sz w:val="20"/>
          <w:szCs w:val="20"/>
          <w:color w:val="auto"/>
        </w:rPr>
      </w:pPr>
    </w:p>
    <w:p>
      <w:pPr>
        <w:ind w:left="640" w:hanging="436"/>
        <w:spacing w:after="0"/>
        <w:tabs>
          <w:tab w:leader="none" w:pos="6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Vendor, severally, and not on a joint basis, represents, warrants, acknowledges and agrees that:</w:t>
      </w:r>
    </w:p>
    <w:p>
      <w:pPr>
        <w:spacing w:after="0" w:line="130" w:lineRule="exact"/>
        <w:rPr>
          <w:rFonts w:ascii="Times New Roman" w:cs="Times New Roman" w:eastAsia="Times New Roman" w:hAnsi="Times New Roman"/>
          <w:sz w:val="18"/>
          <w:szCs w:val="18"/>
          <w:color w:val="auto"/>
        </w:rPr>
      </w:pPr>
    </w:p>
    <w:p>
      <w:pPr>
        <w:ind w:left="1060" w:hanging="424"/>
        <w:spacing w:after="0" w:line="261" w:lineRule="auto"/>
        <w:tabs>
          <w:tab w:leader="none" w:pos="106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have not been registered under the U.S. Securities Act, and may not be offered or sold within the United States or to, or for the account or benefit of, U.S. persons except (i) pursuant to an effective registration statement under the U.S. Securities Act, or</w:t>
      </w:r>
    </w:p>
    <w:p>
      <w:pPr>
        <w:ind w:left="1340" w:hanging="272"/>
        <w:spacing w:after="0"/>
        <w:tabs>
          <w:tab w:leader="none" w:pos="1340"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the registration requirements of the U.S. Securities Act and any applicable state securities Laws.</w:t>
      </w:r>
    </w:p>
    <w:p>
      <w:pPr>
        <w:spacing w:after="0" w:line="112" w:lineRule="exact"/>
        <w:rPr>
          <w:rFonts w:ascii="Times New Roman" w:cs="Times New Roman" w:eastAsia="Times New Roman" w:hAnsi="Times New Roman"/>
          <w:sz w:val="18"/>
          <w:szCs w:val="18"/>
          <w:color w:val="auto"/>
        </w:rPr>
      </w:pPr>
    </w:p>
    <w:p>
      <w:pPr>
        <w:ind w:left="1620" w:right="60" w:hanging="984"/>
        <w:spacing w:after="0" w:line="313" w:lineRule="auto"/>
        <w:tabs>
          <w:tab w:leader="none" w:pos="103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 xml:space="preserve">The Vendor is purchasing the Consideration Shares as principal and is an “accredited investor” as defined in each of Rule 501(a) of Regulation D promulgated under the U.S. Securities Act and Section 1.1 of National Instrument 45-106 – </w:t>
      </w:r>
      <w:r>
        <w:rPr>
          <w:rFonts w:ascii="Times New Roman" w:cs="Times New Roman" w:eastAsia="Times New Roman" w:hAnsi="Times New Roman"/>
          <w:sz w:val="17"/>
          <w:szCs w:val="17"/>
          <w:i w:val="1"/>
          <w:iCs w:val="1"/>
          <w:color w:val="auto"/>
        </w:rPr>
        <w:t>Prospectus Exemptions</w:t>
      </w:r>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8"/>
          <w:szCs w:val="18"/>
          <w:color w:val="auto"/>
        </w:rPr>
      </w:pPr>
    </w:p>
    <w:p>
      <w:pPr>
        <w:ind w:left="1620" w:right="160" w:hanging="538"/>
        <w:spacing w:after="0" w:line="282" w:lineRule="auto"/>
        <w:tabs>
          <w:tab w:leader="none" w:pos="1620" w:val="left"/>
        </w:tabs>
        <w:numPr>
          <w:ilvl w:val="3"/>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 is not purchasing the Consideration Shares as a result of “general solicitation” or “general advertising” (as such terms are used in Rule 502 of Regulation D promulgated under the U.S. Securities Act).</w:t>
      </w:r>
    </w:p>
    <w:p>
      <w:pPr>
        <w:spacing w:after="0" w:line="67" w:lineRule="exact"/>
        <w:rPr>
          <w:rFonts w:ascii="Times New Roman" w:cs="Times New Roman" w:eastAsia="Times New Roman" w:hAnsi="Times New Roman"/>
          <w:sz w:val="18"/>
          <w:szCs w:val="18"/>
          <w:color w:val="auto"/>
        </w:rPr>
      </w:pPr>
    </w:p>
    <w:p>
      <w:pPr>
        <w:ind w:left="640" w:right="140" w:hanging="436"/>
        <w:spacing w:after="0" w:line="266" w:lineRule="auto"/>
        <w:tabs>
          <w:tab w:leader="none" w:pos="6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Vendors (i) has such knowledge and experience in financial and business matters as to be capable of evaluating the merits, risks and suitability of the transactions contemplated by this Agreement, and (ii) is able to bear the risk of an entire loss of its investment in the Consideration Shares.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 Inducement or Reliance</w:t>
      </w:r>
    </w:p>
    <w:p>
      <w:pPr>
        <w:spacing w:after="0" w:line="121"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5.3 Each of the Vendors agrees that it has not been induced by or relied upon any representations, warranties or statements, whether express or implied, made by the Purchaser or its Affiliates, officers, directors, members,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40"/>
          </w:cols>
          <w:pgMar w:left="240" w:top="455" w:right="51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2" w:lineRule="auto"/>
        <w:rPr>
          <w:sz w:val="20"/>
          <w:szCs w:val="20"/>
          <w:color w:val="auto"/>
        </w:rPr>
      </w:pPr>
      <w:r>
        <w:rPr>
          <w:rFonts w:ascii="Times New Roman" w:cs="Times New Roman" w:eastAsia="Times New Roman" w:hAnsi="Times New Roman"/>
          <w:sz w:val="18"/>
          <w:szCs w:val="18"/>
          <w:color w:val="auto"/>
        </w:rPr>
        <w:t>employees, agents or representatives that are not expressly set forth in this Agreement and other agreements specifically contemplated herein, whether or not any such representations, warranties or statements were made in writing or orally.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Torgerson Representations and Warranties</w:t>
      </w:r>
    </w:p>
    <w:p>
      <w:pPr>
        <w:spacing w:after="0" w:line="121" w:lineRule="exact"/>
        <w:rPr>
          <w:sz w:val="20"/>
          <w:szCs w:val="20"/>
          <w:color w:val="auto"/>
        </w:rPr>
      </w:pPr>
    </w:p>
    <w:p>
      <w:pPr>
        <w:ind w:left="200" w:right="80"/>
        <w:spacing w:after="0" w:line="282" w:lineRule="auto"/>
        <w:rPr>
          <w:sz w:val="20"/>
          <w:szCs w:val="20"/>
          <w:color w:val="auto"/>
        </w:rPr>
      </w:pPr>
      <w:r>
        <w:rPr>
          <w:rFonts w:ascii="Times New Roman" w:cs="Times New Roman" w:eastAsia="Times New Roman" w:hAnsi="Times New Roman"/>
          <w:sz w:val="18"/>
          <w:szCs w:val="18"/>
          <w:color w:val="auto"/>
        </w:rPr>
        <w:t>5.4 Torgerson, jointly and severally with the Vendors, represents and warrants to Purchaser each of the Fundamental Representations and acknowledges that the Purchaser is relying on such Fundamental Representations in connection with the transactions contemplated hereby.</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SURVIVAL OF COVENANTS, REPRESENTATIONS AND WARRANTIES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Survival of Covenants, Representations and Warranties</w:t>
      </w:r>
    </w:p>
    <w:p>
      <w:pPr>
        <w:spacing w:after="0" w:line="121"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6.1 The representations and warranties and, to the extent that they have not been fully performed at or prior to the Closing, the covenants made by the Parties and contained in this Agreement shall survive the Closing and continue in full force and effect for the benefit of the respective Party or Parties, as applicable, subject to the following:</w:t>
      </w:r>
    </w:p>
    <w:p>
      <w:pPr>
        <w:spacing w:after="0" w:line="82" w:lineRule="exact"/>
        <w:rPr>
          <w:sz w:val="20"/>
          <w:szCs w:val="20"/>
          <w:color w:val="auto"/>
        </w:rPr>
      </w:pPr>
    </w:p>
    <w:p>
      <w:pPr>
        <w:ind w:left="640" w:right="80" w:hanging="436"/>
        <w:spacing w:after="0" w:line="282" w:lineRule="auto"/>
        <w:tabs>
          <w:tab w:leader="none" w:pos="6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subsections (b), (c) and (d) below, the representations and warranties of the Purchaser and the Vendors shall terminate at the expiration of the eighteen (18) month period after the Closing Date;</w:t>
      </w:r>
    </w:p>
    <w:p>
      <w:pPr>
        <w:spacing w:after="0" w:line="67" w:lineRule="exact"/>
        <w:rPr>
          <w:rFonts w:ascii="Times New Roman" w:cs="Times New Roman" w:eastAsia="Times New Roman" w:hAnsi="Times New Roman"/>
          <w:sz w:val="18"/>
          <w:szCs w:val="18"/>
          <w:color w:val="auto"/>
        </w:rPr>
      </w:pPr>
    </w:p>
    <w:p>
      <w:pPr>
        <w:ind w:left="640" w:right="180" w:hanging="436"/>
        <w:spacing w:after="0" w:line="266" w:lineRule="auto"/>
        <w:tabs>
          <w:tab w:leader="none" w:pos="6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Representations shall survive the Closing until six months after the expiration of the period during which any Tax assessment may be issued by a Governmental Entity in respect of any taxation year to which such representations and warranties extend. A Tax assessment includes any assessment, reassessment or other form of recognized document assessing liability for Taxes under applicable Laws;</w:t>
      </w:r>
    </w:p>
    <w:p>
      <w:pPr>
        <w:spacing w:after="0" w:line="8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Fundamental Representations shall terminate at the expiration of the six (6) year period after the Closing Date; and</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which is based upon fraudulent misrepresentation or fraud may be brought at any time.</w:t>
      </w:r>
    </w:p>
    <w:p>
      <w:pPr>
        <w:spacing w:after="0" w:line="225"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6.2 After the expiration of the applicable period of time referred to in Section 6.1(a), the Purchaser, the Vendors and Torgerson will be released from any and all Liabilities in respect of the representations and warranties made by each of them and contained in this Agreement or in any document or certificate given in order to carry out the transactions contemplated hereby, except (and only to the extent of) with respect to any Claims made by any of the Parties in writing prior to the expiration of such period and subject to the rights of each of the Parties to make any Claim permitted by Section 6.1(b) to Section 6.1(d) (inclusive).</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COVENANTS OF THE VENDORS AND THE CORPORATION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General Covenants</w:t>
      </w:r>
    </w:p>
    <w:p>
      <w:pPr>
        <w:spacing w:after="0" w:line="121" w:lineRule="exact"/>
        <w:rPr>
          <w:sz w:val="20"/>
          <w:szCs w:val="20"/>
          <w:color w:val="auto"/>
        </w:rPr>
      </w:pPr>
    </w:p>
    <w:p>
      <w:pPr>
        <w:jc w:val="both"/>
        <w:ind w:left="200" w:right="40"/>
        <w:spacing w:after="0" w:line="266" w:lineRule="auto"/>
        <w:rPr>
          <w:sz w:val="20"/>
          <w:szCs w:val="20"/>
          <w:color w:val="auto"/>
        </w:rPr>
      </w:pPr>
      <w:r>
        <w:rPr>
          <w:rFonts w:ascii="Times New Roman" w:cs="Times New Roman" w:eastAsia="Times New Roman" w:hAnsi="Times New Roman"/>
          <w:sz w:val="18"/>
          <w:szCs w:val="18"/>
          <w:color w:val="auto"/>
        </w:rPr>
        <w:t>7.1 Except as otherwise contemplated or permitted by this Agreement, during the period from the date hereof until the earlier of the Closing Date or the termination of this Agreement (unless otherwise consented to in writing by the Purchaser), each of the Vendors and the Corporation and its Subsidiaries, as the case may be, hereby covenant and agree follows:</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33" w:lineRule="exact"/>
        <w:rPr>
          <w:sz w:val="20"/>
          <w:szCs w:val="20"/>
          <w:color w:val="auto"/>
        </w:rPr>
      </w:pPr>
    </w:p>
    <w:p>
      <w:pPr>
        <w:ind w:left="640" w:right="160" w:hanging="436"/>
        <w:spacing w:after="0" w:line="282" w:lineRule="auto"/>
        <w:tabs>
          <w:tab w:leader="none" w:pos="6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Pre-Closing Transactions, the Vendors, 1818939, 2040618, 2040624, SmithCo, and Smith HoldCo shall not, directly or indirectly, sell, assign, transfer, pledge, mortgage or otherwise dispose of any of the shares of the Corporation or any right or interest therein.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220"/>
          </w:cols>
          <w:pgMar w:left="240" w:top="455" w:right="4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61" w:lineRule="auto"/>
        <w:tabs>
          <w:tab w:leader="none" w:pos="6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and the Corporation shall not, directly or indirectly, take or omit to take (or permit to be taken or not taken) any action that, if taken or not taken, as the case may be, would be inconsistent with this Agreement, the performance hereof or completion of the transactions contemplated hereby, or would or could reasonably be expected to directly or indirectly prevent, impair, hinder or delay the consummation of the transactions contemplated hereby.</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Delivery of Certificates</w:t>
      </w:r>
    </w:p>
    <w:p>
      <w:pPr>
        <w:spacing w:after="0" w:line="133" w:lineRule="exact"/>
        <w:rPr>
          <w:sz w:val="20"/>
          <w:szCs w:val="20"/>
          <w:color w:val="auto"/>
        </w:rPr>
      </w:pPr>
    </w:p>
    <w:p>
      <w:pPr>
        <w:ind w:left="640" w:right="260" w:hanging="436"/>
        <w:spacing w:after="0" w:line="266" w:lineRule="auto"/>
        <w:tabs>
          <w:tab w:leader="none" w:pos="6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shall on Closing surrender the certificate or certificates representing the Purchased Shares held by them to the Purchaser, duly endorsed for transfer or accompanied by stock powers of attorney, and in return, shall be entitled to receive the Consideration Shares and Base Cash Consideration forming part of the Purchase Price on the basis set out in this Agreement.</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Filings</w:t>
      </w:r>
    </w:p>
    <w:p>
      <w:pPr>
        <w:spacing w:after="0" w:line="133" w:lineRule="exact"/>
        <w:rPr>
          <w:sz w:val="20"/>
          <w:szCs w:val="20"/>
          <w:color w:val="auto"/>
        </w:rPr>
      </w:pPr>
    </w:p>
    <w:p>
      <w:pPr>
        <w:ind w:left="640" w:right="20" w:hanging="436"/>
        <w:spacing w:after="0" w:line="266" w:lineRule="auto"/>
        <w:tabs>
          <w:tab w:leader="none" w:pos="6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and the Corporation consent to, and will make available to the Purchasers such information, documents and data reasonably requested to enable, the filing by the Purchasers from time to time of any reports or other documents required by the SEC or Governmental Entity with respect to this Agreement and the transaction contemplated hereby.</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Representations and Warranties</w:t>
      </w:r>
    </w:p>
    <w:p>
      <w:pPr>
        <w:spacing w:after="0" w:line="133" w:lineRule="exact"/>
        <w:rPr>
          <w:sz w:val="20"/>
          <w:szCs w:val="20"/>
          <w:color w:val="auto"/>
        </w:rPr>
      </w:pPr>
    </w:p>
    <w:p>
      <w:pPr>
        <w:ind w:left="640" w:hanging="436"/>
        <w:spacing w:after="0" w:line="261" w:lineRule="auto"/>
        <w:tabs>
          <w:tab w:leader="none" w:pos="6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completion of the Pre-Closing Transactions, the Vendors and the Corporation shall not, directly or indirectly, take or omit to take (or permit to be taken or not taken) any action that, if taken or not taken, as the case may be, would render or could reasonably be expected to render any representation or warranty of the Vendors contained in this Agreement or in any document or certificate delivered pursuant hereto misleading or untrue in any material respect.</w:t>
      </w:r>
    </w:p>
    <w:p>
      <w:pPr>
        <w:spacing w:after="0" w:line="85" w:lineRule="exact"/>
        <w:rPr>
          <w:rFonts w:ascii="Times New Roman" w:cs="Times New Roman" w:eastAsia="Times New Roman" w:hAnsi="Times New Roman"/>
          <w:sz w:val="18"/>
          <w:szCs w:val="18"/>
          <w:color w:val="auto"/>
        </w:rPr>
      </w:pPr>
    </w:p>
    <w:p>
      <w:pPr>
        <w:ind w:left="640" w:hanging="436"/>
        <w:spacing w:after="0" w:line="253" w:lineRule="auto"/>
        <w:tabs>
          <w:tab w:leader="none" w:pos="6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prior to the Closing, the Vendors shall have the right to supplement or amend the information set forth in the Disclosure Letter with respect to any matter arising from circumstances first occurring after the date hereof provided such matter was undertaken by the Vendors, the Corporation, and/or its Subsidiaries: (i) with the written consent of the Purchaser (such consent not to be unreasonably withheld); (ii) was specifically contemplated in the Disclosure Letter; (iii) was otherwise permitted under Sections 7.2(a)(i), 7.2(a)(iii) or 7.2(a)(iv); or (iv) the matter would be otherwise permitted without the prior written consent of the Purchaser pursuant to Sections 7.2(a)(ii)(A), 7.2(a)(ii)(B), 7.2(a)(ii)(E), 7.2(a)(ii)(K) or 7.2(a)(ii)(M). For greater certainty, any such supplements or amendments to the Disclosure Letter shall modify the applicable representations and warranties of the Vendors and Torgerson for all purposes of this Agreement (including in respect of the Vendors’ and Torgerson’s indemnification obligations under Article 10); provided however, that if such supplements and amendments relate to matters that, individually or in the aggregate, could have a Material Adverse Effect, then such supplements or amendments shall have no effect and the Purchaser shall retain all rights under this Agreement as if such supplement or amendments had not been made. For the avoidance of doubt, any such supplement or amendment that arises from circumstances first occurring prior to the date hereof shall be disregarded for all purposes under this Agreement (including the indemnification provisions, closing conditions and representations and warranties contained herein).</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Conditions</w:t>
      </w:r>
    </w:p>
    <w:p>
      <w:pPr>
        <w:spacing w:after="0" w:line="133" w:lineRule="exact"/>
        <w:rPr>
          <w:sz w:val="20"/>
          <w:szCs w:val="20"/>
          <w:color w:val="auto"/>
        </w:rPr>
      </w:pPr>
    </w:p>
    <w:p>
      <w:pPr>
        <w:ind w:left="640" w:right="360" w:hanging="436"/>
        <w:spacing w:after="0" w:line="282" w:lineRule="auto"/>
        <w:tabs>
          <w:tab w:leader="none" w:pos="6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and the Corporation will use their respective commercially reasonable efforts to ensure that all applicable conditions set forth in Section 11.1 and Section 11.2 are met.</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Insurance</w:t>
      </w:r>
    </w:p>
    <w:p>
      <w:pPr>
        <w:spacing w:after="0" w:line="133" w:lineRule="exact"/>
        <w:rPr>
          <w:sz w:val="20"/>
          <w:szCs w:val="20"/>
          <w:color w:val="auto"/>
        </w:rPr>
      </w:pPr>
    </w:p>
    <w:p>
      <w:pPr>
        <w:ind w:left="640" w:right="180" w:hanging="436"/>
        <w:spacing w:after="0" w:line="282" w:lineRule="auto"/>
        <w:tabs>
          <w:tab w:leader="none" w:pos="6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do so would not cause a Material Adverse Effect, the Corporation and its Subsidiaries shall maintain in full force all policies of insurance currently in effect in respect of the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60"/>
          </w:cols>
          <w:pgMar w:left="240" w:top="455" w:right="49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Corporation, its Subsidiaries and the Business and give all notices and present all Claims under all such policies of insurance in a timely fashion.</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Cooperation</w:t>
      </w:r>
    </w:p>
    <w:p>
      <w:pPr>
        <w:spacing w:after="0" w:line="133" w:lineRule="exact"/>
        <w:rPr>
          <w:sz w:val="20"/>
          <w:szCs w:val="20"/>
          <w:color w:val="auto"/>
        </w:rPr>
      </w:pPr>
    </w:p>
    <w:p>
      <w:pPr>
        <w:ind w:left="640" w:hanging="436"/>
        <w:spacing w:after="0" w:line="255" w:lineRule="auto"/>
        <w:tabs>
          <w:tab w:leader="none" w:pos="6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hereof, the Corporation and Vendors will provide all cooperation that the Purchaser may reasonably request in connection with the preparation and filing by the Purchaser of any required securities filings pursuant to the Securities Acts or other U.S. securities Laws, the preparation of pro-forma financial statements, the conversion of the Corporation Financial Statements to financial statements prepared in accordance with GAAP and the preparation of financial statements for delivery in connection with any required proxy statement, registration statements and prospectuses of the Purchaser. All third party costs and expenses relating thereto, other than those related to the preparation or conversion of the Corporation Financial Statements, will be for the account of the Purchaser and all such costs and expenses relating to the preparation or conversion of the Corporation Financial Statements shall be for the account of the Corporation. For greater certainty, none of the Vendors will be entitled to compensation for any time they are required to commit to discharge their obligations under this Section 7.1(i).</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Covenants in Respect of Business</w:t>
      </w:r>
    </w:p>
    <w:p>
      <w:pPr>
        <w:spacing w:after="0" w:line="121" w:lineRule="exact"/>
        <w:rPr>
          <w:sz w:val="20"/>
          <w:szCs w:val="20"/>
          <w:color w:val="auto"/>
        </w:rPr>
      </w:pPr>
    </w:p>
    <w:p>
      <w:pPr>
        <w:jc w:val="both"/>
        <w:ind w:left="200" w:right="120"/>
        <w:spacing w:after="0" w:line="261" w:lineRule="auto"/>
        <w:rPr>
          <w:sz w:val="20"/>
          <w:szCs w:val="20"/>
          <w:color w:val="auto"/>
        </w:rPr>
      </w:pPr>
      <w:r>
        <w:rPr>
          <w:rFonts w:ascii="Times New Roman" w:cs="Times New Roman" w:eastAsia="Times New Roman" w:hAnsi="Times New Roman"/>
          <w:sz w:val="18"/>
          <w:szCs w:val="18"/>
          <w:color w:val="auto"/>
        </w:rPr>
        <w:t>7.2 From the date hereof until the earlier of the Closing Date or the termination of this Agreement, the Vendors will use their respective commercially reasonable efforts to cause the Corporation and its Subsidiaries, Dene Koe GP and Dene Koe LP to conduct their business as carried on as of the date hereof in the Ordinary Course. Without limiting the generality of the foregoing, during the period starting on the date of this Agreement and ending on the earlier of the Closing Date or the termination of this Agreement:</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Interim Operating Covenants</w:t>
      </w:r>
    </w:p>
    <w:p>
      <w:pPr>
        <w:spacing w:after="0" w:line="133" w:lineRule="exact"/>
        <w:rPr>
          <w:sz w:val="20"/>
          <w:szCs w:val="20"/>
          <w:color w:val="auto"/>
        </w:rPr>
      </w:pPr>
    </w:p>
    <w:p>
      <w:pPr>
        <w:ind w:left="640" w:right="240" w:hanging="436"/>
        <w:spacing w:after="0" w:line="282" w:lineRule="auto"/>
        <w:tabs>
          <w:tab w:leader="none" w:pos="6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the Vendors shall, with respect to the Corporation, and its Subsidiaries, ensure that, and with respect to Dene Koe GP and Dene Koe LP, use reasonable and commercial efforts to ensure that:</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each of its Subsidiaries, Dene Koe GP and Dene Koe LP shall:</w:t>
      </w:r>
    </w:p>
    <w:p>
      <w:pPr>
        <w:spacing w:after="0" w:line="130" w:lineRule="exact"/>
        <w:rPr>
          <w:rFonts w:ascii="Times New Roman" w:cs="Times New Roman" w:eastAsia="Times New Roman" w:hAnsi="Times New Roman"/>
          <w:sz w:val="18"/>
          <w:szCs w:val="18"/>
          <w:color w:val="auto"/>
        </w:rPr>
      </w:pPr>
    </w:p>
    <w:p>
      <w:pPr>
        <w:ind w:left="1620" w:right="120" w:hanging="538"/>
        <w:spacing w:after="0" w:line="266" w:lineRule="auto"/>
        <w:tabs>
          <w:tab w:leader="none" w:pos="1620"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its Business in the Ordinary Course and in material compliance with all applicable Laws, and in material compliance with all Material Contracts; provided that on or before the Closing Date, the Corporation shall be permitted to pay all related party advances, Indebtedness and any payables;</w:t>
      </w:r>
    </w:p>
    <w:p>
      <w:pPr>
        <w:spacing w:after="0" w:line="81" w:lineRule="exact"/>
        <w:rPr>
          <w:rFonts w:ascii="Times New Roman" w:cs="Times New Roman" w:eastAsia="Times New Roman" w:hAnsi="Times New Roman"/>
          <w:sz w:val="18"/>
          <w:szCs w:val="18"/>
          <w:color w:val="auto"/>
        </w:rPr>
      </w:pPr>
    </w:p>
    <w:p>
      <w:pPr>
        <w:ind w:left="1620" w:right="60" w:hanging="538"/>
        <w:spacing w:after="0" w:line="261" w:lineRule="auto"/>
        <w:tabs>
          <w:tab w:leader="none" w:pos="1620"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preserve intact its present Business organization, documents and records and material rights, to keep available the services of its current Employees (subject to the constraints imposed by the terms of this Agreement), and to preserve its relationships with customers, suppliers and others having business dealings with the Corporation or any of its Subsidiaries or Dene Koe GP and Dene Koe LP; and</w:t>
      </w:r>
    </w:p>
    <w:p>
      <w:pPr>
        <w:spacing w:after="0" w:line="85" w:lineRule="exact"/>
        <w:rPr>
          <w:rFonts w:ascii="Times New Roman" w:cs="Times New Roman" w:eastAsia="Times New Roman" w:hAnsi="Times New Roman"/>
          <w:sz w:val="18"/>
          <w:szCs w:val="18"/>
          <w:color w:val="auto"/>
        </w:rPr>
      </w:pPr>
    </w:p>
    <w:p>
      <w:pPr>
        <w:ind w:left="1620" w:right="220" w:hanging="538"/>
        <w:spacing w:after="0" w:line="282" w:lineRule="auto"/>
        <w:tabs>
          <w:tab w:leader="none" w:pos="1620"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keep its material properties and Assets in good repair and condition, subject to ordinary wear and tear, all to the end that its goodwill and ongoing Business shall not be impaired in any material respect at the Closing Date.</w:t>
      </w:r>
    </w:p>
    <w:p>
      <w:pPr>
        <w:spacing w:after="0" w:line="67" w:lineRule="exact"/>
        <w:rPr>
          <w:rFonts w:ascii="Times New Roman" w:cs="Times New Roman" w:eastAsia="Times New Roman" w:hAnsi="Times New Roman"/>
          <w:sz w:val="18"/>
          <w:szCs w:val="18"/>
          <w:color w:val="auto"/>
        </w:rPr>
      </w:pPr>
    </w:p>
    <w:p>
      <w:pPr>
        <w:jc w:val="both"/>
        <w:ind w:left="1060" w:right="20" w:hanging="424"/>
        <w:spacing w:after="0" w:line="282" w:lineRule="auto"/>
        <w:tabs>
          <w:tab w:leader="none" w:pos="10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required pursuant to any Material Contract or otherwise expressly permitted herein or in the Disclosure Letter, neither the Corporation nor any of its Subsidiaries shall, without prior written consent of the Purchaser (such consent not to be unreasonably withheld):</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individual capital expenditures in excess of Cdn.$500,000;</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Cdn.$6,000,000 in the aggregate;</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modify, or agree to issue or modify, any equity or debt securities or rights to acquire securities;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60"/>
          </w:cols>
          <w:pgMar w:left="240" w:top="456" w:right="49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620" w:right="220" w:hanging="538"/>
        <w:spacing w:after="0" w:line="258" w:lineRule="auto"/>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a shareholder of Dene Koe GP or as a limited partner of Dene Koe LP, vote in favour of or consent to any action, transaction or amendment to the limited partnership agreement of Dene Koe LP or the unanimous shareholder agreement of Dene Koe GP that could reasonably give rise to or result in a Material Adverse Effect in respect of the Corporation or Dene Koe GP or Dene Koe LP or would, if enacted, result in the breach of any of the covenants in this Section 7.2(a)(ii) if such covenants were in respect of Dene Koe GP or Dene Koe LP rather than the Corporation or the Subsidiaries;</w:t>
      </w:r>
    </w:p>
    <w:p>
      <w:pPr>
        <w:spacing w:after="0" w:line="89"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new Indebtedness that is not contemplated in the Corporation’s existing financing arrangements or in the Ordinary Course;</w:t>
      </w:r>
    </w:p>
    <w:p>
      <w:pPr>
        <w:spacing w:after="0" w:line="130" w:lineRule="exact"/>
        <w:rPr>
          <w:rFonts w:ascii="Times New Roman" w:cs="Times New Roman" w:eastAsia="Times New Roman" w:hAnsi="Times New Roman"/>
          <w:sz w:val="18"/>
          <w:szCs w:val="18"/>
          <w:color w:val="auto"/>
        </w:rPr>
      </w:pPr>
    </w:p>
    <w:p>
      <w:pPr>
        <w:ind w:left="1620" w:hanging="538"/>
        <w:spacing w:after="0" w:line="261" w:lineRule="auto"/>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Contracts, other than those Material Contracts for catering services, lodging, logistics or accommodation services entered into in the Ordinary Course where the terms and conditions of each such Material Contract is consistent with the past practices of the Corporation and the estimated costs to the Corporation or its Subsidiaries from each such Material Contract does not exceed the estimated revenues from each such Material Contract;</w:t>
      </w:r>
    </w:p>
    <w:p>
      <w:pPr>
        <w:spacing w:after="0" w:line="85"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amend its articles, by-laws or limited partnership agreements, as applicable;</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that is materially different from the Business;</w:t>
      </w:r>
    </w:p>
    <w:p>
      <w:pPr>
        <w:spacing w:after="0" w:line="130" w:lineRule="exact"/>
        <w:rPr>
          <w:rFonts w:ascii="Times New Roman" w:cs="Times New Roman" w:eastAsia="Times New Roman" w:hAnsi="Times New Roman"/>
          <w:sz w:val="18"/>
          <w:szCs w:val="18"/>
          <w:color w:val="auto"/>
        </w:rPr>
      </w:pPr>
    </w:p>
    <w:p>
      <w:pPr>
        <w:ind w:left="1620" w:right="500" w:hanging="538"/>
        <w:spacing w:after="0" w:line="282" w:lineRule="auto"/>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lease, dispose of, grant any interest in, encumber or agree to sell, pledge, lease, dispose of, grant any interest in or encumber any material portion of the Assets;</w:t>
      </w:r>
    </w:p>
    <w:p>
      <w:pPr>
        <w:spacing w:after="0" w:line="67" w:lineRule="exact"/>
        <w:rPr>
          <w:rFonts w:ascii="Times New Roman" w:cs="Times New Roman" w:eastAsia="Times New Roman" w:hAnsi="Times New Roman"/>
          <w:sz w:val="18"/>
          <w:szCs w:val="18"/>
          <w:color w:val="auto"/>
        </w:rPr>
      </w:pPr>
    </w:p>
    <w:p>
      <w:pPr>
        <w:ind w:left="1620" w:right="120" w:hanging="538"/>
        <w:spacing w:after="0" w:line="282" w:lineRule="auto"/>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in the Pre-Closing Transactions, redeem, purchase or offer to purchase any of the Purchased Shares or other securities of the Corporation;</w:t>
      </w:r>
    </w:p>
    <w:p>
      <w:pPr>
        <w:spacing w:after="0" w:line="67" w:lineRule="exact"/>
        <w:rPr>
          <w:rFonts w:ascii="Times New Roman" w:cs="Times New Roman" w:eastAsia="Times New Roman" w:hAnsi="Times New Roman"/>
          <w:sz w:val="18"/>
          <w:szCs w:val="18"/>
          <w:color w:val="auto"/>
        </w:rPr>
      </w:pPr>
    </w:p>
    <w:p>
      <w:pPr>
        <w:ind w:left="1620" w:right="440" w:hanging="538"/>
        <w:spacing w:after="0" w:line="282" w:lineRule="auto"/>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or pursuant to existing Benefit Plans or Contracts in effect on the date hereof, implement any material salary, bonus or benefit increases for any Employees or grant any material bonuses to Employees;</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perform any transactions with Affiliates, other than in the Ordinary Course; or</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accounting policy which was utilized for purposes of preparing the Corporation Financial Statements.</w:t>
      </w:r>
    </w:p>
    <w:p>
      <w:pPr>
        <w:spacing w:after="0" w:line="130" w:lineRule="exact"/>
        <w:rPr>
          <w:rFonts w:ascii="Times New Roman" w:cs="Times New Roman" w:eastAsia="Times New Roman" w:hAnsi="Times New Roman"/>
          <w:sz w:val="18"/>
          <w:szCs w:val="18"/>
          <w:color w:val="auto"/>
        </w:rPr>
      </w:pPr>
    </w:p>
    <w:p>
      <w:pPr>
        <w:jc w:val="both"/>
        <w:ind w:left="1060" w:right="160" w:hanging="424"/>
        <w:spacing w:after="0" w:line="261" w:lineRule="auto"/>
        <w:tabs>
          <w:tab w:leader="none" w:pos="10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Vendors and the Corporation shall use its commercially reasonable efforts to obtain and maintain any and all authorizations as may be required under any applicable Law or any Contract to which the Corporation or any Subsidiary, Dene Koe GP or Dene Koe LP is a party or by which any of them or any of their respective the Assets is bound in order to consummate the transactions contemplated hereby, and provide copies of the same to the Purchaser prior to the Closing Date.</w:t>
      </w:r>
    </w:p>
    <w:p>
      <w:pPr>
        <w:spacing w:after="0" w:line="85" w:lineRule="exact"/>
        <w:rPr>
          <w:rFonts w:ascii="Times New Roman" w:cs="Times New Roman" w:eastAsia="Times New Roman" w:hAnsi="Times New Roman"/>
          <w:sz w:val="18"/>
          <w:szCs w:val="18"/>
          <w:color w:val="auto"/>
        </w:rPr>
      </w:pPr>
    </w:p>
    <w:p>
      <w:pPr>
        <w:jc w:val="both"/>
        <w:ind w:left="1060" w:right="80" w:hanging="424"/>
        <w:spacing w:after="0" w:line="266" w:lineRule="auto"/>
        <w:tabs>
          <w:tab w:leader="none" w:pos="10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do so will not cause a Material Adverse Effect, the Corporation and each Subsidiary shall comply, with all Laws applicable to the Corporation, its Subsidiaries and the Business or otherwise affecting the Assets or the operations of the Corporation or any Subsidiary.</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its Subsidiaries shall provide the Purchaser with:</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any material notices, correspondence or other communications received from any Governmental Entity;</w:t>
      </w:r>
    </w:p>
    <w:p>
      <w:pPr>
        <w:spacing w:after="0" w:line="130" w:lineRule="exact"/>
        <w:rPr>
          <w:rFonts w:ascii="Times New Roman" w:cs="Times New Roman" w:eastAsia="Times New Roman" w:hAnsi="Times New Roman"/>
          <w:sz w:val="18"/>
          <w:szCs w:val="18"/>
          <w:color w:val="auto"/>
        </w:rPr>
      </w:pPr>
    </w:p>
    <w:p>
      <w:pPr>
        <w:jc w:val="both"/>
        <w:ind w:left="1620" w:right="260" w:hanging="538"/>
        <w:spacing w:after="0" w:line="266" w:lineRule="auto"/>
        <w:tabs>
          <w:tab w:leader="none" w:pos="16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of any Claim or potential Claim against, involving or affecting the Corporation, its Subsidiaries, the Business, the Assets of the Corporation or its Subsidiaries of which the Corporation or any Subsidiary shall receive notice or otherwise become aware after the date hereof, including copies of any documentation relating thereto; and</w:t>
      </w:r>
    </w:p>
    <w:p>
      <w:pPr>
        <w:spacing w:after="0" w:line="81" w:lineRule="exact"/>
        <w:rPr>
          <w:rFonts w:ascii="Times New Roman" w:cs="Times New Roman" w:eastAsia="Times New Roman" w:hAnsi="Times New Roman"/>
          <w:sz w:val="18"/>
          <w:szCs w:val="18"/>
          <w:color w:val="auto"/>
        </w:rPr>
      </w:pPr>
    </w:p>
    <w:p>
      <w:pPr>
        <w:ind w:left="1620" w:right="80" w:hanging="538"/>
        <w:spacing w:after="0" w:line="266" w:lineRule="auto"/>
        <w:tabs>
          <w:tab w:leader="none" w:pos="16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of any Material Adverse Effect (or any matters which, individually or in the aggregate, could reasonably be expected to result in a Material Adverse Effect) with respect to the Corporation or any Subsidiary, including copies of any documentation relating thereto.</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220"/>
          </w:cols>
          <w:pgMar w:left="240" w:top="456" w:right="4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Necessary Consents</w:t>
      </w:r>
    </w:p>
    <w:p>
      <w:pPr>
        <w:spacing w:after="0" w:line="135" w:lineRule="exact"/>
        <w:rPr>
          <w:sz w:val="20"/>
          <w:szCs w:val="20"/>
          <w:color w:val="auto"/>
        </w:rPr>
      </w:pPr>
    </w:p>
    <w:p>
      <w:pPr>
        <w:jc w:val="both"/>
        <w:ind w:left="640" w:right="380" w:hanging="436"/>
        <w:spacing w:after="0" w:line="266" w:lineRule="auto"/>
        <w:tabs>
          <w:tab w:leader="none" w:pos="6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its Subsidiaries shall use their commercially reasonable efforts to obtain from its directors, shareholders, all appropriate Governmental Entities and other Persons such approvals, Permits or consents, including the Regulatory Approvals, as are required (if any) to complete the transactions contemplated herein.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Non-Solicitation</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7.3 The Vendors and the Corporation agree that:</w:t>
      </w:r>
    </w:p>
    <w:p>
      <w:pPr>
        <w:spacing w:after="0" w:line="131" w:lineRule="exact"/>
        <w:rPr>
          <w:sz w:val="20"/>
          <w:szCs w:val="20"/>
          <w:color w:val="auto"/>
        </w:rPr>
      </w:pPr>
    </w:p>
    <w:p>
      <w:pPr>
        <w:ind w:left="640" w:right="20" w:hanging="436"/>
        <w:spacing w:after="0" w:line="266" w:lineRule="auto"/>
        <w:tabs>
          <w:tab w:leader="none" w:pos="6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shall, and shall cause the Subsidiaries of the Corporation to, immediately cease and cause to be terminated all existing discussions and negotiations, if any, with any Persons (other than with the Purchaser) conducted on or before the date of this Agreement with respect to any actual or potential Acquisition Proposal;</w:t>
      </w:r>
    </w:p>
    <w:p>
      <w:pPr>
        <w:spacing w:after="0" w:line="81" w:lineRule="exact"/>
        <w:rPr>
          <w:rFonts w:ascii="Times New Roman" w:cs="Times New Roman" w:eastAsia="Times New Roman" w:hAnsi="Times New Roman"/>
          <w:sz w:val="18"/>
          <w:szCs w:val="18"/>
          <w:color w:val="auto"/>
        </w:rPr>
      </w:pPr>
    </w:p>
    <w:p>
      <w:pPr>
        <w:jc w:val="both"/>
        <w:ind w:left="640" w:right="720" w:hanging="436"/>
        <w:spacing w:after="0" w:line="266" w:lineRule="auto"/>
        <w:tabs>
          <w:tab w:leader="none" w:pos="6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shall request, within 5 Business Days of the date of this Agreement, the prompt return or destruction of all confidential information previously furnished to any parties (other than the Purchaser) or before the date of this Agreement with respect to any actual or potential Acquisition Proposal, if such request has not been made prior to the date hereof;</w:t>
      </w:r>
    </w:p>
    <w:p>
      <w:pPr>
        <w:spacing w:after="0" w:line="81" w:lineRule="exact"/>
        <w:rPr>
          <w:rFonts w:ascii="Times New Roman" w:cs="Times New Roman" w:eastAsia="Times New Roman" w:hAnsi="Times New Roman"/>
          <w:sz w:val="18"/>
          <w:szCs w:val="18"/>
          <w:color w:val="auto"/>
        </w:rPr>
      </w:pPr>
    </w:p>
    <w:p>
      <w:pPr>
        <w:ind w:left="640" w:hanging="436"/>
        <w:spacing w:after="0" w:line="282" w:lineRule="auto"/>
        <w:tabs>
          <w:tab w:leader="none" w:pos="6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Closing Date or the termination of this Agreement, neither the Vendors nor the Corporation nor any of its Subsidiaries shall, directly or indirectly:</w:t>
      </w:r>
    </w:p>
    <w:p>
      <w:pPr>
        <w:spacing w:after="0" w:line="67" w:lineRule="exact"/>
        <w:rPr>
          <w:rFonts w:ascii="Times New Roman" w:cs="Times New Roman" w:eastAsia="Times New Roman" w:hAnsi="Times New Roman"/>
          <w:sz w:val="18"/>
          <w:szCs w:val="18"/>
          <w:color w:val="auto"/>
        </w:rPr>
      </w:pPr>
    </w:p>
    <w:p>
      <w:pPr>
        <w:ind w:left="1060" w:right="40" w:hanging="424"/>
        <w:spacing w:after="0" w:line="266" w:lineRule="auto"/>
        <w:tabs>
          <w:tab w:leader="none" w:pos="10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encourage in any manner whatsoever the initiation or continuation of any inquiries, discussions, negotiations, proposals or offers from any Person in respect of any matter or thing which is inconsistent with the successful completion of any of the transactions contemplated herein including, without limitation, any actual (or potential) Acquisition Proposal;</w:t>
      </w:r>
    </w:p>
    <w:p>
      <w:pPr>
        <w:spacing w:after="0" w:line="81" w:lineRule="exact"/>
        <w:rPr>
          <w:rFonts w:ascii="Times New Roman" w:cs="Times New Roman" w:eastAsia="Times New Roman" w:hAnsi="Times New Roman"/>
          <w:sz w:val="18"/>
          <w:szCs w:val="18"/>
          <w:color w:val="auto"/>
        </w:rPr>
      </w:pPr>
    </w:p>
    <w:p>
      <w:pPr>
        <w:jc w:val="both"/>
        <w:ind w:left="1060" w:right="100" w:hanging="424"/>
        <w:spacing w:after="0" w:line="266" w:lineRule="auto"/>
        <w:tabs>
          <w:tab w:leader="none" w:pos="10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discussions or negotiations regarding, or furnish to any Person any information with respect to, or otherwise cooperate in any manner with, or assist or participate in, or facilitate or encourage, an effort or attempt by any other Person to do anything mentioned in the Section 7.3(c)(i);</w:t>
      </w:r>
    </w:p>
    <w:p>
      <w:pPr>
        <w:spacing w:after="0" w:line="81" w:lineRule="exact"/>
        <w:rPr>
          <w:rFonts w:ascii="Times New Roman" w:cs="Times New Roman" w:eastAsia="Times New Roman" w:hAnsi="Times New Roman"/>
          <w:sz w:val="18"/>
          <w:szCs w:val="18"/>
          <w:color w:val="auto"/>
        </w:rPr>
      </w:pPr>
    </w:p>
    <w:p>
      <w:pPr>
        <w:ind w:left="1060" w:right="340" w:hanging="424"/>
        <w:spacing w:after="0" w:line="266" w:lineRule="auto"/>
        <w:tabs>
          <w:tab w:leader="none" w:pos="10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otherwise forbear in the enforcement of, or enter into or participate in any discussions, negotiations or agreements to waive or otherwise forebear in respect of, any rights or other benefits under the Confidentiality Agreement including, without limitation, any standstill provisions thereunder; or</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recommend, approve or enter into an agreement to implement any Acquisition Proposal.</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Severance</w:t>
      </w:r>
    </w:p>
    <w:p>
      <w:pPr>
        <w:spacing w:after="0" w:line="121" w:lineRule="exact"/>
        <w:rPr>
          <w:sz w:val="20"/>
          <w:szCs w:val="20"/>
          <w:color w:val="auto"/>
        </w:rPr>
      </w:pPr>
    </w:p>
    <w:p>
      <w:pPr>
        <w:jc w:val="both"/>
        <w:ind w:left="200" w:right="220"/>
        <w:spacing w:after="0" w:line="258" w:lineRule="auto"/>
        <w:rPr>
          <w:sz w:val="20"/>
          <w:szCs w:val="20"/>
          <w:color w:val="auto"/>
        </w:rPr>
      </w:pPr>
      <w:r>
        <w:rPr>
          <w:rFonts w:ascii="Times New Roman" w:cs="Times New Roman" w:eastAsia="Times New Roman" w:hAnsi="Times New Roman"/>
          <w:sz w:val="18"/>
          <w:szCs w:val="18"/>
          <w:color w:val="auto"/>
        </w:rPr>
        <w:t>7.4 In the event the Corporation terminates the employment of or dismisses (including a constructive dismissal or wrongful dismissal) any Employee before the Closing Date, the Corporation shall be responsible for the payment of any applicable severance costs, change of control payments, wages, salaries, vacation pay, holiday pay, bonuses, or any other amounts that may be payable to such Employees as a result of such termination or dismissal (including a constructive dismissal or wrongful dismissal) and such amounts shall be included in the calculations of Current Liabilities and Working Capital and shall not give rise to any claim for indemnification by the Vendors under this Agreement.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 and Warranty Insurance</w:t>
      </w:r>
    </w:p>
    <w:p>
      <w:pPr>
        <w:spacing w:after="0" w:line="121" w:lineRule="exact"/>
        <w:rPr>
          <w:sz w:val="20"/>
          <w:szCs w:val="20"/>
          <w:color w:val="auto"/>
        </w:rPr>
      </w:pPr>
    </w:p>
    <w:p>
      <w:pPr>
        <w:ind w:left="200" w:right="220"/>
        <w:spacing w:after="0" w:line="261" w:lineRule="auto"/>
        <w:rPr>
          <w:sz w:val="20"/>
          <w:szCs w:val="20"/>
          <w:color w:val="auto"/>
        </w:rPr>
      </w:pPr>
      <w:r>
        <w:rPr>
          <w:rFonts w:ascii="Times New Roman" w:cs="Times New Roman" w:eastAsia="Times New Roman" w:hAnsi="Times New Roman"/>
          <w:sz w:val="18"/>
          <w:szCs w:val="18"/>
          <w:color w:val="auto"/>
        </w:rPr>
        <w:t>7.5 The Corporation covenants and agrees that it shall be responsible for and shall pay, effective prior to the Closing Time, all premiums, broker commissions and related expenses associated with the Representation and Warranty Insurance, provided that in no event shall the Corporation be obligated to pay aggregate premiums, broker commissions and related expenses in excess of Cdn.$1,799,850 and any premiums, broker commissions and related expenses in excess of such aggregate amount shall be for the account of the Purchaser.</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80"/>
          </w:cols>
          <w:pgMar w:left="240" w:top="455" w:right="4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COVENANTS OF THE PURCHASER</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General Covenants</w:t>
      </w:r>
    </w:p>
    <w:p>
      <w:pPr>
        <w:spacing w:after="0" w:line="121"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8.1 Except as otherwise contemplated or permitted in this Agreement, during the period from the date of this Agreement to the Closing, the Purchaser hereby covenants and agrees as follows: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33" w:lineRule="exact"/>
        <w:rPr>
          <w:sz w:val="20"/>
          <w:szCs w:val="20"/>
          <w:color w:val="auto"/>
        </w:rPr>
      </w:pPr>
    </w:p>
    <w:p>
      <w:pPr>
        <w:ind w:left="640" w:right="100" w:hanging="436"/>
        <w:spacing w:after="0" w:line="282" w:lineRule="auto"/>
        <w:tabs>
          <w:tab w:leader="none" w:pos="6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 directly or indirectly, take or omit to take (or permit to be taken or not taken) any action that, if taken or not taken, as the case may be:</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inconsistent with this Agreement, the performance hereof or completion of the transactions contemplated hereby;</w:t>
      </w:r>
    </w:p>
    <w:p>
      <w:pPr>
        <w:spacing w:after="0" w:line="130" w:lineRule="exact"/>
        <w:rPr>
          <w:rFonts w:ascii="Times New Roman" w:cs="Times New Roman" w:eastAsia="Times New Roman" w:hAnsi="Times New Roman"/>
          <w:sz w:val="18"/>
          <w:szCs w:val="18"/>
          <w:color w:val="auto"/>
        </w:rPr>
      </w:pPr>
    </w:p>
    <w:p>
      <w:pPr>
        <w:ind w:left="1060" w:right="40" w:hanging="424"/>
        <w:spacing w:after="0" w:line="266" w:lineRule="auto"/>
        <w:tabs>
          <w:tab w:leader="none" w:pos="10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or could reasonably be expected to directly or indirectly prevent, impair, hinder, delay or otherwise interfere with the issuance or transfer by the Purchaser of the Consideration Shares, the purchase of the Purchased Shares as provided herein, or the consummation of any other transaction contemplated hereby; or</w:t>
      </w:r>
    </w:p>
    <w:p>
      <w:pPr>
        <w:spacing w:after="0" w:line="81" w:lineRule="exact"/>
        <w:rPr>
          <w:rFonts w:ascii="Times New Roman" w:cs="Times New Roman" w:eastAsia="Times New Roman" w:hAnsi="Times New Roman"/>
          <w:sz w:val="18"/>
          <w:szCs w:val="18"/>
          <w:color w:val="auto"/>
        </w:rPr>
      </w:pPr>
    </w:p>
    <w:p>
      <w:pPr>
        <w:ind w:left="1060" w:right="200" w:hanging="424"/>
        <w:spacing w:after="0" w:line="282" w:lineRule="auto"/>
        <w:tabs>
          <w:tab w:leader="none" w:pos="10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render or could reasonably be expected to render any representation or warranty of the Purchaser contained in this Agreement or in any document or certificate delivered pursuant hereto misleading or untrue in any material respect.</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Necessary Consents</w:t>
      </w:r>
    </w:p>
    <w:p>
      <w:pPr>
        <w:spacing w:after="0" w:line="133" w:lineRule="exact"/>
        <w:rPr>
          <w:sz w:val="20"/>
          <w:szCs w:val="20"/>
          <w:color w:val="auto"/>
        </w:rPr>
      </w:pPr>
    </w:p>
    <w:p>
      <w:pPr>
        <w:ind w:left="640" w:right="380" w:hanging="436"/>
        <w:spacing w:after="0" w:line="266" w:lineRule="auto"/>
        <w:tabs>
          <w:tab w:leader="none" w:pos="6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commercially reasonable efforts to obtain from its applicable directors, shareholders, members, all appropriate Governmental Entities and other Persons such approvals (including the Regulatory Approvals), Permits or consents as are required (if any) to complete the transactions contemplated herein.</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Approval of Acquisition</w:t>
      </w:r>
    </w:p>
    <w:p>
      <w:pPr>
        <w:spacing w:after="0" w:line="133" w:lineRule="exact"/>
        <w:rPr>
          <w:sz w:val="20"/>
          <w:szCs w:val="20"/>
          <w:color w:val="auto"/>
        </w:rPr>
      </w:pPr>
    </w:p>
    <w:p>
      <w:pPr>
        <w:ind w:left="640" w:right="160" w:hanging="436"/>
        <w:spacing w:after="0" w:line="258" w:lineRule="auto"/>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its commercially reasonable efforts to obtain all applicable Shareholder Approvals, the Regulatory Approvals, including the acceptance of the New York Stock Exchange for the issuance and listing of the Purchaser Common Shares forming part of Consideration Shares and the Purchaser Common Shares issuable upon conversion of the Purchaser Preferred Shares forming part of the Consideration Shares. In this regard, Purchaser shall provide Vendors’ Counsel with any applicable material communications sent to or received from the New York Stock Exchange related to this transaction.</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Conditions</w:t>
      </w:r>
    </w:p>
    <w:p>
      <w:pPr>
        <w:spacing w:after="0" w:line="133" w:lineRule="exact"/>
        <w:rPr>
          <w:sz w:val="20"/>
          <w:szCs w:val="20"/>
          <w:color w:val="auto"/>
        </w:rPr>
      </w:pPr>
    </w:p>
    <w:p>
      <w:pPr>
        <w:ind w:left="640" w:right="540" w:hanging="436"/>
        <w:spacing w:after="0" w:line="282" w:lineRule="auto"/>
        <w:tabs>
          <w:tab w:leader="none" w:pos="6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use its commercially reasonable efforts to ensure compliance with all applicable conditions set forth in Section 11.1 and Section 11.3 are met.</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Status and Filings</w:t>
      </w:r>
    </w:p>
    <w:p>
      <w:pPr>
        <w:spacing w:after="0" w:line="133" w:lineRule="exact"/>
        <w:rPr>
          <w:sz w:val="20"/>
          <w:szCs w:val="20"/>
          <w:color w:val="auto"/>
        </w:rPr>
      </w:pPr>
    </w:p>
    <w:p>
      <w:pPr>
        <w:ind w:left="640" w:hanging="436"/>
        <w:spacing w:after="0" w:line="282" w:lineRule="auto"/>
        <w:tabs>
          <w:tab w:leader="none" w:pos="6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use commercially reasonable efforts to maintain its corporate status and comply with all material corporate and securities Laws and requirements (including any applicable filing requirements) prior to Closing.</w:t>
      </w:r>
    </w:p>
    <w:p>
      <w:pPr>
        <w:spacing w:after="0" w:line="67" w:lineRule="exact"/>
        <w:rPr>
          <w:rFonts w:ascii="Times New Roman" w:cs="Times New Roman" w:eastAsia="Times New Roman" w:hAnsi="Times New Roman"/>
          <w:sz w:val="18"/>
          <w:szCs w:val="18"/>
          <w:color w:val="auto"/>
        </w:rPr>
      </w:pPr>
    </w:p>
    <w:p>
      <w:pPr>
        <w:ind w:left="640" w:right="400" w:hanging="436"/>
        <w:spacing w:after="0" w:line="282" w:lineRule="auto"/>
        <w:tabs>
          <w:tab w:leader="none" w:pos="6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use commercially reasonably efforts to be in material compliance with its reporting obligations imposed by the applicable securities regulators, including the SEC, and all applicable securities Laws.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200"/>
          </w:cols>
          <w:pgMar w:left="240" w:top="455" w:right="4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640" w:hanging="436"/>
        <w:spacing w:after="0" w:line="256" w:lineRule="auto"/>
        <w:tabs>
          <w:tab w:leader="none" w:pos="6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at its cost and expense, shall make all such notifications, applications, submissions or filings as are required under applicable Laws (including all notices, filings and reports relating to the offer and sale of the Consideration Shares required under applicable securities Laws) to be made by or on the part of the Purchaser in connection with the transactions contemplated herein, in each case after having first consulted with the Vendors and the Corporation as to the respective scope and content of any such notice, application, submission or filing. All filing fees payable in respect of obtaining the applicable Shareholder Approvals and the approvals from the New York Stock Exchange and the SEC shall be paid by the Purchaser.</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Listing, SEC Reports and Anti-Dilution</w:t>
      </w:r>
    </w:p>
    <w:p>
      <w:pPr>
        <w:spacing w:after="0" w:line="133" w:lineRule="exact"/>
        <w:rPr>
          <w:sz w:val="20"/>
          <w:szCs w:val="20"/>
          <w:color w:val="auto"/>
        </w:rPr>
      </w:pPr>
    </w:p>
    <w:p>
      <w:pPr>
        <w:ind w:left="640" w:right="200" w:hanging="436"/>
        <w:spacing w:after="0" w:line="282"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of this Agreement, Purchaser shall file or furnish, as applicable, all SEC Reports required to be filed or furnished by it under Section 13 or Section 15(d) of the U.S. Exchange Act and the rules promulgated thereunder.</w:t>
      </w:r>
    </w:p>
    <w:p>
      <w:pPr>
        <w:spacing w:after="0" w:line="67" w:lineRule="exact"/>
        <w:rPr>
          <w:rFonts w:ascii="Times New Roman" w:cs="Times New Roman" w:eastAsia="Times New Roman" w:hAnsi="Times New Roman"/>
          <w:sz w:val="18"/>
          <w:szCs w:val="18"/>
          <w:color w:val="auto"/>
        </w:rPr>
      </w:pPr>
    </w:p>
    <w:p>
      <w:pPr>
        <w:ind w:left="640" w:right="180" w:hanging="436"/>
        <w:spacing w:after="0" w:line="261"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Vendors, the Purchaser shall not issue Purchaser Common Shares in an amount exceeding thirty million (30,000,000) Purchaser Common Shares, provided that the foregoing restriction and threshold will not apply to any Purchaser Common Shares issued pursuant to any of the Purchaser’s option plan, restricted stock, or other equity incentive plans which are in force on the date of this Agreement.</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Representations and Warranties</w:t>
      </w:r>
    </w:p>
    <w:p>
      <w:pPr>
        <w:spacing w:after="0" w:line="133" w:lineRule="exact"/>
        <w:rPr>
          <w:sz w:val="20"/>
          <w:szCs w:val="20"/>
          <w:color w:val="auto"/>
        </w:rPr>
      </w:pPr>
    </w:p>
    <w:p>
      <w:pPr>
        <w:jc w:val="both"/>
        <w:ind w:left="640" w:right="80" w:hanging="436"/>
        <w:spacing w:after="0" w:line="266" w:lineRule="auto"/>
        <w:tabs>
          <w:tab w:leader="none" w:pos="6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 directly or indirectly, take or omit to take (or permit to be taken or not taken) any action that, if taken or not taken, as the case may be, would render or could reasonably be expected to render any representation or warranty made by the Purchaser and contained in this Agreement or in any document or certificate delivered pursuant hereto misleading or untrue in any material respect.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Covenants in Respect of Purchaser Business</w:t>
      </w:r>
    </w:p>
    <w:p>
      <w:pPr>
        <w:spacing w:after="0" w:line="121"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8.2 From the date of this Agreement until the Closing Date, the Purchaser will use commercially reasonable efforts to conduct its business as carried on as of the date hereof in the Ordinary Course.</w:t>
      </w:r>
    </w:p>
    <w:p>
      <w:pPr>
        <w:spacing w:after="0" w:line="162"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8.3 Purchaser shall take all necessary actions to cause, concurrent with Closing, the appointment, effective upon Closing, of Lance Torgerson, or with the prior written consent of the Purchaser, following the review and approval of the proposed nominee by the nominating committee of the Purchaser’s board of directors, an alternate nominee of the Torgerson Trust (Lance Torgerson or such alternate nominee being, the “</w:t>
      </w:r>
      <w:r>
        <w:rPr>
          <w:rFonts w:ascii="Times New Roman" w:cs="Times New Roman" w:eastAsia="Times New Roman" w:hAnsi="Times New Roman"/>
          <w:sz w:val="18"/>
          <w:szCs w:val="18"/>
          <w:b w:val="1"/>
          <w:bCs w:val="1"/>
          <w:color w:val="auto"/>
        </w:rPr>
        <w:t>Torgerson Nominee</w:t>
      </w:r>
      <w:r>
        <w:rPr>
          <w:rFonts w:ascii="Times New Roman" w:cs="Times New Roman" w:eastAsia="Times New Roman" w:hAnsi="Times New Roman"/>
          <w:sz w:val="18"/>
          <w:szCs w:val="18"/>
          <w:color w:val="auto"/>
        </w:rPr>
        <w:t xml:space="preserve">”), to be added to the Board of Directors of the Purchaser as a Class 1 director. After the Closing Date, the Purchaser shall take all necessary actions to nominate the Torgerson Nominee for election to the Purchaser board of directors at the 2018 annual meeting of the shareholders of Purchaser;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no Torgerson Nominee shall be subject to re-nomination at the 2018 annual meeting of Purchaser if such Torgerson Nominee has failed to comply in all material respects with the governance guidelines and policies of Purchaser applicable to directors during the period of time commencing on the Closing Date and ending on the date immediately preceding such Torgerson Nominee’s re-nomination.</w:t>
      </w:r>
    </w:p>
    <w:p>
      <w:pPr>
        <w:spacing w:after="0" w:line="185" w:lineRule="exact"/>
        <w:rPr>
          <w:sz w:val="20"/>
          <w:szCs w:val="20"/>
          <w:color w:val="auto"/>
        </w:rPr>
      </w:pPr>
    </w:p>
    <w:p>
      <w:pPr>
        <w:ind w:left="200" w:right="180"/>
        <w:spacing w:after="0" w:line="313" w:lineRule="auto"/>
        <w:rPr>
          <w:sz w:val="20"/>
          <w:szCs w:val="20"/>
          <w:color w:val="auto"/>
        </w:rPr>
      </w:pPr>
      <w:r>
        <w:rPr>
          <w:rFonts w:ascii="Times New Roman" w:cs="Times New Roman" w:eastAsia="Times New Roman" w:hAnsi="Times New Roman"/>
          <w:sz w:val="17"/>
          <w:szCs w:val="17"/>
          <w:color w:val="auto"/>
        </w:rPr>
        <w:t>8.4 If at any time the Torgerson Trust owns less than ten percent (10%) of the issued and outstanding shares of the Corporation, treating the Purchaser Preferred Shares on an “as converted basis”, the Torgerson Nominee shall tender its resignation from the Board of Directors of the Purchaser.</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Preservation of Files and Records</w:t>
      </w:r>
    </w:p>
    <w:p>
      <w:pPr>
        <w:spacing w:after="0" w:line="121" w:lineRule="exact"/>
        <w:rPr>
          <w:sz w:val="20"/>
          <w:szCs w:val="20"/>
          <w:color w:val="auto"/>
        </w:rPr>
      </w:pPr>
    </w:p>
    <w:p>
      <w:pPr>
        <w:ind w:left="200" w:right="780"/>
        <w:spacing w:after="0" w:line="282" w:lineRule="auto"/>
        <w:rPr>
          <w:sz w:val="20"/>
          <w:szCs w:val="20"/>
          <w:color w:val="auto"/>
        </w:rPr>
      </w:pPr>
      <w:r>
        <w:rPr>
          <w:rFonts w:ascii="Times New Roman" w:cs="Times New Roman" w:eastAsia="Times New Roman" w:hAnsi="Times New Roman"/>
          <w:sz w:val="18"/>
          <w:szCs w:val="18"/>
          <w:color w:val="auto"/>
        </w:rPr>
        <w:t>8.5 For a period of seven (7) years after the Closing Date: (a) Purchaser shall use its commercially reasonable efforts to preserve, or cause the Corporation and its Subsidiaries to preserve, all files and records relating to the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80"/>
          </w:cols>
          <w:pgMar w:left="240" w:top="455" w:right="4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Times New Roman" w:cs="Times New Roman" w:eastAsia="Times New Roman" w:hAnsi="Times New Roman"/>
          <w:sz w:val="18"/>
          <w:szCs w:val="18"/>
          <w:color w:val="auto"/>
        </w:rPr>
        <w:t>Tax matters of the Corporation and its Subsidiaries that are less than seven (7) years old; and (b) Purchaser will comply with its internal document retention policies in respect of all other documents and records, and shall allow the Vendors or their designees reasonable access to such files and records and the right to make copies and extracts therefrom at any time during normal business hours, in each case to the extent reasonably required by any of the Vendors in connection with any inquiries or requirements of any Governmental Entity (including in relation to Taxes) or for the purposes of preparing and filing any Tax returns, at any time during normal business hours and the Purchaser shall use its commercially reasonable efforts not to dispose of any thereof without first offering them to the Vendors. Provided that nothing in this Section 8.5, will require Purchaser to allow the Vendors access to any files, records or communications prepared or produced following the Closing Time among the Purchaser, the Corporation, and/or Subsidiaries and counsel to the Purchaser, Corporation and/or Subsidiaries that are subject to solicitor-client privilege.</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Severance</w:t>
      </w:r>
    </w:p>
    <w:p>
      <w:pPr>
        <w:spacing w:after="0" w:line="121" w:lineRule="exact"/>
        <w:rPr>
          <w:sz w:val="20"/>
          <w:szCs w:val="20"/>
          <w:color w:val="auto"/>
        </w:rPr>
      </w:pPr>
    </w:p>
    <w:p>
      <w:pPr>
        <w:ind w:left="200" w:right="160"/>
        <w:spacing w:after="0" w:line="256" w:lineRule="auto"/>
        <w:rPr>
          <w:sz w:val="20"/>
          <w:szCs w:val="20"/>
          <w:color w:val="auto"/>
        </w:rPr>
      </w:pPr>
      <w:r>
        <w:rPr>
          <w:rFonts w:ascii="Times New Roman" w:cs="Times New Roman" w:eastAsia="Times New Roman" w:hAnsi="Times New Roman"/>
          <w:sz w:val="18"/>
          <w:szCs w:val="18"/>
          <w:color w:val="auto"/>
        </w:rPr>
        <w:t>8.6 In the event that the Purchaser or the Corporation terminates the employment of or dismisses (including a constructive dismissal or wrongful dismissal) or materially changes the terms of the employment of, any Employee after the Closing Date, the Corporation and the Purchaser shall be responsible for the payment of any applicable severance costs, change of control payments, wages, salaries, vacation pay, holiday pay, bonuses, or any other amounts that may be payable to such Employees as a result of such termination, material changes to terms of their employment or dismissal (including a constructive dismissal or wrongful dismissal) and in no circumstances shall such amounts be included in the calculations of Current Liabilities or Working Capital nor give rise to any claim for indemnification by the Purchaser under this Agreement.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Excluded Privileged Communications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8.7 Effective upon Closing:</w:t>
      </w:r>
    </w:p>
    <w:p>
      <w:pPr>
        <w:spacing w:after="0" w:line="131" w:lineRule="exact"/>
        <w:rPr>
          <w:sz w:val="20"/>
          <w:szCs w:val="20"/>
          <w:color w:val="auto"/>
        </w:rPr>
      </w:pPr>
    </w:p>
    <w:p>
      <w:pPr>
        <w:ind w:left="640" w:right="40" w:hanging="436"/>
        <w:spacing w:after="0" w:line="261" w:lineRule="auto"/>
        <w:tabs>
          <w:tab w:leader="none" w:pos="6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Purchaser, the Corporation, and the Subsidiaries hereby irrevocably assign to the Vendors all rights and interest to communications by or among the Vendors and counsel to the Corporation and the Subsidiaries in respect of, in connection with or related to this Agreement or the Acquisition provided for herein, including, without limitation, all documentation, records and copies thereof (collectively, the “</w:t>
      </w:r>
      <w:r>
        <w:rPr>
          <w:rFonts w:ascii="Times New Roman" w:cs="Times New Roman" w:eastAsia="Times New Roman" w:hAnsi="Times New Roman"/>
          <w:sz w:val="18"/>
          <w:szCs w:val="18"/>
          <w:b w:val="1"/>
          <w:bCs w:val="1"/>
          <w:color w:val="auto"/>
        </w:rPr>
        <w:t>Privileged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640" w:hanging="436"/>
        <w:spacing w:after="0" w:line="258" w:lineRule="auto"/>
        <w:tabs>
          <w:tab w:leader="none" w:pos="6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confirm and agree that, upon Closing, all Privileged Communications will be subject to a solicitor-client privilege of the Vendors and the Vendors alone, and that the Vendors will maintain the sole and exclusive rights over such privilege. Without limitation, upon Closing: (i) all Privileged Communications, and all solicitor-client privilege therein, will remain the property of the Vendors and the Vendors alone; and (ii) the Purchaser, the Corporation, and the Subsidiaries will be deemed to have irrevocably waived any and all rights to such Privileged Communications or any solicitor-client privilege therein.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 and Warranty Insurance</w:t>
      </w:r>
    </w:p>
    <w:p>
      <w:pPr>
        <w:spacing w:after="0" w:line="121" w:lineRule="exact"/>
        <w:rPr>
          <w:sz w:val="20"/>
          <w:szCs w:val="20"/>
          <w:color w:val="auto"/>
        </w:rPr>
      </w:pPr>
    </w:p>
    <w:p>
      <w:pPr>
        <w:ind w:left="200" w:right="80"/>
        <w:spacing w:after="0" w:line="282" w:lineRule="auto"/>
        <w:rPr>
          <w:sz w:val="20"/>
          <w:szCs w:val="20"/>
          <w:color w:val="auto"/>
        </w:rPr>
      </w:pPr>
      <w:r>
        <w:rPr>
          <w:rFonts w:ascii="Times New Roman" w:cs="Times New Roman" w:eastAsia="Times New Roman" w:hAnsi="Times New Roman"/>
          <w:sz w:val="18"/>
          <w:szCs w:val="18"/>
          <w:color w:val="auto"/>
        </w:rPr>
        <w:t>8.8 The Purchaser covenants and agrees that it shall use its commercially reasonable efforts to ensure that the Representation and Warranty Insurance is not cancelled and remains in force and effect for the duration of the policy period of such Representation and Warranty Insurance.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200"/>
          </w:cols>
          <w:pgMar w:left="240" w:top="456"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MUTUAL COVENANTS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Notice of Material Change</w:t>
      </w:r>
    </w:p>
    <w:p>
      <w:pPr>
        <w:spacing w:after="0" w:line="121" w:lineRule="exact"/>
        <w:rPr>
          <w:sz w:val="20"/>
          <w:szCs w:val="20"/>
          <w:color w:val="auto"/>
        </w:rPr>
      </w:pPr>
    </w:p>
    <w:p>
      <w:pPr>
        <w:ind w:left="200" w:right="100"/>
        <w:spacing w:after="0" w:line="282" w:lineRule="auto"/>
        <w:rPr>
          <w:sz w:val="20"/>
          <w:szCs w:val="20"/>
          <w:color w:val="auto"/>
        </w:rPr>
      </w:pPr>
      <w:r>
        <w:rPr>
          <w:rFonts w:ascii="Times New Roman" w:cs="Times New Roman" w:eastAsia="Times New Roman" w:hAnsi="Times New Roman"/>
          <w:sz w:val="18"/>
          <w:szCs w:val="18"/>
          <w:color w:val="auto"/>
        </w:rPr>
        <w:t>9.1 From the date hereof until the earlier of the Closing Date or the termination of this Agreement, the Purchaser (on the one hand) and the Corporation and the Vendors (on the other hand) shall promptly notify the other in writing of:</w:t>
      </w:r>
    </w:p>
    <w:p>
      <w:pPr>
        <w:spacing w:after="0" w:line="67" w:lineRule="exact"/>
        <w:rPr>
          <w:sz w:val="20"/>
          <w:szCs w:val="20"/>
          <w:color w:val="auto"/>
        </w:rPr>
      </w:pPr>
    </w:p>
    <w:p>
      <w:pPr>
        <w:ind w:left="640" w:right="340" w:hanging="436"/>
        <w:spacing w:after="0" w:line="266" w:lineRule="auto"/>
        <w:tabs>
          <w:tab w:leader="none" w:pos="6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(as such term is defined in securities Laws) (actual, anticipated, contemplated or, to the knowledge of the Purchaser, the Corporation or the Vendors, as the case may be, threatened, financial or otherwise) upon the business, affairs, operations, Assets, Liabilities or capital of such Person or the Business;</w:t>
      </w:r>
    </w:p>
    <w:p>
      <w:pPr>
        <w:spacing w:after="0" w:line="81" w:lineRule="exact"/>
        <w:rPr>
          <w:rFonts w:ascii="Times New Roman" w:cs="Times New Roman" w:eastAsia="Times New Roman" w:hAnsi="Times New Roman"/>
          <w:sz w:val="18"/>
          <w:szCs w:val="18"/>
          <w:color w:val="auto"/>
        </w:rPr>
      </w:pPr>
    </w:p>
    <w:p>
      <w:pPr>
        <w:ind w:left="640" w:right="460" w:hanging="436"/>
        <w:spacing w:after="0" w:line="313" w:lineRule="auto"/>
        <w:tabs>
          <w:tab w:leader="none" w:pos="64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facts relating to any applicable representation or warranty set out in Article 3, Article 4 and Article 5 hereof, as applicable, which change is or may be of such a nature as to render any such representation or warranty misleading or untrue in a material respect; or</w:t>
      </w:r>
    </w:p>
    <w:p>
      <w:pPr>
        <w:spacing w:after="0" w:line="43" w:lineRule="exact"/>
        <w:rPr>
          <w:rFonts w:ascii="Times New Roman" w:cs="Times New Roman" w:eastAsia="Times New Roman" w:hAnsi="Times New Roman"/>
          <w:sz w:val="17"/>
          <w:szCs w:val="17"/>
          <w:color w:val="auto"/>
        </w:rPr>
      </w:pPr>
    </w:p>
    <w:p>
      <w:pPr>
        <w:ind w:left="640" w:hanging="436"/>
        <w:spacing w:after="0"/>
        <w:tabs>
          <w:tab w:leader="none" w:pos="6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fact which arises and which would have been required to be stated herein had the fact arisen on or prior to the date of this Agreement.</w:t>
      </w:r>
    </w:p>
    <w:p>
      <w:pPr>
        <w:spacing w:after="0" w:line="225"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Each of the Purchaser, the Corporation and Vendors shall in good faith discuss with the other any change in circumstances (actual, anticipated, contemplated or threatened, financial or otherwise) which is of such a nature that there may be a reasonable question as to whether notice need be given to the other pursuant to this Section 9.1.</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Consummation of the Transaction</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9.2 The Parties shall use all commercially reasonable efforts to consummate the transactions contemplated in this Agreement.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Approvals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9.3</w:t>
      </w:r>
    </w:p>
    <w:p>
      <w:pPr>
        <w:spacing w:after="0" w:line="131" w:lineRule="exact"/>
        <w:rPr>
          <w:sz w:val="20"/>
          <w:szCs w:val="20"/>
          <w:color w:val="auto"/>
        </w:rPr>
      </w:pPr>
    </w:p>
    <w:p>
      <w:pPr>
        <w:ind w:left="640" w:hanging="436"/>
        <w:spacing w:after="0" w:line="258" w:lineRule="auto"/>
        <w:tabs>
          <w:tab w:leader="none" w:pos="6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but in no event later than fifteen (15) Business Days following the date of this Agreement, the Purchaser shall file with the Commissioner a request for an advance ruling certificate under Section 102 of the Competition Act or in the alternative, a no action letter in respect of the transactions contemplated by this Agreement (the “</w:t>
      </w:r>
      <w:r>
        <w:rPr>
          <w:rFonts w:ascii="Times New Roman" w:cs="Times New Roman" w:eastAsia="Times New Roman" w:hAnsi="Times New Roman"/>
          <w:sz w:val="18"/>
          <w:szCs w:val="18"/>
          <w:b w:val="1"/>
          <w:bCs w:val="1"/>
          <w:color w:val="auto"/>
        </w:rPr>
        <w:t>ARC Application</w:t>
      </w:r>
      <w:r>
        <w:rPr>
          <w:rFonts w:ascii="Times New Roman" w:cs="Times New Roman" w:eastAsia="Times New Roman" w:hAnsi="Times New Roman"/>
          <w:sz w:val="18"/>
          <w:szCs w:val="18"/>
          <w:color w:val="auto"/>
        </w:rPr>
        <w:t>”). The Parties shall file a premerger notification form pursuant to Section 114(1) of the Competition Act (the “</w:t>
      </w:r>
      <w:r>
        <w:rPr>
          <w:rFonts w:ascii="Times New Roman" w:cs="Times New Roman" w:eastAsia="Times New Roman" w:hAnsi="Times New Roman"/>
          <w:sz w:val="18"/>
          <w:szCs w:val="18"/>
          <w:b w:val="1"/>
          <w:bCs w:val="1"/>
          <w:color w:val="auto"/>
        </w:rPr>
        <w:t>CA Notification</w:t>
      </w:r>
      <w:r>
        <w:rPr>
          <w:rFonts w:ascii="Times New Roman" w:cs="Times New Roman" w:eastAsia="Times New Roman" w:hAnsi="Times New Roman"/>
          <w:sz w:val="18"/>
          <w:szCs w:val="18"/>
          <w:color w:val="auto"/>
        </w:rPr>
        <w:t>”) within five (5) Business Days of a request from the Purchaser provided that the earliest date on which Purchaser can make such a request is ten (10) Business Days following the date of this Agreement.</w:t>
      </w:r>
    </w:p>
    <w:p>
      <w:pPr>
        <w:spacing w:after="0" w:line="89" w:lineRule="exact"/>
        <w:rPr>
          <w:rFonts w:ascii="Times New Roman" w:cs="Times New Roman" w:eastAsia="Times New Roman" w:hAnsi="Times New Roman"/>
          <w:sz w:val="18"/>
          <w:szCs w:val="18"/>
          <w:color w:val="auto"/>
        </w:rPr>
      </w:pPr>
    </w:p>
    <w:p>
      <w:pPr>
        <w:ind w:left="640" w:right="80" w:hanging="436"/>
        <w:spacing w:after="0" w:line="261" w:lineRule="auto"/>
        <w:tabs>
          <w:tab w:leader="none" w:pos="6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file as promptly as practicable, but in no event later than fifteen (15) Business Days following the date of this Agreement both: (i) an application for review under the Investment Canada Act seeking the ICA Approval from the Minister of Canadian Heritage (the “</w:t>
      </w:r>
      <w:r>
        <w:rPr>
          <w:rFonts w:ascii="Times New Roman" w:cs="Times New Roman" w:eastAsia="Times New Roman" w:hAnsi="Times New Roman"/>
          <w:sz w:val="18"/>
          <w:szCs w:val="18"/>
          <w:b w:val="1"/>
          <w:bCs w:val="1"/>
          <w:color w:val="auto"/>
        </w:rPr>
        <w:t>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and (ii) a notification under Section 12 of the Investment Canada Act with Innovation, Science and Economic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Canada.</w:t>
      </w:r>
    </w:p>
    <w:p>
      <w:pPr>
        <w:spacing w:after="0" w:line="85" w:lineRule="exact"/>
        <w:rPr>
          <w:rFonts w:ascii="Times New Roman" w:cs="Times New Roman" w:eastAsia="Times New Roman" w:hAnsi="Times New Roman"/>
          <w:sz w:val="18"/>
          <w:szCs w:val="18"/>
          <w:color w:val="auto"/>
        </w:rPr>
      </w:pPr>
    </w:p>
    <w:p>
      <w:pPr>
        <w:ind w:left="640" w:right="220" w:hanging="436"/>
        <w:spacing w:after="0" w:line="258" w:lineRule="auto"/>
        <w:tabs>
          <w:tab w:leader="none" w:pos="6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cooperate and provide information and assistance to the other Parties to obtain the Regulatory Approvals and in respect of any notification, application, filing or response to information requests or submissions related to the applicable Regulatory Approvals; submit any information requested by any Governmental Entity in connection with any Regulatory Approval as promptly as practicable; and furnish to each other such information and reasonable assistance as the other Party may reasonably request in connection with its preparation of any filing or submission that is necessary or mutually desirable under applicable Law;</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220"/>
          </w:cols>
          <w:pgMar w:left="240" w:top="456"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5" w:lineRule="auto"/>
        <w:tabs>
          <w:tab w:leader="none" w:pos="6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consult with the other Parties on the preparation of the ICA Application and the ARC Application. The Parties shall: consult with each other on the preparation of the CA Notification filings, permit the other Parties to review in advance any proposed written communications to the applicable Governmental Entity; provide the other Parties a reasonable opportunity to comment on any draft written materials or correspondence proposed to be sent in connection with obtaining the Regulatory Approvals and give due consideration to such comments; provide the other Parties with final copies of such materials or correspondence; and keep the other Parties apprised of the status of any communications with, and provide copies or summaries of such communications to the other Parties as are material, as well as provide copies to the other Parties of any inquiries or requests for additional information from the applicable Governmental Entity.</w:t>
      </w:r>
    </w:p>
    <w:p>
      <w:pPr>
        <w:spacing w:after="0" w:line="94" w:lineRule="exact"/>
        <w:rPr>
          <w:rFonts w:ascii="Times New Roman" w:cs="Times New Roman" w:eastAsia="Times New Roman" w:hAnsi="Times New Roman"/>
          <w:sz w:val="18"/>
          <w:szCs w:val="18"/>
          <w:color w:val="auto"/>
        </w:rPr>
      </w:pPr>
    </w:p>
    <w:p>
      <w:pPr>
        <w:ind w:left="640" w:right="80" w:hanging="436"/>
        <w:spacing w:after="0" w:line="258" w:lineRule="auto"/>
        <w:tabs>
          <w:tab w:leader="none" w:pos="6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will not participate in any meeting or discussion (whether in person, by phone or otherwise) with the applicable Governmental Entity, unless it consults with the other Parties in advance and gives the other Parties the opportunity to attend thereat except: (i) if the applicable Governmental Entity expressly requests that the other Parties should not be present at the meeting or discussion or part or parts of the meeting or discussion; or (ii) where competitively or commercially sensitive information may be discussed, in which case legal counsel to the other Parties may participate in such meetings and discussions with the applicable Governmental Entity.</w:t>
      </w:r>
    </w:p>
    <w:p>
      <w:pPr>
        <w:spacing w:after="0" w:line="89" w:lineRule="exact"/>
        <w:rPr>
          <w:rFonts w:ascii="Times New Roman" w:cs="Times New Roman" w:eastAsia="Times New Roman" w:hAnsi="Times New Roman"/>
          <w:sz w:val="18"/>
          <w:szCs w:val="18"/>
          <w:color w:val="auto"/>
        </w:rPr>
      </w:pPr>
    </w:p>
    <w:p>
      <w:pPr>
        <w:ind w:left="640" w:right="660" w:hanging="436"/>
        <w:spacing w:after="0" w:line="282" w:lineRule="auto"/>
        <w:tabs>
          <w:tab w:leader="none" w:pos="6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fees payable in respect of obtaining the applicable Regulatory Approvals set out in this Section 9.3 shall be paid equally by the Purchaser and the Corporation.</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make commercially reasonable efforts to obtain the Regulatory Approvals.</w:t>
      </w:r>
    </w:p>
    <w:p>
      <w:pPr>
        <w:spacing w:after="0" w:line="130" w:lineRule="exact"/>
        <w:rPr>
          <w:rFonts w:ascii="Times New Roman" w:cs="Times New Roman" w:eastAsia="Times New Roman" w:hAnsi="Times New Roman"/>
          <w:sz w:val="18"/>
          <w:szCs w:val="18"/>
          <w:color w:val="auto"/>
        </w:rPr>
      </w:pPr>
    </w:p>
    <w:p>
      <w:pPr>
        <w:ind w:left="640" w:hanging="436"/>
        <w:spacing w:after="0" w:line="255" w:lineRule="auto"/>
        <w:tabs>
          <w:tab w:leader="none" w:pos="6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Agreement (including this Section 9.3), if any Party is required to consult with or provide information to another Party that the providing Party determines, acting reasonably, to relate to, or to be competitively or commercially sensitive information (or otherwise reasonably determines in respect thereof that disclosure should be restricted), the providing Party may restrict such consultation with or provision of such information to the other Party’s external legal counsel and shall provide a redacted copy of such information to the other Party excluding such competitively or commercially sensitive information from such information. For the purpose of this Section 9.3, non-public information contained in the ICA Application and information provided in connection with the ICA Approval that relates to the plans of the Purchaser in connection with the Corporation shall be deemed to be competitively sensitive information and shall only be provided to the Corporation’s external legal counsel.</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Purchaser Access to the Corporation</w:t>
      </w:r>
    </w:p>
    <w:p>
      <w:pPr>
        <w:spacing w:after="0" w:line="121"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9.4 From the date hereof until the earlier of the Closing Date or the termination of this Agreement, each of the Vendors and the Corporation shall, and shall cause the Subsidiaries to, provide reasonable access and otherwise make available to the Purchaser and its representatives for examination all books and records (including Corporate Records) in its possession or under its control to the extent reasonably required by the Purchaser in connection with the Purchaser’s preparation to integrate the Business with the Purchaser’s business on and after Closing, provided however that such investigation and assistance shall not unreasonably disrupt the operations of the Corporation or the Business. The Corporation shall provide copies of or make available to the Purchaser and its representatives any relevant books and records of the Corporation, or its Subsidiaries when reasonably requested by the Purchaser. Any information provided to the Purchaser or any of its representatives pursuant to this Section 9.4 shall be subject to the Confidentiality Agreements and the Joint Defence Agreement.</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Tax Matters</w:t>
      </w:r>
    </w:p>
    <w:p>
      <w:pPr>
        <w:spacing w:after="0" w:line="121"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9.5 The Parties agree that the Vendors will cause to be prepared, and file, or cause to be filed, by February 15, 2018, all Tax returns and elections for the Corporation and its Subsidiaries for the taxable periods ending on the date hereof as a result of the execution of this Agreement, in a manner consistent with the representations contained in Section 4.1(u); provided that, before filing any such Tax return, the Vendors shall first supply draft</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40"/>
          </w:cols>
          <w:pgMar w:left="240" w:top="456" w:right="51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copies to the Purchaser and take into account all comments received from the Purchaser thereon, provided however that all such Tax returns shall be prepared and filed in accordance with the historical practice of the Corporation and its Subsidiaries, as applicable, for prior fiscal years. In the event of a dispute in relation to the preparation of such Tax returns, such dispute shall be resolved pursuant to Section 2.7. No such Tax returns shall be filed until both the Purchaser and the Vendors have agreed to such filing, acting reasonably, or any matter in dispute between the Parties in relation to such Tax returns have been resolved pursuant to Section 2.7. The Vendors shall not be permitted to re-file or make amendments to Tax returns for the period ending on the date hereof, except with the prior written consent of the Purchaser (such consent not to be unreasonably withheld).</w:t>
      </w:r>
    </w:p>
    <w:p>
      <w:pPr>
        <w:spacing w:after="0" w:line="188"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9.6 The Parties agree that the Purchaser will cause to be prepared, and file, or cause to be filed, within six months of the of Closing, all Tax returns and elections for the Corporation and its Subsidiaries for the taxable period ending on the Closing Date, in a manner consistent with the representations contained in Section 4.1(u); provided that, before filing any such Tax return, the Purchaser shall first supply draft copies to the Vendors and take into account all comments received from the Vendors thereon, provided however that all such Tax returns shall be prepared and filed in accordance with the historical practice of the Corporation and its Subsidiaries, as applicable, for prior fiscal years. In the event of a dispute in relation to the preparation of such Tax returns, such dispute shall be resolved pursuant to Section 2.7. No such Tax returns shall be filed until both the Purchaser and the Vendors have agreed to such filing, acting reasonably, or any matter in dispute between the Parties in relation to such Tax returns have been resolved pursuant to Section 2.7. The Purchaser shall not be permitted to re-file or make amendments to Tax returns for years prior to the Closing Date, except with the prior written consent of the Vendors (such consent not to be unreasonably withheld).</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Privacy</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9.7 With respect to any Transferred Information, the Parties hereby agree as follows:</w:t>
      </w:r>
    </w:p>
    <w:p>
      <w:pPr>
        <w:spacing w:after="0" w:line="131" w:lineRule="exact"/>
        <w:rPr>
          <w:sz w:val="20"/>
          <w:szCs w:val="20"/>
          <w:color w:val="auto"/>
        </w:rPr>
      </w:pPr>
    </w:p>
    <w:p>
      <w:pPr>
        <w:ind w:left="640" w:right="660" w:hanging="436"/>
        <w:spacing w:after="0" w:line="282" w:lineRule="auto"/>
        <w:tabs>
          <w:tab w:leader="none" w:pos="6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Disclosing Party shall ensure that any Transferred Information with respect to which it is responsible for disclosing to a Recipient is necessary for the purposes of determining if the parties shall proceed with the transactions contemplated herein.</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the transactions contemplated in this Agreement, Recipient covenants and agrees to:</w:t>
      </w:r>
    </w:p>
    <w:p>
      <w:pPr>
        <w:spacing w:after="0" w:line="130" w:lineRule="exact"/>
        <w:rPr>
          <w:rFonts w:ascii="Times New Roman" w:cs="Times New Roman" w:eastAsia="Times New Roman" w:hAnsi="Times New Roman"/>
          <w:sz w:val="18"/>
          <w:szCs w:val="18"/>
          <w:color w:val="auto"/>
        </w:rPr>
      </w:pPr>
    </w:p>
    <w:p>
      <w:pPr>
        <w:ind w:left="1060" w:right="460" w:hanging="424"/>
        <w:spacing w:after="0" w:line="282" w:lineRule="auto"/>
        <w:tabs>
          <w:tab w:leader="none" w:pos="10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and disclose the Transferred Information solely for the purpose of reviewing and completing the transactions contemplated herein, including for the purpose of determining to complete such transactions;</w:t>
      </w:r>
    </w:p>
    <w:p>
      <w:pPr>
        <w:spacing w:after="0" w:line="67" w:lineRule="exact"/>
        <w:rPr>
          <w:rFonts w:ascii="Times New Roman" w:cs="Times New Roman" w:eastAsia="Times New Roman" w:hAnsi="Times New Roman"/>
          <w:sz w:val="18"/>
          <w:szCs w:val="18"/>
          <w:color w:val="auto"/>
        </w:rPr>
      </w:pPr>
    </w:p>
    <w:p>
      <w:pPr>
        <w:ind w:left="1060" w:right="160" w:hanging="424"/>
        <w:spacing w:after="0" w:line="266" w:lineRule="auto"/>
        <w:tabs>
          <w:tab w:leader="none" w:pos="10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Transferred Information by making reasonable security arrangements against such risks as unauthorized access, collection, use, disclosure, copying, modification, disposal or destruction; providing, however, that such arrangements include, at a minimum, safeguards that are appropriate to the sensitivity of the Transferred Information; and</w:t>
      </w:r>
    </w:p>
    <w:p>
      <w:pPr>
        <w:spacing w:after="0" w:line="81" w:lineRule="exact"/>
        <w:rPr>
          <w:rFonts w:ascii="Times New Roman" w:cs="Times New Roman" w:eastAsia="Times New Roman" w:hAnsi="Times New Roman"/>
          <w:sz w:val="18"/>
          <w:szCs w:val="18"/>
          <w:color w:val="auto"/>
        </w:rPr>
      </w:pPr>
    </w:p>
    <w:p>
      <w:pPr>
        <w:ind w:left="1060" w:right="580" w:hanging="424"/>
        <w:spacing w:after="0" w:line="282" w:lineRule="auto"/>
        <w:tabs>
          <w:tab w:leader="none" w:pos="10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transactions contemplated herein do not proceed, return the Transferred Information to the Disclosing Party or destroy it, at the Disclosing Party’s election, within a reasonable time.</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transactions contemplated in this Agreement, each of the parties agrees to:</w:t>
      </w:r>
    </w:p>
    <w:p>
      <w:pPr>
        <w:spacing w:after="0" w:line="130" w:lineRule="exact"/>
        <w:rPr>
          <w:rFonts w:ascii="Times New Roman" w:cs="Times New Roman" w:eastAsia="Times New Roman" w:hAnsi="Times New Roman"/>
          <w:sz w:val="18"/>
          <w:szCs w:val="18"/>
          <w:color w:val="auto"/>
        </w:rPr>
      </w:pPr>
    </w:p>
    <w:p>
      <w:pPr>
        <w:ind w:left="1060" w:right="280" w:hanging="424"/>
        <w:spacing w:after="0" w:line="282" w:lineRule="auto"/>
        <w:tabs>
          <w:tab w:leader="none" w:pos="10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use and disclose the Transferred Information under its control only for those purposes for which the Transferred Information was initially collected, permitted to be used or disclosed, unless</w:t>
      </w:r>
    </w:p>
    <w:p>
      <w:pPr>
        <w:spacing w:after="0" w:line="67" w:lineRule="exact"/>
        <w:rPr>
          <w:rFonts w:ascii="Times New Roman" w:cs="Times New Roman" w:eastAsia="Times New Roman" w:hAnsi="Times New Roman"/>
          <w:sz w:val="18"/>
          <w:szCs w:val="18"/>
          <w:color w:val="auto"/>
        </w:rPr>
      </w:pPr>
    </w:p>
    <w:p>
      <w:pPr>
        <w:ind w:left="1620" w:right="40" w:hanging="538"/>
        <w:spacing w:after="0" w:line="282" w:lineRule="auto"/>
        <w:tabs>
          <w:tab w:leader="none" w:pos="1620"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Disclosing Party or Recipient have first notified the individual about whom the Transferred Information related of any additional purpose, and where required by applicable Laws, obtained the consent of such individual to such additional purpose, or</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use or disclosure is permitted or authorized by applicable Laws, without notice to, or consent from, such individual;</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200"/>
          </w:cols>
          <w:pgMar w:left="24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66" w:lineRule="auto"/>
        <w:tabs>
          <w:tab w:leader="none" w:pos="10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Transferred Information under its control by making reasonable security arrangements against such risks as unauthorized access, collection, use, disclosure, copying, modification, disposal or destruction; providing, however, that such arrangements include, at a minimum, safeguards that are appropriate to the sensitivity of such Transferred Information; and</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effect to any withdrawal of consent made by an individual to whom the Transferred Information under its control relates.</w:t>
      </w:r>
    </w:p>
    <w:p>
      <w:pPr>
        <w:spacing w:after="0" w:line="130" w:lineRule="exact"/>
        <w:rPr>
          <w:rFonts w:ascii="Times New Roman" w:cs="Times New Roman" w:eastAsia="Times New Roman" w:hAnsi="Times New Roman"/>
          <w:sz w:val="18"/>
          <w:szCs w:val="18"/>
          <w:color w:val="auto"/>
        </w:rPr>
      </w:pPr>
    </w:p>
    <w:p>
      <w:pPr>
        <w:ind w:left="640" w:right="140" w:hanging="436"/>
        <w:spacing w:after="0" w:line="282" w:lineRule="auto"/>
        <w:tabs>
          <w:tab w:leader="none" w:pos="6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applicable Laws, the Purchaser agrees to promptly notify the individuals about whom the Transferred Information relates that the transactions contemplated herein have taken place.</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by the Purchaser</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 Subject to Section 10.3, if the Closing occurs the Purchaser hereby covenants and agrees with the Vendors to indemnify and save harmless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Vendors from and against:</w:t>
      </w:r>
    </w:p>
    <w:p>
      <w:pPr>
        <w:spacing w:after="0" w:line="108" w:lineRule="exact"/>
        <w:rPr>
          <w:sz w:val="20"/>
          <w:szCs w:val="20"/>
          <w:color w:val="auto"/>
        </w:rPr>
      </w:pPr>
    </w:p>
    <w:p>
      <w:pPr>
        <w:ind w:left="640" w:right="160" w:hanging="436"/>
        <w:spacing w:after="0" w:line="262" w:lineRule="auto"/>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which the Vendors (collectively, the “</w:t>
      </w:r>
      <w:r>
        <w:rPr>
          <w:rFonts w:ascii="Times New Roman" w:cs="Times New Roman" w:eastAsia="Times New Roman" w:hAnsi="Times New Roman"/>
          <w:sz w:val="18"/>
          <w:szCs w:val="18"/>
          <w:b w:val="1"/>
          <w:bCs w:val="1"/>
          <w:color w:val="auto"/>
        </w:rPr>
        <w:t>Vendor Indemnified Parties</w:t>
      </w:r>
      <w:r>
        <w:rPr>
          <w:rFonts w:ascii="Times New Roman" w:cs="Times New Roman" w:eastAsia="Times New Roman" w:hAnsi="Times New Roman"/>
          <w:sz w:val="18"/>
          <w:szCs w:val="18"/>
          <w:color w:val="auto"/>
        </w:rPr>
        <w:t>”), suffered or incurred as a result of, or arising out of (i) any non-fulfillment of any covenant or agreement on the part of the Purchaser under this Agreement, or (ii) any incorrectness in or breach of any representation or warranty of the Purchaser contained in this Agreement or in any agreement, instrument, certificate or other document delivered pursuant hereto; and</w:t>
      </w:r>
    </w:p>
    <w:p>
      <w:pPr>
        <w:spacing w:after="0" w:line="86" w:lineRule="exact"/>
        <w:rPr>
          <w:rFonts w:ascii="Times New Roman" w:cs="Times New Roman" w:eastAsia="Times New Roman" w:hAnsi="Times New Roman"/>
          <w:sz w:val="18"/>
          <w:szCs w:val="18"/>
          <w:color w:val="auto"/>
        </w:rPr>
      </w:pPr>
    </w:p>
    <w:p>
      <w:pPr>
        <w:ind w:left="640" w:right="740" w:hanging="436"/>
        <w:spacing w:after="0" w:line="282" w:lineRule="auto"/>
        <w:tabs>
          <w:tab w:leader="none" w:pos="6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which may be made or brought against the Vendor Indemnified Parties in respect of the foregoing, and any Losses the Vendor Indemnified Parties may suffer or incur as a result of, or arising out of such Claims.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by the Vendors</w:t>
      </w:r>
    </w:p>
    <w:p>
      <w:pPr>
        <w:spacing w:after="0" w:line="121"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10.2 Subject to Section 10.3, if the Closing occurs, the Torgerson Vendors (together with Torgerson, but only in respect of any breach of a Fundamental Representation), on a joint and several basis hereby, covenant and agree with the Purchaser to indemnify and save harmless the Purchaser from and against:</w:t>
      </w:r>
    </w:p>
    <w:p>
      <w:pPr>
        <w:spacing w:after="0" w:line="78" w:lineRule="exact"/>
        <w:rPr>
          <w:sz w:val="20"/>
          <w:szCs w:val="20"/>
          <w:color w:val="auto"/>
        </w:rPr>
      </w:pPr>
    </w:p>
    <w:p>
      <w:pPr>
        <w:ind w:left="640" w:hanging="436"/>
        <w:spacing w:after="0" w:line="259"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which the Purchaser or, following the Closing Date, any of the Corporation or its Subsidiaries (collectively,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suffered or incurred as a result of, or arising out of: (i) any non-fulfillment of any covenant or agreement on the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Vendors or, with respect to the period before Closing, the Corporation under this Agreement; or (ii) any incorrectness in or breach of any representation or warranty of the Vendors contained in this Agreement or in any agreement, instrument, certificate or other document delivered pursuant hereto (whether on behalf of themselves or the Corporation);</w:t>
      </w:r>
    </w:p>
    <w:p>
      <w:pPr>
        <w:spacing w:after="0" w:line="89" w:lineRule="exact"/>
        <w:rPr>
          <w:rFonts w:ascii="Times New Roman" w:cs="Times New Roman" w:eastAsia="Times New Roman" w:hAnsi="Times New Roman"/>
          <w:sz w:val="18"/>
          <w:szCs w:val="18"/>
          <w:color w:val="auto"/>
        </w:rPr>
      </w:pPr>
    </w:p>
    <w:p>
      <w:pPr>
        <w:ind w:left="640" w:right="700" w:hanging="436"/>
        <w:spacing w:after="0" w:line="282"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Expenses or Indebtedness of the Corporation as at the Closing Date which are not reflected by the Vendor in the Closing Statement;</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suffered or incurred by the Purchaser as a result of or arising from the Pre-Closing Transactions;</w:t>
      </w:r>
    </w:p>
    <w:p>
      <w:pPr>
        <w:spacing w:after="0" w:line="130" w:lineRule="exact"/>
        <w:rPr>
          <w:rFonts w:ascii="Times New Roman" w:cs="Times New Roman" w:eastAsia="Times New Roman" w:hAnsi="Times New Roman"/>
          <w:sz w:val="18"/>
          <w:szCs w:val="18"/>
          <w:color w:val="auto"/>
        </w:rPr>
      </w:pPr>
    </w:p>
    <w:p>
      <w:pPr>
        <w:ind w:left="640" w:hanging="436"/>
        <w:spacing w:after="0" w:line="266"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liability of the Corporation or its Subsidiaries or of the Vendors for the period ending on the Closing Date or which arises under applicable Tax legislation by reason of assessment, reassessment or other form of recognized document assessing liability for Tax in respect of any Tax period (or a portion thereof) ending on or prior to the Closing Date;</w:t>
      </w:r>
    </w:p>
    <w:p>
      <w:pPr>
        <w:spacing w:after="0" w:line="81" w:lineRule="exact"/>
        <w:rPr>
          <w:rFonts w:ascii="Times New Roman" w:cs="Times New Roman" w:eastAsia="Times New Roman" w:hAnsi="Times New Roman"/>
          <w:sz w:val="18"/>
          <w:szCs w:val="18"/>
          <w:color w:val="auto"/>
        </w:rPr>
      </w:pPr>
    </w:p>
    <w:p>
      <w:pPr>
        <w:ind w:left="640" w:right="80" w:hanging="436"/>
        <w:spacing w:after="0" w:line="282"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which may be made or brought against any of the Purchaser Indemnified Parties in respect of the foregoing, and any Losses which any of the Purchaser Indemnified Parties may suffer or incur as a result of, or arising out of such Claims;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200"/>
          </w:cols>
          <w:pgMar w:left="240" w:top="456" w:right="4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60" w:hanging="436"/>
        <w:spacing w:after="0" w:line="282" w:lineRule="auto"/>
        <w:tabs>
          <w:tab w:leader="none" w:pos="6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amount in excess of the Required Work Portion of the Escrow Amount to a maximum of the Required Work Cap incurred by the Purchaser in connection with the Required Work on or before the date that is 18 months from the Closing Date; and</w:t>
      </w:r>
    </w:p>
    <w:p>
      <w:pPr>
        <w:spacing w:after="0" w:line="67" w:lineRule="exact"/>
        <w:rPr>
          <w:rFonts w:ascii="Times New Roman" w:cs="Times New Roman" w:eastAsia="Times New Roman" w:hAnsi="Times New Roman"/>
          <w:sz w:val="18"/>
          <w:szCs w:val="18"/>
          <w:color w:val="auto"/>
        </w:rPr>
      </w:pPr>
    </w:p>
    <w:p>
      <w:pPr>
        <w:ind w:left="640" w:right="20" w:hanging="436"/>
        <w:spacing w:after="0" w:line="261" w:lineRule="auto"/>
        <w:tabs>
          <w:tab w:leader="none" w:pos="6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owing on the Closing Date for the deferred purchase price in respect of past acquisitions of any business, assets or securities, including any earn-out Liabilities (assuming the maximum amount is earned), post-closing price true-ups, indemnifications and “vendor take-back notes” payable associated with past acquisitions of any business, assets or securities (including that of North County Catering Ltd.) but excluding trade accounts payable and other accrued Current Liabilities all only to the extent included as Current Liabilities in Working Capital.</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on Indemnification</w:t>
      </w:r>
    </w:p>
    <w:p>
      <w:pPr>
        <w:spacing w:after="0" w:line="117" w:lineRule="exact"/>
        <w:rPr>
          <w:sz w:val="20"/>
          <w:szCs w:val="20"/>
          <w:color w:val="auto"/>
        </w:rPr>
      </w:pPr>
    </w:p>
    <w:p>
      <w:pPr>
        <w:ind w:left="200" w:right="180"/>
        <w:spacing w:after="0" w:line="255" w:lineRule="auto"/>
        <w:rPr>
          <w:sz w:val="20"/>
          <w:szCs w:val="20"/>
          <w:color w:val="auto"/>
        </w:rPr>
      </w:pPr>
      <w:r>
        <w:rPr>
          <w:rFonts w:ascii="Times New Roman" w:cs="Times New Roman" w:eastAsia="Times New Roman" w:hAnsi="Times New Roman"/>
          <w:sz w:val="18"/>
          <w:szCs w:val="18"/>
          <w:color w:val="auto"/>
        </w:rPr>
        <w:t>10.3 The Party or other indemnified Person making a claim for indemnification under this Article is referred to as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the Party providing indemnification is referred to as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for the purposes of this Article. Notwithstanding Section 16.20, following Closing, the indemnification obligations of an Indemnifying Party pursuant to Section 10.1 and Section 10.2 shall be an Indemnified Party’s sole and exclusive remedy against such Indemnifying Party for non-fulfillment of any covenant or agreement on the part of such Indemnifying Party under this Agreement, any incorrectness in or breach of any representation or warranty of that Indemnifying Party in this Agreement or any Losses described in Section 10.1(b) or Section 10.2(e) above (but for greater certainty shall not be the exclusive remedy for any breaches or claims under the Non-Competition Agreements or the Registration Rights Agreement, for which the Purchaser and the Vendors shall be entitled to pursue the remedies set forth in such agreements) subject to the following:</w:t>
      </w:r>
    </w:p>
    <w:p>
      <w:pPr>
        <w:spacing w:after="0" w:line="95" w:lineRule="exact"/>
        <w:rPr>
          <w:sz w:val="20"/>
          <w:szCs w:val="20"/>
          <w:color w:val="auto"/>
        </w:rPr>
      </w:pPr>
    </w:p>
    <w:p>
      <w:pPr>
        <w:ind w:left="640" w:right="580" w:hanging="436"/>
        <w:spacing w:after="0" w:line="282" w:lineRule="auto"/>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indemnification based on any incorrectness in or breach of any representation or warranty must be made before expiry of the applicable time periods in Article 6;</w:t>
      </w:r>
    </w:p>
    <w:p>
      <w:pPr>
        <w:spacing w:after="0" w:line="67" w:lineRule="exact"/>
        <w:rPr>
          <w:rFonts w:ascii="Times New Roman" w:cs="Times New Roman" w:eastAsia="Times New Roman" w:hAnsi="Times New Roman"/>
          <w:sz w:val="18"/>
          <w:szCs w:val="18"/>
          <w:color w:val="auto"/>
        </w:rPr>
      </w:pPr>
    </w:p>
    <w:p>
      <w:pPr>
        <w:ind w:left="640" w:right="320" w:hanging="436"/>
        <w:spacing w:after="0" w:line="282" w:lineRule="auto"/>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of an Indemnifying Party pursuant to Section 10.1 or Section 10.2 shall not be an Indemnified Party’s sole and exclusive remedy with respect to any Losses incurred as a result of fraudulent misrepresentation or fraud;</w:t>
      </w:r>
    </w:p>
    <w:p>
      <w:pPr>
        <w:spacing w:after="0" w:line="67" w:lineRule="exact"/>
        <w:rPr>
          <w:rFonts w:ascii="Times New Roman" w:cs="Times New Roman" w:eastAsia="Times New Roman" w:hAnsi="Times New Roman"/>
          <w:sz w:val="18"/>
          <w:szCs w:val="18"/>
          <w:color w:val="auto"/>
        </w:rPr>
      </w:pPr>
    </w:p>
    <w:p>
      <w:pPr>
        <w:ind w:left="640" w:right="220" w:hanging="436"/>
        <w:spacing w:after="0" w:line="261" w:lineRule="auto"/>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qualifications relating to materiality or Material Adverse Effect that are included in a representation or warranty shall be ignored for the purposes of determining the accuracy of such representation and warranty (other than the accuracy of Section 4.1(q) [Material Change], Section 4.1(y) [Other Disclosures], Section 4.1(mmmm) [Disclosure – Dene Koe] and Section 4.1(wwww) [Material Change – Dene Koe]) and the amount of any Loss in respect of which an Indemnified Party is entitled to indemnification;</w:t>
      </w:r>
    </w:p>
    <w:p>
      <w:pPr>
        <w:spacing w:after="0" w:line="85" w:lineRule="exact"/>
        <w:rPr>
          <w:rFonts w:ascii="Times New Roman" w:cs="Times New Roman" w:eastAsia="Times New Roman" w:hAnsi="Times New Roman"/>
          <w:sz w:val="18"/>
          <w:szCs w:val="18"/>
          <w:color w:val="auto"/>
        </w:rPr>
      </w:pPr>
    </w:p>
    <w:p>
      <w:pPr>
        <w:ind w:left="640" w:hanging="436"/>
        <w:spacing w:after="0" w:line="254" w:lineRule="auto"/>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Indemnifying Party shall not be required to indemnify an Indemnified Party in respect of any claim under Section 10.1 or Section 10.2 for incorrectness in or breach of any representation or warranty contained in this Agreement until the amount of Losses in the aggregate with respect to any claim in respect of any individual event, matter or occurrence, or series of related events, matters or occurrences, exceeds Cdn.$100,000, in which event the full amount of Losses shall be indemnifiable hereunder and only until the aggregate amount of all Losses with respect to all such claims for incorrectness in or breach of any representation or warranty under Section 10.1 or Section 10.2 exceeds Cdn.$1,000,000 following which the Indemnified Party shall be entitled to indemnification for the amount of all such Losses above such Cdn.$1,000,000 threshold (and not for those Losses below such threshold amount, but subject still to Section 10.3(e), Section 10.3(f), Section 10.3(g), and Section 10.3(h)), other than with respect to Losses incurred as a result of fraudulent misrepresentation or fraud, or Losses suffered or incurred as a result of the incorrectness or breach of any Fundamental Representation (or for greater certainty in respect of claims under Sections 10.2(a)(i), 10.2(b), 10.2(c), 10.2(d), 10.2(f) or 10.2(g) as to which this Section 10.3(d) shall have no effect;</w:t>
      </w:r>
    </w:p>
    <w:p>
      <w:pPr>
        <w:spacing w:after="0" w:line="9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Liability of the Vendors (collectively) pursuant to this Agreement shall be limited to an amount equal to</w:t>
      </w:r>
    </w:p>
    <w:p>
      <w:pPr>
        <w:spacing w:after="0" w:line="27" w:lineRule="exact"/>
        <w:rPr>
          <w:rFonts w:ascii="Times New Roman" w:cs="Times New Roman" w:eastAsia="Times New Roman" w:hAnsi="Times New Roman"/>
          <w:sz w:val="18"/>
          <w:szCs w:val="18"/>
          <w:color w:val="auto"/>
        </w:rPr>
      </w:pPr>
    </w:p>
    <w:p>
      <w:pPr>
        <w:ind w:left="64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Cdn.$126,500,000.00 other than with respect to Losses incurred as a result of: (i) fraud or fraudulent misrepresentation by the Vendors; or (ii) as a result of any breach of covenant or</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200"/>
          </w:cols>
          <w:pgMar w:left="240" w:top="456"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incorrectness in or breach of any Fundamental Representation or Section 4.1(u), as to each of which this 10.3(e) shall have no effect;</w:t>
      </w:r>
    </w:p>
    <w:p>
      <w:pPr>
        <w:spacing w:after="0" w:line="131" w:lineRule="exact"/>
        <w:rPr>
          <w:sz w:val="20"/>
          <w:szCs w:val="20"/>
          <w:color w:val="auto"/>
        </w:rPr>
      </w:pPr>
    </w:p>
    <w:p>
      <w:pPr>
        <w:ind w:left="640" w:hanging="436"/>
        <w:spacing w:after="0"/>
        <w:tabs>
          <w:tab w:leader="none" w:pos="6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Liability of :</w:t>
      </w:r>
    </w:p>
    <w:p>
      <w:pPr>
        <w:spacing w:after="0" w:line="130" w:lineRule="exact"/>
        <w:rPr>
          <w:rFonts w:ascii="Times New Roman" w:cs="Times New Roman" w:eastAsia="Times New Roman" w:hAnsi="Times New Roman"/>
          <w:sz w:val="18"/>
          <w:szCs w:val="18"/>
          <w:color w:val="auto"/>
        </w:rPr>
      </w:pPr>
    </w:p>
    <w:p>
      <w:pPr>
        <w:ind w:left="1060" w:right="80" w:hanging="424"/>
        <w:spacing w:after="0" w:line="261" w:lineRule="auto"/>
        <w:tabs>
          <w:tab w:leader="none" w:pos="10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(collectively) pursuant to this Agreement for Losses incurred as a result of: (i) fraud or fraudulent misrepresentation by the Vendors; or (ii) a breach of or incorrectness of the representations and warranties in Section 4.1(u) shall be limited to Cdn.$420,000,000.00, subject to the adjustments set forth in Section 2.6 (less any amount paid by the Vendors and/or Torgerson pursuant to Section 10.3(e) or pursuant to Section 10.3(f)(ii));</w:t>
      </w:r>
    </w:p>
    <w:p>
      <w:pPr>
        <w:spacing w:after="0" w:line="85" w:lineRule="exact"/>
        <w:rPr>
          <w:rFonts w:ascii="Times New Roman" w:cs="Times New Roman" w:eastAsia="Times New Roman" w:hAnsi="Times New Roman"/>
          <w:sz w:val="18"/>
          <w:szCs w:val="18"/>
          <w:color w:val="auto"/>
        </w:rPr>
      </w:pPr>
    </w:p>
    <w:p>
      <w:pPr>
        <w:ind w:left="1060" w:right="120" w:hanging="424"/>
        <w:spacing w:after="0" w:line="266" w:lineRule="auto"/>
        <w:tabs>
          <w:tab w:leader="none" w:pos="10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and Torgerson (collectively) pursuant to this Agreement for Losses incurred as a result of any breach of or incorrectness in any Fundamental Representation shall be limited to Cdn.$420,000,000.00, subject to the adjustments set forth in Section 2.6 (less any amount paid by the Vendors pursuant to Section 10.3(e) or pursuant to Section 10.3(f)(i));</w:t>
      </w:r>
    </w:p>
    <w:p>
      <w:pPr>
        <w:spacing w:after="0" w:line="81" w:lineRule="exact"/>
        <w:rPr>
          <w:rFonts w:ascii="Times New Roman" w:cs="Times New Roman" w:eastAsia="Times New Roman" w:hAnsi="Times New Roman"/>
          <w:sz w:val="18"/>
          <w:szCs w:val="18"/>
          <w:color w:val="auto"/>
        </w:rPr>
      </w:pPr>
    </w:p>
    <w:p>
      <w:pPr>
        <w:ind w:left="640" w:right="20" w:hanging="436"/>
        <w:spacing w:after="0" w:line="266" w:lineRule="auto"/>
        <w:tabs>
          <w:tab w:leader="none" w:pos="6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Liability of the Purchaser shall be limited to an amount equal to Cdn.$126,500,000.00, other than with respect to Losses incurred as a result of: (i) fraud or fraudulent misrepresentation by the Purchaser; or (ii) as a result of any breach of covenant or incorrectness in or breach of any Fundamental Representation of the Purchaser or Section 3.1(v) as to each of which this Section 10.3(g) shall have no effect;</w:t>
      </w:r>
    </w:p>
    <w:p>
      <w:pPr>
        <w:spacing w:after="0" w:line="8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Liability of the Purchaser for Losses incurred as a result of: (i) fraud or fraudulent misrepresentation by the Purchaser; or</w:t>
      </w:r>
    </w:p>
    <w:p>
      <w:pPr>
        <w:spacing w:after="0" w:line="27" w:lineRule="exact"/>
        <w:rPr>
          <w:rFonts w:ascii="Times New Roman" w:cs="Times New Roman" w:eastAsia="Times New Roman" w:hAnsi="Times New Roman"/>
          <w:sz w:val="18"/>
          <w:szCs w:val="18"/>
          <w:color w:val="auto"/>
        </w:rPr>
      </w:pPr>
    </w:p>
    <w:p>
      <w:pPr>
        <w:jc w:val="both"/>
        <w:ind w:left="640" w:right="420" w:hanging="4"/>
        <w:spacing w:after="0" w:line="290" w:lineRule="auto"/>
        <w:tabs>
          <w:tab w:leader="none" w:pos="905"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any breach of covenant or incorrectness in or breach of any Fundamental Representation of the Purchaser shall be limited to Cdn.$420,000,000.00, subject to the adjustments set forth in Section 2.6 (less any amount paid by the Purchaser pursuant to Section 10.3(g));</w:t>
      </w:r>
    </w:p>
    <w:p>
      <w:pPr>
        <w:spacing w:after="0" w:line="62" w:lineRule="exact"/>
        <w:rPr>
          <w:rFonts w:ascii="Times New Roman" w:cs="Times New Roman" w:eastAsia="Times New Roman" w:hAnsi="Times New Roman"/>
          <w:sz w:val="17"/>
          <w:szCs w:val="17"/>
          <w:color w:val="auto"/>
        </w:rPr>
      </w:pPr>
    </w:p>
    <w:p>
      <w:pPr>
        <w:ind w:left="640" w:hanging="436"/>
        <w:spacing w:after="0" w:line="255" w:lineRule="auto"/>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Liability and indemnity obligations under this Agreement, Losses shall be limited to Losses that are the direct and reasonably foreseeable consequences of any breach, non-performance or non-fulfillment of any covenant or agreement or misrepresentation, inaccuracy, incorrectness or breach of any representation or warranty (which may include Losses relating to diminution in the value of shares and loss of profits to the extent that they are determined by an arbitrator to be direct and reasonably foreseeable consequences), and no Party shall be entitled to punitive, exemplary, special or similar damages, or consequential damages (except where any such damages are related to diminution of the value of shares, loss of profits or other damages which are the reasonably foreseeable consequences of the related breach, non-performance or non-fulfillment or except to the extent that an aggrieved party is actually required to pay or otherwise satisfy a Claim by a third party that includes such damages);</w:t>
      </w:r>
    </w:p>
    <w:p>
      <w:pPr>
        <w:spacing w:after="0" w:line="90" w:lineRule="exact"/>
        <w:rPr>
          <w:rFonts w:ascii="Times New Roman" w:cs="Times New Roman" w:eastAsia="Times New Roman" w:hAnsi="Times New Roman"/>
          <w:sz w:val="18"/>
          <w:szCs w:val="18"/>
          <w:color w:val="auto"/>
        </w:rPr>
      </w:pPr>
    </w:p>
    <w:p>
      <w:pPr>
        <w:ind w:left="640" w:hanging="436"/>
        <w:spacing w:after="0" w:line="258" w:lineRule="auto"/>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claim against the Torgerson Trust, the Purchaser shall only have recourse against the assets of the Torgerson Trust and shall not have any recourse against the personal assets of Torgerson, Tammy Torgerson or Richard Torgerson held in their own right or in any capacity other than as a trustee of Torgerson Trust. Notwithstanding anything else herein contained, a claim may be made against Torgerson personally if such claim relates to a breach of a Fundamental Representation but no claim may be made against Torgerson personally for any breach of representation or warranty that is not a Fundamental Representation;</w:t>
      </w:r>
    </w:p>
    <w:p>
      <w:pPr>
        <w:spacing w:after="0" w:line="89" w:lineRule="exact"/>
        <w:rPr>
          <w:rFonts w:ascii="Times New Roman" w:cs="Times New Roman" w:eastAsia="Times New Roman" w:hAnsi="Times New Roman"/>
          <w:sz w:val="18"/>
          <w:szCs w:val="18"/>
          <w:color w:val="auto"/>
        </w:rPr>
      </w:pPr>
    </w:p>
    <w:p>
      <w:pPr>
        <w:ind w:left="640" w:right="80" w:hanging="436"/>
        <w:spacing w:after="0" w:line="261" w:lineRule="auto"/>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is not entitled to double recovery even though they may have resulted from the breach of more than one of the representations, warranties, covenants and obligations of another Party in this Agreement. No Party has any liability or obligation with respect to any claim for indemnification to the extent that such matter was reflected as a Working Capital adjustment pursuant to Section 2.6 of this Agreement, or as a deduction or set-off to the Purchase Price, including the Escrow Amount;</w:t>
      </w:r>
    </w:p>
    <w:p>
      <w:pPr>
        <w:spacing w:after="0" w:line="85" w:lineRule="exact"/>
        <w:rPr>
          <w:rFonts w:ascii="Times New Roman" w:cs="Times New Roman" w:eastAsia="Times New Roman" w:hAnsi="Times New Roman"/>
          <w:sz w:val="18"/>
          <w:szCs w:val="18"/>
          <w:color w:val="auto"/>
        </w:rPr>
      </w:pPr>
    </w:p>
    <w:p>
      <w:pPr>
        <w:ind w:left="640" w:right="320" w:hanging="436"/>
        <w:spacing w:after="0" w:line="266" w:lineRule="auto"/>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seeking any recovery of indemnifiable Losses under Section 10.2(a) or 10.2(d), the Purchaser shall first exhaust all funds available from the Escrow Amount, and thereafter shall seek recovery from the Representation and Warranty Insurance, if available, before making any claims against the Vendors or Torgerson personally;</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220"/>
          </w:cols>
          <w:pgMar w:left="24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120" w:hanging="436"/>
        <w:spacing w:after="0" w:line="255" w:lineRule="auto"/>
        <w:tabs>
          <w:tab w:leader="none" w:pos="6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Losses incurred by an Indemnified Party at any time subsequent to the making of an indemnity payment made pursuant to this Article 10 is reduced by any recovery, settlement or otherwise under any claim, recovery, settlement or payment by or against any other Person, the Indemnified Party shall promptly repay to the Indemnifying Party the amount of the reduction (less any costs, expenses (including Taxes) or premiums incurred in connection therewith). Upon making a full indemnity payment, the Indemnifying Party will, to the extent of that indemnity payment, be subrogated to all rights of the Indemnified Party against any third party that is not an Affiliate of the Indemnified Party in respect of the Losses to which the indemnity payment relates. Until the Indemnified Party recovers full payment of its Losses, any and all claims of the Indemnifying Party against any such third party on account of that indemnity payment will be postponed and subordinated in right of payment to the Indemnified Party’s rights against that third party;</w:t>
      </w:r>
    </w:p>
    <w:p>
      <w:pPr>
        <w:spacing w:after="0" w:line="90" w:lineRule="exact"/>
        <w:rPr>
          <w:rFonts w:ascii="Times New Roman" w:cs="Times New Roman" w:eastAsia="Times New Roman" w:hAnsi="Times New Roman"/>
          <w:sz w:val="18"/>
          <w:szCs w:val="18"/>
          <w:color w:val="auto"/>
        </w:rPr>
      </w:pPr>
    </w:p>
    <w:p>
      <w:pPr>
        <w:ind w:left="640" w:right="200" w:hanging="436"/>
        <w:spacing w:after="0" w:line="266" w:lineRule="auto"/>
        <w:tabs>
          <w:tab w:leader="none" w:pos="6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Purchaser has a claim to which it is entitled to be indemnified by the Vendors or Torgerson pursuant to this Agreement, the Loss recoverable from the Vendors shall be reduced to the extent that the Purchaser received proceeds of insurance (net of any deductibles or increases of premiums associated therewith) with respect to such claim;</w:t>
      </w:r>
    </w:p>
    <w:p>
      <w:pPr>
        <w:spacing w:after="0" w:line="81" w:lineRule="exact"/>
        <w:rPr>
          <w:rFonts w:ascii="Times New Roman" w:cs="Times New Roman" w:eastAsia="Times New Roman" w:hAnsi="Times New Roman"/>
          <w:sz w:val="18"/>
          <w:szCs w:val="18"/>
          <w:color w:val="auto"/>
        </w:rPr>
      </w:pPr>
    </w:p>
    <w:p>
      <w:pPr>
        <w:ind w:left="640" w:hanging="436"/>
        <w:spacing w:after="0" w:line="273" w:lineRule="auto"/>
        <w:tabs>
          <w:tab w:leader="none" w:pos="64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and the Vendors hereby agree that, with respect to any claim they may have as the case may be, they shall in good faith use commercially reasonable efforts to mitigate or minimize such claim and to reasonably cooperate: (i) in the case of the Purchaser, with the Vendors in the Vendors’ efforts to minimize any of the Purchaser’s claims, and (ii) in the case of the Vendors, with the Purchaser in the Purchaser’s efforts to minimize any of the Vendors’ claims. The Purchaser agrees that the employees and consultants of the Corporation (including, but not limited to, accountants, personnel and other staff) will be made reasonably available to the Vendors, during normal business hours, at the Vendors’ expense, after the Closing Date, in computing, analyzing, settling or otherwise dealing with any Purchaser Indemnified Parties claims or any Vendors’ claims, but only to the extent that such access to employees and consultants does not interfere with the business of the Corporation in any respect;</w:t>
      </w:r>
    </w:p>
    <w:p>
      <w:pPr>
        <w:spacing w:after="0" w:line="77" w:lineRule="exact"/>
        <w:rPr>
          <w:rFonts w:ascii="Times New Roman" w:cs="Times New Roman" w:eastAsia="Times New Roman" w:hAnsi="Times New Roman"/>
          <w:sz w:val="17"/>
          <w:szCs w:val="17"/>
          <w:color w:val="auto"/>
        </w:rPr>
      </w:pPr>
    </w:p>
    <w:p>
      <w:pPr>
        <w:ind w:left="640" w:right="100" w:hanging="436"/>
        <w:spacing w:after="0" w:line="258" w:lineRule="auto"/>
        <w:tabs>
          <w:tab w:leader="none" w:pos="6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accept each indemnity made by the Purchaser under this Article 10 in favour of each of the Vendors’ Indemnified Parties, as the case may be, as agent and trustee of that Indemnified Party and may enforce an indemnity in favour of any of the Vendors’ Indemnified Parties, as the case may be, on behalf of that Indemnified Party. The Purchaser accepts each indemnity made by the Vendors under this Article 10 in favour of each of the Purchaser’s Indemnified Parties as agent and trustee of that Indemnified Party and may enforce an indemnity in favour of any of the Purchaser’s Indemnified Parties on behalf of that Indemnified Party.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Procedure for Indemnification</w:t>
      </w:r>
    </w:p>
    <w:p>
      <w:pPr>
        <w:spacing w:after="0" w:line="121"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10.4 The following provisions shall apply to any Claims for which an Indemnifying Party may be obligated to indemnify an Indemnified Party pursuant to this Agreement:</w:t>
      </w:r>
    </w:p>
    <w:p>
      <w:pPr>
        <w:spacing w:after="0" w:line="67" w:lineRule="exact"/>
        <w:rPr>
          <w:sz w:val="20"/>
          <w:szCs w:val="20"/>
          <w:color w:val="auto"/>
        </w:rPr>
      </w:pPr>
    </w:p>
    <w:p>
      <w:pPr>
        <w:ind w:left="640" w:hanging="436"/>
        <w:spacing w:after="0" w:line="255" w:lineRule="auto"/>
        <w:tabs>
          <w:tab w:leader="none" w:pos="6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 Claims</w:t>
      </w:r>
      <w:r>
        <w:rPr>
          <w:rFonts w:ascii="Times New Roman" w:cs="Times New Roman" w:eastAsia="Times New Roman" w:hAnsi="Times New Roman"/>
          <w:sz w:val="18"/>
          <w:szCs w:val="18"/>
          <w:color w:val="auto"/>
        </w:rPr>
        <w:t>: If an Indemnified Party wishes to make a claim for indemnification (other than with respect to third party Claims, which are addressed in subsection (b) below), the Indemnified Party shall give notice to that effect to the Indemnifying Party with reasonable promptness, specifying the basis for indemnification and the amount claimed (or a reasonable estimate thereof, if possible). The Indemnifying Party shall then have 20 days after it receives such notice to make such investigation of such claim as it considers necessary or desirable. If the Indemnifying Party and the Indemnified Party agree on the amount of the claim subject to indemnification, the Indemnifying Party shall immediately pay to the Indemnified Party the full amount so agreed. If the Indemnifying Party and the Indemnified Party do not agree on the amount of the claim subject to indemnification, then the procedure set out in Article 15 shall be utilized to resolve such claim and the Indemnified Party may serve a Dispute Notice to the Indemnifying Party in accordance with Section 15.1.</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200"/>
          </w:cols>
          <w:pgMar w:left="240" w:top="456"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Claims:</w:t>
      </w:r>
    </w:p>
    <w:p>
      <w:pPr>
        <w:spacing w:after="0" w:line="130" w:lineRule="exact"/>
        <w:rPr>
          <w:rFonts w:ascii="Times New Roman" w:cs="Times New Roman" w:eastAsia="Times New Roman" w:hAnsi="Times New Roman"/>
          <w:sz w:val="18"/>
          <w:szCs w:val="18"/>
          <w:color w:val="auto"/>
        </w:rPr>
      </w:pPr>
    </w:p>
    <w:p>
      <w:pPr>
        <w:ind w:left="1060" w:right="140" w:hanging="424"/>
        <w:spacing w:after="0" w:line="256" w:lineRule="auto"/>
        <w:tabs>
          <w:tab w:leader="none" w:pos="10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a third party by the Indemnified Party of notice of a Claim or the Indemnified Party becoming aware of a Claim in respect of which the Indemnified Party proposes to demand indemnification from the Indemnifying Party, the Indemnified Party shall give notice to that effect to the Indemnifying Party with reasonable promptness, provided that failure to give such notice shall not relieve the Indemnifying Party from any Liability it may have to the Indemnified Party except to the extent that the Indemnifying Party is prejudiced thereby or the notice is given outside the applicable time periods mentioned in Article 6 respecting the survival of the representations and warranties.</w:t>
      </w:r>
    </w:p>
    <w:p>
      <w:pPr>
        <w:spacing w:after="0" w:line="93" w:lineRule="exact"/>
        <w:rPr>
          <w:rFonts w:ascii="Times New Roman" w:cs="Times New Roman" w:eastAsia="Times New Roman" w:hAnsi="Times New Roman"/>
          <w:sz w:val="18"/>
          <w:szCs w:val="18"/>
          <w:color w:val="auto"/>
        </w:rPr>
      </w:pPr>
    </w:p>
    <w:p>
      <w:pPr>
        <w:ind w:left="1060" w:right="20" w:hanging="424"/>
        <w:spacing w:after="0" w:line="253" w:lineRule="auto"/>
        <w:tabs>
          <w:tab w:leader="none" w:pos="10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Claims arising from third parties, the Indemnifying Party shall have the right by notice to the Indemnified Party not later than 15 days after receipt of the notice described in Subsection (i) above to assume the control of the defence, compromise or settlement of the Claims, provided that the Indemnifying Party shall acknowledge the applicability of these indemnity provisions to such Claim and such assumption shall, by its terms, be without costs to the Indemnified Party and the Indemnifying Party shall at the Indemnified Party’s request furnish it with reasonable security against any costs or other Liabilities to which it may be or become exposed by reason of such defence, compromise or settlement. In the event the Indemnifying Party elects to conduct and control any proceedings itself, the Indemnified Party shall be entitled to fully participate at its own cost and expense and by its own separate counsel in any proceedings relating to any third-party claim, except that the Indemnifying Party shall pay the costs and expenses of such separate counsel if: (x) in the Indemnified Party’s good faith judgment, it is advisable, based on the advice of counsel, for the Indemnified Party to be represented by separate counsel because a conflict or potential conflict exists between the Indemnifying Party and the Indemnified Party; or (y) the named parties to such third party claim include both the Indemnifying Party and the Indemnified Party and the Indemnified Party determines in good faith, based on the advice of counsel, that defenses are available to it that are unavailable to the Indemnifying Party.</w:t>
      </w:r>
    </w:p>
    <w:p>
      <w:pPr>
        <w:spacing w:after="0" w:line="96" w:lineRule="exact"/>
        <w:rPr>
          <w:rFonts w:ascii="Times New Roman" w:cs="Times New Roman" w:eastAsia="Times New Roman" w:hAnsi="Times New Roman"/>
          <w:sz w:val="18"/>
          <w:szCs w:val="18"/>
          <w:color w:val="auto"/>
        </w:rPr>
      </w:pPr>
    </w:p>
    <w:p>
      <w:pPr>
        <w:ind w:left="1060" w:hanging="424"/>
        <w:spacing w:after="0" w:line="255" w:lineRule="auto"/>
        <w:tabs>
          <w:tab w:leader="none" w:pos="10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assumption of control by the Indemnifying Party as contemplated in Subsection (ii) above, the Indemnifying Party shall diligently proceed with the defence, compromise or settlement of the claims at its sole expense, including employment of counsel reasonably satisfactory to the Indemnified Party and, in connection therewith, the Indemnified Party shall cooperate fully, but at the expense of the Indemnifying Party, to make available to the Indemnifying Party all pertinent information and witnesses under the Indemnified Party’s control, make such assignments and take such other steps as in the opinion of counsel for the Indemnifying Party are necessary to enable the Indemnifying Party to conduct such defence; provided always that in accordance with Section 10.4(b)(v), no definitive settlement shall be completed without the prior written consent of the Indemnified Party and the Indemnified Party shall be entitled to reasonable security from the Indemnifying Party for any expense, costs or other Liabilities to which it may be or may become exposed by reason of such cooperation.</w:t>
      </w:r>
    </w:p>
    <w:p>
      <w:pPr>
        <w:spacing w:after="0" w:line="90" w:lineRule="exact"/>
        <w:rPr>
          <w:rFonts w:ascii="Times New Roman" w:cs="Times New Roman" w:eastAsia="Times New Roman" w:hAnsi="Times New Roman"/>
          <w:sz w:val="18"/>
          <w:szCs w:val="18"/>
          <w:color w:val="auto"/>
        </w:rPr>
      </w:pPr>
    </w:p>
    <w:p>
      <w:pPr>
        <w:ind w:left="1060" w:hanging="424"/>
        <w:spacing w:after="0" w:line="266" w:lineRule="auto"/>
        <w:tabs>
          <w:tab w:leader="none" w:pos="10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determination of any such Claims arising from third parties, including all related costs and expenses, will be binding and conclusive upon the Indemnifying Party and Indemnified Party as to the validity or invalidity, as the case may be, of such Claims against the Indemnifying Party hereunder.</w:t>
      </w:r>
    </w:p>
    <w:p>
      <w:pPr>
        <w:spacing w:after="0" w:line="81" w:lineRule="exact"/>
        <w:rPr>
          <w:rFonts w:ascii="Times New Roman" w:cs="Times New Roman" w:eastAsia="Times New Roman" w:hAnsi="Times New Roman"/>
          <w:sz w:val="18"/>
          <w:szCs w:val="18"/>
          <w:color w:val="auto"/>
        </w:rPr>
      </w:pPr>
    </w:p>
    <w:p>
      <w:pPr>
        <w:ind w:left="1060" w:right="60" w:hanging="424"/>
        <w:spacing w:after="0" w:line="255" w:lineRule="auto"/>
        <w:tabs>
          <w:tab w:leader="none" w:pos="10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Indemnifying Party fail to give notice to the Indemnified Party as provided in Subsection (ii) above, the Indemnified Party shall have the exclusive right to contest, settle or pay the amount claimed. Whether or not the Indemnifying Party assumes control of the negotiation, settlement or defence of any third party Claim, the Indemnified Party shall not settle or pay any such Claim without the written consent of the Indemnifying Party, which consent shall not be unreasonably withheld or delayed. The Indemnified Party and the Indemnifying Party shall consult and co-operate fully with each other on a timely basis with respect to such third party Claims, and shall keep each other fully advised with respect thereto (including supplying copies of all relevant documentation promptly as it becomes available). The Indemnified Party shall make available to the Indemnifying Party or its representatives, on a timely basis, all documents, records and other materials in the possession of the</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80"/>
          </w:cols>
          <w:pgMar w:left="240" w:top="455" w:right="4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2" w:lineRule="auto"/>
        <w:rPr>
          <w:sz w:val="20"/>
          <w:szCs w:val="20"/>
          <w:color w:val="auto"/>
        </w:rPr>
      </w:pPr>
      <w:r>
        <w:rPr>
          <w:rFonts w:ascii="Times New Roman" w:cs="Times New Roman" w:eastAsia="Times New Roman" w:hAnsi="Times New Roman"/>
          <w:sz w:val="18"/>
          <w:szCs w:val="18"/>
          <w:color w:val="auto"/>
        </w:rPr>
        <w:t>Indemnified Party which are reasonably required by the Indemnifying Party for its use in connection herewith, all at the cost and expense of the Indemnifying Party.</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Mutual Conditions Precedent</w:t>
      </w:r>
    </w:p>
    <w:p>
      <w:pPr>
        <w:spacing w:after="0" w:line="121" w:lineRule="exact"/>
        <w:rPr>
          <w:sz w:val="20"/>
          <w:szCs w:val="20"/>
          <w:color w:val="auto"/>
        </w:rPr>
      </w:pPr>
    </w:p>
    <w:p>
      <w:pPr>
        <w:ind w:left="200" w:right="360"/>
        <w:spacing w:after="0" w:line="313" w:lineRule="auto"/>
        <w:rPr>
          <w:sz w:val="20"/>
          <w:szCs w:val="20"/>
          <w:color w:val="auto"/>
        </w:rPr>
      </w:pPr>
      <w:r>
        <w:rPr>
          <w:rFonts w:ascii="Times New Roman" w:cs="Times New Roman" w:eastAsia="Times New Roman" w:hAnsi="Times New Roman"/>
          <w:sz w:val="17"/>
          <w:szCs w:val="17"/>
          <w:color w:val="auto"/>
        </w:rPr>
        <w:t>11.1 The transactions contemplated herein are subject to the following conditions to be fulfilled or performed on or prior to the Closing Date, which conditions are for the mutual benefit of the Purchaser, and the Vendors and may be waived by the Purchaser and the Vendors, jointly, in writing:</w:t>
      </w:r>
    </w:p>
    <w:p>
      <w:pPr>
        <w:spacing w:after="0" w:line="44" w:lineRule="exact"/>
        <w:rPr>
          <w:sz w:val="20"/>
          <w:szCs w:val="20"/>
          <w:color w:val="auto"/>
        </w:rPr>
      </w:pPr>
    </w:p>
    <w:p>
      <w:pPr>
        <w:ind w:left="640" w:hanging="436"/>
        <w:spacing w:after="0"/>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have received the Regulatory Approvals;</w:t>
      </w:r>
    </w:p>
    <w:p>
      <w:pPr>
        <w:spacing w:after="0" w:line="130" w:lineRule="exact"/>
        <w:rPr>
          <w:rFonts w:ascii="Times New Roman" w:cs="Times New Roman" w:eastAsia="Times New Roman" w:hAnsi="Times New Roman"/>
          <w:sz w:val="18"/>
          <w:szCs w:val="18"/>
          <w:color w:val="auto"/>
        </w:rPr>
      </w:pPr>
    </w:p>
    <w:p>
      <w:pPr>
        <w:ind w:left="640" w:right="180" w:hanging="436"/>
        <w:spacing w:after="0" w:line="282" w:lineRule="auto"/>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have received the consents listed on Schedule 11.1(b) to the Disclosure Letter, in form and substance satisfactory to the Vendors and the Purchaser, each acting reasonably; and</w:t>
      </w:r>
    </w:p>
    <w:p>
      <w:pPr>
        <w:spacing w:after="0" w:line="67" w:lineRule="exact"/>
        <w:rPr>
          <w:rFonts w:ascii="Times New Roman" w:cs="Times New Roman" w:eastAsia="Times New Roman" w:hAnsi="Times New Roman"/>
          <w:sz w:val="18"/>
          <w:szCs w:val="18"/>
          <w:color w:val="auto"/>
        </w:rPr>
      </w:pPr>
    </w:p>
    <w:p>
      <w:pPr>
        <w:ind w:left="640" w:hanging="436"/>
        <w:spacing w:after="0" w:line="256" w:lineRule="auto"/>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approvals and consents from Governmental Entities and third parties in respect of the completion of the transactions contemplated hereby, shall have been obtained on terms and conditions acceptable to the Vendors and the Purchaser, each acting reasonably, and all other applicable domestic and foreign statutory and regulatory waiting periods shall have expired or have been terminated and no unresolved material objection or opposition shall have been filed, initiated or made during any applicable statutory or regulatory period, except in each case (but unless the Vendors and the Purchaser otherwise agree in writing) where the failure or failures to obtain such approvals or consents, or for the applicable waiting periods to have expired or terminated, would not reasonably be expected to have a Material Adverse Effect;</w:t>
      </w:r>
    </w:p>
    <w:p>
      <w:pPr>
        <w:spacing w:after="0" w:line="93" w:lineRule="exact"/>
        <w:rPr>
          <w:rFonts w:ascii="Times New Roman" w:cs="Times New Roman" w:eastAsia="Times New Roman" w:hAnsi="Times New Roman"/>
          <w:sz w:val="18"/>
          <w:szCs w:val="18"/>
          <w:color w:val="auto"/>
        </w:rPr>
      </w:pPr>
    </w:p>
    <w:p>
      <w:pPr>
        <w:ind w:left="640" w:right="80" w:hanging="436"/>
        <w:spacing w:after="0" w:line="261" w:lineRule="auto"/>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 action, suit or proceeding shall have been threatened or taken before or by any Governmental Entity or Securities Authority in Canada, the United States or elsewhere, whether or not having the force of law, and no Law shall have been proposed, enacted promulgated or applied, which has the effect to cease trade, enjoin, prohibit or impose material limitations or conditions on the transactions contemplated by this Agreement or which, if the Acquisition were consummated, would materially and adversely affect the Purchaser or the Corporation or its Subsidiaries; and</w:t>
      </w:r>
    </w:p>
    <w:p>
      <w:pPr>
        <w:spacing w:after="0" w:line="85" w:lineRule="exact"/>
        <w:rPr>
          <w:rFonts w:ascii="Times New Roman" w:cs="Times New Roman" w:eastAsia="Times New Roman" w:hAnsi="Times New Roman"/>
          <w:sz w:val="18"/>
          <w:szCs w:val="18"/>
          <w:color w:val="auto"/>
        </w:rPr>
      </w:pPr>
    </w:p>
    <w:p>
      <w:pPr>
        <w:ind w:left="640" w:right="440" w:hanging="436"/>
        <w:spacing w:after="0" w:line="266" w:lineRule="auto"/>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Shareholder Approvals and the acceptance of the New York Stock Exchange for the issuance and listing of all of the Purchaser Common Shares issuable to the Vendors as contemplated herein (including the Purchaser Common Shares issuable upon conversion of the Purchaser Preferred Shares), has been obtained.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for the Benefit of the Purchaser</w:t>
      </w:r>
    </w:p>
    <w:p>
      <w:pPr>
        <w:spacing w:after="0" w:line="121" w:lineRule="exact"/>
        <w:rPr>
          <w:sz w:val="20"/>
          <w:szCs w:val="20"/>
          <w:color w:val="auto"/>
        </w:rPr>
      </w:pPr>
    </w:p>
    <w:p>
      <w:pPr>
        <w:ind w:left="200" w:right="360"/>
        <w:spacing w:after="0" w:line="282" w:lineRule="auto"/>
        <w:rPr>
          <w:sz w:val="20"/>
          <w:szCs w:val="20"/>
          <w:color w:val="auto"/>
        </w:rPr>
      </w:pPr>
      <w:r>
        <w:rPr>
          <w:rFonts w:ascii="Times New Roman" w:cs="Times New Roman" w:eastAsia="Times New Roman" w:hAnsi="Times New Roman"/>
          <w:sz w:val="18"/>
          <w:szCs w:val="18"/>
          <w:color w:val="auto"/>
        </w:rPr>
        <w:t>11.2 The transactions contemplated herein are subject to the following conditions to be fulfilled or performed on or prior to the Closing Date, which conditions are for the exclusive benefit of the Purchaser and may be waived, in whole or in part, by the Purchaser in its sole discretion:</w:t>
      </w:r>
    </w:p>
    <w:p>
      <w:pPr>
        <w:spacing w:after="0" w:line="67" w:lineRule="exact"/>
        <w:rPr>
          <w:sz w:val="20"/>
          <w:szCs w:val="20"/>
          <w:color w:val="auto"/>
        </w:rPr>
      </w:pPr>
    </w:p>
    <w:p>
      <w:pPr>
        <w:ind w:left="640" w:right="20" w:hanging="436"/>
        <w:spacing w:after="0" w:line="254" w:lineRule="auto"/>
        <w:tabs>
          <w:tab w:leader="none" w:pos="6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for any breaches of representations and warranties of the Vendors set forth in this Agreement (other than the Fundamental Representations of the Vendors) that individually or in the aggregate would not have a Material Adverse Effect on the Corporation, the Subsidiaries or the Business (taken as a whole), the representations and warranties of the Vendors set forth in Article 4 and Article 5 (without giving effect to any qualification by reference to materiality, material respects or Material Adverse Effect set forth therein) shall be true and correct at the Closing Time as if made at and as of the Closing Time, (except to the extent any such representations and warranties expressly speak of an earlier date, in which case such representations and warranties shall be true and correct as of such earlier date); and (ii) each of the Fundamental Representations shall be true and correct at the Closing Time as if made as and at the Closing Time (except to the extent any such representations and warranties expressly speak of an earlier date, in which case such representations and warranties shall be true and correct as of such earlier date);</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220"/>
          </w:cols>
          <w:pgMar w:left="240" w:top="456"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40" w:hanging="436"/>
        <w:spacing w:after="0" w:line="282"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and the Corporation shall have performed or complied in all material respects with all of the obligations and covenants and conditions of this Agreement to be performed or complied with by the Vendors and the Corporation, respectively, at or prior to the Closing Time;</w:t>
      </w:r>
    </w:p>
    <w:p>
      <w:pPr>
        <w:spacing w:after="0" w:line="67" w:lineRule="exact"/>
        <w:rPr>
          <w:rFonts w:ascii="Times New Roman" w:cs="Times New Roman" w:eastAsia="Times New Roman" w:hAnsi="Times New Roman"/>
          <w:sz w:val="18"/>
          <w:szCs w:val="18"/>
          <w:color w:val="auto"/>
        </w:rPr>
      </w:pPr>
    </w:p>
    <w:p>
      <w:pPr>
        <w:ind w:left="640" w:right="840" w:hanging="436"/>
        <w:spacing w:after="0" w:line="282"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shall have delivered to the Purchaser a certificate of an authorized officer (or equivalent) of each of the Vendors, and of the Corporation confirming the matters set forth in subsections (a) and (b) above, in form and substance satisfactory to the Purchaser;</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Material Adverse Effect with respect to the Corporation or any of its Subsidiaries;</w:t>
      </w:r>
    </w:p>
    <w:p>
      <w:pPr>
        <w:spacing w:after="0" w:line="130" w:lineRule="exact"/>
        <w:rPr>
          <w:rFonts w:ascii="Times New Roman" w:cs="Times New Roman" w:eastAsia="Times New Roman" w:hAnsi="Times New Roman"/>
          <w:sz w:val="18"/>
          <w:szCs w:val="18"/>
          <w:color w:val="auto"/>
        </w:rPr>
      </w:pPr>
    </w:p>
    <w:p>
      <w:pPr>
        <w:ind w:left="640" w:right="240" w:hanging="436"/>
        <w:spacing w:after="0" w:line="282"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changes with respect to the Suncor Contract or the Syncrude Contract which may reasonably be considered to result in a Material Adverse Effect on the Corporation, the Purchaser or the Acquisition;</w:t>
      </w:r>
    </w:p>
    <w:p>
      <w:pPr>
        <w:spacing w:after="0" w:line="67" w:lineRule="exact"/>
        <w:rPr>
          <w:rFonts w:ascii="Times New Roman" w:cs="Times New Roman" w:eastAsia="Times New Roman" w:hAnsi="Times New Roman"/>
          <w:sz w:val="18"/>
          <w:szCs w:val="18"/>
          <w:color w:val="auto"/>
        </w:rPr>
      </w:pPr>
    </w:p>
    <w:p>
      <w:pPr>
        <w:ind w:left="640" w:right="80" w:hanging="436"/>
        <w:spacing w:after="0" w:line="266"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either: (x) received consent from the Regional Municipality of Wood Buffalo for the continuation of all existing business licenses and permits; or (y) obtained new business licenses and permits from the Regional Municipality of Wood Buffalo as are required for the operation of the Business;</w:t>
      </w:r>
    </w:p>
    <w:p>
      <w:pPr>
        <w:spacing w:after="0" w:line="81" w:lineRule="exact"/>
        <w:rPr>
          <w:rFonts w:ascii="Times New Roman" w:cs="Times New Roman" w:eastAsia="Times New Roman" w:hAnsi="Times New Roman"/>
          <w:sz w:val="18"/>
          <w:szCs w:val="18"/>
          <w:color w:val="auto"/>
        </w:rPr>
      </w:pPr>
    </w:p>
    <w:p>
      <w:pPr>
        <w:ind w:left="640" w:right="40" w:hanging="436"/>
        <w:spacing w:after="0" w:line="282"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received the Escrow Agreement and the Escrowed Shares Escrow Agreement, each duly executed by the Vendors and the Escrow Agent;</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received the Non-Competition Agreements duly executed by the Vendors, Torgerson and Corey Smith;</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received the Registration Rights Agreement duly executed by the Vendors;</w:t>
      </w:r>
    </w:p>
    <w:p>
      <w:pPr>
        <w:spacing w:after="0" w:line="130" w:lineRule="exact"/>
        <w:rPr>
          <w:rFonts w:ascii="Times New Roman" w:cs="Times New Roman" w:eastAsia="Times New Roman" w:hAnsi="Times New Roman"/>
          <w:sz w:val="18"/>
          <w:szCs w:val="18"/>
          <w:color w:val="auto"/>
        </w:rPr>
      </w:pPr>
    </w:p>
    <w:p>
      <w:pPr>
        <w:ind w:left="640" w:right="80" w:hanging="436"/>
        <w:spacing w:after="0" w:line="261"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shall be, immediately before the Closing, the legal and beneficial owner (directly or indirectly) of all the Purchased Shares and, at the Closing, the Vendors will have delivered to the Purchaser original share certificates representing the Purchased Shares, together with duly executed stock powers of attorney or other instruments of transfer effectively transferring the Purchased Shares to the Purchaser, free and clear of any Encumbrances;</w:t>
      </w:r>
    </w:p>
    <w:p>
      <w:pPr>
        <w:spacing w:after="0" w:line="85" w:lineRule="exact"/>
        <w:rPr>
          <w:rFonts w:ascii="Times New Roman" w:cs="Times New Roman" w:eastAsia="Times New Roman" w:hAnsi="Times New Roman"/>
          <w:sz w:val="18"/>
          <w:szCs w:val="18"/>
          <w:color w:val="auto"/>
        </w:rPr>
      </w:pPr>
    </w:p>
    <w:p>
      <w:pPr>
        <w:ind w:left="640" w:right="80" w:hanging="436"/>
        <w:spacing w:after="0" w:line="282"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there shall be no outstanding options, warrants or any other convertible securities or rights to acquire any of the Purchased Shares;</w:t>
      </w:r>
    </w:p>
    <w:p>
      <w:pPr>
        <w:spacing w:after="0" w:line="67" w:lineRule="exact"/>
        <w:rPr>
          <w:rFonts w:ascii="Times New Roman" w:cs="Times New Roman" w:eastAsia="Times New Roman" w:hAnsi="Times New Roman"/>
          <w:sz w:val="18"/>
          <w:szCs w:val="18"/>
          <w:color w:val="auto"/>
        </w:rPr>
      </w:pPr>
    </w:p>
    <w:p>
      <w:pPr>
        <w:ind w:left="640" w:right="280" w:hanging="436"/>
        <w:spacing w:after="0" w:line="266" w:lineRule="auto"/>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Borrowed Money Indebtedness of the Corporation and its Subsidiaries other than trade payables and accrued liabilities included in Working Capital) shall have been repaid and all related security (other than Permitted Encumbrances) shall have been discharged and released (or irrevocably authorized the discharge and release of security).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for the Benefit of the Vendors</w:t>
      </w:r>
    </w:p>
    <w:p>
      <w:pPr>
        <w:spacing w:after="0" w:line="121" w:lineRule="exact"/>
        <w:rPr>
          <w:sz w:val="20"/>
          <w:szCs w:val="20"/>
          <w:color w:val="auto"/>
        </w:rPr>
      </w:pPr>
    </w:p>
    <w:p>
      <w:pPr>
        <w:ind w:left="200" w:right="360"/>
        <w:spacing w:after="0" w:line="282" w:lineRule="auto"/>
        <w:rPr>
          <w:sz w:val="20"/>
          <w:szCs w:val="20"/>
          <w:color w:val="auto"/>
        </w:rPr>
      </w:pPr>
      <w:r>
        <w:rPr>
          <w:rFonts w:ascii="Times New Roman" w:cs="Times New Roman" w:eastAsia="Times New Roman" w:hAnsi="Times New Roman"/>
          <w:sz w:val="18"/>
          <w:szCs w:val="18"/>
          <w:color w:val="auto"/>
        </w:rPr>
        <w:t>11.3 The transactions contemplated herein are subject to the following conditions to be fulfilled or performed on or prior to the Closing Date, which conditions are for the exclusive benefit of the Vendors and may be waived, in whole or in part, by all the Vendors, in their sole discretion:</w:t>
      </w:r>
    </w:p>
    <w:p>
      <w:pPr>
        <w:spacing w:after="0" w:line="67" w:lineRule="exact"/>
        <w:rPr>
          <w:sz w:val="20"/>
          <w:szCs w:val="20"/>
          <w:color w:val="auto"/>
        </w:rPr>
      </w:pPr>
    </w:p>
    <w:p>
      <w:pPr>
        <w:ind w:left="640" w:hanging="436"/>
        <w:spacing w:after="0"/>
        <w:tabs>
          <w:tab w:leader="none" w:pos="6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Purchaser shall have paid the Purchase Price in accordance with Section 2.3;</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filed articles of amendment to amend the Purchaser’s authorized capital to create the Purchaser Preferred Shares;</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Common Shares to be issued to the Vendors shall, upon issuance, be listed for trading on the New York Stock Exchange;</w:t>
      </w:r>
    </w:p>
    <w:p>
      <w:pPr>
        <w:spacing w:after="0" w:line="130" w:lineRule="exact"/>
        <w:rPr>
          <w:rFonts w:ascii="Times New Roman" w:cs="Times New Roman" w:eastAsia="Times New Roman" w:hAnsi="Times New Roman"/>
          <w:sz w:val="18"/>
          <w:szCs w:val="18"/>
          <w:color w:val="auto"/>
        </w:rPr>
      </w:pPr>
    </w:p>
    <w:p>
      <w:pPr>
        <w:ind w:left="640" w:hanging="436"/>
        <w:spacing w:after="0" w:line="261" w:lineRule="auto"/>
        <w:tabs>
          <w:tab w:leader="none" w:pos="6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for any breaches of representations and warranties of the Purchaser set forth in this Agreement (other than the Fundamental Representations of the Purchaser) that individually or in the aggregate would not have a Material Adverse Effect on the Purchaser, the representations and warranties of the Purchaser set forth in Article 3 (without giving effect to any qualification by reference to materiality, material respects or</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220"/>
          </w:cols>
          <w:pgMar w:left="240" w:top="456"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258" w:lineRule="auto"/>
        <w:rPr>
          <w:sz w:val="20"/>
          <w:szCs w:val="20"/>
          <w:color w:val="auto"/>
        </w:rPr>
      </w:pPr>
      <w:r>
        <w:rPr>
          <w:rFonts w:ascii="Times New Roman" w:cs="Times New Roman" w:eastAsia="Times New Roman" w:hAnsi="Times New Roman"/>
          <w:sz w:val="18"/>
          <w:szCs w:val="18"/>
          <w:color w:val="auto"/>
        </w:rPr>
        <w:t>Material Adverse Effect set forth therein) shall be true and correct at the Closing Time as if made at and as of the Closing Time, (except to the extent any such representations and warranties expressly speak of an earlier date, in which case such representations and warranties shall be true and correct as of such earlier date); and (ii) each of the Fundamental Representations shall be true and correct at the Closing Time as if made as and at the Closing Time (except to the extent any such representations and warranties expressly speak of an earlier date, in which case such representations and warranties shall be true and correct as of such earlier date);</w:t>
      </w:r>
    </w:p>
    <w:p>
      <w:pPr>
        <w:spacing w:after="0" w:line="89" w:lineRule="exact"/>
        <w:rPr>
          <w:sz w:val="20"/>
          <w:szCs w:val="20"/>
          <w:color w:val="auto"/>
        </w:rPr>
      </w:pPr>
    </w:p>
    <w:p>
      <w:pPr>
        <w:ind w:left="640" w:right="60" w:hanging="436"/>
        <w:spacing w:after="0" w:line="282" w:lineRule="auto"/>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performed or complied in all material respects with all of the obligations and covenants and conditions of this Agreement to be performed or complied with by the Purchaser at or prior to the Closing Time;</w:t>
      </w:r>
    </w:p>
    <w:p>
      <w:pPr>
        <w:spacing w:after="0" w:line="67" w:lineRule="exact"/>
        <w:rPr>
          <w:rFonts w:ascii="Times New Roman" w:cs="Times New Roman" w:eastAsia="Times New Roman" w:hAnsi="Times New Roman"/>
          <w:sz w:val="18"/>
          <w:szCs w:val="18"/>
          <w:color w:val="auto"/>
        </w:rPr>
      </w:pPr>
    </w:p>
    <w:p>
      <w:pPr>
        <w:ind w:left="640" w:hanging="436"/>
        <w:spacing w:after="0" w:line="256" w:lineRule="auto"/>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shall have been (i) duly authorized and validly issued as fully paid and non-assessable Purchaser Shares; (ii) issued to the Vendors as contemplated herein with good and marketable title, free and clear of all Encumbrances other than Encumbrances arising under the Registration Rights Agreement, Escrowed Shares Escrow Agreement, and applicable securities Laws; and (iii) assuming the accuracy of the representations and warranties of the Vendors set forth in Section 5.2, issued in compliance with all applicable securities Laws and not issued in violation of any purchase option, call option, right of first refusal, first offer, co-sale or participation preemptive right, subscription right or any similar right;</w:t>
      </w:r>
    </w:p>
    <w:p>
      <w:pPr>
        <w:spacing w:after="0" w:line="93" w:lineRule="exact"/>
        <w:rPr>
          <w:rFonts w:ascii="Times New Roman" w:cs="Times New Roman" w:eastAsia="Times New Roman" w:hAnsi="Times New Roman"/>
          <w:sz w:val="18"/>
          <w:szCs w:val="18"/>
          <w:color w:val="auto"/>
        </w:rPr>
      </w:pPr>
    </w:p>
    <w:p>
      <w:pPr>
        <w:ind w:left="640" w:right="220" w:hanging="436"/>
        <w:spacing w:after="0" w:line="282" w:lineRule="auto"/>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delivered to the Vendors a certificate of an authorized officer confirming the matters set forth in subsections (d) and (e) above, in form and substance satisfactory to the Vendors;</w:t>
      </w:r>
    </w:p>
    <w:p>
      <w:pPr>
        <w:spacing w:after="0" w:line="67" w:lineRule="exact"/>
        <w:rPr>
          <w:rFonts w:ascii="Times New Roman" w:cs="Times New Roman" w:eastAsia="Times New Roman" w:hAnsi="Times New Roman"/>
          <w:sz w:val="18"/>
          <w:szCs w:val="18"/>
          <w:color w:val="auto"/>
        </w:rPr>
      </w:pPr>
    </w:p>
    <w:p>
      <w:pPr>
        <w:ind w:left="640" w:right="320" w:hanging="436"/>
        <w:spacing w:after="0" w:line="282" w:lineRule="auto"/>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shall have received the Escrow Agreement and Escrowed Shares Escrow Agreement, each duly executed by the Purchaser and the Escrow Agent;</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shall have received the Registration Rights Agreement, duly executed by the Purchaser;</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Transactions shall have been completed to the satisfaction of the Vendors;</w:t>
      </w:r>
    </w:p>
    <w:p>
      <w:pPr>
        <w:spacing w:after="0" w:line="130" w:lineRule="exact"/>
        <w:rPr>
          <w:rFonts w:ascii="Times New Roman" w:cs="Times New Roman" w:eastAsia="Times New Roman" w:hAnsi="Times New Roman"/>
          <w:sz w:val="18"/>
          <w:szCs w:val="18"/>
          <w:color w:val="auto"/>
        </w:rPr>
      </w:pPr>
    </w:p>
    <w:p>
      <w:pPr>
        <w:ind w:left="640" w:right="120" w:hanging="436"/>
        <w:spacing w:after="0" w:line="282" w:lineRule="auto"/>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provided to the applicable Governmental Entity replacement letters of credit for those letters of credit listed on Schedule 11.3(k);</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Material Adverse Effect with respect to the Purchaser.</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Time of Closing</w:t>
      </w:r>
    </w:p>
    <w:p>
      <w:pPr>
        <w:spacing w:after="0" w:line="121" w:lineRule="exact"/>
        <w:rPr>
          <w:sz w:val="20"/>
          <w:szCs w:val="20"/>
          <w:color w:val="auto"/>
        </w:rPr>
      </w:pPr>
    </w:p>
    <w:p>
      <w:pPr>
        <w:ind w:left="200" w:right="40"/>
        <w:spacing w:after="0" w:line="313" w:lineRule="auto"/>
        <w:rPr>
          <w:sz w:val="20"/>
          <w:szCs w:val="20"/>
          <w:color w:val="auto"/>
        </w:rPr>
      </w:pPr>
      <w:r>
        <w:rPr>
          <w:rFonts w:ascii="Times New Roman" w:cs="Times New Roman" w:eastAsia="Times New Roman" w:hAnsi="Times New Roman"/>
          <w:sz w:val="17"/>
          <w:szCs w:val="17"/>
          <w:color w:val="auto"/>
        </w:rPr>
        <w:t>12.1 The Closing of the transactions contemplated herein shall be completed at the offices of Bennett Jones LLP, 4500 Bankers Hall East, 855 2</w:t>
      </w:r>
      <w:r>
        <w:rPr>
          <w:rFonts w:ascii="Times New Roman" w:cs="Times New Roman" w:eastAsia="Times New Roman" w:hAnsi="Times New Roman"/>
          <w:sz w:val="14"/>
          <w:szCs w:val="14"/>
          <w:color w:val="auto"/>
        </w:rPr>
        <w:t>nd</w:t>
      </w:r>
      <w:r>
        <w:rPr>
          <w:rFonts w:ascii="Times New Roman" w:cs="Times New Roman" w:eastAsia="Times New Roman" w:hAnsi="Times New Roman"/>
          <w:sz w:val="17"/>
          <w:szCs w:val="17"/>
          <w:color w:val="auto"/>
        </w:rPr>
        <w:t xml:space="preserve"> Street SW, Calgary, Alberta, T2P 4K7 (or another place mutually agreed by the Parties) at a time to be mutually agreed by the Parties on the Closing Date.</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Deliveries on the Closing Date</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12.2</w:t>
      </w:r>
    </w:p>
    <w:p>
      <w:pPr>
        <w:spacing w:after="0" w:line="131" w:lineRule="exact"/>
        <w:rPr>
          <w:sz w:val="20"/>
          <w:szCs w:val="20"/>
          <w:color w:val="auto"/>
        </w:rPr>
      </w:pPr>
    </w:p>
    <w:p>
      <w:pPr>
        <w:ind w:left="640" w:hanging="436"/>
        <w:spacing w:after="0"/>
        <w:tabs>
          <w:tab w:leader="none" w:pos="6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and Amalco shall deliver or cause to be delivered to the Purchaser on the Closing Date:</w:t>
      </w:r>
    </w:p>
    <w:p>
      <w:pPr>
        <w:spacing w:after="0" w:line="130"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status for Amalco and each of the Subsidiaries of the Corporation, as issued by the Registrar of Corporations;</w:t>
      </w:r>
    </w:p>
    <w:p>
      <w:pPr>
        <w:spacing w:after="0" w:line="130"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organizational or constating documents of the Amalco and each of the Subsidiaries of the Corporation;</w:t>
      </w:r>
    </w:p>
    <w:p>
      <w:pPr>
        <w:spacing w:after="0" w:line="157"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A-66</w:t>
      </w:r>
    </w:p>
    <w:p>
      <w:pPr>
        <w:sectPr>
          <w:pgSz w:w="11900" w:h="16838" w:orient="portrait"/>
          <w:cols w:equalWidth="0" w:num="1">
            <w:col w:w="11220"/>
          </w:cols>
          <w:pgMar w:left="240" w:top="455" w:right="4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updated shareholders register showing the transfer of the Purchased Shares to the Purchaser;</w:t>
      </w:r>
    </w:p>
    <w:p>
      <w:pPr>
        <w:spacing w:after="0" w:line="130"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incumbency in respect of Amalco;</w:t>
      </w:r>
    </w:p>
    <w:p>
      <w:pPr>
        <w:spacing w:after="0" w:line="130" w:lineRule="exact"/>
        <w:rPr>
          <w:rFonts w:ascii="Times New Roman" w:cs="Times New Roman" w:eastAsia="Times New Roman" w:hAnsi="Times New Roman"/>
          <w:sz w:val="18"/>
          <w:szCs w:val="18"/>
          <w:color w:val="auto"/>
        </w:rPr>
      </w:pPr>
    </w:p>
    <w:p>
      <w:pPr>
        <w:ind w:left="1180" w:right="520" w:hanging="544"/>
        <w:spacing w:after="0" w:line="282" w:lineRule="auto"/>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directors’ and shareholders’ and trustees’ resolutions of each Vendor (to the extent applicable) approving this Agreement and the transactions contemplated hereby;</w:t>
      </w:r>
    </w:p>
    <w:p>
      <w:pPr>
        <w:spacing w:after="0" w:line="67"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certificate of each Vendor certifying the accuracy of the representations in Section 5.2 made by such Vendors;</w:t>
      </w:r>
    </w:p>
    <w:p>
      <w:pPr>
        <w:spacing w:after="0" w:line="130" w:lineRule="exact"/>
        <w:rPr>
          <w:rFonts w:ascii="Times New Roman" w:cs="Times New Roman" w:eastAsia="Times New Roman" w:hAnsi="Times New Roman"/>
          <w:sz w:val="18"/>
          <w:szCs w:val="18"/>
          <w:color w:val="auto"/>
        </w:rPr>
      </w:pPr>
    </w:p>
    <w:p>
      <w:pPr>
        <w:ind w:left="1180" w:right="540" w:hanging="544"/>
        <w:spacing w:after="0" w:line="282" w:lineRule="auto"/>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definitive certificates representing the Purchased Shares duly endorsed for transfer to the Purchaser or accompanied by a written instrument of transfer;</w:t>
      </w:r>
    </w:p>
    <w:p>
      <w:pPr>
        <w:spacing w:after="0" w:line="67" w:lineRule="exact"/>
        <w:rPr>
          <w:rFonts w:ascii="Times New Roman" w:cs="Times New Roman" w:eastAsia="Times New Roman" w:hAnsi="Times New Roman"/>
          <w:sz w:val="18"/>
          <w:szCs w:val="18"/>
          <w:color w:val="auto"/>
        </w:rPr>
      </w:pPr>
    </w:p>
    <w:p>
      <w:pPr>
        <w:ind w:left="1180" w:right="80" w:hanging="544"/>
        <w:spacing w:after="0" w:line="282" w:lineRule="auto"/>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resolutions of the directors of Amalco, approving this Agreement and the transactions contemplated hereby and the transfer of the Purchased Shares to the Purchaser;</w:t>
      </w:r>
    </w:p>
    <w:p>
      <w:pPr>
        <w:spacing w:after="0" w:line="67"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Records;</w:t>
      </w:r>
    </w:p>
    <w:p>
      <w:pPr>
        <w:spacing w:after="0" w:line="130" w:lineRule="exact"/>
        <w:rPr>
          <w:rFonts w:ascii="Times New Roman" w:cs="Times New Roman" w:eastAsia="Times New Roman" w:hAnsi="Times New Roman"/>
          <w:sz w:val="18"/>
          <w:szCs w:val="18"/>
          <w:color w:val="auto"/>
        </w:rPr>
      </w:pPr>
    </w:p>
    <w:p>
      <w:pPr>
        <w:ind w:left="1180" w:right="100" w:hanging="544"/>
        <w:spacing w:after="0" w:line="266" w:lineRule="auto"/>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statements or similar documents evidencing the repayment and satisfaction, or describing the amounts required to be repaid and instructions with respect to the repayment, of all Indebtedness to be repaid at the Closing Time in accordance with Section 12.2(b)(ii) and Transaction Expenses to be paid and satisfied at Closing;</w:t>
      </w:r>
    </w:p>
    <w:p>
      <w:pPr>
        <w:spacing w:after="0" w:line="81" w:lineRule="exact"/>
        <w:rPr>
          <w:rFonts w:ascii="Times New Roman" w:cs="Times New Roman" w:eastAsia="Times New Roman" w:hAnsi="Times New Roman"/>
          <w:sz w:val="18"/>
          <w:szCs w:val="18"/>
          <w:color w:val="auto"/>
        </w:rPr>
      </w:pPr>
    </w:p>
    <w:p>
      <w:pPr>
        <w:ind w:left="1180" w:right="460" w:hanging="544"/>
        <w:spacing w:after="0" w:line="282" w:lineRule="auto"/>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resignation of and a release by each director and officer of the Corporation of Claims against the Corporation and each of the Subsidiaries of the Corporation;</w:t>
      </w:r>
    </w:p>
    <w:p>
      <w:pPr>
        <w:spacing w:after="0" w:line="67"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elections as may be contemplated in Section 2.9;</w:t>
      </w:r>
    </w:p>
    <w:p>
      <w:pPr>
        <w:spacing w:after="0" w:line="130" w:lineRule="exact"/>
        <w:rPr>
          <w:rFonts w:ascii="Times New Roman" w:cs="Times New Roman" w:eastAsia="Times New Roman" w:hAnsi="Times New Roman"/>
          <w:sz w:val="18"/>
          <w:szCs w:val="18"/>
          <w:color w:val="auto"/>
        </w:rPr>
      </w:pPr>
    </w:p>
    <w:p>
      <w:pPr>
        <w:ind w:left="1180" w:hanging="544"/>
        <w:spacing w:after="0" w:line="258" w:lineRule="auto"/>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release of Claims between the Purchaser, the Corporation and any of its directors and officers, and each of the Vendors, in a form reasonably satisfactory to the Purchaser and the Vendor whereby the Vendors waive any claims against the Corporation related to their role as directors, officers or shareholders of the Corporation and the Purchaser and the Corporation waive any claims against the Vendors, as shareholders, officers or directors of the Corporation but exclusive of any Claims pursuant to this Agreement or any Ancillary Transaction Document;</w:t>
      </w:r>
    </w:p>
    <w:p>
      <w:pPr>
        <w:spacing w:after="0" w:line="89"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the Escrowed Shares Escrow Agreement and the Registration Rights Agreement, each duly executed by Vendors;</w:t>
      </w:r>
    </w:p>
    <w:p>
      <w:pPr>
        <w:spacing w:after="0" w:line="130"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Non-Competition Agreements, each duly executed by Vendors, Torgerson and Corey Smith;</w:t>
      </w:r>
    </w:p>
    <w:p>
      <w:pPr>
        <w:spacing w:after="0" w:line="130"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deliveries contemplated in Section 7.2(a)(iii) and Section 11.2; and</w:t>
      </w:r>
    </w:p>
    <w:p>
      <w:pPr>
        <w:spacing w:after="0" w:line="130" w:lineRule="exact"/>
        <w:rPr>
          <w:rFonts w:ascii="Times New Roman" w:cs="Times New Roman" w:eastAsia="Times New Roman" w:hAnsi="Times New Roman"/>
          <w:sz w:val="18"/>
          <w:szCs w:val="18"/>
          <w:color w:val="auto"/>
        </w:rPr>
      </w:pPr>
    </w:p>
    <w:p>
      <w:pPr>
        <w:ind w:left="1180" w:right="180" w:hanging="544"/>
        <w:spacing w:after="0" w:line="282" w:lineRule="auto"/>
        <w:tabs>
          <w:tab w:leader="none" w:pos="11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other assurances, consents, agreements, documents and instruments as may be reasonably required by the Purchaser to complete the transactions provided for in this Agreement;</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deliver to the Vendors on the Closing Date (except as otherwise indicated):</w:t>
      </w:r>
    </w:p>
    <w:p>
      <w:pPr>
        <w:spacing w:after="0" w:line="130"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 amounts (or evidence of such payments) required pursuant to Section 2.3;</w:t>
      </w:r>
    </w:p>
    <w:p>
      <w:pPr>
        <w:spacing w:after="0" w:line="130" w:lineRule="exact"/>
        <w:rPr>
          <w:rFonts w:ascii="Times New Roman" w:cs="Times New Roman" w:eastAsia="Times New Roman" w:hAnsi="Times New Roman"/>
          <w:sz w:val="18"/>
          <w:szCs w:val="18"/>
          <w:color w:val="auto"/>
        </w:rPr>
      </w:pPr>
    </w:p>
    <w:p>
      <w:pPr>
        <w:ind w:left="1180" w:right="60" w:hanging="544"/>
        <w:spacing w:after="0" w:line="282" w:lineRule="auto"/>
        <w:tabs>
          <w:tab w:leader="none" w:pos="118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repayment of all Borrowed Money Indebtedness and the demand promissory note dated March 1, 2013 issued by 1201148 Alberta Ltd. to Balle Air Ltd. in the amount of $1,346,413.76;</w:t>
      </w:r>
    </w:p>
    <w:p>
      <w:pPr>
        <w:spacing w:after="0" w:line="67"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status or equivalent for the Purchaser as issued by the Register of Corporations or the equivalent;</w:t>
      </w:r>
    </w:p>
    <w:p>
      <w:pPr>
        <w:spacing w:after="0" w:line="130" w:lineRule="exact"/>
        <w:rPr>
          <w:rFonts w:ascii="Times New Roman" w:cs="Times New Roman" w:eastAsia="Times New Roman" w:hAnsi="Times New Roman"/>
          <w:sz w:val="18"/>
          <w:szCs w:val="18"/>
          <w:color w:val="auto"/>
        </w:rPr>
      </w:pPr>
    </w:p>
    <w:p>
      <w:pPr>
        <w:ind w:left="1180" w:right="80" w:hanging="544"/>
        <w:spacing w:after="0" w:line="266" w:lineRule="auto"/>
        <w:tabs>
          <w:tab w:leader="none" w:pos="118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Consideration Shares have been registered in the name of each of the Vendors, as applicable, or such other name as each such Vendor may direct, and that the Escrowed Shares have been deposited with the Escrow Agent in accordance with the Escrowed Shares Escrow Agreement;</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80"/>
          </w:cols>
          <w:pgMar w:left="240" w:top="456" w:right="4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80" w:right="200" w:hanging="544"/>
        <w:spacing w:after="0" w:line="282" w:lineRule="auto"/>
        <w:tabs>
          <w:tab w:leader="none" w:pos="11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resolutions of the board of directors of the Purchaser approving this Agreement and the transactions contemplated hereby, including but not limited to the issuance of the Consideration Shares;</w:t>
      </w:r>
    </w:p>
    <w:p>
      <w:pPr>
        <w:spacing w:after="0" w:line="67" w:lineRule="exact"/>
        <w:rPr>
          <w:rFonts w:ascii="Times New Roman" w:cs="Times New Roman" w:eastAsia="Times New Roman" w:hAnsi="Times New Roman"/>
          <w:sz w:val="18"/>
          <w:szCs w:val="18"/>
          <w:color w:val="auto"/>
        </w:rPr>
      </w:pPr>
    </w:p>
    <w:p>
      <w:pPr>
        <w:jc w:val="both"/>
        <w:ind w:left="1180" w:hanging="544"/>
        <w:spacing w:after="0" w:line="266" w:lineRule="auto"/>
        <w:tabs>
          <w:tab w:leader="none" w:pos="11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release by the Corporation and its Subsidiaries of each director and officer of the Corporation and its Subsidiaries of Claims against such director or officer in their capacity as directors and officers, and subject to certain exclusions for matters relating to any dispute under the transactions contemplated in this Agreement, fraud or wilful misconduct.</w:t>
      </w:r>
    </w:p>
    <w:p>
      <w:pPr>
        <w:spacing w:after="0" w:line="81" w:lineRule="exact"/>
        <w:rPr>
          <w:rFonts w:ascii="Times New Roman" w:cs="Times New Roman" w:eastAsia="Times New Roman" w:hAnsi="Times New Roman"/>
          <w:sz w:val="18"/>
          <w:szCs w:val="18"/>
          <w:color w:val="auto"/>
        </w:rPr>
      </w:pPr>
    </w:p>
    <w:p>
      <w:pPr>
        <w:ind w:left="1180" w:right="220" w:hanging="544"/>
        <w:spacing w:after="0" w:line="261" w:lineRule="auto"/>
        <w:tabs>
          <w:tab w:leader="none" w:pos="11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release of Claims between the Vendors and any of their nominee directors and officers and each of Amalco, the Subsidiaries of the Corporation and the Purchaser, in a form reasonably satisfactory to the Vendors and the Purchaser in respect of the actions of such Vendors as shareholders, officers or directors of Amalco but exclusive of any Claims pursuant to this Agreement or any Ancillary Transaction Document;</w:t>
      </w:r>
    </w:p>
    <w:p>
      <w:pPr>
        <w:spacing w:after="0" w:line="85" w:lineRule="exact"/>
        <w:rPr>
          <w:rFonts w:ascii="Times New Roman" w:cs="Times New Roman" w:eastAsia="Times New Roman" w:hAnsi="Times New Roman"/>
          <w:sz w:val="18"/>
          <w:szCs w:val="18"/>
          <w:color w:val="auto"/>
        </w:rPr>
      </w:pPr>
    </w:p>
    <w:p>
      <w:pPr>
        <w:ind w:left="1180" w:right="340" w:hanging="544"/>
        <w:spacing w:after="0" w:line="282" w:lineRule="auto"/>
        <w:tabs>
          <w:tab w:leader="none" w:pos="11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Escrowed Shares Escrow Agreement, Non-Competition Agreements and Registration Rights Agreement, duly executed by the Purchaser;</w:t>
      </w:r>
    </w:p>
    <w:p>
      <w:pPr>
        <w:spacing w:after="0" w:line="67"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elections as may be contemplated in Section 2.9;</w:t>
      </w:r>
    </w:p>
    <w:p>
      <w:pPr>
        <w:spacing w:after="0" w:line="130"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deliveries required by Section 11.3; and</w:t>
      </w:r>
    </w:p>
    <w:p>
      <w:pPr>
        <w:spacing w:after="0" w:line="130" w:lineRule="exact"/>
        <w:rPr>
          <w:rFonts w:ascii="Times New Roman" w:cs="Times New Roman" w:eastAsia="Times New Roman" w:hAnsi="Times New Roman"/>
          <w:sz w:val="18"/>
          <w:szCs w:val="18"/>
          <w:color w:val="auto"/>
        </w:rPr>
      </w:pPr>
    </w:p>
    <w:p>
      <w:pPr>
        <w:ind w:left="1180" w:right="40" w:hanging="544"/>
        <w:spacing w:after="0" w:line="282" w:lineRule="auto"/>
        <w:tabs>
          <w:tab w:leader="none" w:pos="11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other assurances, consents, agreements, documents and instruments as may be reasonably required by the Vendors to complete the transaction provided for in this Agreement.</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Rights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13.1 This Agreement may, by notice in writing given prior to the Closing Date, be terminated on the earliest of any of the following:</w:t>
      </w:r>
    </w:p>
    <w:p>
      <w:pPr>
        <w:spacing w:after="0" w:line="131" w:lineRule="exact"/>
        <w:rPr>
          <w:sz w:val="20"/>
          <w:szCs w:val="20"/>
          <w:color w:val="auto"/>
        </w:rPr>
      </w:pPr>
    </w:p>
    <w:p>
      <w:pPr>
        <w:ind w:left="640" w:hanging="436"/>
        <w:spacing w:after="0"/>
        <w:tabs>
          <w:tab w:leader="none" w:pos="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Purchaser, on the one hand, and the Vendors, on the other hand;</w:t>
      </w:r>
    </w:p>
    <w:p>
      <w:pPr>
        <w:spacing w:after="0" w:line="130" w:lineRule="exact"/>
        <w:rPr>
          <w:rFonts w:ascii="Times New Roman" w:cs="Times New Roman" w:eastAsia="Times New Roman" w:hAnsi="Times New Roman"/>
          <w:sz w:val="18"/>
          <w:szCs w:val="18"/>
          <w:color w:val="auto"/>
        </w:rPr>
      </w:pPr>
    </w:p>
    <w:p>
      <w:pPr>
        <w:ind w:left="640" w:right="120" w:hanging="436"/>
        <w:spacing w:after="0" w:line="282" w:lineRule="auto"/>
        <w:tabs>
          <w:tab w:leader="none" w:pos="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Purchaser, on the one hand, or the Vendors, on the other hand, if the Acquisition is not consummated by 5:00 p.m. (Edmonton time) on May 31, 2018 or such later date as mutually agreed to by the Parties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40" w:right="220" w:hanging="436"/>
        <w:spacing w:after="0" w:line="266" w:lineRule="auto"/>
        <w:tabs>
          <w:tab w:leader="none" w:pos="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Purchaser, on the one hand, or the Vendors, on the other hand, if the Shareholder Approvals shall not have been obtained at the shareholder meeting duly convened by the Purchaser therefor or at any adjournment or postponement thereof at which a vote on the issuance of the Consideration Shares was taken; or</w:t>
      </w:r>
    </w:p>
    <w:p>
      <w:pPr>
        <w:spacing w:after="0" w:line="8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if any of the Vendors materially breaches any of its non-solicitation covenants set forth in Section 7.3;</w:t>
      </w:r>
    </w:p>
    <w:p>
      <w:pPr>
        <w:spacing w:after="0" w:line="225" w:lineRule="exact"/>
        <w:rPr>
          <w:sz w:val="20"/>
          <w:szCs w:val="20"/>
          <w:color w:val="auto"/>
        </w:rPr>
      </w:pPr>
    </w:p>
    <w:p>
      <w:pPr>
        <w:ind w:left="200" w:right="160"/>
        <w:spacing w:after="0" w:line="282" w:lineRule="auto"/>
        <w:rPr>
          <w:sz w:val="20"/>
          <w:szCs w:val="20"/>
          <w:color w:val="auto"/>
        </w:rPr>
      </w:pPr>
      <w:r>
        <w:rPr>
          <w:rFonts w:ascii="Times New Roman" w:cs="Times New Roman" w:eastAsia="Times New Roman" w:hAnsi="Times New Roman"/>
          <w:sz w:val="18"/>
          <w:szCs w:val="18"/>
          <w:color w:val="auto"/>
        </w:rPr>
        <w:t>and, in such event, each Party shall be released from all obligations under this Agreement, save and except for its obligations, if any, under this Article 13, Article 14, Article 15 and Section 16.1, which shall survive termination.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Effect of Termination</w:t>
      </w:r>
    </w:p>
    <w:p>
      <w:pPr>
        <w:spacing w:after="0" w:line="121" w:lineRule="exact"/>
        <w:rPr>
          <w:sz w:val="20"/>
          <w:szCs w:val="20"/>
          <w:color w:val="auto"/>
        </w:rPr>
      </w:pPr>
    </w:p>
    <w:p>
      <w:pPr>
        <w:ind w:left="200" w:right="180"/>
        <w:spacing w:after="0" w:line="282" w:lineRule="auto"/>
        <w:rPr>
          <w:sz w:val="20"/>
          <w:szCs w:val="20"/>
          <w:color w:val="auto"/>
        </w:rPr>
      </w:pPr>
      <w:r>
        <w:rPr>
          <w:rFonts w:ascii="Times New Roman" w:cs="Times New Roman" w:eastAsia="Times New Roman" w:hAnsi="Times New Roman"/>
          <w:sz w:val="18"/>
          <w:szCs w:val="18"/>
          <w:color w:val="auto"/>
        </w:rPr>
        <w:t>13.2 Subject to Article 15, each Party’s right of termination under this Article 13 is in addition to any other rights it may have under this Agreement or otherwise, and the exercise of a right of termination will not be an election of remedies.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200"/>
          </w:cols>
          <w:pgMar w:left="24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Fees</w:t>
      </w:r>
    </w:p>
    <w:p>
      <w:pPr>
        <w:spacing w:after="0" w:line="121" w:lineRule="exact"/>
        <w:rPr>
          <w:sz w:val="20"/>
          <w:szCs w:val="20"/>
          <w:color w:val="auto"/>
        </w:rPr>
      </w:pPr>
    </w:p>
    <w:p>
      <w:pPr>
        <w:ind w:left="200" w:right="40"/>
        <w:spacing w:after="0" w:line="266" w:lineRule="auto"/>
        <w:rPr>
          <w:sz w:val="20"/>
          <w:szCs w:val="20"/>
          <w:color w:val="auto"/>
        </w:rPr>
      </w:pPr>
      <w:r>
        <w:rPr>
          <w:rFonts w:ascii="Times New Roman" w:cs="Times New Roman" w:eastAsia="Times New Roman" w:hAnsi="Times New Roman"/>
          <w:sz w:val="18"/>
          <w:szCs w:val="18"/>
          <w:color w:val="auto"/>
        </w:rPr>
        <w:t>14.1 Each Party to this Agreement shall pay its respective legal, accounting and other professional advisory fees, costs and expenses incurred in connection with the negotiation, preparation and execution of this Agreement and all documents and instruments executed or delivered pursuant to this Agreement, as well as any other fees, costs and expenses incurred, except as otherwise specified in this Agreement.</w:t>
      </w: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Commercially Reasonable Efforts to Settle Disputes</w:t>
      </w:r>
    </w:p>
    <w:p>
      <w:pPr>
        <w:spacing w:after="0" w:line="121"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15.1 Except with respect to any dispute contemplated in Section 2.7, if any controversy, dispute, claim, question or difference arises with respect to this Agreement (including those which arise as a result of or after a termination of this Agreement pursuant to Article 13) after the execution of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any Party hereto shall be entitled to deliver to the other Parties a written notice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which notice shall include detailed particulars describing the nature of the Dispute. Upon receipt of a Dispute Notice, the Parties shall use all commercially reasonable efforts to settle the Dispute and to this end, they shall consult and negotiate with each other in good faith to reach a mutually acceptable solution satisfactory to all Parties. The provisions of this Article 15 shall survive the termination of this Agreement.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Arbitration</w:t>
      </w:r>
    </w:p>
    <w:p>
      <w:pPr>
        <w:spacing w:after="0" w:line="121"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 xml:space="preserve">15.2 If the Parties do not reach a mutually acceptable solution to the Dispute pursuant to Section 15.1 within a period of twenty (20) Business Days following the receipt of a Dispute Notice, then upon written notice by any Party to the other Parties, the Dispute shall be finally settled by arbitration in accordance with the provisions of the </w:t>
      </w:r>
      <w:r>
        <w:rPr>
          <w:rFonts w:ascii="Times New Roman" w:cs="Times New Roman" w:eastAsia="Times New Roman" w:hAnsi="Times New Roman"/>
          <w:sz w:val="18"/>
          <w:szCs w:val="18"/>
          <w:i w:val="1"/>
          <w:iCs w:val="1"/>
          <w:color w:val="auto"/>
        </w:rPr>
        <w:t>Arbitration Act</w:t>
      </w:r>
      <w:r>
        <w:rPr>
          <w:rFonts w:ascii="Times New Roman" w:cs="Times New Roman" w:eastAsia="Times New Roman" w:hAnsi="Times New Roman"/>
          <w:sz w:val="18"/>
          <w:szCs w:val="18"/>
          <w:color w:val="auto"/>
        </w:rPr>
        <w:t xml:space="preserve"> (Alberta), based upon the following:</w:t>
      </w:r>
    </w:p>
    <w:p>
      <w:pPr>
        <w:spacing w:after="0" w:line="82" w:lineRule="exact"/>
        <w:rPr>
          <w:sz w:val="20"/>
          <w:szCs w:val="20"/>
          <w:color w:val="auto"/>
        </w:rPr>
      </w:pPr>
    </w:p>
    <w:p>
      <w:pPr>
        <w:jc w:val="both"/>
        <w:ind w:left="640" w:hanging="436"/>
        <w:spacing w:after="0" w:line="289" w:lineRule="auto"/>
        <w:tabs>
          <w:tab w:leader="none" w:pos="64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arbitration tribunal shall consist of one arbitrator, to be appointed by mutual agreement of the Parties, or in the event of failure to agree within twenty (20) Business Days following delivery of the written notice to arbitrate, any Party may apply to a judge of the Court of Queen’s Bench of Alberta to appoint the arbitrator. The arbitrator shall be qualified by education and training to pass upon the particular matter to be decided;</w:t>
      </w:r>
    </w:p>
    <w:p>
      <w:pPr>
        <w:spacing w:after="0" w:line="63" w:lineRule="exact"/>
        <w:rPr>
          <w:rFonts w:ascii="Times New Roman" w:cs="Times New Roman" w:eastAsia="Times New Roman" w:hAnsi="Times New Roman"/>
          <w:sz w:val="17"/>
          <w:szCs w:val="17"/>
          <w:color w:val="auto"/>
        </w:rPr>
      </w:pPr>
    </w:p>
    <w:p>
      <w:pPr>
        <w:ind w:left="640" w:right="300" w:hanging="436"/>
        <w:spacing w:after="0" w:line="282" w:lineRule="auto"/>
        <w:tabs>
          <w:tab w:leader="none" w:pos="6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be instructed that time is of the essence in the arbitration proceeding and, in any event, the arbitration award must be made within sixty (60) Business Days of the submission of the Dispute to arbitration;</w:t>
      </w:r>
    </w:p>
    <w:p>
      <w:pPr>
        <w:spacing w:after="0" w:line="162"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after written notice is given to refer any Dispute to arbitration, the Parties will meet (or convene a conference call) within twenty (20) Business Days of delivery of the notice and will negotiate in good faith the selection of the arbitrator and any changes in the arbitration provisions and the rules of arbitration which are herein adopted, in an effort to expedite the process and otherwise ensure that the process is appropriate given the nature of the Dispute and the values at risk, failing which, these arbitration provisions shall apply without any changes;</w:t>
      </w:r>
    </w:p>
    <w:p>
      <w:pPr>
        <w:spacing w:after="0" w:line="86" w:lineRule="exact"/>
        <w:rPr>
          <w:sz w:val="20"/>
          <w:szCs w:val="20"/>
          <w:color w:val="auto"/>
        </w:rPr>
      </w:pPr>
    </w:p>
    <w:p>
      <w:pPr>
        <w:ind w:left="640" w:hanging="436"/>
        <w:spacing w:after="0"/>
        <w:tabs>
          <w:tab w:leader="none" w:pos="6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take place in Edmonton, Alberta;</w:t>
      </w:r>
    </w:p>
    <w:p>
      <w:pPr>
        <w:spacing w:after="0" w:line="126" w:lineRule="exact"/>
        <w:rPr>
          <w:rFonts w:ascii="Times New Roman" w:cs="Times New Roman" w:eastAsia="Times New Roman" w:hAnsi="Times New Roman"/>
          <w:sz w:val="18"/>
          <w:szCs w:val="18"/>
          <w:color w:val="auto"/>
        </w:rPr>
      </w:pPr>
    </w:p>
    <w:p>
      <w:pPr>
        <w:ind w:left="640" w:right="20" w:hanging="436"/>
        <w:spacing w:after="0" w:line="286" w:lineRule="auto"/>
        <w:tabs>
          <w:tab w:leader="none" w:pos="6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award shall be given in writing (the “</w:t>
      </w:r>
      <w:r>
        <w:rPr>
          <w:rFonts w:ascii="Times New Roman" w:cs="Times New Roman" w:eastAsia="Times New Roman" w:hAnsi="Times New Roman"/>
          <w:sz w:val="18"/>
          <w:szCs w:val="18"/>
          <w:b w:val="1"/>
          <w:bCs w:val="1"/>
          <w:color w:val="auto"/>
        </w:rPr>
        <w:t>Arbitration Award</w:t>
      </w:r>
      <w:r>
        <w:rPr>
          <w:rFonts w:ascii="Times New Roman" w:cs="Times New Roman" w:eastAsia="Times New Roman" w:hAnsi="Times New Roman"/>
          <w:sz w:val="18"/>
          <w:szCs w:val="18"/>
          <w:color w:val="auto"/>
        </w:rPr>
        <w:t>”) and shall be final and binding on the Parties, not subject to any appeal, and shall deal with the question of costs of arbitration and all related matters;</w:t>
      </w:r>
    </w:p>
    <w:p>
      <w:pPr>
        <w:spacing w:after="0" w:line="64" w:lineRule="exact"/>
        <w:rPr>
          <w:rFonts w:ascii="Times New Roman" w:cs="Times New Roman" w:eastAsia="Times New Roman" w:hAnsi="Times New Roman"/>
          <w:sz w:val="18"/>
          <w:szCs w:val="18"/>
          <w:color w:val="auto"/>
        </w:rPr>
      </w:pPr>
    </w:p>
    <w:p>
      <w:pPr>
        <w:ind w:left="640" w:right="400" w:hanging="436"/>
        <w:spacing w:after="0" w:line="282" w:lineRule="auto"/>
        <w:tabs>
          <w:tab w:leader="none" w:pos="6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upon any Arbitration Award may be entered in any court having jurisdiction or application may be made to the court for a judicial recognition of the Arbitration Award or an order of enforcement, as the case may be;</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240" w:top="456" w:right="5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60" w:hanging="436"/>
        <w:spacing w:after="0" w:line="313" w:lineRule="auto"/>
        <w:tabs>
          <w:tab w:leader="none" w:pos="64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Disputes referred to arbitration (including without limitation the scope of the agreement to arbitrate, any statute of limitations, conflict of Laws rules, tort claims and interest claims) shall be governed by the substantive Law of Alberta and the federal Laws of Canada applicable therein; and</w:t>
      </w:r>
    </w:p>
    <w:p>
      <w:pPr>
        <w:spacing w:after="0" w:line="43" w:lineRule="exact"/>
        <w:rPr>
          <w:rFonts w:ascii="Times New Roman" w:cs="Times New Roman" w:eastAsia="Times New Roman" w:hAnsi="Times New Roman"/>
          <w:sz w:val="17"/>
          <w:szCs w:val="17"/>
          <w:color w:val="auto"/>
        </w:rPr>
      </w:pPr>
    </w:p>
    <w:p>
      <w:pPr>
        <w:ind w:left="640" w:right="80" w:hanging="436"/>
        <w:spacing w:after="0" w:line="261" w:lineRule="auto"/>
        <w:tabs>
          <w:tab w:leader="none" w:pos="6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arbitration shall be kept confidential and that the existence of the proceeding and any element of it (including any pleadings, briefs or other documents submitted or exchanged, any testimony or other oral submissions and any awards) shall not be disclosed beyond the arbitrators, the Parties, their counsel and any Person necessary to the conduct of the proceeding, except as may lawfully be required in judicial proceedings relating to the arbitration or otherwise.</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Public Announcement/Proxy Statement</w:t>
      </w:r>
    </w:p>
    <w:p>
      <w:pPr>
        <w:spacing w:after="0" w:line="121"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16.1 The Parties shall consult with and obtain the consent (not to be unreasonably withheld) of each other before issuing any press release or making any other public announcement with respect to this Agreement or the transactions contemplated hereby, and shall not issue any press release or make any such public statement prior to incorporating all reasonable comments from the other Party or Parties on such press release or public statement, which comments shall be provided by the other Party or Parties within two (2) Business Days after the receipt by the other Party or Parties of a draft of such press release or public statement and provided that the Parties may respond to inquiries by the press or others regarding the transactions contemplated by this Agreement, so long as such responses are consistent with such Party’s previously issued press releases and provided further that the Purchaser shall be permitted to issue any press release or make any other public announcement without such consent or consultation if the Purchaser reasonably believes that it is required to do so by applicable Law or the listing requirements of the New York Stock Exchange.</w:t>
      </w:r>
    </w:p>
    <w:p>
      <w:pPr>
        <w:spacing w:after="0" w:line="185" w:lineRule="exact"/>
        <w:rPr>
          <w:sz w:val="20"/>
          <w:szCs w:val="20"/>
          <w:color w:val="auto"/>
        </w:rPr>
      </w:pPr>
    </w:p>
    <w:p>
      <w:pPr>
        <w:ind w:left="200" w:right="120"/>
        <w:spacing w:after="0" w:line="257" w:lineRule="auto"/>
        <w:rPr>
          <w:sz w:val="20"/>
          <w:szCs w:val="20"/>
          <w:color w:val="auto"/>
        </w:rPr>
      </w:pPr>
      <w:r>
        <w:rPr>
          <w:rFonts w:ascii="Times New Roman" w:cs="Times New Roman" w:eastAsia="Times New Roman" w:hAnsi="Times New Roman"/>
          <w:sz w:val="18"/>
          <w:szCs w:val="18"/>
          <w:color w:val="auto"/>
        </w:rPr>
        <w:t>16.2 Subject to Section 16.3, (i) the Purchaser shall be permitted to include financial or other information pertaining to the Corporation (excluding the Disclosure Letter) (the “</w:t>
      </w:r>
      <w:r>
        <w:rPr>
          <w:rFonts w:ascii="Times New Roman" w:cs="Times New Roman" w:eastAsia="Times New Roman" w:hAnsi="Times New Roman"/>
          <w:sz w:val="18"/>
          <w:szCs w:val="18"/>
          <w:b w:val="1"/>
          <w:bCs w:val="1"/>
          <w:color w:val="auto"/>
        </w:rPr>
        <w:t>Business Information</w:t>
      </w:r>
      <w:r>
        <w:rPr>
          <w:rFonts w:ascii="Times New Roman" w:cs="Times New Roman" w:eastAsia="Times New Roman" w:hAnsi="Times New Roman"/>
          <w:sz w:val="18"/>
          <w:szCs w:val="18"/>
          <w:color w:val="auto"/>
        </w:rPr>
        <w:t>”) in a proxy statement or any related document required to be publicly filed as is necessary to comply with applicable Laws or stock exchange rules or policies of the SEC with respect to obtaining Shareholder Approvals (a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ind w:left="200" w:right="100" w:firstLine="4"/>
        <w:spacing w:after="0" w:line="254" w:lineRule="auto"/>
        <w:tabs>
          <w:tab w:leader="none" w:pos="46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permitted to make any public filing of a copy of this Agreement that may be required under applicable Laws or by the SEC, but shall not make any public filing of the Disclosure Letter unless required to do so by the SEC and in such case, only to the limited extent required by the SEC and subject to such redactions being made that are reasonably requested by the Vendors and permitted by applicable Law or are in respect of information that is not required to filed.</w:t>
      </w:r>
    </w:p>
    <w:p>
      <w:pPr>
        <w:spacing w:after="0" w:line="186"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16.3 Prior to the mailing or filing by the Purchaser of any Disclosure Document, the Vendors shall be provided a reasonable opportunity to review and comment on any draft Disclosure Document containing Business Information, in advance of the mailing or filing or public disclosure thereof and the Purchaser shall give good faith consideration to any comments of the Vendors and the Purchaser shall make such revisions to such Disclosure Document, as are reasonably requested by the Vendors, to the extent permissible under applicable Laws.</w:t>
      </w:r>
    </w:p>
    <w:p>
      <w:pPr>
        <w:spacing w:after="0" w:line="180" w:lineRule="exact"/>
        <w:rPr>
          <w:sz w:val="20"/>
          <w:szCs w:val="20"/>
          <w:color w:val="auto"/>
        </w:rPr>
      </w:pPr>
    </w:p>
    <w:p>
      <w:pPr>
        <w:ind w:left="200" w:right="120"/>
        <w:spacing w:after="0" w:line="258" w:lineRule="auto"/>
        <w:rPr>
          <w:sz w:val="20"/>
          <w:szCs w:val="20"/>
          <w:color w:val="auto"/>
        </w:rPr>
      </w:pPr>
      <w:r>
        <w:rPr>
          <w:rFonts w:ascii="Times New Roman" w:cs="Times New Roman" w:eastAsia="Times New Roman" w:hAnsi="Times New Roman"/>
          <w:sz w:val="18"/>
          <w:szCs w:val="18"/>
          <w:color w:val="auto"/>
        </w:rPr>
        <w:t>16.4 From the date hereof to the Closing Date, the Corporation and the Vendors shall furnish such information concerning itself, their Affiliates and the holders of their capital stock to the Purchaser as may be reasonably requested by the Purchaser and provide such other assistance as may be reasonably requested by the Purchaser, in connection with the preparation, filing and distribution by the Purchaser of a Disclosure Document or other document in order to obtain all applicable Shareholder Approvals and Regulatory Approvals (including, for the avoidance of doubt, financial statements compliant with Regulation S-X (17 CFR Part 210)).</w:t>
      </w:r>
    </w:p>
    <w:p>
      <w:pPr>
        <w:spacing w:after="0" w:line="184" w:lineRule="exact"/>
        <w:rPr>
          <w:sz w:val="20"/>
          <w:szCs w:val="20"/>
          <w:color w:val="auto"/>
        </w:rPr>
      </w:pPr>
    </w:p>
    <w:p>
      <w:pPr>
        <w:ind w:left="200" w:right="280"/>
        <w:spacing w:after="0" w:line="282" w:lineRule="auto"/>
        <w:rPr>
          <w:sz w:val="20"/>
          <w:szCs w:val="20"/>
          <w:color w:val="auto"/>
        </w:rPr>
      </w:pPr>
      <w:r>
        <w:rPr>
          <w:rFonts w:ascii="Times New Roman" w:cs="Times New Roman" w:eastAsia="Times New Roman" w:hAnsi="Times New Roman"/>
          <w:sz w:val="18"/>
          <w:szCs w:val="18"/>
          <w:color w:val="auto"/>
        </w:rPr>
        <w:t>16.5 The Corporation and the Vendors hereby covenant and agree that none of the information to be supplied by or on behalf of them for inclusion or incorporation by reference in the proxy statement prepared by the Purchaser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220"/>
          </w:cols>
          <w:pgMar w:left="240" w:top="456" w:right="4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1" w:lineRule="auto"/>
        <w:rPr>
          <w:sz w:val="20"/>
          <w:szCs w:val="20"/>
          <w:color w:val="auto"/>
        </w:rPr>
      </w:pPr>
      <w:r>
        <w:rPr>
          <w:rFonts w:ascii="Times New Roman" w:cs="Times New Roman" w:eastAsia="Times New Roman" w:hAnsi="Times New Roman"/>
          <w:sz w:val="18"/>
          <w:szCs w:val="18"/>
          <w:color w:val="auto"/>
        </w:rPr>
        <w:t>in order to obtain the applicable Shareholder Approvals shall, at the date it is first mailed to the stockholders of the Purchaser, contain any untrue statement of a material fact relating to the Corporation or its Subsidiaries or omit to state any material fact relating to the Corporation or its Subsidiaries necessary in order to make the statements made therein relating to the Corporation or its Subsidiaries, in the light of the circumstances under which they are made, not misleading.</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Legal Advice</w:t>
      </w:r>
    </w:p>
    <w:p>
      <w:pPr>
        <w:spacing w:after="0" w:line="121" w:lineRule="exact"/>
        <w:rPr>
          <w:sz w:val="20"/>
          <w:szCs w:val="20"/>
          <w:color w:val="auto"/>
        </w:rPr>
      </w:pPr>
    </w:p>
    <w:p>
      <w:pPr>
        <w:ind w:left="200" w:right="220"/>
        <w:spacing w:after="0" w:line="282" w:lineRule="auto"/>
        <w:rPr>
          <w:sz w:val="20"/>
          <w:szCs w:val="20"/>
          <w:color w:val="auto"/>
        </w:rPr>
      </w:pPr>
      <w:r>
        <w:rPr>
          <w:rFonts w:ascii="Times New Roman" w:cs="Times New Roman" w:eastAsia="Times New Roman" w:hAnsi="Times New Roman"/>
          <w:sz w:val="18"/>
          <w:szCs w:val="18"/>
          <w:color w:val="auto"/>
        </w:rPr>
        <w:t>16.6 Each of the Parties acknowledges having been encouraged to seek and has had the opportunity to obtain independent legal advice with respect to the terms of this Agreement.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Entire Agreement</w:t>
      </w:r>
    </w:p>
    <w:p>
      <w:pPr>
        <w:spacing w:after="0" w:line="121"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16.7 This Agreement (together with the Disclosure Letter and its Schedules, Exhibits, documents and instruments to be delivered under this Agreement) and the Confidentiality Agreements constitute the entire agreement among the Parties hereto and supersedes all prior agreements, letters of intent, the indications of interest from the Purchaser to the Corporation dated August 24, 2017 and August 30, 2017, representations, warranties, statements, promises, information, arrangements and understandings, whether oral or written, express or implied, with respect to the subject matter hereof. None of the Parties hereto shall be bound or charged with any oral or written agreements, representations, warranties, statements, promises, information, arrangements or understandings not specifically set forth in this Agreement or in the Schedules, Exhibits, documents and instruments to be delivered under this Agreement.</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Further Assurances</w:t>
      </w:r>
    </w:p>
    <w:p>
      <w:pPr>
        <w:spacing w:after="0" w:line="121" w:lineRule="exact"/>
        <w:rPr>
          <w:sz w:val="20"/>
          <w:szCs w:val="20"/>
          <w:color w:val="auto"/>
        </w:rPr>
      </w:pPr>
    </w:p>
    <w:p>
      <w:pPr>
        <w:ind w:left="200" w:right="60"/>
        <w:spacing w:after="0" w:line="266" w:lineRule="auto"/>
        <w:rPr>
          <w:sz w:val="20"/>
          <w:szCs w:val="20"/>
          <w:color w:val="auto"/>
        </w:rPr>
      </w:pPr>
      <w:r>
        <w:rPr>
          <w:rFonts w:ascii="Times New Roman" w:cs="Times New Roman" w:eastAsia="Times New Roman" w:hAnsi="Times New Roman"/>
          <w:sz w:val="18"/>
          <w:szCs w:val="18"/>
          <w:color w:val="auto"/>
        </w:rPr>
        <w:t>16.8 Each of the Parties hereto will from time to time after the Closing Date at the other’s request and without further consideration, execute and deliver such other instruments of transfer, conveyance and assignment and take such further action as the other may reasonably require to give effect to any matter provided for herein.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Commercially Reasonable Efforts</w:t>
      </w:r>
    </w:p>
    <w:p>
      <w:pPr>
        <w:spacing w:after="0" w:line="121"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16.9 For purposes of this Agreement, the obligation to use “commercially reasonable efforts” to obtain waivers, consents and approvals to loan agreements, leases and other Contracts shall not include any obligation to agree to a materially adverse modification of the terms of such documents, pay any fee (not otherwise required to be paid pursuant such document) to any Person, or to prepay or incur additional material obligations to such other Person.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Closing Date Determinations</w:t>
      </w:r>
    </w:p>
    <w:p>
      <w:pPr>
        <w:spacing w:after="0" w:line="121"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16.10 All effects arising from the consummation of the transactions contemplated hereby and any transaction outside the Ordinary Course that is taken on the Closing Date by the Corporation at the written direction of the Purchaser or any of its Affiliates will be disregarded for the purpose of making any determination of the Purchase Price as of the Closing Date.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Severability</w:t>
      </w:r>
    </w:p>
    <w:p>
      <w:pPr>
        <w:spacing w:after="0" w:line="121"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16.11 If any provision of this Agreement or portion thereof or the application thereof to any Person or circumstance shall to any extent be illegal, invalid or unenforceable: (a) the remainder of this Agreement or the application of such provision or portion thereof to any other Person or circumstance shall not be affected thereby; and (b) the Parties will negotiate in good faith to amend this Agreement to implement the intentions set forth in this Agreement. Each provision of this Agreement shall be legal, valid and enforceable to the fullest extent permitted by Law.</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220"/>
          </w:cols>
          <w:pgMar w:left="240" w:top="456" w:right="4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Applicable Law</w:t>
      </w:r>
    </w:p>
    <w:p>
      <w:pPr>
        <w:spacing w:after="0" w:line="121" w:lineRule="exact"/>
        <w:rPr>
          <w:sz w:val="20"/>
          <w:szCs w:val="20"/>
          <w:color w:val="auto"/>
        </w:rPr>
      </w:pPr>
    </w:p>
    <w:p>
      <w:pPr>
        <w:ind w:left="200" w:right="400"/>
        <w:spacing w:after="0" w:line="282" w:lineRule="auto"/>
        <w:rPr>
          <w:sz w:val="20"/>
          <w:szCs w:val="20"/>
          <w:color w:val="auto"/>
        </w:rPr>
      </w:pPr>
      <w:r>
        <w:rPr>
          <w:rFonts w:ascii="Times New Roman" w:cs="Times New Roman" w:eastAsia="Times New Roman" w:hAnsi="Times New Roman"/>
          <w:sz w:val="18"/>
          <w:szCs w:val="18"/>
          <w:color w:val="auto"/>
        </w:rPr>
        <w:t>16.12 This Agreement shall be governed by and construed in accordance with the Laws of the Province of Alberta and the federal Laws of Canada applicable therein without reference to conflict of Laws principles.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Language</w:t>
      </w:r>
    </w:p>
    <w:p>
      <w:pPr>
        <w:spacing w:after="0" w:line="121" w:lineRule="exact"/>
        <w:rPr>
          <w:sz w:val="20"/>
          <w:szCs w:val="20"/>
          <w:color w:val="auto"/>
        </w:rPr>
      </w:pPr>
    </w:p>
    <w:p>
      <w:pPr>
        <w:ind w:left="200" w:right="100"/>
        <w:spacing w:after="0" w:line="282" w:lineRule="auto"/>
        <w:rPr>
          <w:sz w:val="20"/>
          <w:szCs w:val="20"/>
          <w:color w:val="auto"/>
        </w:rPr>
      </w:pPr>
      <w:r>
        <w:rPr>
          <w:rFonts w:ascii="Times New Roman" w:cs="Times New Roman" w:eastAsia="Times New Roman" w:hAnsi="Times New Roman"/>
          <w:sz w:val="18"/>
          <w:szCs w:val="18"/>
          <w:color w:val="auto"/>
        </w:rPr>
        <w:t>16.13 This Agreement is drawn up in the English language. This Agreement may be translated into any language other than English provided however that the English text shall in any event prevail.</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Attornment</w:t>
      </w:r>
    </w:p>
    <w:p>
      <w:pPr>
        <w:spacing w:after="0" w:line="121"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16.14 The Parties hereby irrevocably and unconditionally consent to and submit to the exclusive jurisdiction of the courts of the Province of Alberta for any actions, suits or proceedings arising out of or relating to this Agreement or the matters contemplated hereby. The Parties hereby irrevocably and unconditionally waive any objection to the laying of venue of any action, suit or proceeding arising out of this Agreement or the matters contemplated hereby in the courts of the Province of Alberta and hereby further irrevocably and unconditionally waive and agree not to plead or claim in any such applicable courts, as the case may be, that any such action, suit or proceeding so brought has been brought in an inconvenient forum.</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Successors and Assigns</w:t>
      </w:r>
    </w:p>
    <w:p>
      <w:pPr>
        <w:spacing w:after="0" w:line="121"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16.15 This Agreement shall accrue to the benefit of and be binding upon each of the Parties hereto and their respective heirs, executors, administrators and permitted assigns and successors including any successor resulting from any amalgamation, merger, arrangement or other reorganization or any continuance under the Laws of another jurisdiction, provided that this Agreement shall not be assigned or transferred by any one of the Vendors without the prior written consent of the Purchaser and further provided that this Agreement shall not be assigned or transferred by the Purchaser without the prior written consent of all of the Vendors.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Time of Essence</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16.16 Time is of the essence hereof.</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left="200" w:right="500"/>
        <w:spacing w:after="0" w:line="282" w:lineRule="auto"/>
        <w:rPr>
          <w:sz w:val="20"/>
          <w:szCs w:val="20"/>
          <w:color w:val="auto"/>
        </w:rPr>
      </w:pPr>
      <w:r>
        <w:rPr>
          <w:rFonts w:ascii="Times New Roman" w:cs="Times New Roman" w:eastAsia="Times New Roman" w:hAnsi="Times New Roman"/>
          <w:sz w:val="18"/>
          <w:szCs w:val="18"/>
          <w:color w:val="auto"/>
        </w:rPr>
        <w:t>16.17 Any notice required or permitted to be given hereunder shall be in writing and shall be effectively given if (i) delivered personally, (ii) sent prepaid courier service or mail, or (iii) sent by facsimile transmission or other means of electronic communication addressed as follows:</w:t>
      </w:r>
    </w:p>
    <w:p>
      <w:pPr>
        <w:spacing w:after="0" w:line="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in the case of notice to the Purchaser, after the Closing, the Corporation:</w:t>
      </w:r>
    </w:p>
    <w:p>
      <w:pPr>
        <w:spacing w:after="0" w:line="1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333 Clay Street Suite 4980</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Houston, TX, 77002</w:t>
      </w:r>
    </w:p>
    <w:p>
      <w:pPr>
        <w:sectPr>
          <w:pgSz w:w="11900" w:h="16838" w:orient="portrait"/>
          <w:cols w:equalWidth="0" w:num="1">
            <w:col w:w="11160"/>
          </w:cols>
          <w:pgMar w:left="240" w:top="455" w:right="499" w:bottom="1440" w:gutter="0" w:footer="0" w:header="0"/>
        </w:sectPr>
      </w:pP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Collin Gerry, VP Corporate Development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 510-2499</w:t>
      </w:r>
    </w:p>
    <w:p>
      <w:pPr>
        <w:spacing w:after="0" w:line="99" w:lineRule="exact"/>
        <w:rPr>
          <w:sz w:val="20"/>
          <w:szCs w:val="20"/>
          <w:color w:val="auto"/>
        </w:rPr>
      </w:pPr>
    </w:p>
    <w:p>
      <w:pPr>
        <w:sectPr>
          <w:pgSz w:w="11900" w:h="16838" w:orient="portrait"/>
          <w:cols w:equalWidth="0" w:num="2">
            <w:col w:w="1800" w:space="400"/>
            <w:col w:w="8960"/>
          </w:cols>
          <w:pgMar w:left="240" w:top="455" w:right="49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Bennett Jones LLP</w:t>
      </w:r>
    </w:p>
    <w:p>
      <w:pPr>
        <w:spacing w:after="0" w:line="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Suite 4500, 855 –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Street S.W.</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Calgary, Alberta T2P 4K7</w:t>
      </w:r>
    </w:p>
    <w:p>
      <w:pPr>
        <w:sectPr>
          <w:pgSz w:w="11900" w:h="16838" w:orient="portrait"/>
          <w:cols w:equalWidth="0" w:num="1">
            <w:col w:w="11160"/>
          </w:cols>
          <w:pgMar w:left="240" w:top="455" w:right="499" w:bottom="1440" w:gutter="0" w:footer="0" w:header="0"/>
          <w:type w:val="continuous"/>
        </w:sectPr>
      </w:pP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Hibbard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(403) 265-7219</w:t>
      </w:r>
    </w:p>
    <w:p>
      <w:pPr>
        <w:spacing w:after="0" w:line="150" w:lineRule="exact"/>
        <w:rPr>
          <w:sz w:val="20"/>
          <w:szCs w:val="20"/>
          <w:color w:val="auto"/>
        </w:rPr>
      </w:pPr>
    </w:p>
    <w:p>
      <w:pPr>
        <w:sectPr>
          <w:pgSz w:w="11900" w:h="16838" w:orient="portrait"/>
          <w:cols w:equalWidth="0" w:num="2">
            <w:col w:w="1800" w:space="400"/>
            <w:col w:w="8960"/>
          </w:cols>
          <w:pgMar w:left="240" w:top="455" w:right="499"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60"/>
          </w:cols>
          <w:pgMar w:left="240" w:top="455" w:right="499" w:bottom="1440" w:gutter="0" w:footer="0" w:header="0"/>
          <w:type w:val="continuous"/>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Gibson, Dunn &amp; Crutcher LLP</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1221 McKinney Street</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Houston, TX 77010</w:t>
      </w:r>
    </w:p>
    <w:p>
      <w:pPr>
        <w:sectPr>
          <w:pgSz w:w="11900" w:h="16838" w:orient="portrait"/>
          <w:cols w:equalWidth="0" w:num="1">
            <w:col w:w="11160"/>
          </w:cols>
          <w:pgMar w:left="240" w:top="455" w:right="499" w:bottom="1440" w:gutter="0" w:footer="0" w:header="0"/>
        </w:sectPr>
      </w:pP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Tull Florey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(346) 718-6901</w:t>
      </w:r>
    </w:p>
    <w:p>
      <w:pPr>
        <w:spacing w:after="0" w:line="110" w:lineRule="exact"/>
        <w:rPr>
          <w:sz w:val="20"/>
          <w:szCs w:val="20"/>
          <w:color w:val="auto"/>
        </w:rPr>
      </w:pPr>
    </w:p>
    <w:p>
      <w:pPr>
        <w:sectPr>
          <w:pgSz w:w="11900" w:h="16838" w:orient="portrait"/>
          <w:cols w:equalWidth="0" w:num="2">
            <w:col w:w="1800" w:space="400"/>
            <w:col w:w="8960"/>
          </w:cols>
          <w:pgMar w:left="240" w:top="455" w:right="49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7"/>
          <w:szCs w:val="17"/>
          <w:u w:val="single" w:color="auto"/>
          <w:color w:val="auto"/>
        </w:rPr>
        <w:t>in the case of notice to the Vendors or, before the Closing, the Corporation:</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Torgerson Family Trust and 989677 Alberta Ltd.</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596 McClure Road</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Kelowna, British Columbia V1W 1H3</w:t>
      </w: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Attention: Lance Torgerson</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Dentons Canada LLP</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2900 Manulife Place</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10180 – 101 St. NW</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Edmonton, AB</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T5J 3V5</w:t>
      </w:r>
    </w:p>
    <w:p>
      <w:pPr>
        <w:sectPr>
          <w:pgSz w:w="11900" w:h="16838" w:orient="portrait"/>
          <w:cols w:equalWidth="0" w:num="1">
            <w:col w:w="11160"/>
          </w:cols>
          <w:pgMar w:left="240" w:top="455" w:right="499" w:bottom="1440" w:gutter="0" w:footer="0" w:header="0"/>
          <w:type w:val="continuous"/>
        </w:sectPr>
      </w:pP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Leanne Krawchuk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(780) 423-7276</w:t>
      </w:r>
    </w:p>
    <w:p>
      <w:pPr>
        <w:spacing w:after="0" w:line="99" w:lineRule="exact"/>
        <w:rPr>
          <w:sz w:val="20"/>
          <w:szCs w:val="20"/>
          <w:color w:val="auto"/>
        </w:rPr>
      </w:pPr>
    </w:p>
    <w:p>
      <w:pPr>
        <w:sectPr>
          <w:pgSz w:w="11900" w:h="16838" w:orient="portrait"/>
          <w:cols w:equalWidth="0" w:num="2">
            <w:col w:w="1800" w:space="400"/>
            <w:col w:w="8960"/>
          </w:cols>
          <w:pgMar w:left="240" w:top="455" w:right="49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8"/>
          <w:szCs w:val="18"/>
          <w:u w:val="single" w:color="auto"/>
          <w:color w:val="auto"/>
        </w:rPr>
        <w:t>in the case of notice to Torgerson:</w:t>
      </w:r>
    </w:p>
    <w:p>
      <w:pPr>
        <w:spacing w:after="0" w:line="1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Lance Torgerson</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596 McClure Road</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Kelowna, British Columbia V1W 1H3</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Any notice, designation, communication, request, demand or other document given or sent or delivered as aforesaid shall:</w:t>
      </w:r>
    </w:p>
    <w:p>
      <w:pPr>
        <w:spacing w:after="0" w:line="131" w:lineRule="exact"/>
        <w:rPr>
          <w:sz w:val="20"/>
          <w:szCs w:val="20"/>
          <w:color w:val="auto"/>
        </w:rPr>
      </w:pPr>
    </w:p>
    <w:p>
      <w:pPr>
        <w:ind w:left="640" w:hanging="436"/>
        <w:spacing w:after="0"/>
        <w:tabs>
          <w:tab w:leader="none" w:pos="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as aforesaid, be deemed to have been given, sent, delivered and received on the date of delivery;</w:t>
      </w:r>
    </w:p>
    <w:p>
      <w:pPr>
        <w:spacing w:after="0" w:line="130" w:lineRule="exact"/>
        <w:rPr>
          <w:rFonts w:ascii="Times New Roman" w:cs="Times New Roman" w:eastAsia="Times New Roman" w:hAnsi="Times New Roman"/>
          <w:sz w:val="18"/>
          <w:szCs w:val="18"/>
          <w:color w:val="auto"/>
        </w:rPr>
      </w:pPr>
    </w:p>
    <w:p>
      <w:pPr>
        <w:ind w:left="640" w:hanging="436"/>
        <w:spacing w:after="0" w:line="258" w:lineRule="auto"/>
        <w:tabs>
          <w:tab w:leader="none" w:pos="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mail as aforesaid, be deemed to have been given, sent, delivered and received (but not actually received) on the fourth Business Day following the date of mailing, unless at any time between the date of mailing and the fourth Business Day thereafter there is a discontinuance or interruption of regular postal service, whether due to strike or lockout or work slowdown, affecting postal service at the point of dispatch or delivery or any intermediate point, in which case the same shall be deemed to have been given, sent, delivered and received in the ordinary course of the mail, allowing for such discontinuance or interruption of regular postal service;</w:t>
      </w:r>
    </w:p>
    <w:p>
      <w:pPr>
        <w:spacing w:after="0" w:line="89" w:lineRule="exact"/>
        <w:rPr>
          <w:rFonts w:ascii="Times New Roman" w:cs="Times New Roman" w:eastAsia="Times New Roman" w:hAnsi="Times New Roman"/>
          <w:sz w:val="18"/>
          <w:szCs w:val="18"/>
          <w:color w:val="auto"/>
        </w:rPr>
      </w:pPr>
    </w:p>
    <w:p>
      <w:pPr>
        <w:ind w:left="640" w:right="80" w:hanging="436"/>
        <w:spacing w:after="0" w:line="266" w:lineRule="auto"/>
        <w:tabs>
          <w:tab w:leader="none" w:pos="6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facsimile machine, be deemed to have been given, sent, delivered and received on the date on which it was delivered by facsimile transmission to the number provided herein, unless actually delivered after 4:00 p.m. (local time at the point of delivery) in which case it shall be deemed to have been received on the next succeeding Business Day; and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Waiver</w:t>
      </w:r>
    </w:p>
    <w:p>
      <w:pPr>
        <w:spacing w:after="0" w:line="121" w:lineRule="exact"/>
        <w:rPr>
          <w:sz w:val="20"/>
          <w:szCs w:val="20"/>
          <w:color w:val="auto"/>
        </w:rPr>
      </w:pPr>
    </w:p>
    <w:p>
      <w:pPr>
        <w:ind w:left="200" w:right="40"/>
        <w:spacing w:after="0" w:line="266" w:lineRule="auto"/>
        <w:rPr>
          <w:sz w:val="20"/>
          <w:szCs w:val="20"/>
          <w:color w:val="auto"/>
        </w:rPr>
      </w:pPr>
      <w:r>
        <w:rPr>
          <w:rFonts w:ascii="Times New Roman" w:cs="Times New Roman" w:eastAsia="Times New Roman" w:hAnsi="Times New Roman"/>
          <w:sz w:val="18"/>
          <w:szCs w:val="18"/>
          <w:color w:val="auto"/>
        </w:rPr>
        <w:t>16.18 Any Party hereto which is entitled to the benefits of this Agreement may, and has the right to, unless otherwise provided, waive any term or condition hereof at any time on or prior to the Closing Date, provided however that such waiver shall be evidenced by written instrument duly executed on behalf of such Party.</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60"/>
          </w:cols>
          <w:pgMar w:left="240" w:top="455" w:right="499" w:bottom="1440" w:gutter="0" w:footer="0" w:header="0"/>
          <w:type w:val="continuous"/>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16.19 No amendment, modification or supplement to this Agreement shall be effective unless provided in writing and signed by all the Parties hereto.</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Remedies Cumulative</w:t>
      </w:r>
    </w:p>
    <w:p>
      <w:pPr>
        <w:spacing w:after="0" w:line="121"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16.20 Subject to Article 15, the rights and remedies of the Parties under this Agreement are cumulative and in addition to and not in substitution for any rights or remedies provided by Law. Any single or partial exercise by any Party hereto of any right or remedy for default or breach of any term, covenant or condition of this Agreement does not waive, alter, affect or prejudice any other right or remedy to which such Party may be lawfully entitled for the same default or breach.</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Third Parties</w:t>
      </w:r>
    </w:p>
    <w:p>
      <w:pPr>
        <w:spacing w:after="0" w:line="121" w:lineRule="exact"/>
        <w:rPr>
          <w:sz w:val="20"/>
          <w:szCs w:val="20"/>
          <w:color w:val="auto"/>
        </w:rPr>
      </w:pPr>
    </w:p>
    <w:p>
      <w:pPr>
        <w:jc w:val="both"/>
        <w:ind w:left="200" w:right="80"/>
        <w:spacing w:after="0" w:line="258" w:lineRule="auto"/>
        <w:rPr>
          <w:sz w:val="20"/>
          <w:szCs w:val="20"/>
          <w:color w:val="auto"/>
        </w:rPr>
      </w:pPr>
      <w:r>
        <w:rPr>
          <w:rFonts w:ascii="Times New Roman" w:cs="Times New Roman" w:eastAsia="Times New Roman" w:hAnsi="Times New Roman"/>
          <w:sz w:val="18"/>
          <w:szCs w:val="18"/>
          <w:color w:val="auto"/>
        </w:rPr>
        <w:t>16.21 Unless otherwise specified in Article 10, this Agreement does not and is not intended to confer any rights or remedies upon any Person other than the Parties and their respective successors and permitted assigns. Except for the Indemnified Parties, no Person other than the Parties will be entitled to rely on the provisions of this Agreement in any action, suit, proceeding, hearing or other forum. The Parties reserve their right to vary or rescind, at any time and in any way whatsoever, the rights, if any, granted by or under this Agreement to any Person who is not a Party, without notice to or consent of that Person, including any Indemnified Party.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Letter</w:t>
      </w:r>
    </w:p>
    <w:p>
      <w:pPr>
        <w:spacing w:after="0" w:line="121" w:lineRule="exact"/>
        <w:rPr>
          <w:sz w:val="20"/>
          <w:szCs w:val="20"/>
          <w:color w:val="auto"/>
        </w:rPr>
      </w:pPr>
    </w:p>
    <w:p>
      <w:pPr>
        <w:ind w:left="200" w:right="440"/>
        <w:spacing w:after="0" w:line="266" w:lineRule="auto"/>
        <w:rPr>
          <w:sz w:val="20"/>
          <w:szCs w:val="20"/>
          <w:color w:val="auto"/>
        </w:rPr>
      </w:pPr>
      <w:r>
        <w:rPr>
          <w:rFonts w:ascii="Times New Roman" w:cs="Times New Roman" w:eastAsia="Times New Roman" w:hAnsi="Times New Roman"/>
          <w:sz w:val="18"/>
          <w:szCs w:val="18"/>
          <w:color w:val="auto"/>
        </w:rPr>
        <w:t>16.22 In connection with their representations, warranties, covenants and agreements in this Agreement, the Vendors and the Purchaser have contemporaneously with the execution of this Agreement, delivered the Disclosure Letter arranged in Sections and subsections corresponding with Sections and Subsections of this Agreement.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Counterparts</w:t>
      </w:r>
    </w:p>
    <w:p>
      <w:pPr>
        <w:spacing w:after="0" w:line="121" w:lineRule="exact"/>
        <w:rPr>
          <w:sz w:val="20"/>
          <w:szCs w:val="20"/>
          <w:color w:val="auto"/>
        </w:rPr>
      </w:pPr>
    </w:p>
    <w:p>
      <w:pPr>
        <w:ind w:left="200" w:right="640"/>
        <w:spacing w:after="0" w:line="282" w:lineRule="auto"/>
        <w:rPr>
          <w:sz w:val="20"/>
          <w:szCs w:val="20"/>
          <w:color w:val="auto"/>
        </w:rPr>
      </w:pPr>
      <w:r>
        <w:rPr>
          <w:rFonts w:ascii="Times New Roman" w:cs="Times New Roman" w:eastAsia="Times New Roman" w:hAnsi="Times New Roman"/>
          <w:sz w:val="18"/>
          <w:szCs w:val="18"/>
          <w:color w:val="auto"/>
        </w:rPr>
        <w:t>16.23 This Agreement may be executed in several counterparts (by original, facsimile, pdf or other electronic signature), each of which when so executed shall be deemed to be an original and each such counterpart shall constitute a valid and enforceable agreement among the Parties.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Remainder of this page intentionally left blank; signature page follows.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220"/>
          </w:cols>
          <w:pgMar w:left="240" w:top="456" w:right="4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Share Purchase Agreement has been executed by the Parties hereto as of the date first above written.</w:t>
      </w:r>
    </w:p>
    <w:p>
      <w:pPr>
        <w:spacing w:after="0" w:line="25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Bradley J. Dodson</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TORGERSON FAMILY TRUST</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Lance Torgerson</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2073357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Lance Torgerson</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2073358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Corey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Corey Smith</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1818939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Lance Torgerson</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2040618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Lance Torgerson</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2040624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Lance Torgerson</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989677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Lance Torgerson</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5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0219"/>
          </w:cols>
          <w:pgMar w:left="240" w:top="456" w:right="1440"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Per:</w:t>
      </w:r>
      <w:r>
        <w:rPr>
          <w:sz w:val="20"/>
          <w:szCs w:val="20"/>
          <w:color w:val="auto"/>
        </w:rPr>
        <w:tab/>
      </w: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Lance Torgerson</w:t>
      </w:r>
    </w:p>
    <w:p>
      <w:pPr>
        <w:spacing w:after="0" w:line="27"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Wes Fairbanks</w:t>
            </w:r>
          </w:p>
        </w:tc>
        <w:tc>
          <w:tcPr>
            <w:tcW w:w="1900" w:type="dxa"/>
            <w:vAlign w:val="bottom"/>
          </w:tcPr>
          <w:p>
            <w:pPr>
              <w:spacing w:after="0"/>
              <w:rPr>
                <w:sz w:val="20"/>
                <w:szCs w:val="20"/>
                <w:color w:val="auto"/>
              </w:rPr>
            </w:pPr>
          </w:p>
        </w:tc>
        <w:tc>
          <w:tcPr>
            <w:tcW w:w="662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32"/>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WITNESS</w:t>
            </w:r>
          </w:p>
        </w:tc>
        <w:tc>
          <w:tcPr>
            <w:tcW w:w="1900" w:type="dxa"/>
            <w:vAlign w:val="bottom"/>
            <w:tcBorders>
              <w:top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4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LANCE TORGERSON</w:t>
            </w:r>
          </w:p>
        </w:tc>
      </w:tr>
      <w:tr>
        <w:trPr>
          <w:trHeight w:val="423"/>
        </w:trPr>
        <w:tc>
          <w:tcPr>
            <w:tcW w:w="2520" w:type="dxa"/>
            <w:vAlign w:val="bottom"/>
          </w:tcPr>
          <w:p>
            <w:pPr>
              <w:spacing w:after="0"/>
              <w:rPr>
                <w:sz w:val="24"/>
                <w:szCs w:val="24"/>
                <w:color w:val="auto"/>
              </w:rPr>
            </w:pPr>
          </w:p>
        </w:tc>
        <w:tc>
          <w:tcPr>
            <w:tcW w:w="8520" w:type="dxa"/>
            <w:vAlign w:val="bottom"/>
            <w:gridSpan w:val="3"/>
          </w:tcPr>
          <w:p>
            <w:pPr>
              <w:jc w:val="center"/>
              <w:ind w:right="2430"/>
              <w:spacing w:after="0"/>
              <w:rPr>
                <w:sz w:val="20"/>
                <w:szCs w:val="20"/>
                <w:color w:val="auto"/>
              </w:rPr>
            </w:pPr>
            <w:r>
              <w:rPr>
                <w:rFonts w:ascii="Times New Roman" w:cs="Times New Roman" w:eastAsia="Times New Roman" w:hAnsi="Times New Roman"/>
                <w:sz w:val="18"/>
                <w:szCs w:val="18"/>
                <w:b w:val="1"/>
                <w:bCs w:val="1"/>
                <w:i w:val="1"/>
                <w:iCs w:val="1"/>
                <w:color w:val="auto"/>
                <w:w w:val="99"/>
              </w:rPr>
              <w:t>[Signature Page – Share Purchase Agreement]</w:t>
            </w:r>
          </w:p>
        </w:tc>
      </w:tr>
      <w:tr>
        <w:trPr>
          <w:trHeight w:val="365"/>
        </w:trPr>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20" w:type="dxa"/>
            <w:vAlign w:val="bottom"/>
            <w:gridSpan w:val="2"/>
          </w:tcPr>
          <w:p>
            <w:pPr>
              <w:jc w:val="center"/>
              <w:ind w:right="4350"/>
              <w:spacing w:after="0"/>
              <w:rPr>
                <w:sz w:val="20"/>
                <w:szCs w:val="20"/>
                <w:color w:val="auto"/>
              </w:rPr>
            </w:pPr>
            <w:r>
              <w:rPr>
                <w:rFonts w:ascii="Times New Roman" w:cs="Times New Roman" w:eastAsia="Times New Roman" w:hAnsi="Times New Roman"/>
                <w:sz w:val="18"/>
                <w:szCs w:val="18"/>
                <w:color w:val="auto"/>
              </w:rPr>
              <w:t>A-76</w:t>
            </w:r>
          </w:p>
        </w:tc>
      </w:tr>
    </w:tbl>
    <w:p>
      <w:pPr>
        <w:sectPr>
          <w:pgSz w:w="11900" w:h="16838" w:orient="portrait"/>
          <w:cols w:equalWidth="0" w:num="1">
            <w:col w:w="11240"/>
          </w:cols>
          <w:pgMar w:left="240" w:top="456" w:right="41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REGISTRATION RIGHTS, LOCK-UP AND STANDSTILL AGREEMENT</w:t>
      </w:r>
    </w:p>
    <w:p>
      <w:pPr>
        <w:spacing w:after="0" w:line="207"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This REGISTRATION RIGHTS, LOCK-UP AND STANDSTILL AGREEMENT (as amended, supplemented or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 by and among Civeo Corporation, a corporation organized and existing under the laws of British Columbia, Canada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each of the other parties set forth on the signature pages hereto under the caption “Shareholders” (each, a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xml:space="preserve">”). Unless otherwise specified, capitalized terms used herein shall have the respective meanings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Corporation and the other parties hereto are sometimes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is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ind w:left="200" w:right="200" w:firstLine="881"/>
        <w:spacing w:after="0" w:line="266" w:lineRule="auto"/>
        <w:rPr>
          <w:sz w:val="20"/>
          <w:szCs w:val="20"/>
          <w:color w:val="auto"/>
        </w:rPr>
      </w:pPr>
      <w:r>
        <w:rPr>
          <w:rFonts w:ascii="Times New Roman" w:cs="Times New Roman" w:eastAsia="Times New Roman" w:hAnsi="Times New Roman"/>
          <w:sz w:val="18"/>
          <w:szCs w:val="18"/>
          <w:color w:val="auto"/>
        </w:rPr>
        <w:t>WHEREAS, the Shareholders are acquiring, upon completion of the transactions pursuant to the Share Purchase Agreement (referred to below), Common Shares and Preferred Shares convertible into Common Shares of the Corporation pursuant to that certain Share Purchase Agreement dated as of [●] by and among the Corporation, Noralta Lodge Ltd. and the other parties thereto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200" w:right="160" w:firstLine="881"/>
        <w:spacing w:after="0" w:line="282" w:lineRule="auto"/>
        <w:rPr>
          <w:sz w:val="20"/>
          <w:szCs w:val="20"/>
          <w:color w:val="auto"/>
        </w:rPr>
      </w:pPr>
      <w:r>
        <w:rPr>
          <w:rFonts w:ascii="Times New Roman" w:cs="Times New Roman" w:eastAsia="Times New Roman" w:hAnsi="Times New Roman"/>
          <w:sz w:val="18"/>
          <w:szCs w:val="18"/>
          <w:color w:val="auto"/>
        </w:rPr>
        <w:t>WHEREAS, the Purchase Agreement contemplates the execution and delivery of this Agreement by the Corporation and the Shareholders concurrently with completion of the transactions under the Purchase Agreement;</w:t>
      </w:r>
    </w:p>
    <w:p>
      <w:pPr>
        <w:spacing w:after="0" w:line="162" w:lineRule="exact"/>
        <w:rPr>
          <w:sz w:val="20"/>
          <w:szCs w:val="20"/>
          <w:color w:val="auto"/>
        </w:rPr>
      </w:pPr>
    </w:p>
    <w:p>
      <w:pPr>
        <w:ind w:left="200" w:right="180" w:firstLine="88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contained herein, and for other good and valuable consideration, the receipt and sufficiency of which are hereby acknowledged, the Parties, intending to be legally bound, hereby agree as follows:</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meanings:</w:t>
      </w:r>
    </w:p>
    <w:p>
      <w:pPr>
        <w:spacing w:after="0" w:line="117" w:lineRule="exact"/>
        <w:rPr>
          <w:sz w:val="20"/>
          <w:szCs w:val="20"/>
          <w:color w:val="auto"/>
        </w:rPr>
      </w:pPr>
    </w:p>
    <w:p>
      <w:pPr>
        <w:ind w:left="200" w:right="40" w:firstLine="88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 Person that directly, or indirectly through one or more intermediaries, controls or is controlled by, or is under common control with, such specified Person. For the purposes of this definition, “control” (including, with correlative meanings, the terms “controlled by” and “under common control with”), as used with respect to any Person, means the possession, directly or indirectly, of the power to direct or cause the direction of the management or policies of such Person, whether through the ownership of shares of or other equity interests in that Person, by agreement or otherwise.</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20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means the Articles of the Corporation, as the same hereafter may be amended, restated or supplemented from time to time (except as otherwise specified herein).</w:t>
      </w:r>
    </w:p>
    <w:p>
      <w:pPr>
        <w:spacing w:after="0" w:line="162" w:lineRule="exact"/>
        <w:rPr>
          <w:sz w:val="20"/>
          <w:szCs w:val="20"/>
          <w:color w:val="auto"/>
        </w:rPr>
      </w:pPr>
    </w:p>
    <w:p>
      <w:pPr>
        <w:ind w:left="200" w:right="14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means an “automatic shelf registration statement” as defined in Rule 405 promulgated under the Securities Act.</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200" w:right="18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of the United States Code or any similar federal, state, Canadian, provincial or other foreign law for the relief of debtors.</w:t>
      </w:r>
    </w:p>
    <w:p>
      <w:pPr>
        <w:spacing w:after="0" w:line="162" w:lineRule="exact"/>
        <w:rPr>
          <w:sz w:val="20"/>
          <w:szCs w:val="20"/>
          <w:color w:val="auto"/>
        </w:rPr>
      </w:pPr>
    </w:p>
    <w:p>
      <w:pPr>
        <w:ind w:left="200" w:right="16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with respect to any security, refer to ownership by any Person who, directly or indirectly, through any contract, arrangement, understanding,</w:t>
      </w:r>
    </w:p>
    <w:p>
      <w:pPr>
        <w:sectPr>
          <w:pgSz w:w="11900" w:h="16838" w:orient="portrait"/>
          <w:cols w:equalWidth="0" w:num="1">
            <w:col w:w="11220"/>
          </w:cols>
          <w:pgMar w:left="240" w:top="455" w:right="4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relationship or otherwise, has or shares (i) voting power which includes the power to vote, or to direct the voting of, such security; and/or (ii) investment power which includes the power to dispose, or to direct the disposition of, such security; and shall otherwise be interpreted in accordance with the term “beneficial ownership” as defined in Rule 13d-3 adopted by the SEC under the Exchange Act.</w:t>
      </w:r>
    </w:p>
    <w:p>
      <w:pPr>
        <w:spacing w:after="0" w:line="176" w:lineRule="exact"/>
        <w:rPr>
          <w:sz w:val="20"/>
          <w:szCs w:val="20"/>
          <w:color w:val="auto"/>
        </w:rPr>
      </w:pPr>
    </w:p>
    <w:p>
      <w:pPr>
        <w:ind w:left="200" w:right="14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providing workforce accommodations, catering, facilities management, water systems and/or logistics to third-party businesses.</w:t>
      </w:r>
    </w:p>
    <w:p>
      <w:pPr>
        <w:spacing w:after="0" w:line="162" w:lineRule="exact"/>
        <w:rPr>
          <w:sz w:val="20"/>
          <w:szCs w:val="20"/>
          <w:color w:val="auto"/>
        </w:rPr>
      </w:pPr>
    </w:p>
    <w:p>
      <w:pPr>
        <w:ind w:left="20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excluding Saturdays, Sundays or any day which is a legal holiday under the laws of the State of Texas or is a day on which banking institutions are authorized or required by law or other governmental action to close.</w:t>
      </w:r>
    </w:p>
    <w:p>
      <w:pPr>
        <w:spacing w:after="0" w:line="162" w:lineRule="exact"/>
        <w:rPr>
          <w:sz w:val="20"/>
          <w:szCs w:val="20"/>
          <w:color w:val="auto"/>
        </w:rPr>
      </w:pPr>
    </w:p>
    <w:p>
      <w:pPr>
        <w:ind w:left="200" w:right="120" w:firstLine="88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has the meaning specified in Article 27.1.1(j) of the Articles, as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contemplated by clause (ii) of the definition thereof that would not qualify as a Change of Control thereunder but would result in a Change of Control under clause (i) of the definition thereof shall not constitute a Change of Control under this Agreement. For the avoidance of doubt, any transaction or series of related transactions pursuant to which the Corporation is consolidated, merged, combined or amalgamated with another corporation or entity, and, as a result of such consolidation, merger, combination or amalgamation, at least 50% of the outstanding voting securities of the surviving or resulting corporation or entity are then owned by the former shareholders of the Corporation, shall not constitute a Change of Control hereunder.</w:t>
      </w:r>
    </w:p>
    <w:p>
      <w:pPr>
        <w:spacing w:after="0" w:line="1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common equity interests in the Corporation designated as “Common Shares” in the Articles.</w:t>
      </w:r>
    </w:p>
    <w:p>
      <w:pPr>
        <w:spacing w:after="0" w:line="225" w:lineRule="exact"/>
        <w:rPr>
          <w:sz w:val="20"/>
          <w:szCs w:val="20"/>
          <w:color w:val="auto"/>
        </w:rPr>
      </w:pPr>
    </w:p>
    <w:p>
      <w:pPr>
        <w:ind w:left="200" w:right="40" w:firstLine="88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xml:space="preserve">” means a Person that is, directly or indirectly, engaged in the Business and is determined in good faith by the Corporation to be a competitor, directly or indirectly, with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Shareholder shall be permitted to submit to the Corporation a list of potential competitors and receive a reasonably prompt response from the Corporation with respect to which (if any) of such potential competitors are Competitors, as determined by the Corporation.</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Registration Dividend Adjustment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3(e)(iv)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80" w:firstLine="88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 Minimis Registration Rights</w:t>
      </w:r>
      <w:r>
        <w:rPr>
          <w:rFonts w:ascii="Times New Roman" w:cs="Times New Roman" w:eastAsia="Times New Roman" w:hAnsi="Times New Roman"/>
          <w:sz w:val="18"/>
          <w:szCs w:val="18"/>
          <w:color w:val="auto"/>
        </w:rPr>
        <w:t>” means registration rights granted to any Person (or Persons) in connection with any single acquisition, financing or other transaction (or series of related acquisitions, financings or other transactions) involving such Person (or Persons), with respect to not more than an aggregate of five percent of the Common Shares outstanding as of the closing of such single acquisition, financing or other transaction (or series of related acquisitions, financings or other transactions) involving such Person (or Persons).</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Escrowed Shares</w:t>
      </w:r>
      <w:r>
        <w:rPr>
          <w:rFonts w:ascii="Times New Roman" w:cs="Times New Roman" w:eastAsia="Times New Roman" w:hAnsi="Times New Roman"/>
          <w:sz w:val="18"/>
          <w:szCs w:val="18"/>
          <w:color w:val="auto"/>
        </w:rPr>
        <w:t>” has the meaning set forth in the Purchase Agreement.</w:t>
      </w:r>
    </w:p>
    <w:p>
      <w:pPr>
        <w:spacing w:after="0" w:line="225" w:lineRule="exact"/>
        <w:rPr>
          <w:sz w:val="20"/>
          <w:szCs w:val="20"/>
          <w:color w:val="auto"/>
        </w:rPr>
      </w:pPr>
    </w:p>
    <w:p>
      <w:pPr>
        <w:ind w:left="200" w:right="76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Escrowed Shares Escrow Agreement</w:t>
      </w:r>
      <w:r>
        <w:rPr>
          <w:rFonts w:ascii="Times New Roman" w:cs="Times New Roman" w:eastAsia="Times New Roman" w:hAnsi="Times New Roman"/>
          <w:sz w:val="18"/>
          <w:szCs w:val="18"/>
          <w:color w:val="auto"/>
        </w:rPr>
        <w:t>” means that certain escrow agreement, dated as of [●], by and between the Corporation, the Shareholders and Alliance Trust Company, acting as escrow agent.</w:t>
      </w:r>
    </w:p>
    <w:p>
      <w:pPr>
        <w:spacing w:after="0" w:line="162" w:lineRule="exact"/>
        <w:rPr>
          <w:sz w:val="20"/>
          <w:szCs w:val="20"/>
          <w:color w:val="auto"/>
        </w:rPr>
      </w:pPr>
    </w:p>
    <w:p>
      <w:pPr>
        <w:ind w:left="200" w:right="6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and any successor statute thereto, and the rules and regulations promulgated thereunder.</w:t>
      </w:r>
    </w:p>
    <w:p>
      <w:pPr>
        <w:spacing w:after="0" w:line="162" w:lineRule="exact"/>
        <w:rPr>
          <w:sz w:val="20"/>
          <w:szCs w:val="20"/>
          <w:color w:val="auto"/>
        </w:rPr>
      </w:pPr>
    </w:p>
    <w:p>
      <w:pPr>
        <w:ind w:left="200" w:right="68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Group</w:t>
      </w:r>
      <w:r>
        <w:rPr>
          <w:rFonts w:ascii="Times New Roman" w:cs="Times New Roman" w:eastAsia="Times New Roman" w:hAnsi="Times New Roman"/>
          <w:sz w:val="18"/>
          <w:szCs w:val="18"/>
          <w:color w:val="auto"/>
        </w:rPr>
        <w:t>” means, with respect to any natural person: (i) any lineal descendant or ancestor or sibling (in each case, by birth or adoption) of such natural person or of such natural person’s spouse; (ii) any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20"/>
          </w:cols>
          <w:pgMar w:left="240" w:top="456" w:right="4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6" w:lineRule="auto"/>
        <w:rPr>
          <w:sz w:val="20"/>
          <w:szCs w:val="20"/>
          <w:color w:val="auto"/>
        </w:rPr>
      </w:pPr>
      <w:r>
        <w:rPr>
          <w:rFonts w:ascii="Times New Roman" w:cs="Times New Roman" w:eastAsia="Times New Roman" w:hAnsi="Times New Roman"/>
          <w:sz w:val="18"/>
          <w:szCs w:val="18"/>
          <w:color w:val="auto"/>
        </w:rPr>
        <w:t>spouse of such natural person or of any of the Persons described in the immediately preceding clause (i); and (iii) any trust or other bona fide estate-planning vehicle, the only beneficiaries of which are such natural person and any of the foregoing Persons described in the immediately preceding clauses (i) and (ii).</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or any successor agency having jurisdiction under the Exchange Act.</w:t>
      </w:r>
    </w:p>
    <w:p>
      <w:pPr>
        <w:spacing w:after="0" w:line="225" w:lineRule="exact"/>
        <w:rPr>
          <w:sz w:val="20"/>
          <w:szCs w:val="20"/>
          <w:color w:val="auto"/>
        </w:rPr>
      </w:pPr>
    </w:p>
    <w:p>
      <w:pPr>
        <w:ind w:left="200" w:firstLine="88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any court or other tribunal).</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“group” as such term is used under Rule 13d-5(b) under the Exchange Act.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have the meaning set forth in the preamble hereto.</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limited liability company, trust, estate, joint venture, Governmental Authority or other entity.</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means the preferred equity interests in the Corporation designated as “Class A Series 1 Preferred Shares” in the Articles.</w:t>
      </w:r>
    </w:p>
    <w:p>
      <w:pPr>
        <w:spacing w:after="0" w:line="225" w:lineRule="exact"/>
        <w:rPr>
          <w:sz w:val="20"/>
          <w:szCs w:val="20"/>
          <w:color w:val="auto"/>
        </w:rPr>
      </w:pPr>
    </w:p>
    <w:p>
      <w:pPr>
        <w:ind w:left="200" w:right="8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claim, suit, investigation, audit, controversy, arbitration or proceeding (including an investigation or partial proceeding, such as a deposition), whether commenced or threatened.</w:t>
      </w:r>
    </w:p>
    <w:p>
      <w:pPr>
        <w:spacing w:after="0" w:line="162" w:lineRule="exact"/>
        <w:rPr>
          <w:sz w:val="20"/>
          <w:szCs w:val="20"/>
          <w:color w:val="auto"/>
        </w:rPr>
      </w:pPr>
    </w:p>
    <w:p>
      <w:pPr>
        <w:ind w:left="200" w:right="80" w:firstLine="88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(including a prospectus that discloses information previously omitted from a prospectus filed as part of an effective Registration Statement in reliance upon Rule 430A promulgated under the Securities Act and any free writing prospectus),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84" w:lineRule="exact"/>
        <w:rPr>
          <w:sz w:val="20"/>
          <w:szCs w:val="20"/>
          <w:color w:val="auto"/>
        </w:rPr>
      </w:pPr>
    </w:p>
    <w:p>
      <w:pPr>
        <w:ind w:left="200" w:right="36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means the offer and sale of Common Shares to the public pursuant to a Registration Statement that has been filed and become effective under the Securities Act.</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200" w:right="120" w:firstLine="88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all the Shares held by the Shareholders as of the date hereof (including any Escrowed Shares), any Shares issued upon conversion of the Preferred Shares held by the Shareholders as of the date hereof and any other securities issued or issuable with respect to any such Shares by way of share split,</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20"/>
          </w:cols>
          <w:pgMar w:left="240" w:top="456" w:right="4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Times New Roman" w:cs="Times New Roman" w:eastAsia="Times New Roman" w:hAnsi="Times New Roman"/>
          <w:sz w:val="18"/>
          <w:szCs w:val="18"/>
          <w:color w:val="auto"/>
        </w:rPr>
        <w:t xml:space="preserve">or in connection with a combination of shares, share dividend, recapitalization, conversion, reclassification or similar event. As to any particular Registrable Securities, such securities shall cease to be Registrable Securities when: (i) they are Transferred in a Public Offering in accordance with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(ii) they become Rule 144 Eligible Securities; (iii) they have been Transferred pursuant to any section of Rule 144; (iv) they have been Transferred in a private transaction in which the transferor’s rights under this Agreement are not assigned to the transferee of such securities; or (v) they shall have ceased to be outstanding after issuance thereof. A Person is deemed, and shall only be deemed, to be a holder of Registrable Securities if: (i) such Person directly holds Registrable Securities; and (ii) such Person is a Shareholder. For the avoidance of doubt, Preferred Shares shall in no event be Registrable Securities hereunder.</w:t>
      </w:r>
    </w:p>
    <w:p>
      <w:pPr>
        <w:spacing w:after="0" w:line="189" w:lineRule="exact"/>
        <w:rPr>
          <w:sz w:val="20"/>
          <w:szCs w:val="20"/>
          <w:color w:val="auto"/>
        </w:rPr>
      </w:pPr>
    </w:p>
    <w:p>
      <w:pPr>
        <w:ind w:left="200" w:right="180" w:firstLine="88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Corporation under the Securities Act which covers the offering of any of the Registrable Securities pursuant to the provisions of this Agreement, including any Prospectus or amendments and supplements to such registration statement, including post-effective amendments, all exhibits and all material incorporated by reference or deemed to be incorporated by reference in such registration statement.</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38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Securities Act, as such Rule may be amended from time to time, or any similar rule or regulation hereafter adopted by the SEC.</w:t>
      </w:r>
    </w:p>
    <w:p>
      <w:pPr>
        <w:spacing w:after="0" w:line="162" w:lineRule="exact"/>
        <w:rPr>
          <w:sz w:val="20"/>
          <w:szCs w:val="20"/>
          <w:color w:val="auto"/>
        </w:rPr>
      </w:pPr>
    </w:p>
    <w:p>
      <w:pPr>
        <w:ind w:left="200" w:right="2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 Eligible Securities</w:t>
      </w:r>
      <w:r>
        <w:rPr>
          <w:rFonts w:ascii="Times New Roman" w:cs="Times New Roman" w:eastAsia="Times New Roman" w:hAnsi="Times New Roman"/>
          <w:sz w:val="18"/>
          <w:szCs w:val="18"/>
          <w:color w:val="auto"/>
        </w:rPr>
        <w:t>” means Shares that may be sold pursuant to Rule 144, without being subject to the volume limitations set forth in Rule 144.</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successor agency having jurisdiction under the Securities Act.</w:t>
      </w:r>
    </w:p>
    <w:p>
      <w:pPr>
        <w:spacing w:after="0" w:line="225" w:lineRule="exact"/>
        <w:rPr>
          <w:sz w:val="20"/>
          <w:szCs w:val="20"/>
          <w:color w:val="auto"/>
        </w:rPr>
      </w:pPr>
    </w:p>
    <w:p>
      <w:pPr>
        <w:ind w:left="200" w:right="820" w:firstLine="88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 and any successor statute thereto, and the rules and regulations promulgated thereunder.</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200" w:firstLine="88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Change of Control</w:t>
      </w:r>
      <w:r>
        <w:rPr>
          <w:rFonts w:ascii="Times New Roman" w:cs="Times New Roman" w:eastAsia="Times New Roman" w:hAnsi="Times New Roman"/>
          <w:sz w:val="18"/>
          <w:szCs w:val="18"/>
          <w:color w:val="auto"/>
        </w:rPr>
        <w:t>” shall mean the occurrence of any of the following events: (i) any Shareholder and its Affiliates become the Beneficial Owners of more than 50% of the outstanding Common Shares (or equivalent, assuming conversion of the Preferred Shares held by such Shareholder and its Affiliates); (ii) a merger or consolidation of the Corporation with or into another Person or the merger or consolidation of another Person into the Corporation, as a result of which transaction or series of related transactions any Shareholder and its Affiliates become the Beneficial Owners of more than 50% of the Common Shares (or equivalent, assuming conversion of the Preferred Shares held by such Shareholder and its Affiliates) outstanding immediately after such transaction or transactions; or (iii) the consummation of the sale, transfer, lease or other disposition (but not including a transfer, lease or other disposition by pledge or mortgage to a bona fide lender) of all or substantially all of the assets of the Corporation and its Subsidiaries to any Shareholder or its Affiliates.</w:t>
      </w:r>
    </w:p>
    <w:p>
      <w:pPr>
        <w:spacing w:after="0" w:line="185" w:lineRule="exact"/>
        <w:rPr>
          <w:sz w:val="20"/>
          <w:szCs w:val="20"/>
          <w:color w:val="auto"/>
        </w:rPr>
      </w:pPr>
    </w:p>
    <w:p>
      <w:pPr>
        <w:ind w:left="200" w:right="100" w:firstLine="88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subject to the provisions of </w:t>
      </w:r>
      <w:r>
        <w:rPr>
          <w:rFonts w:ascii="Times New Roman" w:cs="Times New Roman" w:eastAsia="Times New Roman" w:hAnsi="Times New Roman"/>
          <w:sz w:val="18"/>
          <w:szCs w:val="18"/>
          <w:u w:val="single" w:color="auto"/>
          <w:color w:val="auto"/>
        </w:rPr>
        <w:t>Section 3(j)</w:t>
      </w:r>
      <w:r>
        <w:rPr>
          <w:rFonts w:ascii="Times New Roman" w:cs="Times New Roman" w:eastAsia="Times New Roman" w:hAnsi="Times New Roman"/>
          <w:sz w:val="18"/>
          <w:szCs w:val="18"/>
          <w:color w:val="auto"/>
        </w:rPr>
        <w:t xml:space="preserve">, the Common Shares held by any of the Shareholders and acquired pursuant to the Purchase Agreement or upon conversion of the Preferred Shares held by any of the Shareholders and acquired pursuant to the Purchase Agreement and shall include the Escrowed Shares until such time as such Escrowed Shares are released to the Corporation pursuant to the terms of the Purchase Agreement and the Escrowed Shares Escrow Agreement. For purposes of the restrictions on Transfer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only, “Shares” shall also include the Preferred Shares held by any of the Shareholders and acquired pursuant to the Purchase Agreement.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220"/>
          </w:cols>
          <w:pgMar w:left="24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881"/>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means a Registration Statement on an appropriate form to permit the public resale of the Registrable Securities from time to time as permitted by Rule 415 of the Securities Act (or any similar provision then in force under the Securities Act).</w:t>
      </w:r>
    </w:p>
    <w:p>
      <w:pPr>
        <w:spacing w:after="0" w:line="1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Shareholder</w:t>
      </w:r>
      <w:r>
        <w:rPr>
          <w:rFonts w:ascii="Times New Roman" w:cs="Times New Roman" w:eastAsia="Times New Roman" w:hAnsi="Times New Roman"/>
          <w:sz w:val="18"/>
          <w:szCs w:val="18"/>
          <w:color w:val="auto"/>
        </w:rPr>
        <w:t>” means each of the Torgerson Family Trust and 989677 Alberta Ltd. and their Permitted Transferees.</w:t>
      </w:r>
    </w:p>
    <w:p>
      <w:pPr>
        <w:spacing w:after="0" w:line="225" w:lineRule="exact"/>
        <w:rPr>
          <w:sz w:val="20"/>
          <w:szCs w:val="20"/>
          <w:color w:val="auto"/>
        </w:rPr>
      </w:pPr>
    </w:p>
    <w:p>
      <w:pPr>
        <w:ind w:left="200" w:firstLine="88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association, joint venture or other business entity of which more than 50% of the total voting power of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3(e)(iv)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40" w:firstLine="88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means any of the following: (a) the Corporation, pursuant to or within the meaning of any Bankruptcy Law, commences a voluntary case, consents to the entry of an order for relief against it in an involuntary case, consents to the appointment of a Bankruptcy Custodian of it or for all or substantially all of its property, or makes a general assignment for the benefit of its creditors; (b) a court of competent jurisdiction enters an order or decree under any Bankruptcy Law that remains unstayed and in effect for 90 days and that (i) is for relief against the Corporation as debtor in an involuntary case, (ii) appoints a Bankruptcy Custodian of the Corporation or a Bankruptcy Custodian for all or substantially all of the property of the Corporation, or (iii) orders the liquidation of the Corporation; or (c) a Change of Control is consummated.</w:t>
      </w:r>
    </w:p>
    <w:p>
      <w:pPr>
        <w:spacing w:after="0" w:line="188" w:lineRule="exact"/>
        <w:rPr>
          <w:sz w:val="20"/>
          <w:szCs w:val="20"/>
          <w:color w:val="auto"/>
        </w:rPr>
      </w:pPr>
    </w:p>
    <w:p>
      <w:pPr>
        <w:ind w:left="200" w:right="40" w:firstLine="88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any direct or indirect sale, transfer, assignment, distribution, exchange, pledge, encumbrance, appointment or other disposition (whether with or without consideration and whether voluntary, involuntary or by operation of law, including to the Corporation or any of its Subsidiaries) of any Shares or any interest therein (including any option to buy or sell), including any transaction the intent or effect of which is to reduce the risk of owning Shares (including, for example, engaging in a put, call, short-sale, straddle or similar market transaction with respect to any Shares or any interest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during any period that neither Lance Torgerson nor any designee of a Standstill Shareholder serves on the board of directors of the Corporation, any bona fide pledge of ten percent or less of the number of a Shareholder’s Shares (calculated assuming conversion of such Shareholder’s Preferred Shares) shall not constitute a Transfer under this Agreement, provided that any Transfer of such Shares by or to the pledgee upon or after a default in the obligation secured by the pledge shall be deemed a Transfer by such Shareholder hereunder. For purposes hereof, a release of Escrowed Shares to the Corporation or any Shareholder pursuant to the Escrowed Shares Escrow Agreement shall not be a Transfer subject to the provisions hereof.</w:t>
      </w:r>
    </w:p>
    <w:p>
      <w:pPr>
        <w:spacing w:after="0" w:line="186" w:lineRule="exact"/>
        <w:rPr>
          <w:sz w:val="20"/>
          <w:szCs w:val="20"/>
          <w:color w:val="auto"/>
        </w:rPr>
      </w:pPr>
    </w:p>
    <w:p>
      <w:pPr>
        <w:ind w:left="200" w:right="120" w:firstLine="88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Public Offering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Public Offering in which Common Shares are sold to an underwriter or underwriters for reoffering to the public. For the avoidance of doubt, any offering or sale of Common Shares by the Corporation pursuant to an “at-the-market” offering as defined in Rule 415(a)(4) of the Securities Act shall not be considered an underwritten Public Offering or underwritten offering hereunder.</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xml:space="preserve"> ” has the meaning set forth in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means a well-known seasoned issuer (as defined in the rules and regulations of the SEC).</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80"/>
          </w:cols>
          <w:pgMar w:left="240" w:top="456" w:right="47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firstLine="1436"/>
        <w:spacing w:after="0" w:line="253" w:lineRule="auto"/>
        <w:tabs>
          <w:tab w:leader="none" w:pos="187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General Transfer Restrictions. Each Shareholder covenants and agrees that, except as permitted by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such Shareholder will not Transfer any Shares without the prior written consent of the Corporation, and each Standstill Shareholder further covenants and agrees that, prior to the date that is 18 months after the date of this Agreement, except as permitted by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no Standstill Shareholder (or any Permitted Transferee thereof) shall Transfer any Shares hereunder, including pursuant to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without the prior written consent of the Corporation. Each Shareholder understands and agrees that the issuance and transfer of the Shares held by such Shareholder on the date hereof have not been registered under the Securities Act or under any securities laws of any state or other jurisdiction and, therefore, such Shares may not be resold or otherwise transferred by such Shareholder without compliance with the registration provisions of the Securities Act and any other applicable securities laws or applicable exemptions therefrom. Accordingly, no Shareholder shall Transfer such Shares (or solicit any offers in respect of any Transfer of such Shares), except in compliance with the Securities Act, any applicable securities laws of any applicable state or other jurisdiction and any restrictions on Transfer contained in this Agreement. No Shareholder shall avoid any of the restrictions or obligations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by undergoing an ownership change itself or Transferring any Shares to any other Person and then Transferring or permitting the Transfer of such other Person in whole or in part.</w:t>
      </w:r>
    </w:p>
    <w:p>
      <w:pPr>
        <w:spacing w:after="0" w:line="190" w:lineRule="exact"/>
        <w:rPr>
          <w:rFonts w:ascii="Times New Roman" w:cs="Times New Roman" w:eastAsia="Times New Roman" w:hAnsi="Times New Roman"/>
          <w:sz w:val="18"/>
          <w:szCs w:val="18"/>
          <w:color w:val="auto"/>
        </w:rPr>
      </w:pPr>
    </w:p>
    <w:p>
      <w:pPr>
        <w:ind w:left="200" w:right="100" w:firstLine="1436"/>
        <w:spacing w:after="0" w:line="254" w:lineRule="auto"/>
        <w:tabs>
          <w:tab w:leader="none" w:pos="188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Permitted Transfers</w:t>
      </w:r>
      <w:r>
        <w:rPr>
          <w:rFonts w:ascii="Times New Roman" w:cs="Times New Roman" w:eastAsia="Times New Roman" w:hAnsi="Times New Roman"/>
          <w:sz w:val="18"/>
          <w:szCs w:val="18"/>
          <w:color w:val="auto"/>
        </w:rPr>
        <w:t xml:space="preserve">. Notwithstanding the general Transfer restrictions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(i) any Shareholder may Transfer any or all of such Shareholder’s Shares to an Affiliate of such Shareholder (it being understood that any such Transfer shall be conditioned on the receipt of an undertaking by such transferee to Transfer such Shares back to such Shareholder if such transferee ceases to be an Affiliate of such Shareholder); (ii) any Shareholder who is a natural person may Transfer any or all of such Shareholder’s Shares among such Shareholder’s Family Group (it being understood that any such Transfer shall be conditioned on the receipt of an undertaking by such transferee to Transfer such Shareholder’s Shares back to such Shareholder if such transferee ceases to be a member of such Shareholder’s Family Group, other than as a result of the death of such Shareholder); and (iii) upon the death of any Shareholder who is a natural person, such Shareholder’s Shares may be Transferred by the will or other instrument taking effect at death of such Shareholder or by applicable laws of descent and distribution to such Shareholder’s estate, executors, administrators, personal representatives, heirs, legatees or distributees.</w:t>
      </w:r>
    </w:p>
    <w:p>
      <w:pPr>
        <w:spacing w:after="0" w:line="189" w:lineRule="exact"/>
        <w:rPr>
          <w:rFonts w:ascii="Times New Roman" w:cs="Times New Roman" w:eastAsia="Times New Roman" w:hAnsi="Times New Roman"/>
          <w:sz w:val="18"/>
          <w:szCs w:val="18"/>
          <w:color w:val="auto"/>
        </w:rPr>
      </w:pPr>
    </w:p>
    <w:p>
      <w:pPr>
        <w:ind w:left="200" w:right="120" w:firstLine="1436"/>
        <w:spacing w:after="0" w:line="255" w:lineRule="auto"/>
        <w:tabs>
          <w:tab w:leader="none" w:pos="187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Transferees Bound</w:t>
      </w:r>
      <w:r>
        <w:rPr>
          <w:rFonts w:ascii="Times New Roman" w:cs="Times New Roman" w:eastAsia="Times New Roman" w:hAnsi="Times New Roman"/>
          <w:sz w:val="18"/>
          <w:szCs w:val="18"/>
          <w:color w:val="auto"/>
        </w:rPr>
        <w:t xml:space="preserve">. Except in the case of a Transfer in accordance with the provisions of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no Transfer permitted under the terms of (i) the first sentence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or (ii)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shall be effective unless the transferee of such Shares (each,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if not already bound by this Agreement, has complied with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by delivering to the Corporation a written acknowledgment and agreement in form and substance reasonably satisfactory to the Corporation that such Shares to be received by such Permitted Transferee shall remain subject to all of the provisions of this Agreement, and that such Permitted Transferee shall be bound by, and shall be a party to, this Agreement as the holder of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Transfer by any Shareholder of Shares to a Permitted Transferee shall relieve such Shareholder of any of its obligations under this Agreement.</w:t>
      </w:r>
    </w:p>
    <w:p>
      <w:pPr>
        <w:spacing w:after="0" w:line="189" w:lineRule="exact"/>
        <w:rPr>
          <w:rFonts w:ascii="Times New Roman" w:cs="Times New Roman" w:eastAsia="Times New Roman" w:hAnsi="Times New Roman"/>
          <w:sz w:val="18"/>
          <w:szCs w:val="18"/>
          <w:color w:val="auto"/>
        </w:rPr>
      </w:pPr>
    </w:p>
    <w:p>
      <w:pPr>
        <w:ind w:left="1900" w:hanging="264"/>
        <w:spacing w:after="0"/>
        <w:tabs>
          <w:tab w:leader="none" w:pos="19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Permitted Transfers</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subject to the first sentence of</w:t>
      </w:r>
    </w:p>
    <w:p>
      <w:pPr>
        <w:spacing w:after="0" w:line="27" w:lineRule="exact"/>
        <w:rPr>
          <w:sz w:val="20"/>
          <w:szCs w:val="20"/>
          <w:color w:val="auto"/>
        </w:rPr>
      </w:pPr>
    </w:p>
    <w:p>
      <w:pPr>
        <w:ind w:left="200"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any Shareholder may Transfer any or all of such Shareholder’s Shares (other than any Preferred Shares): (i) in any Public Offering (including any Shelf Takedown); or (ii) subject to the provisions of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in a sale transaction pursuant to and in accordance with Rule 144; provided that, in each case, any such Transfer shall not, when taken together with any and all other Transfers pursuant to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during the period of 90 consecutive days ending on the date of such Transfer (which date, for the purposes of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be the trade date for such Transfer, rather than the settlement date for such Transfer), involve a number of Shares in excess of ten percent of the number of such Shareholder’s Shares issued to such Shareholder pursuant to the Purchase Agreement (calculated assuming conversion of such Shareholder’s Preferred Shares, if any). For the avoidance of doubt,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does not apply to any</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200"/>
          </w:cols>
          <w:pgMar w:left="24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82" w:lineRule="auto"/>
        <w:rPr>
          <w:sz w:val="20"/>
          <w:szCs w:val="20"/>
          <w:color w:val="auto"/>
        </w:rPr>
      </w:pPr>
      <w:r>
        <w:rPr>
          <w:rFonts w:ascii="Times New Roman" w:cs="Times New Roman" w:eastAsia="Times New Roman" w:hAnsi="Times New Roman"/>
          <w:sz w:val="18"/>
          <w:szCs w:val="18"/>
          <w:color w:val="auto"/>
        </w:rPr>
        <w:t xml:space="preserve">Transfer of Preferred Shares. Notwithstanding the foregoing, the volume restrictions set forth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not apply to a Transfer by a Requesting Holder in a Public Offering pursuant to a Piggyback Request in accordance with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00" w:right="80" w:firstLine="1436"/>
        <w:spacing w:after="0" w:line="254" w:lineRule="auto"/>
        <w:tabs>
          <w:tab w:leader="none" w:pos="187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Transferees to Become Parties</w:t>
      </w:r>
      <w:r>
        <w:rPr>
          <w:rFonts w:ascii="Times New Roman" w:cs="Times New Roman" w:eastAsia="Times New Roman" w:hAnsi="Times New Roman"/>
          <w:sz w:val="18"/>
          <w:szCs w:val="18"/>
          <w:color w:val="auto"/>
        </w:rPr>
        <w:t xml:space="preserve">. Except in the case of a Transfer in accordance with the provisions of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any transferee receiving Shares in a Transfer permitted pursuant to (i) the first sentence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or (ii)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shall become a Shareholder, a party to this Agreement and subject to the terms and conditions of, and be bound by and entitled to enforce, this Agreement to the same extent, and in the same capacity, as the Person that Transfers such Shares to such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Transfer by any holder of Shares to a Permitted Transferee shall relieve such holder of any of its obligations under this Agreement. Prior to the Transfer of any Shares to any transferee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as a condition thereto, each Shareholder effecting such Transfer shall (i) cause such transferee to deliver to the Corporation its written agreement, in form and substance reasonably satisfactory to the Corporation, to be bound by the terms and conditions of this Agreement, if not already bound by this Agreement, and (ii) remain directly liable for the performance by such Permitted Transferee of all obligations of such transferee under this Agreement.</w:t>
      </w:r>
    </w:p>
    <w:p>
      <w:pPr>
        <w:spacing w:after="0" w:line="189" w:lineRule="exact"/>
        <w:rPr>
          <w:rFonts w:ascii="Times New Roman" w:cs="Times New Roman" w:eastAsia="Times New Roman" w:hAnsi="Times New Roman"/>
          <w:sz w:val="18"/>
          <w:szCs w:val="18"/>
          <w:color w:val="auto"/>
        </w:rPr>
      </w:pPr>
    </w:p>
    <w:p>
      <w:pPr>
        <w:ind w:left="200" w:right="140" w:firstLine="1436"/>
        <w:spacing w:after="0" w:line="256" w:lineRule="auto"/>
        <w:tabs>
          <w:tab w:leader="none" w:pos="185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to Competitors or Greater Than 10% Holders</w:t>
      </w:r>
      <w:r>
        <w:rPr>
          <w:rFonts w:ascii="Times New Roman" w:cs="Times New Roman" w:eastAsia="Times New Roman" w:hAnsi="Times New Roman"/>
          <w:sz w:val="18"/>
          <w:szCs w:val="18"/>
          <w:color w:val="auto"/>
        </w:rPr>
        <w:t xml:space="preserve">. Notwithstanding anything to the contrary in the foregoing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without the prior written consent of the Corporation, no Shareholder may Transfer any Shares to (i) any Competitor or (ii) any Person who, either alone or as part of a Group, is, or would become after giving effect to such Transfer, the Beneficial Owner of, or otherwise has, or would have, the right to acquire, through any option, warrant, forward contract, share loan, swap, contract of sale or other derivative or similar agreement, more than ten percent of the Common Shares then outstanding, in either case other than through Transfers in accordance with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in an underwritten Public Offering or in a market transaction pursuant to Rule 144.</w:t>
      </w:r>
    </w:p>
    <w:p>
      <w:pPr>
        <w:spacing w:after="0" w:line="187" w:lineRule="exact"/>
        <w:rPr>
          <w:rFonts w:ascii="Times New Roman" w:cs="Times New Roman" w:eastAsia="Times New Roman" w:hAnsi="Times New Roman"/>
          <w:sz w:val="18"/>
          <w:szCs w:val="18"/>
          <w:color w:val="auto"/>
        </w:rPr>
      </w:pPr>
    </w:p>
    <w:p>
      <w:pPr>
        <w:ind w:left="200" w:right="100" w:firstLine="1436"/>
        <w:spacing w:after="0" w:line="282" w:lineRule="auto"/>
        <w:tabs>
          <w:tab w:leader="none" w:pos="188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Impermissible Transfer</w:t>
      </w:r>
      <w:r>
        <w:rPr>
          <w:rFonts w:ascii="Times New Roman" w:cs="Times New Roman" w:eastAsia="Times New Roman" w:hAnsi="Times New Roman"/>
          <w:sz w:val="18"/>
          <w:szCs w:val="18"/>
          <w:color w:val="auto"/>
        </w:rPr>
        <w:t xml:space="preserve">. Any attempted Transfer of Shares not permitted under the terms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null and void, and the Corporation shall not in any way give effect to any such impermissible Transfer.</w:t>
      </w:r>
    </w:p>
    <w:p>
      <w:pPr>
        <w:spacing w:after="0" w:line="161" w:lineRule="exact"/>
        <w:rPr>
          <w:rFonts w:ascii="Times New Roman" w:cs="Times New Roman" w:eastAsia="Times New Roman" w:hAnsi="Times New Roman"/>
          <w:sz w:val="18"/>
          <w:szCs w:val="18"/>
          <w:color w:val="auto"/>
        </w:rPr>
      </w:pPr>
    </w:p>
    <w:p>
      <w:pPr>
        <w:ind w:left="200" w:right="100" w:firstLine="1436"/>
        <w:spacing w:after="0" w:line="261" w:lineRule="auto"/>
        <w:tabs>
          <w:tab w:leader="none" w:pos="188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xml:space="preserve">. The foregoing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expire automatically in respect of any Standstill Shareholder, (i) 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80" w:lineRule="exact"/>
        <w:rPr>
          <w:rFonts w:ascii="Times New Roman" w:cs="Times New Roman" w:eastAsia="Times New Roman" w:hAnsi="Times New Roman"/>
          <w:sz w:val="18"/>
          <w:szCs w:val="18"/>
          <w:color w:val="auto"/>
        </w:rPr>
      </w:pPr>
    </w:p>
    <w:p>
      <w:pPr>
        <w:ind w:left="200" w:right="700" w:firstLine="1436"/>
        <w:spacing w:after="0" w:line="282" w:lineRule="auto"/>
        <w:tabs>
          <w:tab w:leader="none" w:pos="184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Shareholder agrees that the certificates evidencing the Shares held by such Shareholder will bear legends substantially in the form set forth below and containing such other information as the Corporation may deem necessary or appropriate:</w:t>
      </w:r>
    </w:p>
    <w:p>
      <w:pPr>
        <w:spacing w:after="0" w:line="50" w:lineRule="exact"/>
        <w:rPr>
          <w:sz w:val="20"/>
          <w:szCs w:val="20"/>
          <w:color w:val="auto"/>
        </w:rPr>
      </w:pPr>
    </w:p>
    <w:p>
      <w:pPr>
        <w:ind w:left="1080"/>
        <w:spacing w:after="0" w:line="259" w:lineRule="auto"/>
        <w:rPr>
          <w:sz w:val="20"/>
          <w:szCs w:val="20"/>
          <w:color w:val="auto"/>
        </w:rPr>
      </w:pPr>
      <w:r>
        <w:rPr>
          <w:rFonts w:ascii="Times New Roman" w:cs="Times New Roman" w:eastAsia="Times New Roman" w:hAnsi="Times New Roman"/>
          <w:sz w:val="18"/>
          <w:szCs w:val="18"/>
          <w:b w:val="1"/>
          <w:bCs w:val="1"/>
          <w:color w:val="auto"/>
        </w:rPr>
        <w:t>Except pursuant to the terms of the Registration Rights, Lock-Up and Standstill Agreement among the issuer, the holder of this certificate and the other parties thereto, the shares represented by this certificate may not be sold, transferred, assigned, distributed, exchanged, pledged, encumbered, appointed or otherwise disposed of, and the issuer shall not be required to give effect to any attempted sale, transfer, assignment, distribution, exchange, pledge, encumbrance, appointment or other disposition of any of those shares.</w:t>
      </w:r>
    </w:p>
    <w:p>
      <w:pPr>
        <w:spacing w:after="0" w:line="72" w:lineRule="exact"/>
        <w:rPr>
          <w:sz w:val="20"/>
          <w:szCs w:val="20"/>
          <w:color w:val="auto"/>
        </w:rPr>
      </w:pPr>
    </w:p>
    <w:p>
      <w:pPr>
        <w:jc w:val="both"/>
        <w:ind w:left="1080" w:right="220"/>
        <w:spacing w:after="0" w:line="291" w:lineRule="auto"/>
        <w:rPr>
          <w:sz w:val="20"/>
          <w:szCs w:val="20"/>
          <w:color w:val="auto"/>
        </w:rPr>
      </w:pPr>
      <w:r>
        <w:rPr>
          <w:rFonts w:ascii="Times New Roman" w:cs="Times New Roman" w:eastAsia="Times New Roman" w:hAnsi="Times New Roman"/>
          <w:sz w:val="17"/>
          <w:szCs w:val="17"/>
          <w:b w:val="1"/>
          <w:bCs w:val="1"/>
          <w:color w:val="auto"/>
        </w:rPr>
        <w:t>The shares represented hereby have been issued pursuant to a claim of exemption under the U.S. Securities Act of 1933 and other applicable securities laws and may not be sold or otherwise transferred without compliance with the registration provisions of the U.S. Securities Act of 1933 and any other applicable securities laws or in accordance with applicable exemptions therefrom.</w:t>
      </w:r>
    </w:p>
    <w:p>
      <w:pPr>
        <w:spacing w:after="0" w:line="157" w:lineRule="exact"/>
        <w:rPr>
          <w:sz w:val="20"/>
          <w:szCs w:val="20"/>
          <w:color w:val="auto"/>
        </w:rPr>
      </w:pPr>
    </w:p>
    <w:p>
      <w:pPr>
        <w:ind w:left="200" w:right="480" w:firstLine="881"/>
        <w:spacing w:after="0" w:line="282" w:lineRule="auto"/>
        <w:rPr>
          <w:sz w:val="20"/>
          <w:szCs w:val="20"/>
          <w:color w:val="auto"/>
        </w:rPr>
      </w:pPr>
      <w:r>
        <w:rPr>
          <w:rFonts w:ascii="Times New Roman" w:cs="Times New Roman" w:eastAsia="Times New Roman" w:hAnsi="Times New Roman"/>
          <w:sz w:val="18"/>
          <w:szCs w:val="18"/>
          <w:color w:val="auto"/>
        </w:rPr>
        <w:t xml:space="preserve">The Corporation may instruct any transfer agent for the Common Shares or Preferred Shares not to register the Transfer of any Shares subject to the restrictions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Whenever the Common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220"/>
          </w:cols>
          <w:pgMar w:left="240" w:top="455" w:right="4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 xml:space="preserve">Shares represented by any such certificate no longer constitute Shares pursuant to the provisions of </w:t>
      </w:r>
      <w:r>
        <w:rPr>
          <w:rFonts w:ascii="Times New Roman" w:cs="Times New Roman" w:eastAsia="Times New Roman" w:hAnsi="Times New Roman"/>
          <w:sz w:val="18"/>
          <w:szCs w:val="18"/>
          <w:u w:val="single" w:color="auto"/>
          <w:color w:val="auto"/>
        </w:rPr>
        <w:t>Section 3(j)</w:t>
      </w:r>
      <w:r>
        <w:rPr>
          <w:rFonts w:ascii="Times New Roman" w:cs="Times New Roman" w:eastAsia="Times New Roman" w:hAnsi="Times New Roman"/>
          <w:sz w:val="18"/>
          <w:szCs w:val="18"/>
          <w:color w:val="auto"/>
        </w:rPr>
        <w:t xml:space="preserve">, or are being Transferred in a transaction upon consummation of which such Common Shares will no longer constitute Shares pursuant to the provisions of </w:t>
      </w:r>
      <w:r>
        <w:rPr>
          <w:rFonts w:ascii="Times New Roman" w:cs="Times New Roman" w:eastAsia="Times New Roman" w:hAnsi="Times New Roman"/>
          <w:sz w:val="18"/>
          <w:szCs w:val="18"/>
          <w:u w:val="single" w:color="auto"/>
          <w:color w:val="auto"/>
        </w:rPr>
        <w:t>Section 3(j)</w:t>
      </w:r>
      <w:r>
        <w:rPr>
          <w:rFonts w:ascii="Times New Roman" w:cs="Times New Roman" w:eastAsia="Times New Roman" w:hAnsi="Times New Roman"/>
          <w:sz w:val="18"/>
          <w:szCs w:val="18"/>
          <w:color w:val="auto"/>
        </w:rPr>
        <w:t xml:space="preserve">, the holder of such certificate shall be entitled to receive from the Corporation, at the Corporation’s sole cost and expense and upon receipt by the Corporation of appropriate certifications, a new certificate not bearing the legends set forth in this </w:t>
      </w:r>
      <w:r>
        <w:rPr>
          <w:rFonts w:ascii="Times New Roman" w:cs="Times New Roman" w:eastAsia="Times New Roman" w:hAnsi="Times New Roman"/>
          <w:sz w:val="18"/>
          <w:szCs w:val="18"/>
          <w:u w:val="single" w:color="auto"/>
          <w:color w:val="auto"/>
        </w:rPr>
        <w:t>Section 2(i)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firstLine="1436"/>
        <w:spacing w:after="0" w:line="267" w:lineRule="auto"/>
        <w:tabs>
          <w:tab w:leader="none" w:pos="1877"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if the Corporation proposes to file a Registration Statement under the Securities Act (on a form of Registration Statement that would permit registration of the offering and sale of Registrable Securities) providing for the public offering of Common Shares, for its own account or for the account of a selling shareholder, for sale to the public in an underwritten Public Offering for cash, the Corporation will give written notice (a “</w:t>
      </w:r>
      <w:r>
        <w:rPr>
          <w:rFonts w:ascii="Times New Roman" w:cs="Times New Roman" w:eastAsia="Times New Roman" w:hAnsi="Times New Roman"/>
          <w:sz w:val="17"/>
          <w:szCs w:val="17"/>
          <w:u w:val="single" w:color="auto"/>
          <w:color w:val="auto"/>
        </w:rPr>
        <w:t>Piggyback Notice</w:t>
      </w:r>
      <w:r>
        <w:rPr>
          <w:rFonts w:ascii="Times New Roman" w:cs="Times New Roman" w:eastAsia="Times New Roman" w:hAnsi="Times New Roman"/>
          <w:sz w:val="17"/>
          <w:szCs w:val="17"/>
          <w:color w:val="auto"/>
        </w:rPr>
        <w:t xml:space="preserve">”) to all holders of Registrable Securities of its intention to do so. Each holder of Registrable Securities agrees that the fact that such a Piggyback Notice has been delivered shall constitute confidential information and such holder agrees not to disclose that such Piggyback Notice has been delivered or effect any public sale or distribution of Common Shares until the earlier of (i) the date that the applicable Registration Statement has been filed with the SEC and (ii) 20 days after the date of such Piggyback Notice. The </w:t>
      </w:r>
      <w:r>
        <w:rPr>
          <w:rFonts w:ascii="Times New Roman" w:cs="Times New Roman" w:eastAsia="Times New Roman" w:hAnsi="Times New Roman"/>
          <w:sz w:val="17"/>
          <w:szCs w:val="17"/>
          <w:u w:val="single" w:color="auto"/>
          <w:color w:val="auto"/>
        </w:rPr>
        <w:t>Piggyback</w:t>
      </w:r>
      <w:r>
        <w:rPr>
          <w:rFonts w:ascii="Times New Roman" w:cs="Times New Roman" w:eastAsia="Times New Roman" w:hAnsi="Times New Roman"/>
          <w:sz w:val="17"/>
          <w:szCs w:val="17"/>
          <w:color w:val="auto"/>
        </w:rPr>
        <w:t xml:space="preserve"> Notice shall offer such holders the opportunity to include (or cause to be included) in such Registration Statement the number of Registrable Securities as each such holder may request. Any such holder may, by written response (a “</w:t>
      </w:r>
      <w:r>
        <w:rPr>
          <w:rFonts w:ascii="Times New Roman" w:cs="Times New Roman" w:eastAsia="Times New Roman" w:hAnsi="Times New Roman"/>
          <w:sz w:val="17"/>
          <w:szCs w:val="17"/>
          <w:u w:val="single" w:color="auto"/>
          <w:color w:val="auto"/>
        </w:rPr>
        <w:t>Piggyback Request</w:t>
      </w:r>
      <w:r>
        <w:rPr>
          <w:rFonts w:ascii="Times New Roman" w:cs="Times New Roman" w:eastAsia="Times New Roman" w:hAnsi="Times New Roman"/>
          <w:sz w:val="17"/>
          <w:szCs w:val="17"/>
          <w:color w:val="auto"/>
        </w:rPr>
        <w:t xml:space="preserve">”) delivered to the Corporation within five days after the effectiveness under </w:t>
      </w:r>
      <w:r>
        <w:rPr>
          <w:rFonts w:ascii="Times New Roman" w:cs="Times New Roman" w:eastAsia="Times New Roman" w:hAnsi="Times New Roman"/>
          <w:sz w:val="17"/>
          <w:szCs w:val="17"/>
          <w:u w:val="single" w:color="auto"/>
          <w:color w:val="auto"/>
        </w:rPr>
        <w:t>Section 7(f)</w:t>
      </w:r>
      <w:r>
        <w:rPr>
          <w:rFonts w:ascii="Times New Roman" w:cs="Times New Roman" w:eastAsia="Times New Roman" w:hAnsi="Times New Roman"/>
          <w:sz w:val="17"/>
          <w:szCs w:val="17"/>
          <w:color w:val="auto"/>
        </w:rPr>
        <w:t xml:space="preserve"> of such Piggyback Notice, request that all or a specified part of the Registrable Securities held by such holder be included in such Registration Statement (each such holder being a “</w:t>
      </w:r>
      <w:r>
        <w:rPr>
          <w:rFonts w:ascii="Times New Roman" w:cs="Times New Roman" w:eastAsia="Times New Roman" w:hAnsi="Times New Roman"/>
          <w:sz w:val="17"/>
          <w:szCs w:val="17"/>
          <w:u w:val="single" w:color="auto"/>
          <w:color w:val="auto"/>
        </w:rPr>
        <w:t>Requesting Holder</w:t>
      </w:r>
      <w:r>
        <w:rPr>
          <w:rFonts w:ascii="Times New Roman" w:cs="Times New Roman" w:eastAsia="Times New Roman" w:hAnsi="Times New Roman"/>
          <w:sz w:val="17"/>
          <w:szCs w:val="17"/>
          <w:color w:val="auto"/>
        </w:rPr>
        <w:t xml:space="preserve">”), which request shall inform the Corporation of the number of shares of Registrable Securities such holder wishes to include in such Registration Statement and provide the Corporation with such information with respect to such holder as shall be reasonably necessary in order to assure compliance with federal and applicable state securities laws. If no request for inclusion from a holder is received within the time period specified in the immediately preceding sentence, such holder shall have no further right to participate in such Registration Statement and any Public Offering pursuant thereto. Following the end of such time period, the Corporation will use commercially reasonable efforts to cause to be included in such registered Public Offering under the Securities Act all shares of Registrable Securities which the Corporation has been so requested to register by any Requesting Holders, to the extent required to permit the disposition (in accordance with the methods to be used by the Corporation or other holders of Common Shares in such Public Offering) of the Registrable Securities to be so registered;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if, at any time after giving written notice of its intention to undertake an underwritten Public Offering and prior to the closing of such underwritten Public Offering, the Corporation shall determine for any reason not to undertake or to delay such underwritten Public Offering, the Corporation may, at its election, give written notice of such determination to the Requesting Holders and (x) in the case of a determination not to undertake such underwritten Public Offering, shall be relieved of its obligation to sell any Registrable Securities in connection with such terminated underwritten Public Offering, and (y) in the case of a determination to delay such underwritten Public Offering, shall be permitted to delay offering any Registrable Securities for the same period as the delay in the underwritten Public Offering; and</w:t>
      </w:r>
    </w:p>
    <w:p>
      <w:pPr>
        <w:spacing w:after="0" w:line="202" w:lineRule="exact"/>
        <w:rPr>
          <w:rFonts w:ascii="Times New Roman" w:cs="Times New Roman" w:eastAsia="Times New Roman" w:hAnsi="Times New Roman"/>
          <w:sz w:val="17"/>
          <w:szCs w:val="17"/>
          <w:color w:val="auto"/>
        </w:rPr>
      </w:pPr>
    </w:p>
    <w:p>
      <w:pPr>
        <w:ind w:left="200" w:right="80" w:firstLine="4"/>
        <w:spacing w:after="0" w:line="252" w:lineRule="auto"/>
        <w:tabs>
          <w:tab w:leader="none" w:pos="46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Requesting Holders must, with respect to their Registrable Securities to be offered and sold in such Public Offering, sell such Registrable Securities to the underwriters selected by the Corporation, on the same terms and conditions as applicable to the Corporation (with such differences as may be customary or appropriate in combined primary and secondary offerings and applied in a manner that does not discriminate among holders that are similarly situated with respect to the circumstances related thereto, in accordance with the terms of this Agreement). For the avoidance of doubt, the Corporation shall not be required to register any Registrable Securities upon the request of any holder pursuant to a Registration Statement, or to permit the related Prospectus or prospectus supplement to be used, in connection with any offering or Transfer of Registrable Securities by a holder other than pursuant to an underwritten Public Offering.</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220"/>
          </w:cols>
          <w:pgMar w:left="240" w:top="456" w:right="4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1436"/>
        <w:spacing w:after="0" w:line="282" w:lineRule="auto"/>
        <w:tabs>
          <w:tab w:leader="none" w:pos="188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Transactions</w:t>
      </w:r>
      <w:r>
        <w:rPr>
          <w:rFonts w:ascii="Times New Roman" w:cs="Times New Roman" w:eastAsia="Times New Roman" w:hAnsi="Times New Roman"/>
          <w:sz w:val="18"/>
          <w:szCs w:val="18"/>
          <w:color w:val="auto"/>
        </w:rPr>
        <w:t xml:space="preserve">. The Corporation shall not be obligated to provide any Piggyback Notice with respect to, or effect the registration of the offer and sale of any Registrable Securities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incidental to any Public Offering:</w:t>
      </w:r>
    </w:p>
    <w:p>
      <w:pPr>
        <w:spacing w:after="0" w:line="53" w:lineRule="exact"/>
        <w:rPr>
          <w:rFonts w:ascii="Times New Roman" w:cs="Times New Roman" w:eastAsia="Times New Roman" w:hAnsi="Times New Roman"/>
          <w:sz w:val="18"/>
          <w:szCs w:val="18"/>
          <w:color w:val="auto"/>
        </w:rPr>
      </w:pPr>
    </w:p>
    <w:p>
      <w:pPr>
        <w:ind w:left="1700" w:hanging="209"/>
        <w:spacing w:after="0"/>
        <w:tabs>
          <w:tab w:leader="none" w:pos="17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any employee benefit, compensation, incentive or savings plans or dividend reinvestment plans;</w:t>
      </w:r>
    </w:p>
    <w:p>
      <w:pPr>
        <w:spacing w:after="0" w:line="117" w:lineRule="exact"/>
        <w:rPr>
          <w:rFonts w:ascii="Times New Roman" w:cs="Times New Roman" w:eastAsia="Times New Roman" w:hAnsi="Times New Roman"/>
          <w:sz w:val="18"/>
          <w:szCs w:val="18"/>
          <w:color w:val="auto"/>
        </w:rPr>
      </w:pPr>
    </w:p>
    <w:p>
      <w:pPr>
        <w:ind w:left="1760" w:hanging="269"/>
        <w:spacing w:after="0"/>
        <w:tabs>
          <w:tab w:leader="none" w:pos="17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the acquisition or merger after the date hereof by the Corporation or any of its Subsidiaries of or with any other</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8" w:lineRule="exact"/>
        <w:rPr>
          <w:rFonts w:ascii="Times New Roman" w:cs="Times New Roman" w:eastAsia="Times New Roman" w:hAnsi="Times New Roman"/>
          <w:sz w:val="18"/>
          <w:szCs w:val="18"/>
          <w:color w:val="auto"/>
        </w:rPr>
      </w:pPr>
    </w:p>
    <w:p>
      <w:pPr>
        <w:ind w:left="1800" w:hanging="309"/>
        <w:spacing w:after="0"/>
        <w:tabs>
          <w:tab w:leader="none" w:pos="18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Corporation’s existing shelf registration statement on Form S-3 (Reg. No. 333-212754);</w:t>
      </w:r>
    </w:p>
    <w:p>
      <w:pPr>
        <w:spacing w:after="0" w:line="117" w:lineRule="exact"/>
        <w:rPr>
          <w:rFonts w:ascii="Times New Roman" w:cs="Times New Roman" w:eastAsia="Times New Roman" w:hAnsi="Times New Roman"/>
          <w:sz w:val="18"/>
          <w:szCs w:val="18"/>
          <w:color w:val="auto"/>
        </w:rPr>
      </w:pPr>
    </w:p>
    <w:p>
      <w:pPr>
        <w:ind w:left="1080" w:right="200" w:firstLine="411"/>
        <w:spacing w:after="0" w:line="282" w:lineRule="auto"/>
        <w:tabs>
          <w:tab w:leader="none" w:pos="179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registered on a registration statement on Form S-4 or Form S-8 (or any successor forms thereto) or a registration statement for the offering or sale of Common Shares issuable upon conversion of debt securities; or</w:t>
      </w:r>
    </w:p>
    <w:p>
      <w:pPr>
        <w:spacing w:after="0" w:line="53" w:lineRule="exact"/>
        <w:rPr>
          <w:rFonts w:ascii="Times New Roman" w:cs="Times New Roman" w:eastAsia="Times New Roman" w:hAnsi="Times New Roman"/>
          <w:sz w:val="18"/>
          <w:szCs w:val="18"/>
          <w:color w:val="auto"/>
        </w:rPr>
      </w:pPr>
    </w:p>
    <w:p>
      <w:pPr>
        <w:ind w:left="1740" w:hanging="249"/>
        <w:spacing w:after="0"/>
        <w:tabs>
          <w:tab w:leader="none" w:pos="17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existing holders of securities issued by the Corporation (including the Shareholders).</w:t>
      </w:r>
    </w:p>
    <w:p>
      <w:pPr>
        <w:spacing w:after="0" w:line="225" w:lineRule="exact"/>
        <w:rPr>
          <w:rFonts w:ascii="Times New Roman" w:cs="Times New Roman" w:eastAsia="Times New Roman" w:hAnsi="Times New Roman"/>
          <w:sz w:val="18"/>
          <w:szCs w:val="18"/>
          <w:color w:val="auto"/>
        </w:rPr>
      </w:pPr>
    </w:p>
    <w:p>
      <w:pPr>
        <w:ind w:left="200" w:firstLine="1436"/>
        <w:spacing w:after="0" w:line="254" w:lineRule="auto"/>
        <w:tabs>
          <w:tab w:leader="none" w:pos="187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Obligations of Requesting Holders</w:t>
      </w:r>
      <w:r>
        <w:rPr>
          <w:rFonts w:ascii="Times New Roman" w:cs="Times New Roman" w:eastAsia="Times New Roman" w:hAnsi="Times New Roman"/>
          <w:sz w:val="18"/>
          <w:szCs w:val="18"/>
          <w:color w:val="auto"/>
        </w:rPr>
        <w:t xml:space="preserve">. Any Requesting Holders participating in any underwritten Public Offering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take all such actions and execute all such documents and instruments that are reasonably requested by the Corporation to effect the offer and sale, in such Public Offering, of the Registrable Securities they have requested to be included in such Public Offering pursuant to a Piggyback Request, including becoming parties to the underwriting agreement entered into by the Corporation and any other selling shareholders in connection therewith and being liable (severally, and not jointly and severally) in respect of the representations and warranties by such selling shareholder, and the other agreements (including customary selling shareholder questionnaires, powers of attorney, representations, warranties, indemnification and contribution arrangements and “lock-up” agreements) for the benefit of the underwriters. In connection with any Public Offering, no Shareholder who has provided a Piggyback Request with respect thereto may, after such time as the Corporation has delivered to such Requesting Holder the expected range of pricing for the Common Shares to be offered and sold in any such Public Offering, thereafter elect to withdraw therefrom without the written consent of the Corporation.</w:t>
      </w:r>
    </w:p>
    <w:p>
      <w:pPr>
        <w:spacing w:after="0" w:line="186" w:lineRule="exact"/>
        <w:rPr>
          <w:rFonts w:ascii="Times New Roman" w:cs="Times New Roman" w:eastAsia="Times New Roman" w:hAnsi="Times New Roman"/>
          <w:sz w:val="18"/>
          <w:szCs w:val="18"/>
          <w:color w:val="auto"/>
        </w:rPr>
      </w:pPr>
    </w:p>
    <w:p>
      <w:pPr>
        <w:ind w:left="200" w:firstLine="1436"/>
        <w:spacing w:after="0" w:line="253" w:lineRule="auto"/>
        <w:tabs>
          <w:tab w:leader="none" w:pos="188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Underwriters’ Cutback</w:t>
      </w:r>
      <w:r>
        <w:rPr>
          <w:rFonts w:ascii="Times New Roman" w:cs="Times New Roman" w:eastAsia="Times New Roman" w:hAnsi="Times New Roman"/>
          <w:sz w:val="18"/>
          <w:szCs w:val="18"/>
          <w:color w:val="auto"/>
        </w:rPr>
        <w:t xml:space="preserve">. In connection with any underwritten Public Offering, the underwriters may determine that marketing factors (including an adverse effect on the per-share offering price) require a limitation of the number of shares to be underwritten. Notwithstanding any contrary provision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subject to the terms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the underwriters may limit the number of shares which would otherwise be included in such Public Offering by the exclusion of any or all Registrable Securities from such Public Offering (it being understood that the number of Common Shares which the Corporation seeks to have included in such Public Offering shall not be subject to exclusion, in whole or in part, under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Upon receipt of notice from the underwriters of the need to reduce the number of shares to be included in any underwritten Public Offering pursuant to the foregoing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Corporation shall advise all Requesting Holders with respect to such Public Offering, and the number of Common Shares, including Registrable Securities, that may be included in such Public Offering shall be allocated in the following manner, unless the underwriters in their discretion shall determine in good faith that marketing factors require a different allocation: Common Shares, other than Registrable Securities, requested to be included in such Public Offering by Persons other than the Requesting Holders shall be excluded; and, if a limitation on the number of Common Shares is still required, the number of Registrable Securities shall be allocated among holders thereof in proportion, as nearly as practicable, to the respective amounts of Common Shares which each Shareholder requested to be so included. No Common Shares designated for exclusion from a Public Offering by reason of the underwriters’ marketing limitation shall be included in such Public Offering.</w:t>
      </w:r>
    </w:p>
    <w:p>
      <w:pPr>
        <w:spacing w:after="0" w:line="188" w:lineRule="exact"/>
        <w:rPr>
          <w:rFonts w:ascii="Times New Roman" w:cs="Times New Roman" w:eastAsia="Times New Roman" w:hAnsi="Times New Roman"/>
          <w:sz w:val="18"/>
          <w:szCs w:val="18"/>
          <w:color w:val="auto"/>
        </w:rPr>
      </w:pPr>
    </w:p>
    <w:p>
      <w:pPr>
        <w:ind w:left="1880" w:hanging="244"/>
        <w:spacing w:after="0"/>
        <w:tabs>
          <w:tab w:leader="none" w:pos="188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right="380" w:firstLine="411"/>
        <w:spacing w:after="0" w:line="282" w:lineRule="auto"/>
        <w:tabs>
          <w:tab w:leader="none" w:pos="17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As soon as practicable following the date that is 18 months after the date of this Agreement, but in no event more than 30 days thereafter, the Corporation shall use its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220"/>
          </w:cols>
          <w:pgMar w:left="240" w:top="456" w:right="4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53" w:lineRule="auto"/>
        <w:rPr>
          <w:sz w:val="20"/>
          <w:szCs w:val="20"/>
          <w:color w:val="auto"/>
        </w:rPr>
      </w:pPr>
      <w:r>
        <w:rPr>
          <w:rFonts w:ascii="Times New Roman" w:cs="Times New Roman" w:eastAsia="Times New Roman" w:hAnsi="Times New Roman"/>
          <w:sz w:val="18"/>
          <w:szCs w:val="18"/>
          <w:color w:val="auto"/>
        </w:rPr>
        <w:t xml:space="preserve">commercially reasonable efforts to prepare and file a Shelf Registration Statement under the Securities Act covering the Public Offering of the Registrable Securities held by the Standstill Shareholders. The Corporation shall use its commercially reasonable efforts to cause such Shelf Registration Statement to become effective within 150 days after the date of filing of such Shelf Registration Statement. A Shelf Registration Statement filed pursuant to this </w:t>
      </w:r>
      <w:r>
        <w:rPr>
          <w:rFonts w:ascii="Times New Roman" w:cs="Times New Roman" w:eastAsia="Times New Roman" w:hAnsi="Times New Roman"/>
          <w:sz w:val="18"/>
          <w:szCs w:val="18"/>
          <w:u w:val="single" w:color="auto"/>
          <w:color w:val="auto"/>
        </w:rPr>
        <w:t>Section 3(e)(i)</w:t>
      </w:r>
      <w:r>
        <w:rPr>
          <w:rFonts w:ascii="Times New Roman" w:cs="Times New Roman" w:eastAsia="Times New Roman" w:hAnsi="Times New Roman"/>
          <w:sz w:val="18"/>
          <w:szCs w:val="18"/>
          <w:color w:val="auto"/>
        </w:rPr>
        <w:t xml:space="preserve"> shall be on Form S-3 (or any successor provision to Form S-3) for so long as the Corporation is eligible to use Form S-3 and, if the Corporation is a WKSI at the time a Shelf Registration Statement is required to be filed hereunder, such Shelf Registration Statement shall be filed as an Automatic Shelf Registration Statement. If the Corporation is not eligible to use Form S-3 at the time a Shelf Registration Statement is required to be filed hereunder, such Shelf Registration Statement shall be on such other form of the SEC as shall be selected by the Corporation. As soon as practicable following the date that a Shelf Registration Statement filed pursuant to this </w:t>
      </w:r>
      <w:r>
        <w:rPr>
          <w:rFonts w:ascii="Times New Roman" w:cs="Times New Roman" w:eastAsia="Times New Roman" w:hAnsi="Times New Roman"/>
          <w:sz w:val="18"/>
          <w:szCs w:val="18"/>
          <w:u w:val="single" w:color="auto"/>
          <w:color w:val="auto"/>
        </w:rPr>
        <w:t>Section 3(e)(i)</w:t>
      </w:r>
      <w:r>
        <w:rPr>
          <w:rFonts w:ascii="Times New Roman" w:cs="Times New Roman" w:eastAsia="Times New Roman" w:hAnsi="Times New Roman"/>
          <w:sz w:val="18"/>
          <w:szCs w:val="18"/>
          <w:color w:val="auto"/>
        </w:rPr>
        <w:t xml:space="preserve"> becomes effective, but in any event within five Business Days of such date, the Corporation shall provide the Standstill Shareholders with written notice of the effectiveness of such Shelf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notice shall be required if such Shelf Registration Statement is an Automatic Shelf Registration Statement.</w:t>
      </w:r>
    </w:p>
    <w:p>
      <w:pPr>
        <w:spacing w:after="0" w:line="85" w:lineRule="exact"/>
        <w:rPr>
          <w:sz w:val="20"/>
          <w:szCs w:val="20"/>
          <w:color w:val="auto"/>
        </w:rPr>
      </w:pPr>
    </w:p>
    <w:p>
      <w:pPr>
        <w:ind w:left="1080" w:right="20" w:firstLine="411"/>
        <w:spacing w:after="0" w:line="255" w:lineRule="auto"/>
        <w:tabs>
          <w:tab w:leader="none" w:pos="175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Effect a Shelf Takedown</w:t>
      </w:r>
      <w:r>
        <w:rPr>
          <w:rFonts w:ascii="Times New Roman" w:cs="Times New Roman" w:eastAsia="Times New Roman" w:hAnsi="Times New Roman"/>
          <w:sz w:val="18"/>
          <w:szCs w:val="18"/>
          <w:color w:val="auto"/>
        </w:rPr>
        <w:t>. Following the date that is 18 months after the date of this Agreement, from time to time when a Shelf Registration Statement is effective, each Standstill Shareholder that has Registrable Securities covered by such Shelf Registration Statement shall be entitled to sell such Registrable Securities pursuant to the plan of distribution in such Shelf Registration Statement (each, a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including pursuant to any sale pursuant to a plan that complies with Rule 10b5-1 under the Exchange Act (a</w:t>
      </w:r>
    </w:p>
    <w:p>
      <w:pPr>
        <w:spacing w:after="0" w:line="2" w:lineRule="exact"/>
        <w:rPr>
          <w:rFonts w:ascii="Times New Roman" w:cs="Times New Roman" w:eastAsia="Times New Roman" w:hAnsi="Times New Roman"/>
          <w:sz w:val="18"/>
          <w:szCs w:val="18"/>
          <w:color w:val="auto"/>
        </w:rPr>
      </w:pPr>
    </w:p>
    <w:p>
      <w:pPr>
        <w:ind w:left="1080" w:righ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xml:space="preserve">”), but only in accordance with the limitations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holder of Registrable Securities shall be entitled to request that a Shelf Takedown be an underwritten offering. Each Standstill Shareholder shall also give the Corporation prompt written notice of the consummation of each Shelf Takedown or the entry into a Rule 10b5-1 Plan in respect of the Registrable Securities.</w:t>
      </w:r>
    </w:p>
    <w:p>
      <w:pPr>
        <w:spacing w:after="0" w:line="77" w:lineRule="exact"/>
        <w:rPr>
          <w:rFonts w:ascii="Times New Roman" w:cs="Times New Roman" w:eastAsia="Times New Roman" w:hAnsi="Times New Roman"/>
          <w:sz w:val="18"/>
          <w:szCs w:val="18"/>
          <w:color w:val="auto"/>
        </w:rPr>
      </w:pPr>
    </w:p>
    <w:p>
      <w:pPr>
        <w:ind w:left="1080" w:firstLine="411"/>
        <w:spacing w:after="0" w:line="252" w:lineRule="auto"/>
        <w:tabs>
          <w:tab w:leader="none" w:pos="18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Rights</w:t>
      </w:r>
      <w:r>
        <w:rPr>
          <w:rFonts w:ascii="Times New Roman" w:cs="Times New Roman" w:eastAsia="Times New Roman" w:hAnsi="Times New Roman"/>
          <w:sz w:val="18"/>
          <w:szCs w:val="18"/>
          <w:color w:val="auto"/>
        </w:rPr>
        <w:t xml:space="preserve">. Notwithstanding anything to the contrary contained herein, the Corporation may delay the filing or effectiveness of a Shelf Registration Statement required by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may, upon written notice to any Standstill Shareholder whose Registrable Securities are included in the Shelf Registration Statement, suspend such Standstill Shareholder’s use of any prospectus which is a part of the Shelf Registration Statement (in which event such Standstill Shareholder shall discontinue sales of the Registrable Securities pursuant to the Shelf Registration Statement) if (a) the Corporation is pursuing an acquisition, merger, reorganization, disposition or similar transaction and the Corporation determines in good faith that the Corporation’s ability to pursue or consummate such a transaction would be materially and adversely affected by any required disclosure of such transaction in the Shelf Registration Statement or (b) the Corporation has experienced some other non-public event the disclosure of which at such time, in the good faith judgment of the Corporation, would materially and adversely affect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Standstill Shareholders be suspended from selling Registrable Securities pursuant to the Shelf Registration Statement for a period that exceeds an aggregate of 60 days in any 180 day period. Upon disclosure of such information or the termination of the condition described above, the Corporation shall provide prompt notice to the Standstill Shareholders whose Registrable Securities are included in the Shelf Registration Statement, and shall promptly terminate any suspension of sales it has put into effect under this clause (iii) and shall take such other actions necessary or appropriate to permit registered sales of Registrable Securities as contemplated in this Agreement.</w:t>
      </w:r>
    </w:p>
    <w:p>
      <w:pPr>
        <w:spacing w:after="0" w:line="90" w:lineRule="exact"/>
        <w:rPr>
          <w:rFonts w:ascii="Times New Roman" w:cs="Times New Roman" w:eastAsia="Times New Roman" w:hAnsi="Times New Roman"/>
          <w:sz w:val="18"/>
          <w:szCs w:val="18"/>
          <w:color w:val="auto"/>
        </w:rPr>
      </w:pPr>
    </w:p>
    <w:p>
      <w:pPr>
        <w:ind w:left="1080" w:firstLine="411"/>
        <w:spacing w:after="0" w:line="258" w:lineRule="auto"/>
        <w:tabs>
          <w:tab w:leader="none" w:pos="179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Become Effective</w:t>
      </w:r>
      <w:r>
        <w:rPr>
          <w:rFonts w:ascii="Times New Roman" w:cs="Times New Roman" w:eastAsia="Times New Roman" w:hAnsi="Times New Roman"/>
          <w:sz w:val="18"/>
          <w:szCs w:val="18"/>
          <w:color w:val="auto"/>
        </w:rPr>
        <w:t xml:space="preserve">. If a Shelf Registration Statement required by </w:t>
      </w:r>
      <w:r>
        <w:rPr>
          <w:rFonts w:ascii="Times New Roman" w:cs="Times New Roman" w:eastAsia="Times New Roman" w:hAnsi="Times New Roman"/>
          <w:sz w:val="18"/>
          <w:szCs w:val="18"/>
          <w:u w:val="single" w:color="auto"/>
          <w:color w:val="auto"/>
        </w:rPr>
        <w:t>Section 3(e)(i)</w:t>
      </w:r>
      <w:r>
        <w:rPr>
          <w:rFonts w:ascii="Times New Roman" w:cs="Times New Roman" w:eastAsia="Times New Roman" w:hAnsi="Times New Roman"/>
          <w:sz w:val="18"/>
          <w:szCs w:val="18"/>
          <w:color w:val="auto"/>
        </w:rPr>
        <w:t xml:space="preserve"> does not become or is not declared effective within 180 days after the date that is 18 months after the date of this Agreement (such 180th day, the “</w:t>
      </w:r>
      <w:r>
        <w:rPr>
          <w:rFonts w:ascii="Times New Roman" w:cs="Times New Roman" w:eastAsia="Times New Roman" w:hAnsi="Times New Roman"/>
          <w:sz w:val="18"/>
          <w:szCs w:val="18"/>
          <w:u w:val="single" w:color="auto"/>
          <w:color w:val="auto"/>
        </w:rPr>
        <w:t>Target Effective Date</w:t>
      </w:r>
      <w:r>
        <w:rPr>
          <w:rFonts w:ascii="Times New Roman" w:cs="Times New Roman" w:eastAsia="Times New Roman" w:hAnsi="Times New Roman"/>
          <w:sz w:val="18"/>
          <w:szCs w:val="18"/>
          <w:color w:val="auto"/>
        </w:rPr>
        <w:t>”), then, the Dividend Rate (as defined in the Articles) with respect to the Preferred Shares held by the Standstill Shareholders will be increased by (i) 0.25% per annum commencing on the first Dividend Payment Date (as defined in the Articles) immediately following the Target Effective Date and (ii) an additional 0.25% per annum</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80"/>
          </w:cols>
          <w:pgMar w:left="240" w:top="456" w:right="4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55" w:lineRule="auto"/>
        <w:rPr>
          <w:sz w:val="20"/>
          <w:szCs w:val="20"/>
          <w:color w:val="auto"/>
        </w:rPr>
      </w:pPr>
      <w:r>
        <w:rPr>
          <w:rFonts w:ascii="Times New Roman" w:cs="Times New Roman" w:eastAsia="Times New Roman" w:hAnsi="Times New Roman"/>
          <w:sz w:val="18"/>
          <w:szCs w:val="18"/>
          <w:color w:val="auto"/>
        </w:rPr>
        <w:t xml:space="preserve">commencing on each subsequent Dividend Payment Date (as defined in the Articles), up to a maximum increase of 1.00% per annum (“Delayed Registration Dividend Adjustment”), until such time as the Shelf Registration Statement is declared effective or there are no longer any Registrable Securities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failure of the Shelf Registration Statement to become or be declared effective is due primarily to effects, events or circumstances arising out of or related to (a) a breach of any representation or warranty or any covenant by any party to the Purchase Agreement other than the Corporation or (b) a failure by a Standstill Shareholder to furnish to the Corporation the information specified in the second paragraph of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then no Delayed Registration Dividend Adjustment shall be payable hereunder for such failure.</w:t>
      </w:r>
    </w:p>
    <w:p>
      <w:pPr>
        <w:spacing w:after="0" w:line="189" w:lineRule="exact"/>
        <w:rPr>
          <w:sz w:val="20"/>
          <w:szCs w:val="20"/>
          <w:color w:val="auto"/>
        </w:rPr>
      </w:pPr>
    </w:p>
    <w:p>
      <w:pPr>
        <w:ind w:left="200" w:right="60" w:firstLine="1436"/>
        <w:spacing w:after="0" w:line="282" w:lineRule="auto"/>
        <w:tabs>
          <w:tab w:leader="none" w:pos="1857"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xml:space="preserve">. If and in each case when any Registrable Securities are included in a Public Offering as provided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Corporation shall (in each case, subject to the limitations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80" w:right="100" w:firstLine="411"/>
        <w:spacing w:after="0" w:line="261" w:lineRule="auto"/>
        <w:tabs>
          <w:tab w:leader="none" w:pos="17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applicable Registration Statement and the Prospectus used in connection therewith as may be necessary to (A) keep such Registration Statement effective for a period not in excess of the later of</w:t>
      </w:r>
    </w:p>
    <w:p>
      <w:pPr>
        <w:ind w:left="1080" w:right="60" w:firstLine="5"/>
        <w:spacing w:after="0" w:line="253" w:lineRule="auto"/>
        <w:tabs>
          <w:tab w:leader="none" w:pos="133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years (or such shorter period which will terminate when all Registrable Securities covered by such Registration Statement have been sold) and (y) the date that is one year after the date on which the last Escrowed Shares are released from escrow pursuant to the Purchase Agreement and the Escrowed Shares Escrow Agreement, and (B) comply with the provisions of the Securities Act and the Exchange Act with respect to the disposition of all securities covered by such Registration Statement during such period in accordance with the intended methods of disposition by the seller or sellers thereof set forth in such Registration Statement;</w:t>
      </w:r>
    </w:p>
    <w:p>
      <w:pPr>
        <w:spacing w:after="0" w:line="79" w:lineRule="exact"/>
        <w:rPr>
          <w:rFonts w:ascii="Times New Roman" w:cs="Times New Roman" w:eastAsia="Times New Roman" w:hAnsi="Times New Roman"/>
          <w:sz w:val="18"/>
          <w:szCs w:val="18"/>
          <w:color w:val="auto"/>
        </w:rPr>
      </w:pPr>
    </w:p>
    <w:p>
      <w:pPr>
        <w:ind w:left="1080" w:right="140" w:firstLine="411"/>
        <w:spacing w:after="0" w:line="256" w:lineRule="auto"/>
        <w:tabs>
          <w:tab w:leader="none" w:pos="175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or make available to each holder of such Registrable Securities such number of copies of such Registration Statement and of each amendment and supplement thereto (in each case including all exhibits filed therewith), such number of copies of the Prospectus included in such Registration Statement (including each preliminary Prospectus and summary Prospectus), in conformity with the requirements of the Securities Act, and such other documents as such holder may reasonably request in order to facilitate the offering and sale of such Registrable Securities by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may furnish or make available any such documents in electronic format;</w:t>
      </w:r>
    </w:p>
    <w:p>
      <w:pPr>
        <w:spacing w:after="0" w:line="79" w:lineRule="exact"/>
        <w:rPr>
          <w:rFonts w:ascii="Times New Roman" w:cs="Times New Roman" w:eastAsia="Times New Roman" w:hAnsi="Times New Roman"/>
          <w:sz w:val="18"/>
          <w:szCs w:val="18"/>
          <w:color w:val="auto"/>
        </w:rPr>
      </w:pPr>
    </w:p>
    <w:p>
      <w:pPr>
        <w:ind w:left="1080" w:firstLine="411"/>
        <w:spacing w:after="0" w:line="256" w:lineRule="auto"/>
        <w:tabs>
          <w:tab w:leader="none" w:pos="18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register or qualify such Registrable Securities covered by such registration in such jurisdictions as each holder of such Registrable Securities may reasonably request, and do any and all other acts and things which may be reasonably necessary or advisable to enable such holder to consummate the offer and sale in such jurisdictions of such Registrable Securities owned by such holder, except that the Corporation shall not for any such purpose be required to qualify generally to do business as a foreign corporation in any jurisdiction where, but for the requirements of this clause (iii), it would not be obligated to be so qualified or to consent to general service of process or become subject to taxation in any such jurisdiction;</w:t>
      </w:r>
    </w:p>
    <w:p>
      <w:pPr>
        <w:spacing w:after="0" w:line="79" w:lineRule="exact"/>
        <w:rPr>
          <w:rFonts w:ascii="Times New Roman" w:cs="Times New Roman" w:eastAsia="Times New Roman" w:hAnsi="Times New Roman"/>
          <w:sz w:val="18"/>
          <w:szCs w:val="18"/>
          <w:color w:val="auto"/>
        </w:rPr>
      </w:pPr>
    </w:p>
    <w:p>
      <w:pPr>
        <w:ind w:left="1080" w:firstLine="411"/>
        <w:spacing w:after="0" w:line="254" w:lineRule="auto"/>
        <w:tabs>
          <w:tab w:leader="none" w:pos="179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 each holder of such Registrable Securities, at any time when a Prospectus relating thereto is required to be delivered under the Securities Act, of the Corporation’s becoming aware that the Prospectus included in such Registration Statement, as then in effect, includes an untrue statement of a material fact or omits to state a material fact required to be stated therein or necessary to make the statements therein not misleading in the light of the circumstances under which they were made, and at the request of any such holder, prepare and furnish or make available to such holder a reasonable number of copies of an amended or supplemental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the light of the circumstances under which they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may furnish or make available any such amended or supplemental Prospectus in electronic format;</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220"/>
          </w:cols>
          <w:pgMar w:left="240" w:top="455" w:right="4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740" w:hanging="249"/>
        <w:spacing w:after="0"/>
        <w:tabs>
          <w:tab w:leader="none" w:pos="17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SEC;</w:t>
      </w:r>
    </w:p>
    <w:p>
      <w:pPr>
        <w:spacing w:after="0" w:line="117" w:lineRule="exact"/>
        <w:rPr>
          <w:rFonts w:ascii="Times New Roman" w:cs="Times New Roman" w:eastAsia="Times New Roman" w:hAnsi="Times New Roman"/>
          <w:sz w:val="18"/>
          <w:szCs w:val="18"/>
          <w:color w:val="auto"/>
        </w:rPr>
      </w:pPr>
    </w:p>
    <w:p>
      <w:pPr>
        <w:ind w:left="1080" w:right="200" w:firstLine="411"/>
        <w:spacing w:after="0" w:line="282" w:lineRule="auto"/>
        <w:tabs>
          <w:tab w:leader="none" w:pos="179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each underwriter or agent, if any, participating in the disposition of such Registrable Securities and its counsel in connection with any filings required to be made with FINRA;</w:t>
      </w:r>
    </w:p>
    <w:p>
      <w:pPr>
        <w:spacing w:after="0" w:line="53" w:lineRule="exact"/>
        <w:rPr>
          <w:rFonts w:ascii="Times New Roman" w:cs="Times New Roman" w:eastAsia="Times New Roman" w:hAnsi="Times New Roman"/>
          <w:sz w:val="18"/>
          <w:szCs w:val="18"/>
          <w:color w:val="auto"/>
        </w:rPr>
      </w:pPr>
    </w:p>
    <w:p>
      <w:pPr>
        <w:jc w:val="both"/>
        <w:ind w:left="1080" w:right="240" w:firstLine="411"/>
        <w:spacing w:after="0" w:line="266" w:lineRule="auto"/>
        <w:tabs>
          <w:tab w:leader="none" w:pos="18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list such Registrable Securities on any securities exchange or authorize for quotation on each other market on which Common Shares are then listed or authorized for quotation at the Corporation’s initiation, if such Registrable Securities are not already so listed or authorized for quotation;</w:t>
      </w:r>
    </w:p>
    <w:p>
      <w:pPr>
        <w:spacing w:after="0" w:line="68" w:lineRule="exact"/>
        <w:rPr>
          <w:rFonts w:ascii="Times New Roman" w:cs="Times New Roman" w:eastAsia="Times New Roman" w:hAnsi="Times New Roman"/>
          <w:sz w:val="18"/>
          <w:szCs w:val="18"/>
          <w:color w:val="auto"/>
        </w:rPr>
      </w:pPr>
    </w:p>
    <w:p>
      <w:pPr>
        <w:ind w:left="1080" w:right="140" w:firstLine="411"/>
        <w:spacing w:after="0" w:line="253" w:lineRule="auto"/>
        <w:tabs>
          <w:tab w:leader="none" w:pos="189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available for inspection by any holder of such Registrable Securities, by any managing underwriter or underwriters participating in any such Public Offering and by any attorney, accountant or other agent retained by any such holder of Registrable Securities or any such managing underwriter, all pertinent financial and other records, pertinent corporate documents and properties of the Corporation, and cause the Corporation’s officers, directors and employees to supply all information reasonably requested by any such holder, underwriter, attorney, accountant or agent in connection with such Public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information that is not generally publicly available at the time of delivery of such information shall be kept confidential by such Persons unless (A) disclosure of such information is required by court or administrative order, (B) disclosure of such information, in the opinion of counsel to such Person, is required by applicable law or applicable legal process or (C) such information becomes generally available to the public other than as a result of a non-permitted disclosure or failure to safeguard by such Person (in the case of a proposed disclosure pursuant to the immediately preceding clauses (A) or (B), such Person shall be required to give the Corporation written notice of the proposed disclosure prior to such disclosure and, if requested by the Corporation, assist the Corporation (at the Corporation’s sole cost and expense) in seeking to prevent or limit the proposed disclosure); and without limiting the foregoing, no such information shall be used by such Person as the basis for any market transactions in securities of the Corporation or its Subsidiaries in violation of applicable law;</w:t>
      </w:r>
    </w:p>
    <w:p>
      <w:pPr>
        <w:spacing w:after="0" w:line="80" w:lineRule="exact"/>
        <w:rPr>
          <w:rFonts w:ascii="Times New Roman" w:cs="Times New Roman" w:eastAsia="Times New Roman" w:hAnsi="Times New Roman"/>
          <w:sz w:val="18"/>
          <w:szCs w:val="18"/>
          <w:color w:val="auto"/>
        </w:rPr>
      </w:pPr>
    </w:p>
    <w:p>
      <w:pPr>
        <w:ind w:left="1080" w:firstLine="411"/>
        <w:spacing w:after="0" w:line="255" w:lineRule="auto"/>
        <w:tabs>
          <w:tab w:leader="none" w:pos="179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such Registrable Securities and any managing underwriter or agent, promptly, and confirm the notice in writing (A) when the Registration Statement, or any post-effective amendment to the Registration Statement, shall have become effective, or any supplement to the Prospectus or any amendment to the Prospectus shall have been filed, (B) of the receipt of any comments from the SEC, (C) of any request of the SEC to amend the Registration Statement or amend or supplement the Prospectus or for additional information and (D) of the issuance by the SEC of any stop order suspending the effectiveness of the Registration Statement or of any order preventing or suspending the use of any preliminary Prospectus, or of the suspension of the qualification of the Registration Statement for offering or sale in any jurisdiction, or of the institution or threatening of any proceedings for any of such purposes;</w:t>
      </w:r>
    </w:p>
    <w:p>
      <w:pPr>
        <w:spacing w:after="0" w:line="81" w:lineRule="exact"/>
        <w:rPr>
          <w:rFonts w:ascii="Times New Roman" w:cs="Times New Roman" w:eastAsia="Times New Roman" w:hAnsi="Times New Roman"/>
          <w:sz w:val="18"/>
          <w:szCs w:val="18"/>
          <w:color w:val="auto"/>
        </w:rPr>
      </w:pPr>
    </w:p>
    <w:p>
      <w:pPr>
        <w:jc w:val="both"/>
        <w:ind w:left="1080" w:right="420" w:firstLine="411"/>
        <w:spacing w:after="0" w:line="266" w:lineRule="auto"/>
        <w:tabs>
          <w:tab w:leader="none" w:pos="17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prevent the issuance of any stop order suspending the effectiveness of the Registration Statement or of any order preventing or suspending the use of any preliminary Prospectus and, if any such order is issued, to obtain the withdrawal of any such order as soon as practicable; and</w:t>
      </w:r>
    </w:p>
    <w:p>
      <w:pPr>
        <w:spacing w:after="0" w:line="68" w:lineRule="exact"/>
        <w:rPr>
          <w:rFonts w:ascii="Times New Roman" w:cs="Times New Roman" w:eastAsia="Times New Roman" w:hAnsi="Times New Roman"/>
          <w:sz w:val="18"/>
          <w:szCs w:val="18"/>
          <w:color w:val="auto"/>
        </w:rPr>
      </w:pPr>
    </w:p>
    <w:p>
      <w:pPr>
        <w:jc w:val="both"/>
        <w:ind w:left="1080" w:right="100" w:firstLine="411"/>
        <w:spacing w:after="0" w:line="261" w:lineRule="auto"/>
        <w:tabs>
          <w:tab w:leader="none" w:pos="179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holders of such Registrable Securities and the managing underwriter or agent, if any, to facilitate the timely preparation and delivery of certificates (not bearing any restrictive legends) representing Registrable Securities to be sold in such Public Offering, and enable such securities to be in such denominations and registered in such names as the managing underwriter or agent, if any, or such holders may request.</w:t>
      </w:r>
    </w:p>
    <w:p>
      <w:pPr>
        <w:spacing w:after="0" w:line="180" w:lineRule="exact"/>
        <w:rPr>
          <w:sz w:val="20"/>
          <w:szCs w:val="20"/>
          <w:color w:val="auto"/>
        </w:rPr>
      </w:pPr>
    </w:p>
    <w:p>
      <w:pPr>
        <w:ind w:left="200" w:right="4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The Corporation may require each holder of Registrable Securities that has requested to include, or will have included, any Registrable Securities in a Public Offering or a Shelf Registration Statement in accordance with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to furnish to the Corporation in writing such information required in connection with such</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220"/>
          </w:cols>
          <w:pgMar w:left="240" w:top="455" w:right="4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Public Offering or Shelf Registration Statement regarding such holder of Registrable Securities and the distribution of such Registrable Securities as the Corporation may, from time to time, reasonably request in writing and the Corporation may exclude from such Public Offering or Shelf Registration Statement the Registrable Securities of any holder who unreasonably fails to furnish such information within a reasonable time after receiving such request.</w:t>
      </w:r>
    </w:p>
    <w:p>
      <w:pPr>
        <w:spacing w:after="0" w:line="180" w:lineRule="exact"/>
        <w:rPr>
          <w:sz w:val="20"/>
          <w:szCs w:val="20"/>
          <w:color w:val="auto"/>
        </w:rPr>
      </w:pPr>
    </w:p>
    <w:p>
      <w:pPr>
        <w:ind w:left="200" w:right="80" w:firstLine="881"/>
        <w:spacing w:after="0" w:line="258" w:lineRule="auto"/>
        <w:rPr>
          <w:sz w:val="20"/>
          <w:szCs w:val="20"/>
          <w:color w:val="auto"/>
        </w:rPr>
      </w:pPr>
      <w:r>
        <w:rPr>
          <w:rFonts w:ascii="Times New Roman" w:cs="Times New Roman" w:eastAsia="Times New Roman" w:hAnsi="Times New Roman"/>
          <w:sz w:val="18"/>
          <w:szCs w:val="18"/>
          <w:color w:val="auto"/>
        </w:rPr>
        <w:t xml:space="preserve">Upon any determination by the Corporation of the existence of facts or circumstances resulting in the application of </w:t>
      </w:r>
      <w:r>
        <w:rPr>
          <w:rFonts w:ascii="Times New Roman" w:cs="Times New Roman" w:eastAsia="Times New Roman" w:hAnsi="Times New Roman"/>
          <w:sz w:val="18"/>
          <w:szCs w:val="18"/>
          <w:u w:val="single" w:color="auto"/>
          <w:color w:val="auto"/>
        </w:rPr>
        <w:t>Section 3(f)(iv)</w:t>
      </w:r>
      <w:r>
        <w:rPr>
          <w:rFonts w:ascii="Times New Roman" w:cs="Times New Roman" w:eastAsia="Times New Roman" w:hAnsi="Times New Roman"/>
          <w:sz w:val="18"/>
          <w:szCs w:val="18"/>
          <w:color w:val="auto"/>
        </w:rPr>
        <w:t xml:space="preserve"> or the occurrence of any event of the kind described in clause (B), (C) or (D) of </w:t>
      </w:r>
      <w:r>
        <w:rPr>
          <w:rFonts w:ascii="Times New Roman" w:cs="Times New Roman" w:eastAsia="Times New Roman" w:hAnsi="Times New Roman"/>
          <w:sz w:val="18"/>
          <w:szCs w:val="18"/>
          <w:u w:val="single" w:color="auto"/>
          <w:color w:val="auto"/>
        </w:rPr>
        <w:t>Section 3(f)(ix)</w:t>
      </w:r>
      <w:r>
        <w:rPr>
          <w:rFonts w:ascii="Times New Roman" w:cs="Times New Roman" w:eastAsia="Times New Roman" w:hAnsi="Times New Roman"/>
          <w:sz w:val="18"/>
          <w:szCs w:val="18"/>
          <w:color w:val="auto"/>
        </w:rPr>
        <w:t xml:space="preserve">, all disposition efforts with respect to any Registrable Securities included in any Public Offering or Shelf Registration Statement will forthwith be discontinued until the Corporation has furnished or made available the supplemented or amended Prospectus contemplated by </w:t>
      </w:r>
      <w:r>
        <w:rPr>
          <w:rFonts w:ascii="Times New Roman" w:cs="Times New Roman" w:eastAsia="Times New Roman" w:hAnsi="Times New Roman"/>
          <w:sz w:val="18"/>
          <w:szCs w:val="18"/>
          <w:u w:val="single" w:color="auto"/>
          <w:color w:val="auto"/>
        </w:rPr>
        <w:t>Section 3(f)(iv)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3(f)(ix)</w:t>
      </w:r>
      <w:r>
        <w:rPr>
          <w:rFonts w:ascii="Times New Roman" w:cs="Times New Roman" w:eastAsia="Times New Roman" w:hAnsi="Times New Roman"/>
          <w:sz w:val="18"/>
          <w:szCs w:val="18"/>
          <w:color w:val="auto"/>
        </w:rPr>
        <w:t>, or until the Corporation has advised all holders of such Registrable Securities that the use of the applicable Prospectus may be resumed.</w:t>
      </w:r>
    </w:p>
    <w:p>
      <w:pPr>
        <w:spacing w:after="0" w:line="184" w:lineRule="exact"/>
        <w:rPr>
          <w:sz w:val="20"/>
          <w:szCs w:val="20"/>
          <w:color w:val="auto"/>
        </w:rPr>
      </w:pPr>
    </w:p>
    <w:p>
      <w:pPr>
        <w:ind w:left="200" w:right="220" w:firstLine="1436"/>
        <w:spacing w:after="0" w:line="254" w:lineRule="auto"/>
        <w:tabs>
          <w:tab w:leader="none" w:pos="188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Arrangements</w:t>
      </w:r>
      <w:r>
        <w:rPr>
          <w:rFonts w:ascii="Times New Roman" w:cs="Times New Roman" w:eastAsia="Times New Roman" w:hAnsi="Times New Roman"/>
          <w:sz w:val="18"/>
          <w:szCs w:val="18"/>
          <w:color w:val="auto"/>
        </w:rPr>
        <w:t>. Notwithstanding any other provision of this Agreement, without the prior written consent of the underwriters managing any underwritten Public Offering, for a period beginning seven days immediately preceding, and ending on the 90th day following, the effective date of the Registration Statement used in connection with such Public Offering, neither the Corporation nor any Shareholder (whether or not a selling shareholder pursuant to such Public Offering) shall (i) offer, pledge, sell, contract to sell, sell any option or contract to purchase, purchase any option or contract to sell, grant any option, right or warrant to purchase, lend or otherwise Transfer, directly or indirectly, any Common Shares or any securities convertible into or exercisable or exchangeable for Common Shares, except pursuant to such Public Offering, or</w:t>
      </w:r>
    </w:p>
    <w:p>
      <w:pPr>
        <w:ind w:left="200" w:firstLine="4"/>
        <w:spacing w:after="0" w:line="254" w:lineRule="auto"/>
        <w:tabs>
          <w:tab w:leader="none" w:pos="46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swap or other arrangement that transfers to another, in whole or in part, any of the economic consequences of ownership of Common Shares, whether any such transaction described in clauses (i) or (ii) above is to be settled by delivery of Common Shares or such other securities, in cash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restrictions shall not apply to: (A) Transfers to a Permitted Transferee of such holder in accordance with the terms of this Agreement; or (B) any transaction referred to in clause (i), (ii) or (v) of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200" w:firstLine="1436"/>
        <w:spacing w:after="0" w:line="253" w:lineRule="auto"/>
        <w:tabs>
          <w:tab w:leader="none" w:pos="188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Except as provided in the last sentence of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the Corporation will pay or otherwise bear all the expense attributable to the registration of Registrable Securities under the Securities Act for sale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including all of the following: (i) registration and filing fees payable under the Securities Act; (ii) filing fees payable to FINRA; (iii) fees and expenses attributable to the listing of the Common Shares that are Registrable Securities on each securities exchange on which the Common Shares are then listed or included at the Corporation’s initiation; (iv) registrar and transfer agents’ fees; (v) fees and disbursements of the Corporation’s counsel and independent registered public accounting firm; (vi) printing expenses; (vii) messenger and delivery expenses; (viii) the Corporation’s internal expenses, including the salaries and expenses of its employees; and (ix) reasonable fees and expenses of one legal counsel selected by the majority-in-interest of the Requesting Holders participating in any Public Offering. Each Requesting Holder participating in any Public Offering will pay or otherwise bear all underwriting commissions and discounts and transfer taxes or stamp or other duties attributable to such Requesting Holder’s sale or other disposition of shares of Registrable Securities, and other than as set forth in the foregoing clause (ix), each such Requesting Holder will pay or otherwise bear (i) the fees and expenses of that Requesting Holder’s counsel and any other advisor or other Person such Requesting Holder may retain in connection with such Public Offering, and (ii) such Requesting Holder’s internal expenses, including the salaries and expenses of its employees (if any).</w:t>
      </w:r>
    </w:p>
    <w:p>
      <w:pPr>
        <w:spacing w:after="0" w:line="190" w:lineRule="exact"/>
        <w:rPr>
          <w:rFonts w:ascii="Times New Roman" w:cs="Times New Roman" w:eastAsia="Times New Roman" w:hAnsi="Times New Roman"/>
          <w:sz w:val="18"/>
          <w:szCs w:val="18"/>
          <w:color w:val="auto"/>
        </w:rPr>
      </w:pPr>
    </w:p>
    <w:p>
      <w:pPr>
        <w:ind w:left="200" w:right="320" w:firstLine="1436"/>
        <w:spacing w:after="0" w:line="282" w:lineRule="auto"/>
        <w:tabs>
          <w:tab w:leader="none" w:pos="184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Registration Rights</w:t>
      </w:r>
      <w:r>
        <w:rPr>
          <w:rFonts w:ascii="Times New Roman" w:cs="Times New Roman" w:eastAsia="Times New Roman" w:hAnsi="Times New Roman"/>
          <w:sz w:val="18"/>
          <w:szCs w:val="18"/>
          <w:color w:val="auto"/>
        </w:rPr>
        <w:t xml:space="preserve">. A Shareholder may not transfer the registration rights provided for in this Agreement to any other Person, except to a Permitted Transferee in accordance with the provisions of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0" w:right="440" w:firstLine="1436"/>
        <w:spacing w:after="0" w:line="282" w:lineRule="auto"/>
        <w:tabs>
          <w:tab w:leader="none" w:pos="184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Certain Transfers of Registered Securities</w:t>
      </w:r>
      <w:r>
        <w:rPr>
          <w:rFonts w:ascii="Times New Roman" w:cs="Times New Roman" w:eastAsia="Times New Roman" w:hAnsi="Times New Roman"/>
          <w:sz w:val="18"/>
          <w:szCs w:val="18"/>
          <w:color w:val="auto"/>
        </w:rPr>
        <w:t xml:space="preserve">. Any Common Shares that constitute Shares that are (i) Transferred in a Public Offering in accordance with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(ii) in a</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80"/>
          </w:cols>
          <w:pgMar w:left="240" w:top="456" w:right="47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66" w:lineRule="auto"/>
        <w:rPr>
          <w:sz w:val="20"/>
          <w:szCs w:val="20"/>
          <w:color w:val="auto"/>
        </w:rPr>
      </w:pPr>
      <w:r>
        <w:rPr>
          <w:rFonts w:ascii="Times New Roman" w:cs="Times New Roman" w:eastAsia="Times New Roman" w:hAnsi="Times New Roman"/>
          <w:sz w:val="18"/>
          <w:szCs w:val="18"/>
          <w:color w:val="auto"/>
        </w:rPr>
        <w:t xml:space="preserve">transaction pursuant to Rule 144 in accordance with the provisions of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conclusively be deemed thereafter not to be Shares or Registrable Securities under this Agreement and not to be subject to any of the provisions hereof or entitled to the benefit of any of the provisions hereof.</w:t>
      </w:r>
    </w:p>
    <w:p>
      <w:pPr>
        <w:spacing w:after="0" w:line="176" w:lineRule="exact"/>
        <w:rPr>
          <w:sz w:val="20"/>
          <w:szCs w:val="20"/>
          <w:color w:val="auto"/>
        </w:rPr>
      </w:pPr>
    </w:p>
    <w:p>
      <w:pPr>
        <w:ind w:left="200" w:right="60" w:firstLine="1436"/>
        <w:spacing w:after="0" w:line="257" w:lineRule="auto"/>
        <w:tabs>
          <w:tab w:leader="none" w:pos="1887"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Registration Rights Agreements</w:t>
      </w:r>
      <w:r>
        <w:rPr>
          <w:rFonts w:ascii="Times New Roman" w:cs="Times New Roman" w:eastAsia="Times New Roman" w:hAnsi="Times New Roman"/>
          <w:sz w:val="18"/>
          <w:szCs w:val="18"/>
          <w:color w:val="auto"/>
        </w:rPr>
        <w:t>. Except with respect to any acquisition, financing or other transaction (or series of related acquisitions, financings or other transactions) involving the grant of De Minimis Registration Rights, without the prior written consent of holders of a majority of the then outstanding Registrable Securities, the Corporation will not enter into any agreement with respect to its securities that</w:t>
      </w:r>
    </w:p>
    <w:p>
      <w:pPr>
        <w:spacing w:after="0" w:line="1" w:lineRule="exact"/>
        <w:rPr>
          <w:rFonts w:ascii="Times New Roman" w:cs="Times New Roman" w:eastAsia="Times New Roman" w:hAnsi="Times New Roman"/>
          <w:sz w:val="18"/>
          <w:szCs w:val="18"/>
          <w:color w:val="auto"/>
        </w:rPr>
      </w:pPr>
    </w:p>
    <w:p>
      <w:pPr>
        <w:ind w:left="200" w:firstLine="4"/>
        <w:spacing w:after="0" w:line="265" w:lineRule="auto"/>
        <w:tabs>
          <w:tab w:leader="none" w:pos="415"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conflicts with the provisions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(ii) provides rights to the other party that are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or more favorable than, the rights granted to the Shareholders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in any material respect; or (iii) imposes obligations on the other party that are less restrictive than the obligations imposed on the Shareholders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in any material respect, other than any lock-up agreement with the underwriters in connection with any registered offering effected hereunder pursuant to which the Corporation shall agree not to register for sale, and the Corporation shall agree not to sell or otherwise dispose of, Common Shares or any securities convertible into or exercisable or exchangeable for Common Shares, for a specified period following the registered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notwithstanding any other provision of this Section 3(k), the Corporation shall not grant registration rights to any Person in any transaction (or series of transactions) that would enable such Person to resell Common Shares pursuant to a registration statement that became effective prior to the effective date of the first Shelf Registration covering the resale of Registrable Securities that the Corporation is required to file on behalf of the Shareholders pursuant to Section 3(e)(i) hereof unless such registration rights cover</w:t>
      </w:r>
    </w:p>
    <w:p>
      <w:pPr>
        <w:spacing w:after="0" w:line="2" w:lineRule="exact"/>
        <w:rPr>
          <w:rFonts w:ascii="Times New Roman" w:cs="Times New Roman" w:eastAsia="Times New Roman" w:hAnsi="Times New Roman"/>
          <w:sz w:val="17"/>
          <w:szCs w:val="17"/>
          <w:color w:val="auto"/>
        </w:rPr>
      </w:pPr>
    </w:p>
    <w:p>
      <w:pPr>
        <w:ind w:left="420" w:hanging="216"/>
        <w:spacing w:after="0"/>
        <w:tabs>
          <w:tab w:leader="none" w:pos="4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to such Person in a capital raising transaction (or transactions) for the sole or primary benefit of the Corporation or</w:t>
      </w:r>
    </w:p>
    <w:p>
      <w:pPr>
        <w:spacing w:after="0" w:line="9" w:lineRule="exact"/>
        <w:rPr>
          <w:rFonts w:ascii="Times New Roman" w:cs="Times New Roman" w:eastAsia="Times New Roman" w:hAnsi="Times New Roman"/>
          <w:sz w:val="18"/>
          <w:szCs w:val="18"/>
          <w:color w:val="auto"/>
        </w:rPr>
      </w:pPr>
    </w:p>
    <w:p>
      <w:pPr>
        <w:ind w:left="200" w:right="80" w:firstLine="4"/>
        <w:spacing w:after="0" w:line="252" w:lineRule="auto"/>
        <w:tabs>
          <w:tab w:leader="none" w:pos="46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piggyback registration rights otherwise in compliance with this sentence, including cutback provisions complying with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Notwithstanding any other rights and remedies the Shareholders may have in respect of the Corporation or such other party pursuant to this Agreement, if the Corporation enters into any other registration rights or similar agreement with respect to any of its securities that contains provisions that violate the preceding sentence, the terms and conditions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immediately be deemed to have been amended without further action by the Corporation or any of the holders of Registrable Securities so that the such holders of such Registrable Securities shall each be entitled to the benefit of any such more favorable or less restrictive terms or conditions, as the case may be.</w:t>
      </w:r>
    </w:p>
    <w:p>
      <w:pPr>
        <w:spacing w:after="0" w:line="190" w:lineRule="exact"/>
        <w:rPr>
          <w:rFonts w:ascii="Times New Roman" w:cs="Times New Roman" w:eastAsia="Times New Roman" w:hAnsi="Times New Roman"/>
          <w:sz w:val="18"/>
          <w:szCs w:val="18"/>
          <w:color w:val="auto"/>
        </w:rPr>
      </w:pPr>
    </w:p>
    <w:p>
      <w:pPr>
        <w:ind w:left="200" w:right="20" w:firstLine="1436"/>
        <w:spacing w:after="0" w:line="254" w:lineRule="auto"/>
        <w:tabs>
          <w:tab w:leader="none" w:pos="1847"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Equivalent Registration Rights for New Listings</w:t>
      </w:r>
      <w:r>
        <w:rPr>
          <w:rFonts w:ascii="Times New Roman" w:cs="Times New Roman" w:eastAsia="Times New Roman" w:hAnsi="Times New Roman"/>
          <w:sz w:val="18"/>
          <w:szCs w:val="18"/>
          <w:color w:val="auto"/>
        </w:rPr>
        <w:t xml:space="preserve">. In the event the Corporation proposes to list its Common Shares on the Toronto Stock Exchange, or any other securities exchange (other than the New York Stock Exchange), or proposes to authorize the Common Shares for quotation on any securities market, prior to the effectiveness of such listing, the Corporation and the Standstill Shareholders shall negotiate in good faith to amend this Agreement to grant the Standstill Shareholders registration rights for the Registrable Securities that are, to the extent permitted by law, rule or regulation, substantially equivalent (to the extent permitted by applicable law, rule and regulation) to the registration rights granted to the Standstill Shareholders hereunder. For the avoidance of doubt, (i) the holding periods and other restrictions applicable to any such Registrable Securities under this Agreement shall not be extended as a result of such additional listings and (ii) all of the benefits afforded to, and all of the obligations imposed upon, the holders of Registrable Securities in connection with any disposition of Registrable Securities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shall apply, or shall apply as closely as possible in accordance with applicable law, rule and regulation, to any dispositions of securities by such holders of such Registrable Securities pursuant to such additional listings.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160" w:firstLine="1436"/>
        <w:spacing w:after="0" w:line="258" w:lineRule="auto"/>
        <w:tabs>
          <w:tab w:leader="none" w:pos="187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Corporation</w:t>
      </w:r>
      <w:r>
        <w:rPr>
          <w:rFonts w:ascii="Times New Roman" w:cs="Times New Roman" w:eastAsia="Times New Roman" w:hAnsi="Times New Roman"/>
          <w:sz w:val="18"/>
          <w:szCs w:val="18"/>
          <w:color w:val="auto"/>
        </w:rPr>
        <w:t xml:space="preserve">. In the event any Registrable Securities are included in any underwritten Public Offering pursuant to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and, in connection with such Public Offerings, Registrable Securities are sold, the Corporation shall indemnify and hold harmless, to the fullest extent permitted by applicable law, each Shareholder who is a seller of Registrable Securities in such Public Offering from and against any losses, claims, damages or liabilities (or Proceedings in respect thereof), joint or several, to which such Shareholder may be or become subject under the Securities Act, the Exchange Act or any other</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200"/>
          </w:cols>
          <w:pgMar w:left="240" w:top="456"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 xml:space="preserve">securities or other law of any jurisdiction, insofar as such losses, claims, damages or liabilities (or Proceedings in respect thereof) arise out of or are based upon (i) any untrue statement or alleged untrue statement of any material fact contained or incorporated by reference in any Registration Statement under the Securities Act, any preliminary Prospectus or final Prospectus included therein, or any related summary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(ii) any omission or alleged omission to state therein a material fact required to be stated therein or necessary to make the statements therein not misleading, and will reimburse such Shareholder for any out-of-pocket legal or any other out-of-pocket expenses reasonably incurred by it in connection with investigating or defending any such loss, claim, damage or liability (or any Proceedings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Corporation shall not be liable to any such Shareholder in any such case to the extent that any such loss, claim, damage or liability (or Proceeding)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information furnished to the Corporation in writing by or on behalf of any Shareholder for use in the preparation thereof. It is agreed that the Corporation’s indemnification obligations provided for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not apply to amounts paid in settlement of any such losses, claims, damages or liabilities (or Proceedings in respect thereof) if such settlement is effected without the consent of the Corporation (which consent shall not be unreasonably withheld).</w:t>
      </w:r>
    </w:p>
    <w:p>
      <w:pPr>
        <w:spacing w:after="0" w:line="197" w:lineRule="exact"/>
        <w:rPr>
          <w:sz w:val="20"/>
          <w:szCs w:val="20"/>
          <w:color w:val="auto"/>
        </w:rPr>
      </w:pPr>
    </w:p>
    <w:p>
      <w:pPr>
        <w:ind w:left="200" w:firstLine="1436"/>
        <w:spacing w:after="0" w:line="252" w:lineRule="auto"/>
        <w:tabs>
          <w:tab w:leader="none" w:pos="188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Selling Shareholders</w:t>
      </w:r>
      <w:r>
        <w:rPr>
          <w:rFonts w:ascii="Times New Roman" w:cs="Times New Roman" w:eastAsia="Times New Roman" w:hAnsi="Times New Roman"/>
          <w:sz w:val="18"/>
          <w:szCs w:val="18"/>
          <w:color w:val="auto"/>
        </w:rPr>
        <w:t xml:space="preserve">. Each Shareholder that participates in a Public Offering pursuant to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indemnify and hold harmless, to the fullest extent permitted by applicable law, the Corporation, each of its directors, officers, accountants, attorneys, agents and employees, each Person, if any, who controls the Corporation within the meaning of Section 15 of the Securities Act or Section 20 of the Exchange Act and each other Shareholder who participates in such Public Offering (each of the Corporation and such other Persons being referred to in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xml:space="preserve">”), from and against any losses, claims, damages or liabilities (or Proceedings in respect thereof), joint or several, to which such Covered Person may be or become subject under the Securities Act, the Exchange Act or any other securities or other law of any jurisdiction, insofar as such losses, claims, damages or liabilities (or Proceedings in respect thereof) arise out of or are based upon any statement in or omission from such Registration Statement, any preliminary Prospectus, final Prospectus or summary Prospectus included therein, or any amendment or supplement thereto, or any other disclosure document (including reports and other documents filed under the Exchange Act or any document incorporated therein) or other document or report, if such statement or omission was made in reliance upon and in conformity with information furnished to the Corporation in writing by or on behalf of such Shareholder for use in the preparation of such Registration Statement, preliminary Prospectus, final Prospectus, summary Prospectus, amendment or supplement, incorporated document or other document or report, and will reimburse such Covered Person for any out-of-pocket legal or any other out-of-pocket expenses reasonably incurred by it in connection with investigating or defending any such loss, claim, damage or liability (or any Proceeding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obligations of such Shareholder under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not apply to amounts paid in settlement of any such losses, claims, damages or liabilities (or Proceedings in respect thereof) if such settlement is effected without the consent of such Shareholder (which consent shall not be unreasonably withheld).</w:t>
      </w:r>
    </w:p>
    <w:p>
      <w:pPr>
        <w:spacing w:after="0" w:line="196" w:lineRule="exact"/>
        <w:rPr>
          <w:rFonts w:ascii="Times New Roman" w:cs="Times New Roman" w:eastAsia="Times New Roman" w:hAnsi="Times New Roman"/>
          <w:sz w:val="18"/>
          <w:szCs w:val="18"/>
          <w:color w:val="auto"/>
        </w:rPr>
      </w:pPr>
    </w:p>
    <w:p>
      <w:pPr>
        <w:ind w:left="1880" w:hanging="244"/>
        <w:spacing w:after="0"/>
        <w:tabs>
          <w:tab w:leader="none" w:pos="18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Person shall be entitled to indemnification pursuant to Section 4(a) or</w:t>
      </w:r>
    </w:p>
    <w:p>
      <w:pPr>
        <w:spacing w:after="0" w:line="27" w:lineRule="exact"/>
        <w:rPr>
          <w:sz w:val="20"/>
          <w:szCs w:val="20"/>
          <w:color w:val="auto"/>
        </w:rPr>
      </w:pPr>
    </w:p>
    <w:p>
      <w:pPr>
        <w:ind w:left="200" w:right="200"/>
        <w:spacing w:after="0" w:line="252" w:lineRule="auto"/>
        <w:rPr>
          <w:sz w:val="20"/>
          <w:szCs w:val="20"/>
          <w:color w:val="auto"/>
        </w:rPr>
      </w:pPr>
      <w:r>
        <w:rPr>
          <w:rFonts w:ascii="Times New Roman" w:cs="Times New Roman" w:eastAsia="Times New Roman" w:hAnsi="Times New Roman"/>
          <w:sz w:val="18"/>
          <w:szCs w:val="18"/>
          <w:color w:val="auto"/>
        </w:rPr>
        <w:t>Section 4(b) (an “Indemnified Party”), such Indemnified Party shall give prompt notice to the party from which such indemnity is sought (the “Indemnifying Party”) of any claim or of the commencement of any Proceeding with respect to which such Indemnified Party seeks indemnification pursuant hereto; provided, however,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220"/>
          </w:cols>
          <w:pgMar w:left="240" w:top="456" w:right="4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such claim or Proceeding, to assume, at the Indemnifying Party’s expense, the defense of any such claim or Proceeding, with counsel reasonably satisfactory to such Indemnified Party; provided, however,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(ii) the Indemnifying Party fails to assume the defense of such claim or Proceeding promptly; (iii) the Indemnified Party reasonably concludes, based on the advice of counsel, that a conflict of interest exists between the Indemnifying Party and the Indemnified Party in the defense of such claim or Proceeding; or (iv) the Indemnifying Party fails to employ counsel reasonably satisfactory to such Indemnified Party, in which case the Indemnified Party shall have the right to employ separate counsel and to assume the defense of such claim or Proceeding at the Indemnifying Party’s expense; provided, further,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(unless there is an actual conflict of interest between one or more of the Indemnified Parties and the Indemnifying Party has been notified in writing of such conflict, in which case such conflicted Indemnified Parties or group of conflicted Indemnified Parties (as the case may be) may be represented by separate counsel, the fees and expenses of whom shall be borne by the Indemnifying Party), or for fees and expenses that are not reasonable. Whether or not such defense is assumed by the Indemnifying Party, such Indemnifying Party will not be subject to any liability for any settlement made without its consent (which consent shall not be unreasonably withheld).</w:t>
      </w:r>
    </w:p>
    <w:p>
      <w:pPr>
        <w:spacing w:after="0" w:line="197" w:lineRule="exact"/>
        <w:rPr>
          <w:sz w:val="20"/>
          <w:szCs w:val="20"/>
          <w:color w:val="auto"/>
        </w:rPr>
      </w:pPr>
    </w:p>
    <w:p>
      <w:pPr>
        <w:ind w:left="200" w:firstLine="1436"/>
        <w:spacing w:after="0" w:line="252" w:lineRule="auto"/>
        <w:tabs>
          <w:tab w:leader="none" w:pos="188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is unavailable to an Indemnified Party in respect of any losses, claims, damages or liabilities (other than in accordance with the terms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then each applicable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Indemnifying Party, on the one hand, and such Indemnified Party, on the other hand, from the sale of the Registrable Securities covered by such Registration Statement; or (ii) if the allocation provided by the immediately preceding clause (i) is not permitted by applicable law, in such proportion as is appropriate to reflect not only the relative benefits referred to in the immediately preceding clause (i), but also the relative fault of the Indemnifying Party, on the one hand, and such Indemnified Party, on the other hand, in connection with the actions, statements or omissions that resulted in such losses, claims, damages or liabilities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 The Parties agree that it would not be just and equitable if contribution pursuant to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account of the equitable considerations referred to in the immediately preceding sentence. Notwithstanding the provisions of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an Indemnifying Party that is a selling holder of Registrable Securities shall not be required to contribute any amount in excess of the amount that such Indemnifying Party has otherwise been, or would otherwise be, required to pay pursuant to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2" w:lineRule="exact"/>
        <w:rPr>
          <w:rFonts w:ascii="Times New Roman" w:cs="Times New Roman" w:eastAsia="Times New Roman" w:hAnsi="Times New Roman"/>
          <w:sz w:val="18"/>
          <w:szCs w:val="18"/>
          <w:color w:val="auto"/>
        </w:rPr>
      </w:pPr>
    </w:p>
    <w:p>
      <w:pPr>
        <w:jc w:val="both"/>
        <w:ind w:left="200" w:right="120" w:firstLine="1436"/>
        <w:spacing w:after="0" w:line="261" w:lineRule="auto"/>
        <w:tabs>
          <w:tab w:leader="none" w:pos="1877"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 of Holders of Registrable Securities</w:t>
      </w:r>
      <w:r>
        <w:rPr>
          <w:rFonts w:ascii="Times New Roman" w:cs="Times New Roman" w:eastAsia="Times New Roman" w:hAnsi="Times New Roman"/>
          <w:sz w:val="18"/>
          <w:szCs w:val="18"/>
          <w:color w:val="auto"/>
        </w:rPr>
        <w:t xml:space="preserve">. The liability of each Shareholder in respect of any indemnification or contribution obligation of such Shareholder arising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any Public Offering shall not in any event exceed an amount equal to the net proceeds to such Shareholder (after deduction of all underwriters’ discounts and commissions) from the disposition of the Registrable Securities sold or otherwise disposed of by such Shareholder pursuant to such Public Offering.</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180"/>
          </w:cols>
          <w:pgMar w:left="240" w:top="456" w:right="4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1436"/>
        <w:spacing w:after="0" w:line="255" w:lineRule="auto"/>
        <w:tabs>
          <w:tab w:leader="none" w:pos="185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Indemnification or Contribution Arrangements</w:t>
      </w:r>
      <w:r>
        <w:rPr>
          <w:rFonts w:ascii="Times New Roman" w:cs="Times New Roman" w:eastAsia="Times New Roman" w:hAnsi="Times New Roman"/>
          <w:sz w:val="18"/>
          <w:szCs w:val="18"/>
          <w:color w:val="auto"/>
        </w:rPr>
        <w:t xml:space="preserve">. The indemnification and contribution rights and obligations of the Parties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in addition to any other rights or obligations with respect to indemnification or contribution that any of the Parties may have pursuant to applicable law or contract and shall remain in full force and effect regardless of any investigation made by or on behalf of any Person entitled to the benefits thereof and shall survive any Transfer of Registrable Securities and the termination of this Agreement. Notwithstanding the foregoing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the event of any conflict between any of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provisions of any applicable underwriting agreement entered into in connection with any underwritten Public Offering that includes Registrable Securities, the provisions of such underwriting agreement shall control.</w:t>
      </w:r>
    </w:p>
    <w:p>
      <w:pPr>
        <w:spacing w:after="0" w:line="189" w:lineRule="exact"/>
        <w:rPr>
          <w:sz w:val="20"/>
          <w:szCs w:val="20"/>
          <w:color w:val="auto"/>
        </w:rPr>
      </w:pPr>
    </w:p>
    <w:p>
      <w:pPr>
        <w:ind w:left="200" w:right="140" w:firstLine="441"/>
        <w:spacing w:after="0" w:line="25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Rule 144 Reporting</w:t>
      </w:r>
      <w:r>
        <w:rPr>
          <w:rFonts w:ascii="Times New Roman" w:cs="Times New Roman" w:eastAsia="Times New Roman" w:hAnsi="Times New Roman"/>
          <w:sz w:val="18"/>
          <w:szCs w:val="18"/>
          <w:color w:val="auto"/>
        </w:rPr>
        <w:t>. For so long as any Shareholder holds Registrable Securities, the Corporation will promptly furnish to each holder of Registrable Securities following written request therefor, (a) a written statement by the Corporation as to its compliance with the reporting requirements of Rule 144, (b) a copy of the most recent annual or quarterly report of the Corporation filed with the SEC under the Exchange Act, and</w:t>
      </w:r>
    </w:p>
    <w:p>
      <w:pPr>
        <w:spacing w:after="0" w:line="2" w:lineRule="exact"/>
        <w:rPr>
          <w:sz w:val="20"/>
          <w:szCs w:val="20"/>
          <w:color w:val="auto"/>
        </w:rPr>
      </w:pPr>
    </w:p>
    <w:p>
      <w:pPr>
        <w:ind w:left="200" w:right="140" w:firstLine="4"/>
        <w:spacing w:after="0" w:line="255" w:lineRule="auto"/>
        <w:tabs>
          <w:tab w:leader="none" w:pos="44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reports and documents so filed by the Corporation as such holder may reasonably request in availing itself of Rule 144, all to the extent required from time to time to enable such holder to sell Registrable Securities without registration under the Securities Act within the limitations of the exemption provided by Rule 144.</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80" w:firstLine="1436"/>
        <w:spacing w:after="0" w:line="255" w:lineRule="auto"/>
        <w:tabs>
          <w:tab w:leader="none" w:pos="1877"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Common Shares</w:t>
      </w:r>
      <w:r>
        <w:rPr>
          <w:rFonts w:ascii="Times New Roman" w:cs="Times New Roman" w:eastAsia="Times New Roman" w:hAnsi="Times New Roman"/>
          <w:sz w:val="18"/>
          <w:szCs w:val="18"/>
          <w:color w:val="auto"/>
        </w:rPr>
        <w:t xml:space="preserve">. (i) Except as provided in </w:t>
      </w:r>
      <w:r>
        <w:rPr>
          <w:rFonts w:ascii="Times New Roman" w:cs="Times New Roman" w:eastAsia="Times New Roman" w:hAnsi="Times New Roman"/>
          <w:sz w:val="18"/>
          <w:szCs w:val="18"/>
          <w:u w:val="single" w:color="auto"/>
          <w:color w:val="auto"/>
        </w:rPr>
        <w:t>Sections 6(a)(ii)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6(b)</w:t>
      </w:r>
      <w:r>
        <w:rPr>
          <w:rFonts w:ascii="Times New Roman" w:cs="Times New Roman" w:eastAsia="Times New Roman" w:hAnsi="Times New Roman"/>
          <w:sz w:val="18"/>
          <w:szCs w:val="18"/>
          <w:color w:val="auto"/>
        </w:rPr>
        <w:t>, each Standstill Shareholder covenants and agrees with the Corporation that it will not, and will cause its Affiliates and their respective directors and executive officers not to, directly or indirectly, Beneficially Own or acquire, offer or propose to acquire, or agree to acquire, whether by purchase, tender or exchange offer, through the acquisition of control of another Person (including by way of merger or consolidation), by joining a partnership, syndicate or other Group or otherwise, the Beneficial Ownership of, any Common Shares other than the Common Shares, and any Common Shares issuable upon conversion of the Preferred Shares, in each case, Beneficially Owned by such Standstill Shareholder and its Affiliates and their respective directors and executive officers as of the date hereof (except by way of stock splits, stock dividends, stock reclassifications or other distributions, recapitalizations or offerings made available to and, if applicable, exercised on a pro rata basis by, holders of Common Shares generally).</w:t>
      </w:r>
    </w:p>
    <w:p>
      <w:pPr>
        <w:spacing w:after="0" w:line="77" w:lineRule="exact"/>
        <w:rPr>
          <w:rFonts w:ascii="Times New Roman" w:cs="Times New Roman" w:eastAsia="Times New Roman" w:hAnsi="Times New Roman"/>
          <w:sz w:val="18"/>
          <w:szCs w:val="18"/>
          <w:color w:val="auto"/>
        </w:rPr>
      </w:pPr>
    </w:p>
    <w:p>
      <w:pPr>
        <w:ind w:left="1080" w:right="40" w:firstLine="411"/>
        <w:spacing w:after="0" w:line="254" w:lineRule="auto"/>
        <w:tabs>
          <w:tab w:leader="none" w:pos="175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prohibition set forth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 xml:space="preserve"> shall not apply to (A) the release of Escrowed Shares to any Standstill Shareholder in accordance with the terms of the Purchase Agreement and the Escrowed Shares Escrow Agreement or (B) the acquisition (whether by merger, consolidation or otherwise) by any Standstill Shareholder or an Affiliate thereof of any entity that Beneficially Owns Common Shares at the time of the consummation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such acquisition such Standstill Shareholder or its Affiliate, as the case may be, (1) divests the Common Shares Beneficially Owned by the acquired entity at the time of the consummation of such acquisition within a reasonable period of time after the consummation of such acquisition, and (2) if any annual or special meeting of shareholders is held prior to the disposition thereof, votes such shares on each matter presented at any annual or special meeting of the shareholders or by written consent in a manner proportionate to the holders of the Common Shares (other than such Standstill Shareholder) voting on such matter.</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220"/>
          </w:cols>
          <w:pgMar w:left="240" w:top="455" w:right="4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1436"/>
        <w:spacing w:after="0" w:line="261" w:lineRule="auto"/>
        <w:tabs>
          <w:tab w:leader="none" w:pos="188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Communications</w:t>
      </w:r>
      <w:r>
        <w:rPr>
          <w:rFonts w:ascii="Times New Roman" w:cs="Times New Roman" w:eastAsia="Times New Roman" w:hAnsi="Times New Roman"/>
          <w:sz w:val="18"/>
          <w:szCs w:val="18"/>
          <w:color w:val="auto"/>
        </w:rPr>
        <w:t>. (i) Except as required in connection with the execution, delivery or performance of this Agreement and as otherwise required, permitted or contemplated by this Agreement or the Purchase Agreement (including with respect to any Transfer permitted pursuant to Section 2(b)), each Standstill Shareholder agrees not to, and to cause each of its Affiliates and its and their respective directors and executive officers not to, directly or indirectly, alone or in concert with others, without express authorization of the Corporation:</w:t>
      </w:r>
    </w:p>
    <w:p>
      <w:pPr>
        <w:spacing w:after="0" w:line="71" w:lineRule="exact"/>
        <w:rPr>
          <w:rFonts w:ascii="Times New Roman" w:cs="Times New Roman" w:eastAsia="Times New Roman" w:hAnsi="Times New Roman"/>
          <w:sz w:val="18"/>
          <w:szCs w:val="18"/>
          <w:color w:val="auto"/>
        </w:rPr>
      </w:pPr>
    </w:p>
    <w:p>
      <w:pPr>
        <w:ind w:left="1080" w:right="80" w:firstLine="411"/>
        <w:spacing w:after="0" w:line="282" w:lineRule="auto"/>
        <w:tabs>
          <w:tab w:leader="none" w:pos="17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initiate, propose or otherwise solicit shareholders of the Corporation for the approval of one or more shareholder proposals or induce or attempt to induce any other Person to effect, initiate, propose or otherwise solicit any shareholder proposal;</w:t>
      </w:r>
    </w:p>
    <w:p>
      <w:pPr>
        <w:spacing w:after="0" w:line="53" w:lineRule="exact"/>
        <w:rPr>
          <w:rFonts w:ascii="Times New Roman" w:cs="Times New Roman" w:eastAsia="Times New Roman" w:hAnsi="Times New Roman"/>
          <w:sz w:val="18"/>
          <w:szCs w:val="18"/>
          <w:color w:val="auto"/>
        </w:rPr>
      </w:pPr>
    </w:p>
    <w:p>
      <w:pPr>
        <w:ind w:left="1080" w:firstLine="411"/>
        <w:spacing w:after="0" w:line="254" w:lineRule="auto"/>
        <w:tabs>
          <w:tab w:leader="none" w:pos="177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propose or seek to effect a Shareholder Change of Control of the Corporation by way of merger, consolidation, recapitalization, reorganization, sale, lease, exchange, pledge or other disposition of substantially all assets of the Corporation and its Subsidiaries or other business combination involving, or a tender or exchange offer for securities of, the Corporation or any of its Subsidiaries or any material portion of the business or assets of the Corporation or any of its Subsidiaries or any other type of transaction that would otherwise result in a Shareholder Change of Control of the Corporation (any such action described in this clause (1), a “</w:t>
      </w:r>
      <w:r>
        <w:rPr>
          <w:rFonts w:ascii="Times New Roman" w:cs="Times New Roman" w:eastAsia="Times New Roman" w:hAnsi="Times New Roman"/>
          <w:sz w:val="18"/>
          <w:szCs w:val="18"/>
          <w:u w:val="single" w:color="auto"/>
          <w:color w:val="auto"/>
        </w:rPr>
        <w:t>Corporation Transaction Proposal</w:t>
      </w:r>
      <w:r>
        <w:rPr>
          <w:rFonts w:ascii="Times New Roman" w:cs="Times New Roman" w:eastAsia="Times New Roman" w:hAnsi="Times New Roman"/>
          <w:sz w:val="18"/>
          <w:szCs w:val="18"/>
          <w:color w:val="auto"/>
        </w:rPr>
        <w:t>”), (2) seek to exercise any control or influence over the management of the Corporation or its board of directors or any of the businesses, operations or policies of the Corporation (excluding, for the avoidance of doubt, any actions by members of the Corporation’s board of directors designated by such Standstill Shareholder, if any), or (3) present to the Corporation’s shareholders or any third party any proposal constituting or that can reasonably be expected to result in a Corporation Transaction Proposal;</w:t>
      </w:r>
    </w:p>
    <w:p>
      <w:pPr>
        <w:spacing w:after="0" w:line="81" w:lineRule="exact"/>
        <w:rPr>
          <w:rFonts w:ascii="Times New Roman" w:cs="Times New Roman" w:eastAsia="Times New Roman" w:hAnsi="Times New Roman"/>
          <w:sz w:val="18"/>
          <w:szCs w:val="18"/>
          <w:color w:val="auto"/>
        </w:rPr>
      </w:pPr>
    </w:p>
    <w:p>
      <w:pPr>
        <w:ind w:left="1080" w:right="40" w:firstLine="411"/>
        <w:spacing w:after="0" w:line="255" w:lineRule="auto"/>
        <w:tabs>
          <w:tab w:leader="none" w:pos="177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proxies (or written consents) or assist or participate in any other way, directly or indirectly, in any solicitation of proxies (or written consents), or otherwise become a “participant” in a “solicitation”, or assist any “participant” in a “solicitation” (as such terms are defined in Rule 14a-1 of Regulation 14A and Instruction 3 of Item 4 of Schedule 14A, respectively, under the Exchange Act) in opposition to the recommendation or proposal of the Corporation’s board of directors, or recommend or request or induce or attempt to induce any other Person to take any such actions, or seek to advise, encourage or influence any other Person with respect to the voting of (or the execution of a written consent in respect of) Common Shares or grant a proxy with respect to the voting of (or execution of a written consent in respect of) Common Shares to any Person other than an officer or agent of such Standstill Shareholder or the Corporation;</w:t>
      </w:r>
    </w:p>
    <w:p>
      <w:pPr>
        <w:spacing w:after="0" w:line="81" w:lineRule="exact"/>
        <w:rPr>
          <w:rFonts w:ascii="Times New Roman" w:cs="Times New Roman" w:eastAsia="Times New Roman" w:hAnsi="Times New Roman"/>
          <w:sz w:val="18"/>
          <w:szCs w:val="18"/>
          <w:color w:val="auto"/>
        </w:rPr>
      </w:pPr>
    </w:p>
    <w:p>
      <w:pPr>
        <w:jc w:val="both"/>
        <w:ind w:left="1080" w:right="40" w:firstLine="411"/>
        <w:spacing w:after="0" w:line="261" w:lineRule="auto"/>
        <w:tabs>
          <w:tab w:leader="none" w:pos="17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in or in any other way (including by deposit of Common Shares) participate in a partnership, pooling agreement, syndicate, voting trust or other Group (other than a Group comprised solely of Standstill Shareholders, its Affiliates and its Permitted Transferees) with respect to Common Shares, or enter into any agreement or arrangement or otherwise act in concert with any other Person, for the purpose of acquiring, holding, voting or disposing of Common Shares;</w:t>
      </w:r>
    </w:p>
    <w:p>
      <w:pPr>
        <w:spacing w:after="0" w:line="71" w:lineRule="exact"/>
        <w:rPr>
          <w:rFonts w:ascii="Times New Roman" w:cs="Times New Roman" w:eastAsia="Times New Roman" w:hAnsi="Times New Roman"/>
          <w:sz w:val="18"/>
          <w:szCs w:val="18"/>
          <w:color w:val="auto"/>
        </w:rPr>
      </w:pPr>
    </w:p>
    <w:p>
      <w:pPr>
        <w:ind w:left="1080" w:right="280" w:firstLine="411"/>
        <w:spacing w:after="0" w:line="282" w:lineRule="auto"/>
        <w:tabs>
          <w:tab w:leader="none" w:pos="17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which might cause the Corporation to be required to make a public announcement regarding any of the types of matters set forth in (A) through (D) above;</w:t>
      </w:r>
    </w:p>
    <w:p>
      <w:pPr>
        <w:spacing w:after="0" w:line="53" w:lineRule="exact"/>
        <w:rPr>
          <w:rFonts w:ascii="Times New Roman" w:cs="Times New Roman" w:eastAsia="Times New Roman" w:hAnsi="Times New Roman"/>
          <w:sz w:val="18"/>
          <w:szCs w:val="18"/>
          <w:color w:val="auto"/>
        </w:rPr>
      </w:pPr>
    </w:p>
    <w:p>
      <w:pPr>
        <w:ind w:left="1760" w:hanging="269"/>
        <w:spacing w:after="0"/>
        <w:tabs>
          <w:tab w:leader="none" w:pos="17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discussions or arrangements with any third party with respect to any of the foregoing; or</w:t>
      </w:r>
    </w:p>
    <w:p>
      <w:pPr>
        <w:spacing w:after="0" w:line="117" w:lineRule="exact"/>
        <w:rPr>
          <w:rFonts w:ascii="Times New Roman" w:cs="Times New Roman" w:eastAsia="Times New Roman" w:hAnsi="Times New Roman"/>
          <w:sz w:val="18"/>
          <w:szCs w:val="18"/>
          <w:color w:val="auto"/>
        </w:rPr>
      </w:pPr>
    </w:p>
    <w:p>
      <w:pPr>
        <w:ind w:left="1080" w:right="360" w:firstLine="411"/>
        <w:spacing w:after="0" w:line="282" w:lineRule="auto"/>
        <w:tabs>
          <w:tab w:leader="none" w:pos="17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induce or encourage any other Person to request, that the Corporation amend or waive any of the provisions of this Agreement.</w:t>
      </w:r>
    </w:p>
    <w:p>
      <w:pPr>
        <w:spacing w:after="0" w:line="54" w:lineRule="exact"/>
        <w:rPr>
          <w:sz w:val="20"/>
          <w:szCs w:val="20"/>
          <w:color w:val="auto"/>
        </w:rPr>
      </w:pPr>
    </w:p>
    <w:p>
      <w:pPr>
        <w:ind w:left="1080" w:firstLine="411"/>
        <w:spacing w:after="0" w:line="261" w:lineRule="auto"/>
        <w:tabs>
          <w:tab w:leader="none" w:pos="175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restrictions, if, at any time, (A) the Corporation has entered into a definitive agreement, the consummation of which would result in a Change of Control or (B) any Person shall have commenced and not withdrawn a bona fide public tender or exchange offer which if consummated would result in a Change of Control, then the limitations set forth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not be applicable to the Standstill Shareholders for so long as the conditions described in this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 xml:space="preserve"> continue.</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200"/>
          </w:cols>
          <w:pgMar w:left="240" w:top="456" w:right="4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880" w:hanging="244"/>
        <w:spacing w:after="0"/>
        <w:tabs>
          <w:tab w:leader="none" w:pos="1880" w:val="left"/>
        </w:tabs>
        <w:numPr>
          <w:ilvl w:val="3"/>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Agreement as to Certain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80" w:right="160" w:firstLine="411"/>
        <w:spacing w:after="0" w:line="257" w:lineRule="auto"/>
        <w:tabs>
          <w:tab w:leader="none" w:pos="1700"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Standstill Shareholder irrevocably and unconditionally agrees that it shall at any meeting of the shareholders of the Corporation (whether annual or special and whether or not an adjourned or postponed meeting), however called, or in connection with any written consent of shareholders of the Corporation, except as otherwise approved in writing by the Corporation’s board of directors,</w:t>
      </w:r>
    </w:p>
    <w:p>
      <w:pPr>
        <w:spacing w:after="0" w:line="1" w:lineRule="exact"/>
        <w:rPr>
          <w:rFonts w:ascii="Times New Roman" w:cs="Times New Roman" w:eastAsia="Times New Roman" w:hAnsi="Times New Roman"/>
          <w:sz w:val="18"/>
          <w:szCs w:val="18"/>
          <w:color w:val="auto"/>
        </w:rPr>
      </w:pPr>
    </w:p>
    <w:p>
      <w:pPr>
        <w:ind w:left="1080" w:firstLine="5"/>
        <w:spacing w:after="0" w:line="251" w:lineRule="auto"/>
        <w:tabs>
          <w:tab w:leader="none" w:pos="1375"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meeting of the shareholders of the Corporation is held, appear at such meeting or otherwise cause all of its Shares that are entitled to vote at such meeting (collectively, the “</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to be counted as present thereat for the purpose of establishing a quorum, and respond to each request by the Corporation for written consent, if any, and (B) vote (or consent), or cause to be voted at such meeting (or validly execute and return and cause such written consent to be granted with respect to), (1) all Voting Securities Beneficially Owned by the Standstill Shareholders (taken together) in excess of 15% of the Corporation’s outstanding Common Shares in a manner that is proportionate to the manner in which all Common Shares (other than Shares voted by such Standstill Shareholders), which are voted in respect of such matter, are voted, and (2) all Voting Securities Beneficially Owned by the Standstill Shareholders (taken together) equal to or less than 15% of the Corporation’s outstanding Common Shares in the sole discretion of the Standstill Shareholders in any manner such Standstill Shareholder chooses.</w:t>
      </w:r>
    </w:p>
    <w:p>
      <w:pPr>
        <w:spacing w:after="0" w:line="86" w:lineRule="exact"/>
        <w:rPr>
          <w:rFonts w:ascii="Times New Roman" w:cs="Times New Roman" w:eastAsia="Times New Roman" w:hAnsi="Times New Roman"/>
          <w:sz w:val="18"/>
          <w:szCs w:val="18"/>
          <w:color w:val="auto"/>
        </w:rPr>
      </w:pPr>
    </w:p>
    <w:p>
      <w:pPr>
        <w:ind w:left="1080" w:right="60" w:firstLine="411"/>
        <w:spacing w:after="0" w:line="256" w:lineRule="auto"/>
        <w:tabs>
          <w:tab w:leader="none" w:pos="1750"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Standstill Shareholder hereby represents, covenants and agrees that, except as contemplated by this Agreement, such Standstill Shareholder (a) has not entered into, and shall not enter into at any time prior to the termination of its obligations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any voting agreement or voting trust with respect to any Voting Securities and (b) has not granted, and shall not grant at any time prior to the termination of such Standstill Shareholder’s obligations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a proxy or power of attorney with respect to any Voting Securities, in either case, which is inconsistent with such Standstill Shareholder’s obligations pursuant to this Agreement.</w:t>
      </w:r>
    </w:p>
    <w:p>
      <w:pPr>
        <w:spacing w:after="0" w:line="187" w:lineRule="exact"/>
        <w:rPr>
          <w:rFonts w:ascii="Times New Roman" w:cs="Times New Roman" w:eastAsia="Times New Roman" w:hAnsi="Times New Roman"/>
          <w:sz w:val="18"/>
          <w:szCs w:val="18"/>
          <w:color w:val="auto"/>
        </w:rPr>
      </w:pPr>
    </w:p>
    <w:p>
      <w:pPr>
        <w:ind w:left="1900" w:hanging="264"/>
        <w:spacing w:after="0"/>
        <w:tabs>
          <w:tab w:leader="none" w:pos="1900" w:val="left"/>
        </w:tabs>
        <w:numPr>
          <w:ilvl w:val="3"/>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this Section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terminate and be of no further effect, in respect of any Standstill Shareholder,</w:t>
      </w:r>
    </w:p>
    <w:p>
      <w:pPr>
        <w:spacing w:after="0" w:line="27" w:lineRule="exact"/>
        <w:rPr>
          <w:rFonts w:ascii="Times New Roman" w:cs="Times New Roman" w:eastAsia="Times New Roman" w:hAnsi="Times New Roman"/>
          <w:sz w:val="18"/>
          <w:szCs w:val="18"/>
          <w:color w:val="auto"/>
        </w:rPr>
      </w:pPr>
    </w:p>
    <w:p>
      <w:pPr>
        <w:ind w:left="200" w:right="560" w:firstLine="4"/>
        <w:spacing w:after="0" w:line="255" w:lineRule="auto"/>
        <w:tabs>
          <w:tab w:leader="none" w:pos="41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right="20" w:firstLine="1436"/>
        <w:spacing w:after="0" w:line="261" w:lineRule="auto"/>
        <w:tabs>
          <w:tab w:leader="none" w:pos="187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Representations and Warranties</w:t>
      </w:r>
      <w:r>
        <w:rPr>
          <w:rFonts w:ascii="Times New Roman" w:cs="Times New Roman" w:eastAsia="Times New Roman" w:hAnsi="Times New Roman"/>
          <w:sz w:val="18"/>
          <w:szCs w:val="18"/>
          <w:color w:val="auto"/>
        </w:rPr>
        <w:t>. Each Party represents and warrants to each other Party that the execution and delivery of this Agreement and the consummation of the transactions contemplated hereby have been duly authorized on behalf of such party and do not violate any agreement or other instrument applicable to such Party or by which such Party’s assets are bound or otherwise subject. The Corporation further represents and warrants to the Shareholders that, as of the date hereof:</w:t>
      </w:r>
    </w:p>
    <w:p>
      <w:pPr>
        <w:spacing w:after="0" w:line="71" w:lineRule="exact"/>
        <w:rPr>
          <w:rFonts w:ascii="Times New Roman" w:cs="Times New Roman" w:eastAsia="Times New Roman" w:hAnsi="Times New Roman"/>
          <w:sz w:val="18"/>
          <w:szCs w:val="18"/>
          <w:color w:val="auto"/>
        </w:rPr>
      </w:pPr>
    </w:p>
    <w:p>
      <w:pPr>
        <w:ind w:left="1080" w:firstLine="411"/>
        <w:spacing w:after="0" w:line="282" w:lineRule="auto"/>
        <w:tabs>
          <w:tab w:leader="none" w:pos="17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not a party to, or otherwise subject to, any agreement that grants registration rights to another Person with respect to Common Shares;</w:t>
      </w:r>
    </w:p>
    <w:p>
      <w:pPr>
        <w:spacing w:after="0" w:line="53" w:lineRule="exact"/>
        <w:rPr>
          <w:rFonts w:ascii="Times New Roman" w:cs="Times New Roman" w:eastAsia="Times New Roman" w:hAnsi="Times New Roman"/>
          <w:sz w:val="18"/>
          <w:szCs w:val="18"/>
          <w:color w:val="auto"/>
        </w:rPr>
      </w:pPr>
    </w:p>
    <w:p>
      <w:pPr>
        <w:ind w:left="1080" w:right="220" w:firstLine="411"/>
        <w:spacing w:after="0" w:line="282" w:lineRule="auto"/>
        <w:tabs>
          <w:tab w:leader="none" w:pos="175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not a party to, or otherwise subject to, any lock-up agreement or standstill agreement with any another Person with respect to Common Shares; and</w:t>
      </w:r>
    </w:p>
    <w:p>
      <w:pPr>
        <w:spacing w:after="0" w:line="53" w:lineRule="exact"/>
        <w:rPr>
          <w:rFonts w:ascii="Times New Roman" w:cs="Times New Roman" w:eastAsia="Times New Roman" w:hAnsi="Times New Roman"/>
          <w:sz w:val="18"/>
          <w:szCs w:val="18"/>
          <w:color w:val="auto"/>
        </w:rPr>
      </w:pPr>
    </w:p>
    <w:p>
      <w:pPr>
        <w:ind w:left="1080" w:right="20" w:firstLine="411"/>
        <w:spacing w:after="0" w:line="258" w:lineRule="auto"/>
        <w:tabs>
          <w:tab w:leader="none" w:pos="18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Corporation is not a “shell company” (as such term is defined in Rule 405 under the Securities Act), (B) the Corporation is subject to the reporting requirements of Section 13 or 15(d) of the Exchange Act; (C) the Corporation has filed all reports and material required to be filed under Section 13 or 15(d) of the Exchange Act, as applicable, during the 12 month period preceding the date hereof, other than Form 8-K reports, and (D) at least one year has elapsed from the time that the Corporation filed current Form 10 information (as such term is defined in Rule 144(i)(3) under the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1220"/>
          </w:cols>
          <w:pgMar w:left="240" w:top="456" w:right="4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Act) with the SEC reflecting its status as an entity that is not an issuer described in Rule 144(i)(1)(i), if applicable.</w:t>
      </w:r>
    </w:p>
    <w:p>
      <w:pPr>
        <w:spacing w:after="0" w:line="225" w:lineRule="exact"/>
        <w:rPr>
          <w:sz w:val="20"/>
          <w:szCs w:val="20"/>
          <w:color w:val="auto"/>
        </w:rPr>
      </w:pPr>
    </w:p>
    <w:p>
      <w:pPr>
        <w:ind w:left="200" w:right="40" w:firstLine="1436"/>
        <w:spacing w:after="0" w:line="255" w:lineRule="auto"/>
        <w:tabs>
          <w:tab w:leader="none" w:pos="188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with respect to a Shareholder, except as provided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on the date as of which such Shareholder ceases to directly or indirectly hold Shares as a result of one or more Transfers to Permitted Transferees (in accordance with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pursuant to one or more Public Offerings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shall terminate with respect to the Corporation on the date as of which no Shares are held by Shareholders as a result of such Transfers);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Shareholder’s (and the Corporation’s) rights and obligations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as well as the applicable Parties’ obligations to pay expenses pursuant to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shall survive with respect to any Registration Statement relating to any Public Offering that included any Registrable Securities of such Shareholder and, for the avoidance of doubt, any underwriter lock-up that a Shareholder has executed prior to a Shareholder’s termination in accordance with this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shall remain in effect in accordance with its terms.</w:t>
      </w:r>
    </w:p>
    <w:p>
      <w:pPr>
        <w:spacing w:after="0" w:line="185" w:lineRule="exact"/>
        <w:rPr>
          <w:rFonts w:ascii="Times New Roman" w:cs="Times New Roman" w:eastAsia="Times New Roman" w:hAnsi="Times New Roman"/>
          <w:sz w:val="18"/>
          <w:szCs w:val="18"/>
          <w:color w:val="auto"/>
        </w:rPr>
      </w:pPr>
    </w:p>
    <w:p>
      <w:pPr>
        <w:ind w:left="200" w:right="140" w:firstLine="1436"/>
        <w:spacing w:after="0" w:line="266" w:lineRule="auto"/>
        <w:tabs>
          <w:tab w:leader="none" w:pos="187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documents referenced herein), constitutes the entire agreement and understanding between or among any of the Shareholders and the Corporation with respect to the subject matter hereof and supersedes all prior written and oral and all contemporaneous oral agreements and understandings of the Parties with respect to the subject matter hereof.</w:t>
      </w:r>
    </w:p>
    <w:p>
      <w:pPr>
        <w:spacing w:after="0" w:line="176" w:lineRule="exact"/>
        <w:rPr>
          <w:rFonts w:ascii="Times New Roman" w:cs="Times New Roman" w:eastAsia="Times New Roman" w:hAnsi="Times New Roman"/>
          <w:sz w:val="18"/>
          <w:szCs w:val="18"/>
          <w:color w:val="auto"/>
        </w:rPr>
      </w:pPr>
    </w:p>
    <w:p>
      <w:pPr>
        <w:ind w:left="200" w:right="80" w:firstLine="1436"/>
        <w:spacing w:after="0" w:line="256" w:lineRule="auto"/>
        <w:tabs>
          <w:tab w:leader="none" w:pos="188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No Third-Party Beneficiaries; Assignment</w:t>
      </w:r>
      <w:r>
        <w:rPr>
          <w:rFonts w:ascii="Times New Roman" w:cs="Times New Roman" w:eastAsia="Times New Roman" w:hAnsi="Times New Roman"/>
          <w:sz w:val="18"/>
          <w:szCs w:val="18"/>
          <w:color w:val="auto"/>
        </w:rPr>
        <w:t xml:space="preserve">. This Agreement shall inure to the benefit of and be binding upon the Parties and their respective successors and permitted assigns; and, except as expressly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nothing in this Agreement, express or implied, is intended to confer upon any other Person any rights, benefits or remedies of any nature whatsoever under or by reason of this Agreement. Except as provided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this Agreement may not be assigned by (i) any of the Shareholders, except with the prior written consent of the Corporation or (ii) the Corporation (except by operation of law), except with the prior written consent of the Shareholders who hold Shares as of the time of such assignment.</w:t>
      </w:r>
    </w:p>
    <w:p>
      <w:pPr>
        <w:spacing w:after="0" w:line="187" w:lineRule="exact"/>
        <w:rPr>
          <w:rFonts w:ascii="Times New Roman" w:cs="Times New Roman" w:eastAsia="Times New Roman" w:hAnsi="Times New Roman"/>
          <w:sz w:val="18"/>
          <w:szCs w:val="18"/>
          <w:color w:val="auto"/>
        </w:rPr>
      </w:pPr>
    </w:p>
    <w:p>
      <w:pPr>
        <w:ind w:left="200" w:firstLine="1436"/>
        <w:spacing w:after="0" w:line="253" w:lineRule="auto"/>
        <w:tabs>
          <w:tab w:leader="none" w:pos="187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Waivers</w:t>
      </w:r>
      <w:r>
        <w:rPr>
          <w:rFonts w:ascii="Times New Roman" w:cs="Times New Roman" w:eastAsia="Times New Roman" w:hAnsi="Times New Roman"/>
          <w:sz w:val="18"/>
          <w:szCs w:val="18"/>
          <w:color w:val="auto"/>
        </w:rPr>
        <w:t>. No change or amendment may be made to this Agreement except by an instrument in writing signed on behalf of (i) the Corporation and (ii) each Shareholder who holds Shares as of the time of such change or amendment. Any Shareholder who continues to hold Shares may (solely with respect to itself), at any time: (i) extend the time for the performance of any of the obligations or other acts of the Corporation; (ii) waive any inaccuracies in the representations and warranties of the Corporation contained herein or in any document delivered pursuant hereto; and (iii) waive compliance by the Corporation with any of the agreements, covenants or conditions contained herein. The Corporation may, at any time: (i) extend the time for the performance of any of the obligations or other acts of any Shareholder; (ii) waive any inaccuracies in the representations and warranties of any Shareholder herein or in any document delivered pursuant hereto; and (iii) waive compliance by any Shareholder with any of the agreements, covenants or conditions contained herein. Any such extension or waiver shall be valid only if set forth in an instrument in writing signed by the Party to be bound thereby. No failure or delay on the part of any Party in the exercise of any right or remedy hereunder shall impair such right or remedy or be construed to be a waiver of, or acquiescence in, any breach of any representation, warranty, covenant or agreement contained herein, nor shall any single or partial exercise of any such right preclude other or further exercise thereof or of any other right.</w:t>
      </w:r>
    </w:p>
    <w:p>
      <w:pPr>
        <w:spacing w:after="0" w:line="192" w:lineRule="exact"/>
        <w:rPr>
          <w:rFonts w:ascii="Times New Roman" w:cs="Times New Roman" w:eastAsia="Times New Roman" w:hAnsi="Times New Roman"/>
          <w:sz w:val="18"/>
          <w:szCs w:val="18"/>
          <w:color w:val="auto"/>
        </w:rPr>
      </w:pPr>
    </w:p>
    <w:p>
      <w:pPr>
        <w:ind w:left="1860" w:hanging="224"/>
        <w:spacing w:after="0"/>
        <w:tabs>
          <w:tab w:leader="none" w:pos="18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or other communications to be given or delivered to any Party hereunder or by reason of</w:t>
      </w:r>
    </w:p>
    <w:p>
      <w:pPr>
        <w:spacing w:after="0" w:line="27" w:lineRule="exact"/>
        <w:rPr>
          <w:rFonts w:ascii="Times New Roman" w:cs="Times New Roman" w:eastAsia="Times New Roman" w:hAnsi="Times New Roman"/>
          <w:sz w:val="18"/>
          <w:szCs w:val="18"/>
          <w:color w:val="auto"/>
        </w:rPr>
      </w:pPr>
    </w:p>
    <w:p>
      <w:pPr>
        <w:ind w:left="20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 shall be in writing; (ii) shall be deemed to be given for all purposes hereunder (A) upon delivery if delivered by hand, (B) one Business Day after being sent by internationally recognized courier or overnight delivery service, (C) five Business Days after being mailed by certified or registered mail, return receipt requested, with appropriate postage prepaid, or (D) when sent in the form of a e-mail (if confirmation of receipt is obtained, including by e-mail) between 9:00 a.m. and 6:00 p.m. (Houston time) on any Business Day (and when sent outside of such hours, at 9:00 a.m. (Houston time) on the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220"/>
          </w:cols>
          <w:pgMar w:left="240" w:top="455"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next Business Day); and (iii) shall be directed to the address or e-mail set forth or referred to below (or at such other address or email address as such</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Party shall designate by like notice):</w:t>
      </w:r>
    </w:p>
    <w:p>
      <w:pPr>
        <w:spacing w:after="0" w:line="99" w:lineRule="exact"/>
        <w:rPr>
          <w:sz w:val="20"/>
          <w:szCs w:val="20"/>
          <w:color w:val="auto"/>
        </w:rPr>
      </w:pPr>
    </w:p>
    <w:p>
      <w:pPr>
        <w:ind w:left="1840" w:hanging="349"/>
        <w:spacing w:after="0"/>
        <w:tabs>
          <w:tab w:leader="none" w:pos="18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Corporation:</w:t>
      </w:r>
    </w:p>
    <w:p>
      <w:pPr>
        <w:spacing w:after="0" w:line="117"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Corporation</w:t>
      </w:r>
    </w:p>
    <w:p>
      <w:pPr>
        <w:spacing w:after="0" w:line="27" w:lineRule="exact"/>
        <w:rPr>
          <w:rFonts w:ascii="Times New Roman" w:cs="Times New Roman" w:eastAsia="Times New Roman" w:hAnsi="Times New Roman"/>
          <w:sz w:val="18"/>
          <w:szCs w:val="18"/>
          <w:color w:val="auto"/>
        </w:rPr>
      </w:pPr>
    </w:p>
    <w:p>
      <w:pPr>
        <w:ind w:left="1860" w:right="7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8333 Clay Street, Suite 4980 Houston, Texas 77002 Attention: Frank Steininger</w:t>
      </w:r>
    </w:p>
    <w:p>
      <w:pPr>
        <w:spacing w:after="0" w:line="1"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frank.steininger@civeo.com</w:t>
      </w:r>
    </w:p>
    <w:p>
      <w:pPr>
        <w:spacing w:after="0" w:line="98"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Gibson, Dunn &amp; Crutcher LLP</w:t>
      </w:r>
    </w:p>
    <w:p>
      <w:pPr>
        <w:spacing w:after="0" w:line="27" w:lineRule="exact"/>
        <w:rPr>
          <w:rFonts w:ascii="Times New Roman" w:cs="Times New Roman" w:eastAsia="Times New Roman" w:hAnsi="Times New Roman"/>
          <w:sz w:val="18"/>
          <w:szCs w:val="18"/>
          <w:color w:val="auto"/>
        </w:rPr>
      </w:pPr>
    </w:p>
    <w:p>
      <w:pPr>
        <w:ind w:left="1860" w:right="68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1221 McKinney Street, 37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Houston, Texas 77010-2046 Attention: Tull R. Florey E-mail: tflorey@gibsondunn.com</w:t>
      </w:r>
    </w:p>
    <w:p>
      <w:pPr>
        <w:spacing w:after="0" w:line="77"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Bennett Jones LLP</w:t>
      </w:r>
    </w:p>
    <w:p>
      <w:pPr>
        <w:spacing w:after="0" w:line="27" w:lineRule="exact"/>
        <w:rPr>
          <w:rFonts w:ascii="Times New Roman" w:cs="Times New Roman" w:eastAsia="Times New Roman" w:hAnsi="Times New Roman"/>
          <w:sz w:val="18"/>
          <w:szCs w:val="18"/>
          <w:color w:val="auto"/>
        </w:rPr>
      </w:pPr>
    </w:p>
    <w:p>
      <w:pPr>
        <w:ind w:left="1860" w:right="74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4500 855 2</w:t>
      </w:r>
      <w:r>
        <w:rPr>
          <w:rFonts w:ascii="Times New Roman" w:cs="Times New Roman" w:eastAsia="Times New Roman" w:hAnsi="Times New Roman"/>
          <w:sz w:val="14"/>
          <w:szCs w:val="14"/>
          <w:color w:val="auto"/>
        </w:rPr>
        <w:t>nd</w:t>
      </w:r>
      <w:r>
        <w:rPr>
          <w:rFonts w:ascii="Times New Roman" w:cs="Times New Roman" w:eastAsia="Times New Roman" w:hAnsi="Times New Roman"/>
          <w:sz w:val="17"/>
          <w:szCs w:val="17"/>
          <w:color w:val="auto"/>
        </w:rPr>
        <w:t xml:space="preserve"> Street S.W. Calgary, Alberta T2P 4K7 Attention: Bruce Hibbard</w:t>
      </w: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hibbardb@bennettjones.com</w:t>
      </w:r>
    </w:p>
    <w:p>
      <w:pPr>
        <w:spacing w:after="0" w:line="98" w:lineRule="exact"/>
        <w:rPr>
          <w:rFonts w:ascii="Times New Roman" w:cs="Times New Roman" w:eastAsia="Times New Roman" w:hAnsi="Times New Roman"/>
          <w:sz w:val="18"/>
          <w:szCs w:val="18"/>
          <w:color w:val="auto"/>
        </w:rPr>
      </w:pPr>
    </w:p>
    <w:p>
      <w:pPr>
        <w:ind w:left="1860" w:right="2940" w:hanging="369"/>
        <w:spacing w:after="0" w:line="375" w:lineRule="auto"/>
        <w:tabs>
          <w:tab w:leader="none" w:pos="184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Shareholders, at their respective addresses shown on the signature pages hereto. with a copy (which shall not constitute notice) to:</w:t>
      </w:r>
    </w:p>
    <w:p>
      <w:pPr>
        <w:spacing w:after="0" w:line="1" w:lineRule="exact"/>
        <w:rPr>
          <w:rFonts w:ascii="Times New Roman" w:cs="Times New Roman" w:eastAsia="Times New Roman" w:hAnsi="Times New Roman"/>
          <w:sz w:val="18"/>
          <w:szCs w:val="18"/>
          <w:color w:val="auto"/>
        </w:rPr>
      </w:pPr>
    </w:p>
    <w:p>
      <w:pPr>
        <w:jc w:val="both"/>
        <w:ind w:left="1860" w:right="774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Dentons Canada LLP 2900 Manulife Place 10180 – 101 St. NW Edmonton, AB</w:t>
      </w:r>
    </w:p>
    <w:p>
      <w:pPr>
        <w:spacing w:after="0" w:line="2"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T5J 3V5</w:t>
      </w:r>
    </w:p>
    <w:p>
      <w:pPr>
        <w:spacing w:after="0" w:line="9"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Leanne Krawchuk</w:t>
      </w:r>
    </w:p>
    <w:p>
      <w:pPr>
        <w:spacing w:after="0" w:line="9"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leanne.krawchuk@dentons.com</w:t>
      </w:r>
    </w:p>
    <w:p>
      <w:pPr>
        <w:spacing w:after="0" w:line="98"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Dentons US LLP</w:t>
      </w:r>
    </w:p>
    <w:p>
      <w:pPr>
        <w:spacing w:after="0" w:line="27" w:lineRule="exact"/>
        <w:rPr>
          <w:rFonts w:ascii="Times New Roman" w:cs="Times New Roman" w:eastAsia="Times New Roman" w:hAnsi="Times New Roman"/>
          <w:sz w:val="18"/>
          <w:szCs w:val="18"/>
          <w:color w:val="auto"/>
        </w:rPr>
      </w:pPr>
    </w:p>
    <w:p>
      <w:pPr>
        <w:ind w:left="1860" w:right="6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 Peachtree Street, NE Suite 5300 Atlanta, GA 30308-3265</w:t>
      </w: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Steven L. Berson</w:t>
      </w:r>
    </w:p>
    <w:p>
      <w:pPr>
        <w:spacing w:after="0" w:line="9"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steve.berson@dentons.com</w:t>
      </w:r>
    </w:p>
    <w:p>
      <w:pPr>
        <w:spacing w:after="0" w:line="206" w:lineRule="exact"/>
        <w:rPr>
          <w:rFonts w:ascii="Times New Roman" w:cs="Times New Roman" w:eastAsia="Times New Roman" w:hAnsi="Times New Roman"/>
          <w:sz w:val="18"/>
          <w:szCs w:val="18"/>
          <w:color w:val="auto"/>
        </w:rPr>
      </w:pPr>
    </w:p>
    <w:p>
      <w:pPr>
        <w:ind w:left="200" w:firstLine="1436"/>
        <w:spacing w:after="0" w:line="254" w:lineRule="auto"/>
        <w:tabs>
          <w:tab w:leader="none" w:pos="188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Construction</w:t>
      </w:r>
      <w:r>
        <w:rPr>
          <w:rFonts w:ascii="Times New Roman" w:cs="Times New Roman" w:eastAsia="Times New Roman" w:hAnsi="Times New Roman"/>
          <w:sz w:val="18"/>
          <w:szCs w:val="18"/>
          <w:color w:val="auto"/>
        </w:rPr>
        <w:t xml:space="preserve">. The titles of Sections and paragraphs of this Agreement are for convenience only and do not define or limit the provisions hereof. The definitions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apply equally to both the singular and plural forms of the terms defined. Whenever the context may require, any pronoun shall include the corresponding masculine, feminine and neuter forms. All references herein to Sections, Exhibits and Schedules and paragraphs shall be deemed to be references to Sections and paragraphs of, and Exhibits to, this Agreement unless the context shall otherwise require. All Exhibits attached hereto shall be deemed incorporated herein as if set forth in full herein. The terms “clause(s)” and “subparagraph(s)” shall be used herein interchangeably. The words “include,” “includes” and “including” shall be deemed to be followed by the phrase “without limitation.” All accounting terms not defined in this Agreement shall have the meanings determined by United States generally accepted accounting principles as in effect from time to time. The words “hereof,” “herein” and “hereunder” and words of similar import when used in this Agreement shall refer to this Agreement as a whole and not to any particular provision of this Agreement. References to a Person are also to its permitted successors and permitted assigns. Unless otherwise expressly provided herein, any agreement,</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140"/>
          </w:cols>
          <w:pgMar w:left="240" w:top="456" w:right="51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instrument or statute defined or referred to herein or in any agreement or instrument that is referred to herein means such agreement, instrument or statute as from time to time amended, modified, supplemented or restated, including (in the case of agreements or instruments) by waiver or consent and (in the case of statutes) by succession of comparable successor statutes and references to all attachments thereto and instruments incorporated therein.</w:t>
      </w:r>
    </w:p>
    <w:p>
      <w:pPr>
        <w:spacing w:after="0" w:line="176" w:lineRule="exact"/>
        <w:rPr>
          <w:sz w:val="20"/>
          <w:szCs w:val="20"/>
          <w:color w:val="auto"/>
        </w:rPr>
      </w:pPr>
    </w:p>
    <w:p>
      <w:pPr>
        <w:ind w:left="200" w:right="80" w:firstLine="1436"/>
        <w:spacing w:after="0" w:line="258" w:lineRule="auto"/>
        <w:tabs>
          <w:tab w:leader="none" w:pos="188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Counsel</w:t>
      </w:r>
      <w:r>
        <w:rPr>
          <w:rFonts w:ascii="Times New Roman" w:cs="Times New Roman" w:eastAsia="Times New Roman" w:hAnsi="Times New Roman"/>
          <w:sz w:val="18"/>
          <w:szCs w:val="18"/>
          <w:color w:val="auto"/>
        </w:rPr>
        <w:t>. Each of the Parties has been represented by and has had an opportunity to consult with legal counsel in connection with the drafting, negotiation and execution of this Agreement. The language used in this Agreement shall be deemed to be the language that the Parties have chosen to express their mutual intent. Accordingly, no provision of this Agreement shall be strictly construed against or interpreted to the disadvantage of any Party by any court or other Governmental Authority by reason of such Party having drafted or being deemed to have drafted such provision.</w:t>
      </w:r>
    </w:p>
    <w:p>
      <w:pPr>
        <w:spacing w:after="0" w:line="183" w:lineRule="exact"/>
        <w:rPr>
          <w:rFonts w:ascii="Times New Roman" w:cs="Times New Roman" w:eastAsia="Times New Roman" w:hAnsi="Times New Roman"/>
          <w:sz w:val="18"/>
          <w:szCs w:val="18"/>
          <w:color w:val="auto"/>
        </w:rPr>
      </w:pPr>
    </w:p>
    <w:p>
      <w:pPr>
        <w:ind w:left="200" w:firstLine="1436"/>
        <w:spacing w:after="0" w:line="252" w:lineRule="auto"/>
        <w:tabs>
          <w:tab w:leader="none" w:pos="184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Jurisdiction; Waiver of Jury Trial</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shall be governed by, and construed in accordance with, the internal laws of the State of New York, without regard to the laws of any other jurisdiction that might be applied because of the conflicts of laws principles of the State of New York. Each of the parties irrevocably agrees that any legal action or proceeding arising out of or relating to this Agreement brought by any party or its successors or assigns against the other party shall be brought and determined any New York state or federal court sitting in the Borough of Manhattan, City of New York (or, if such court lacks subject matter jurisdiction, in any appropriate New York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or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EACH PARTY ACKNOWLEDGES AND AGREES THAT ANY CONTROVERSY WHICH MAY ARISE UNDER THIS AGREEMENT IS LIKELY TO INVOLVE COMPLICATED AND DIFFICULT ISSUES, AND THEREFORE EACH PARTY HEREBY IRREVOCABLY AND UNCONDITIONALLY WAIVES ANY RIGHT SUCH PARTY MAY HAVE TO A TRIAL BY JURY IN RESPECT OF ANY CLAIM, ACTION, PROCEEDING OR LITIGATION DIRECTLY OR INDIRECTLY ARISING OUT OF OR RELATING TO THIS AGREEMENT, OR THE TRANSACTIONS CONTEMPLATED HEREBY.</w:t>
      </w:r>
    </w:p>
    <w:p>
      <w:pPr>
        <w:spacing w:after="0" w:line="188" w:lineRule="exact"/>
        <w:rPr>
          <w:rFonts w:ascii="Times New Roman" w:cs="Times New Roman" w:eastAsia="Times New Roman" w:hAnsi="Times New Roman"/>
          <w:sz w:val="18"/>
          <w:szCs w:val="18"/>
          <w:color w:val="auto"/>
        </w:rPr>
      </w:pPr>
    </w:p>
    <w:p>
      <w:pPr>
        <w:ind w:left="200" w:firstLine="1436"/>
        <w:spacing w:after="0" w:line="256" w:lineRule="auto"/>
        <w:tabs>
          <w:tab w:leader="none" w:pos="184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acknowledge that money damages would not be an adequate remedy for breaches or violations of this Agreement and that any Party, in addition to any other rights and remedies which the Parties may have hereunder or at law or in equity, may, in its sole discretion, obtain from a court of competent jurisdiction (in accordance with </w:t>
      </w:r>
      <w:r>
        <w:rPr>
          <w:rFonts w:ascii="Times New Roman" w:cs="Times New Roman" w:eastAsia="Times New Roman" w:hAnsi="Times New Roman"/>
          <w:sz w:val="18"/>
          <w:szCs w:val="18"/>
          <w:u w:val="single" w:color="auto"/>
          <w:color w:val="auto"/>
        </w:rPr>
        <w:t>Section 7(i))</w:t>
      </w:r>
      <w:r>
        <w:rPr>
          <w:rFonts w:ascii="Times New Roman" w:cs="Times New Roman" w:eastAsia="Times New Roman" w:hAnsi="Times New Roman"/>
          <w:sz w:val="18"/>
          <w:szCs w:val="18"/>
          <w:color w:val="auto"/>
        </w:rPr>
        <w:t xml:space="preserve"> specific performance or injunction or such other equitable relief as such court may deem just and proper in order to enforce this Agreement in the event of any breach of the provisions of this Agreement or to prevent any violation hereof. To the extent permitted by applicable law, each Party hereby (i) waives any objection to the imposition of such relief and agrees that it will not assert any defense that a Party may have an adequate remedy at law with respect to such relief, and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220"/>
          </w:cols>
          <w:pgMar w:left="240" w:top="455" w:right="4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
        <w:spacing w:after="0" w:line="266" w:lineRule="auto"/>
        <w:tabs>
          <w:tab w:leader="none" w:pos="46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requirement for the posting of any bond or similar collateral in connection therewith. Each Party agrees to indemnify and hold harmless the other Parties from any and all damage, loss, cost, expense or liability whatsoever (including legal fees and the cost of enforcing this Agreement) arising directly or indirectly from any willful or intentional breach by such Party of any obligation or agreement contained herein.</w:t>
      </w:r>
    </w:p>
    <w:p>
      <w:pPr>
        <w:spacing w:after="0" w:line="176" w:lineRule="exact"/>
        <w:rPr>
          <w:rFonts w:ascii="Times New Roman" w:cs="Times New Roman" w:eastAsia="Times New Roman" w:hAnsi="Times New Roman"/>
          <w:sz w:val="18"/>
          <w:szCs w:val="18"/>
          <w:color w:val="auto"/>
        </w:rPr>
      </w:pPr>
    </w:p>
    <w:p>
      <w:pPr>
        <w:ind w:left="200" w:firstLine="1436"/>
        <w:spacing w:after="0" w:line="258" w:lineRule="auto"/>
        <w:tabs>
          <w:tab w:leader="none" w:pos="188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(or any portion thereof) or the application thereof to any Person or circumstance as contemplated hereby is held by a court of competent jurisdiction or other Governmental Authority to be invalid, illegal, void or unenforceable, the remainder of the terms, provisions, covenants and restrictions of this Agreement (or portions thereof) shall remain in full force and effect and shall in no way be affected, impaired or invalidated so long as the economic or legal substance of the transactions contemplated hereby is not affected in any manner materially adverse to any Party.</w:t>
      </w:r>
    </w:p>
    <w:p>
      <w:pPr>
        <w:spacing w:after="0" w:line="183" w:lineRule="exact"/>
        <w:rPr>
          <w:rFonts w:ascii="Times New Roman" w:cs="Times New Roman" w:eastAsia="Times New Roman" w:hAnsi="Times New Roman"/>
          <w:sz w:val="18"/>
          <w:szCs w:val="18"/>
          <w:color w:val="auto"/>
        </w:rPr>
      </w:pPr>
    </w:p>
    <w:p>
      <w:pPr>
        <w:jc w:val="both"/>
        <w:ind w:left="200" w:right="140" w:firstLine="1436"/>
        <w:spacing w:after="0" w:line="266" w:lineRule="auto"/>
        <w:tabs>
          <w:tab w:leader="none" w:pos="184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constitute an original and all of which, when taken together, shall constitute one and the same agreement. Delivery of an executed counterpart of a signature page to this Agreement by facsimile or pdf attachment to electronic mail shall be effective as delivery of a manually executed counterpart to this Agreement.</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B-23</w:t>
      </w:r>
    </w:p>
    <w:p>
      <w:pPr>
        <w:sectPr>
          <w:pgSz w:w="11900" w:h="16838" w:orient="portrait"/>
          <w:cols w:equalWidth="0" w:num="1">
            <w:col w:w="11220"/>
          </w:cols>
          <w:pgMar w:left="240" w:top="456"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date first above written.</w:t>
      </w:r>
    </w:p>
    <w:p>
      <w:pPr>
        <w:spacing w:after="0" w:line="24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5641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15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B-24</w:t>
      </w:r>
    </w:p>
    <w:p>
      <w:pPr>
        <w:sectPr>
          <w:pgSz w:w="11900" w:h="16838" w:orient="portrait"/>
          <w:cols w:equalWidth="0" w:num="1">
            <w:col w:w="10219"/>
          </w:cols>
          <w:pgMar w:left="240" w:top="456" w:right="1440"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5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b w:val="1"/>
          <w:bCs w:val="1"/>
          <w:color w:val="auto"/>
        </w:rPr>
        <w:t>TORGERSON FAMILY TRUST</w:t>
      </w:r>
    </w:p>
    <w:p>
      <w:pPr>
        <w:spacing w:after="0" w:line="24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989677 ALBERTA LTD.</w:t>
      </w:r>
    </w:p>
    <w:p>
      <w:pPr>
        <w:spacing w:after="0" w:line="22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24269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[Signature Pages to Registration Rights, Lock-Up and Standstill Agreement]</w:t>
      </w:r>
    </w:p>
    <w:p>
      <w:pPr>
        <w:spacing w:after="0" w:line="16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B-25</w:t>
      </w:r>
    </w:p>
    <w:p>
      <w:pPr>
        <w:sectPr>
          <w:pgSz w:w="11900" w:h="16838" w:orient="portrait"/>
          <w:cols w:equalWidth="0" w:num="1">
            <w:col w:w="10219"/>
          </w:cols>
          <w:pgMar w:left="240" w:top="455" w:right="1440"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OF AMENDMENT TO ARTICLES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Civeo Corporation (the “Company”)</w:t>
      </w:r>
    </w:p>
    <w:p>
      <w:pPr>
        <w:spacing w:after="0" w:line="203" w:lineRule="exact"/>
        <w:rPr>
          <w:sz w:val="20"/>
          <w:szCs w:val="20"/>
          <w:color w:val="auto"/>
        </w:rPr>
      </w:pPr>
    </w:p>
    <w:p>
      <w:pPr>
        <w:ind w:left="200" w:right="2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following special rights and restrictions with respect to the Class A Series 1 Preferred Shares of the Company be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authorized, and the Articles of the Company be and are altered by adding as Part 27.1 the special rights and restrictions set out below:</w:t>
      </w: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27.1</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SPECIAL RIGHTS AND RESTRICTIONS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CLASS A SERIES 1 PREFERRED SHARES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27.1.1 Definitions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used herein, the following terms shall have the following meanings:</w:t>
      </w:r>
    </w:p>
    <w:p>
      <w:pPr>
        <w:spacing w:after="0" w:line="127" w:lineRule="exact"/>
        <w:rPr>
          <w:sz w:val="20"/>
          <w:szCs w:val="20"/>
          <w:color w:val="auto"/>
        </w:rPr>
      </w:pPr>
    </w:p>
    <w:p>
      <w:pPr>
        <w:ind w:left="1060" w:right="60" w:hanging="424"/>
        <w:spacing w:after="0" w:line="268" w:lineRule="auto"/>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Dividends</w:t>
      </w:r>
      <w:r>
        <w:rPr>
          <w:rFonts w:ascii="Times New Roman" w:cs="Times New Roman" w:eastAsia="Times New Roman" w:hAnsi="Times New Roman"/>
          <w:sz w:val="18"/>
          <w:szCs w:val="18"/>
          <w:color w:val="auto"/>
        </w:rPr>
        <w:t>” shall mean, with respect to any Class A Series 1 Preferred Share, as of any date, the accrued and unpaid dividends on such share from, and including, the most recently preceding Dividend Payment Date (or the Issue Date, if such date is prior to the first Dividend Payment Date) to, but not including, such date.</w:t>
      </w:r>
    </w:p>
    <w:p>
      <w:pPr>
        <w:spacing w:after="0" w:line="76"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27.1.9(a) Distribution</w:t>
      </w:r>
      <w:r>
        <w:rPr>
          <w:rFonts w:ascii="Times New Roman" w:cs="Times New Roman" w:eastAsia="Times New Roman" w:hAnsi="Times New Roman"/>
          <w:sz w:val="18"/>
          <w:szCs w:val="18"/>
          <w:color w:val="auto"/>
        </w:rPr>
        <w:t>” shall have the meaning set forth in Article 27.1.9(d)(v)(A).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27.1.9(b) Distribution</w:t>
      </w:r>
      <w:r>
        <w:rPr>
          <w:rFonts w:ascii="Times New Roman" w:cs="Times New Roman" w:eastAsia="Times New Roman" w:hAnsi="Times New Roman"/>
          <w:sz w:val="18"/>
          <w:szCs w:val="18"/>
          <w:color w:val="auto"/>
        </w:rPr>
        <w:t>” shall have the meaning set forth in Article 27.1.9(d)(v)(B).</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27.1.9(d) Distribution</w:t>
      </w:r>
      <w:r>
        <w:rPr>
          <w:rFonts w:ascii="Times New Roman" w:cs="Times New Roman" w:eastAsia="Times New Roman" w:hAnsi="Times New Roman"/>
          <w:sz w:val="18"/>
          <w:szCs w:val="18"/>
          <w:color w:val="auto"/>
        </w:rPr>
        <w:t>” shall have the meaning set forth in Article 27.1.9(d)(v)(B).</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Automatic Conversion</w:t>
      </w:r>
      <w:r>
        <w:rPr>
          <w:rFonts w:ascii="Times New Roman" w:cs="Times New Roman" w:eastAsia="Times New Roman" w:hAnsi="Times New Roman"/>
          <w:sz w:val="18"/>
          <w:szCs w:val="18"/>
          <w:color w:val="auto"/>
        </w:rPr>
        <w:t>” shall have the meaning set forth in Article 27.1.6(d)(i).</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Automatic Conversion Time</w:t>
      </w:r>
      <w:r>
        <w:rPr>
          <w:rFonts w:ascii="Times New Roman" w:cs="Times New Roman" w:eastAsia="Times New Roman" w:hAnsi="Times New Roman"/>
          <w:sz w:val="18"/>
          <w:szCs w:val="18"/>
          <w:color w:val="auto"/>
        </w:rPr>
        <w:t>” shall have the meaning set forth in Article 27.1.6(d)(i).</w:t>
      </w:r>
    </w:p>
    <w:p>
      <w:pPr>
        <w:spacing w:after="0" w:line="130" w:lineRule="exact"/>
        <w:rPr>
          <w:rFonts w:ascii="Times New Roman" w:cs="Times New Roman" w:eastAsia="Times New Roman" w:hAnsi="Times New Roman"/>
          <w:sz w:val="18"/>
          <w:szCs w:val="18"/>
          <w:color w:val="auto"/>
        </w:rPr>
      </w:pPr>
    </w:p>
    <w:p>
      <w:pPr>
        <w:ind w:left="1060" w:right="240" w:hanging="424"/>
        <w:spacing w:after="0" w:line="286" w:lineRule="auto"/>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Average VWAP</w:t>
      </w:r>
      <w:r>
        <w:rPr>
          <w:rFonts w:ascii="Times New Roman" w:cs="Times New Roman" w:eastAsia="Times New Roman" w:hAnsi="Times New Roman"/>
          <w:sz w:val="18"/>
          <w:szCs w:val="18"/>
          <w:color w:val="auto"/>
        </w:rPr>
        <w:t>” per share over a certain period shall mean the arithmetic average of the VWAP per share for each Trading Day in such period.</w:t>
      </w:r>
    </w:p>
    <w:p>
      <w:pPr>
        <w:spacing w:after="0" w:line="60" w:lineRule="exact"/>
        <w:rPr>
          <w:rFonts w:ascii="Times New Roman" w:cs="Times New Roman" w:eastAsia="Times New Roman" w:hAnsi="Times New Roman"/>
          <w:sz w:val="18"/>
          <w:szCs w:val="18"/>
          <w:color w:val="auto"/>
        </w:rPr>
      </w:pPr>
    </w:p>
    <w:p>
      <w:pPr>
        <w:ind w:left="1060" w:right="120" w:hanging="424"/>
        <w:spacing w:after="0" w:line="286" w:lineRule="auto"/>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or Sunday or any other day on which commercial banks in New York City or the province of British Columbia, Canada are authorized or required by law or executive order to close.</w:t>
      </w:r>
    </w:p>
    <w:p>
      <w:pPr>
        <w:spacing w:after="0" w:line="6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Dividends</w:t>
      </w:r>
      <w:r>
        <w:rPr>
          <w:rFonts w:ascii="Times New Roman" w:cs="Times New Roman" w:eastAsia="Times New Roman" w:hAnsi="Times New Roman"/>
          <w:sz w:val="18"/>
          <w:szCs w:val="18"/>
          <w:color w:val="auto"/>
        </w:rPr>
        <w:t>” shall have the meaning set forth in Article 27.1.3(a).</w:t>
      </w:r>
    </w:p>
    <w:p>
      <w:pPr>
        <w:spacing w:after="0" w:line="130" w:lineRule="exact"/>
        <w:rPr>
          <w:rFonts w:ascii="Times New Roman" w:cs="Times New Roman" w:eastAsia="Times New Roman" w:hAnsi="Times New Roman"/>
          <w:sz w:val="18"/>
          <w:szCs w:val="18"/>
          <w:color w:val="auto"/>
        </w:rPr>
      </w:pPr>
    </w:p>
    <w:p>
      <w:pPr>
        <w:ind w:left="1060" w:right="160" w:hanging="424"/>
        <w:spacing w:after="0" w:line="255" w:lineRule="auto"/>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any proposed transaction or series of related transactions (i) that results in any person or group (as such terms are defined in Sections 13(d) and 14(d) of the Exchange Act) acquiring “beneficial ownership” (as defined in Rules 13d-3 and 13d-5 under the Exchange Act) of more than 50% of the total combined voting power of outstanding Common Shares and Class A Series 1 Preferred Shares (considered on a basis as if fully converted into Common Shares) or (ii) pursuant to which the Company is consolidated, merged, combined or amalgamated with another corporation or entity, and, as a result of such consolidation, merger, combination or amalgamation, less than 50% of the outstanding voting securities of the surviving or resulting corporation or entity are then owned by the former shareholders of the Company and, in each of clause (i) and (ii), the Common Shares are converted into, or exchanged for, cash, securities or other property of another Person.</w:t>
      </w:r>
    </w:p>
    <w:p>
      <w:pPr>
        <w:spacing w:after="0" w:line="9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as of any Business Day shall mean 5:00 p.m. (New York City time) on such Business Day.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means Early Conversion, Forced Conversion, Mandatory Conversion or Automatic Conversion, as applicable.</w:t>
      </w:r>
    </w:p>
    <w:p>
      <w:pPr>
        <w:spacing w:after="0" w:line="130" w:lineRule="exact"/>
        <w:rPr>
          <w:rFonts w:ascii="Times New Roman" w:cs="Times New Roman" w:eastAsia="Times New Roman" w:hAnsi="Times New Roman"/>
          <w:sz w:val="18"/>
          <w:szCs w:val="18"/>
          <w:color w:val="auto"/>
        </w:rPr>
      </w:pPr>
    </w:p>
    <w:p>
      <w:pPr>
        <w:ind w:left="1060" w:right="140" w:hanging="424"/>
        <w:spacing w:after="0" w:line="286" w:lineRule="auto"/>
        <w:tabs>
          <w:tab w:leader="none" w:pos="10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mean the Early Conversion Date, the Forced Conversion Date, the Mandatory Conversion Date or the Automatic Conversion Date, as applicable.</w:t>
      </w:r>
    </w:p>
    <w:p>
      <w:pPr>
        <w:sectPr>
          <w:pgSz w:w="11900" w:h="16838" w:orient="portrait"/>
          <w:cols w:equalWidth="0" w:num="1">
            <w:col w:w="11220"/>
          </w:cols>
          <w:pgMar w:left="240" w:top="456" w:right="4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60" w:hanging="424"/>
        <w:spacing w:after="0"/>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shall mean, as of any time, US$10,000 divided by the Conversion Rate as of such time.</w:t>
      </w:r>
    </w:p>
    <w:p>
      <w:pPr>
        <w:spacing w:after="0" w:line="130" w:lineRule="exact"/>
        <w:rPr>
          <w:rFonts w:ascii="Times New Roman" w:cs="Times New Roman" w:eastAsia="Times New Roman" w:hAnsi="Times New Roman"/>
          <w:sz w:val="18"/>
          <w:szCs w:val="18"/>
          <w:color w:val="auto"/>
        </w:rPr>
      </w:pPr>
    </w:p>
    <w:p>
      <w:pPr>
        <w:ind w:left="1060" w:right="240" w:hanging="424"/>
        <w:spacing w:after="0" w:line="286" w:lineRule="auto"/>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equal 3,030.3030 Common Shares per each US$10,000 of Liquidation Preference of Class A Series 1 Preferred Shares, subject to adjustment in accordance with Article 27.1.9, rounded to the nearest 1/10,000th of a share.</w:t>
      </w:r>
    </w:p>
    <w:p>
      <w:pPr>
        <w:spacing w:after="0" w:line="60" w:lineRule="exact"/>
        <w:rPr>
          <w:rFonts w:ascii="Times New Roman" w:cs="Times New Roman" w:eastAsia="Times New Roman" w:hAnsi="Times New Roman"/>
          <w:sz w:val="18"/>
          <w:szCs w:val="18"/>
          <w:color w:val="auto"/>
        </w:rPr>
      </w:pPr>
    </w:p>
    <w:p>
      <w:pPr>
        <w:ind w:left="1060" w:right="580" w:hanging="424"/>
        <w:spacing w:after="0" w:line="286" w:lineRule="auto"/>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Market Price</w:t>
      </w:r>
      <w:r>
        <w:rPr>
          <w:rFonts w:ascii="Times New Roman" w:cs="Times New Roman" w:eastAsia="Times New Roman" w:hAnsi="Times New Roman"/>
          <w:sz w:val="18"/>
          <w:szCs w:val="18"/>
          <w:color w:val="auto"/>
        </w:rPr>
        <w:t>” per Common Share (or, in the case of Article 27.1.9(d), per Common Share, shares, capital stock or equity interests, as applicable) on any date means for the purposes of determining an adjustment to the Conversion Rate:</w:t>
      </w:r>
    </w:p>
    <w:p>
      <w:pPr>
        <w:spacing w:after="0" w:line="64" w:lineRule="exact"/>
        <w:rPr>
          <w:rFonts w:ascii="Times New Roman" w:cs="Times New Roman" w:eastAsia="Times New Roman" w:hAnsi="Times New Roman"/>
          <w:sz w:val="18"/>
          <w:szCs w:val="18"/>
          <w:color w:val="auto"/>
        </w:rPr>
      </w:pPr>
    </w:p>
    <w:p>
      <w:pPr>
        <w:ind w:left="1620" w:right="40" w:hanging="538"/>
        <w:spacing w:after="0" w:line="261" w:lineRule="auto"/>
        <w:tabs>
          <w:tab w:leader="none" w:pos="162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adjustment pursuant to Article 27.1.9(b), Article 27.1.9(d) (but only in the event of an adjustment thereunder not relating to a Spin-Off), or Article 27.1.9(e), the Average VWAP per Common Share over the five consecutive Trading Day period ending on the Trading Day immediately preceding the Ex-Date with respect to the issuance or distribution requiring such computation;</w:t>
      </w:r>
    </w:p>
    <w:p>
      <w:pPr>
        <w:spacing w:after="0" w:line="85" w:lineRule="exact"/>
        <w:rPr>
          <w:rFonts w:ascii="Times New Roman" w:cs="Times New Roman" w:eastAsia="Times New Roman" w:hAnsi="Times New Roman"/>
          <w:sz w:val="18"/>
          <w:szCs w:val="18"/>
          <w:color w:val="auto"/>
        </w:rPr>
      </w:pPr>
    </w:p>
    <w:p>
      <w:pPr>
        <w:ind w:left="1620" w:right="20" w:hanging="538"/>
        <w:spacing w:after="0" w:line="289" w:lineRule="auto"/>
        <w:tabs>
          <w:tab w:leader="none" w:pos="1620" w:val="left"/>
        </w:tabs>
        <w:numPr>
          <w:ilvl w:val="1"/>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any adjustment pursuant to Article 27.1.9(d) relating to a Spin-Off, the Average VWAP per Common Share, share, capital stock or equity interests of the subsidiary or other business unit being distributed, as applicable, over the first 10 consecutive Trading Days commencing on and including the fifth Trading Day immediately following the effective date of such distribution; and</w:t>
      </w:r>
    </w:p>
    <w:p>
      <w:pPr>
        <w:spacing w:after="0" w:line="63" w:lineRule="exact"/>
        <w:rPr>
          <w:rFonts w:ascii="Times New Roman" w:cs="Times New Roman" w:eastAsia="Times New Roman" w:hAnsi="Times New Roman"/>
          <w:sz w:val="17"/>
          <w:szCs w:val="17"/>
          <w:color w:val="auto"/>
        </w:rPr>
      </w:pPr>
    </w:p>
    <w:p>
      <w:pPr>
        <w:ind w:left="1620" w:hanging="538"/>
        <w:spacing w:after="0" w:line="266" w:lineRule="auto"/>
        <w:tabs>
          <w:tab w:leader="none" w:pos="162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adjustment pursuant to Article 27.1.9(f), the Average VWAP per Common Share over the 10 consecutive Trading Day period commencing on, and including, the Trading Day next succeeding the Expiration Date of the relevant tender offer or exchange offer.</w:t>
      </w:r>
    </w:p>
    <w:p>
      <w:pPr>
        <w:spacing w:after="0" w:line="7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Date</w:t>
      </w:r>
      <w:r>
        <w:rPr>
          <w:rFonts w:ascii="Times New Roman" w:cs="Times New Roman" w:eastAsia="Times New Roman" w:hAnsi="Times New Roman"/>
          <w:sz w:val="18"/>
          <w:szCs w:val="18"/>
          <w:color w:val="auto"/>
        </w:rPr>
        <w:t xml:space="preserve">” shall mean March 30, June 30, September 30 and December 30 of each year, commencing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2018.</w:t>
      </w:r>
      <w:r>
        <w:rPr>
          <w:rFonts w:ascii="Times New Roman" w:cs="Times New Roman" w:eastAsia="Times New Roman" w:hAnsi="Times New Roman"/>
          <w:sz w:val="15"/>
          <w:szCs w:val="15"/>
          <w:color w:val="auto"/>
        </w:rPr>
        <w:t>1</w:t>
      </w:r>
    </w:p>
    <w:p>
      <w:pPr>
        <w:spacing w:after="0" w:line="130" w:lineRule="exact"/>
        <w:rPr>
          <w:rFonts w:ascii="Times New Roman" w:cs="Times New Roman" w:eastAsia="Times New Roman" w:hAnsi="Times New Roman"/>
          <w:sz w:val="18"/>
          <w:szCs w:val="18"/>
          <w:color w:val="auto"/>
        </w:rPr>
      </w:pPr>
    </w:p>
    <w:p>
      <w:pPr>
        <w:ind w:left="1060" w:hanging="424"/>
        <w:spacing w:after="0" w:line="268" w:lineRule="auto"/>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Rate</w:t>
      </w:r>
      <w:r>
        <w:rPr>
          <w:rFonts w:ascii="Times New Roman" w:cs="Times New Roman" w:eastAsia="Times New Roman" w:hAnsi="Times New Roman"/>
          <w:sz w:val="18"/>
          <w:szCs w:val="18"/>
          <w:color w:val="auto"/>
        </w:rPr>
        <w:t>” shall mean, as of any date of determination, the rate per annum of 2.0%, subject to increase and subsequent decrease as set forth in [Section 3(e)(iv)] of the Registration Rights, Lock-Up and Standstill Agreement, dated as of [●], 2018, between the Company and the shareholders party thereto, as may be amended from time to time.</w:t>
      </w:r>
    </w:p>
    <w:p>
      <w:pPr>
        <w:spacing w:after="0" w:line="76" w:lineRule="exact"/>
        <w:rPr>
          <w:rFonts w:ascii="Times New Roman" w:cs="Times New Roman" w:eastAsia="Times New Roman" w:hAnsi="Times New Roman"/>
          <w:sz w:val="18"/>
          <w:szCs w:val="18"/>
          <w:color w:val="auto"/>
        </w:rPr>
      </w:pPr>
    </w:p>
    <w:p>
      <w:pPr>
        <w:ind w:left="1060" w:right="220" w:hanging="424"/>
        <w:spacing w:after="0" w:line="286" w:lineRule="auto"/>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Record Date</w:t>
      </w:r>
      <w:r>
        <w:rPr>
          <w:rFonts w:ascii="Times New Roman" w:cs="Times New Roman" w:eastAsia="Times New Roman" w:hAnsi="Times New Roman"/>
          <w:sz w:val="18"/>
          <w:szCs w:val="18"/>
          <w:color w:val="auto"/>
        </w:rPr>
        <w:t>” shall mean, with respect to any Dividend Payment Date, the March 25, June 25, September 25 or December 24 immediately preceding such Dividend Payment Date.</w:t>
      </w:r>
    </w:p>
    <w:p>
      <w:pPr>
        <w:spacing w:after="0" w:line="6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Conversion</w:t>
      </w:r>
      <w:r>
        <w:rPr>
          <w:rFonts w:ascii="Times New Roman" w:cs="Times New Roman" w:eastAsia="Times New Roman" w:hAnsi="Times New Roman"/>
          <w:sz w:val="18"/>
          <w:szCs w:val="18"/>
          <w:color w:val="auto"/>
        </w:rPr>
        <w:t>” shall have the meaning set forth in Article 27.1.6(a)(i).</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Conversion Date</w:t>
      </w:r>
      <w:r>
        <w:rPr>
          <w:rFonts w:ascii="Times New Roman" w:cs="Times New Roman" w:eastAsia="Times New Roman" w:hAnsi="Times New Roman"/>
          <w:sz w:val="18"/>
          <w:szCs w:val="18"/>
          <w:color w:val="auto"/>
        </w:rPr>
        <w:t>” shall have the meaning set forth in Article 27.1.6(a)(i).</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Conversion Effective Date</w:t>
      </w:r>
      <w:r>
        <w:rPr>
          <w:rFonts w:ascii="Times New Roman" w:cs="Times New Roman" w:eastAsia="Times New Roman" w:hAnsi="Times New Roman"/>
          <w:sz w:val="18"/>
          <w:szCs w:val="18"/>
          <w:color w:val="auto"/>
        </w:rPr>
        <w:t>” shall have the meaning set forth in Article 27.1.6(a)(iii).</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shall have the meaning set forth in Article 27.1.10(a).</w:t>
      </w:r>
    </w:p>
    <w:p>
      <w:pPr>
        <w:spacing w:after="0" w:line="130" w:lineRule="exact"/>
        <w:rPr>
          <w:rFonts w:ascii="Times New Roman" w:cs="Times New Roman" w:eastAsia="Times New Roman" w:hAnsi="Times New Roman"/>
          <w:sz w:val="18"/>
          <w:szCs w:val="18"/>
          <w:color w:val="auto"/>
        </w:rPr>
      </w:pPr>
    </w:p>
    <w:p>
      <w:pPr>
        <w:ind w:left="1060" w:right="260" w:hanging="424"/>
        <w:spacing w:after="0" w:line="286" w:lineRule="auto"/>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Ex-Date</w:t>
      </w:r>
      <w:r>
        <w:rPr>
          <w:rFonts w:ascii="Times New Roman" w:cs="Times New Roman" w:eastAsia="Times New Roman" w:hAnsi="Times New Roman"/>
          <w:sz w:val="18"/>
          <w:szCs w:val="18"/>
          <w:color w:val="auto"/>
        </w:rPr>
        <w:t>,” when used with respect to any issuance or distribution on the Common Shares or any other securities, means the first date on which the Common Shares or such other securities trade without the right to receive such issuance or distribution.</w:t>
      </w:r>
    </w:p>
    <w:p>
      <w:pPr>
        <w:spacing w:after="0" w:line="6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have the meaning set forth in Article 27.1.9(f)(i).</w:t>
      </w:r>
    </w:p>
    <w:p>
      <w:pPr>
        <w:spacing w:after="0" w:line="130" w:lineRule="exact"/>
        <w:rPr>
          <w:rFonts w:ascii="Times New Roman" w:cs="Times New Roman" w:eastAsia="Times New Roman" w:hAnsi="Times New Roman"/>
          <w:sz w:val="18"/>
          <w:szCs w:val="18"/>
          <w:color w:val="auto"/>
        </w:rPr>
      </w:pPr>
    </w:p>
    <w:p>
      <w:pPr>
        <w:ind w:left="1060" w:right="260" w:hanging="424"/>
        <w:spacing w:after="0" w:line="286" w:lineRule="auto"/>
        <w:tabs>
          <w:tab w:leader="none" w:pos="10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fair market value as determined in good faith by the Board (or an authorized committee thereof), whose determination shall be conclusive and final.</w:t>
      </w:r>
    </w:p>
    <w:p>
      <w:pPr>
        <w:spacing w:after="0" w:line="60"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8"/>
          <w:szCs w:val="18"/>
          <w:color w:val="auto"/>
        </w:rPr>
        <w:t>(aa)</w:t>
        <w:tab/>
        <w:t>“</w:t>
      </w:r>
      <w:r>
        <w:rPr>
          <w:rFonts w:ascii="Times New Roman" w:cs="Times New Roman" w:eastAsia="Times New Roman" w:hAnsi="Times New Roman"/>
          <w:sz w:val="18"/>
          <w:szCs w:val="18"/>
          <w:b w:val="1"/>
          <w:bCs w:val="1"/>
          <w:color w:val="auto"/>
        </w:rPr>
        <w:t>Forced Conversion</w:t>
      </w:r>
      <w:r>
        <w:rPr>
          <w:rFonts w:ascii="Times New Roman" w:cs="Times New Roman" w:eastAsia="Times New Roman" w:hAnsi="Times New Roman"/>
          <w:sz w:val="18"/>
          <w:szCs w:val="18"/>
          <w:color w:val="auto"/>
        </w:rPr>
        <w:t>” shall have the meaning set forth in Article 27.1.6(b)(i).</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Forced Conversion Date</w:t>
      </w:r>
      <w:r>
        <w:rPr>
          <w:rFonts w:ascii="Times New Roman" w:cs="Times New Roman" w:eastAsia="Times New Roman" w:hAnsi="Times New Roman"/>
          <w:sz w:val="18"/>
          <w:szCs w:val="18"/>
          <w:color w:val="auto"/>
        </w:rPr>
        <w:t>” shall have the meaning set forth in Article 27.1.6(b)(ii).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46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7"/>
          <w:szCs w:val="17"/>
          <w:color w:val="auto"/>
        </w:rPr>
        <w:t>NTD: To be the end of the first full quarterly period following the Issue Date.</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200"/>
          </w:cols>
          <w:pgMar w:left="240" w:top="455" w:right="4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Forced Conversion Notice</w:t>
      </w:r>
      <w:r>
        <w:rPr>
          <w:rFonts w:ascii="Times New Roman" w:cs="Times New Roman" w:eastAsia="Times New Roman" w:hAnsi="Times New Roman"/>
          <w:sz w:val="18"/>
          <w:szCs w:val="18"/>
          <w:color w:val="auto"/>
        </w:rPr>
        <w:t>” shall have the meaning set forth in Article 27.1.6(b)(ii).</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Forced Conversion Notice Date</w:t>
      </w:r>
      <w:r>
        <w:rPr>
          <w:rFonts w:ascii="Times New Roman" w:cs="Times New Roman" w:eastAsia="Times New Roman" w:hAnsi="Times New Roman"/>
          <w:sz w:val="18"/>
          <w:szCs w:val="18"/>
          <w:color w:val="auto"/>
        </w:rPr>
        <w:t>” shall have the meaning set forth in Article 27.1.6(b)(ii).</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shall mean the original date of issuance of the Class A Series 1 Preferred Shares.</w:t>
      </w:r>
    </w:p>
    <w:p>
      <w:pPr>
        <w:spacing w:after="0" w:line="130" w:lineRule="exact"/>
        <w:rPr>
          <w:rFonts w:ascii="Times New Roman" w:cs="Times New Roman" w:eastAsia="Times New Roman" w:hAnsi="Times New Roman"/>
          <w:sz w:val="18"/>
          <w:szCs w:val="18"/>
          <w:color w:val="auto"/>
        </w:rPr>
      </w:pPr>
    </w:p>
    <w:p>
      <w:pPr>
        <w:ind w:left="1060" w:right="340" w:hanging="424"/>
        <w:spacing w:after="0" w:line="317" w:lineRule="auto"/>
        <w:tabs>
          <w:tab w:leader="none" w:pos="1060"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Liquidation Preference</w:t>
      </w:r>
      <w:r>
        <w:rPr>
          <w:rFonts w:ascii="Times New Roman" w:cs="Times New Roman" w:eastAsia="Times New Roman" w:hAnsi="Times New Roman"/>
          <w:sz w:val="17"/>
          <w:szCs w:val="17"/>
          <w:color w:val="auto"/>
        </w:rPr>
        <w:t>” shall mean, with respect to each Class A Series 1 Preferred Share, $10,000, subject to increase in accordance with Article 27.1.3(c), and, with respect to any Conversion only, shall include any Accrued Dividends as provided in Article 27.1.3(e).</w:t>
      </w:r>
    </w:p>
    <w:p>
      <w:pPr>
        <w:spacing w:after="0" w:line="37" w:lineRule="exact"/>
        <w:rPr>
          <w:rFonts w:ascii="Times New Roman" w:cs="Times New Roman" w:eastAsia="Times New Roman" w:hAnsi="Times New Roman"/>
          <w:sz w:val="17"/>
          <w:szCs w:val="17"/>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shall have the meaning set forth in Article 27.1.6(c)(i).</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Date</w:t>
      </w:r>
      <w:r>
        <w:rPr>
          <w:rFonts w:ascii="Times New Roman" w:cs="Times New Roman" w:eastAsia="Times New Roman" w:hAnsi="Times New Roman"/>
          <w:sz w:val="18"/>
          <w:szCs w:val="18"/>
          <w:color w:val="auto"/>
        </w:rPr>
        <w:t>” means [●], 2023.</w:t>
      </w:r>
      <w:r>
        <w:rPr>
          <w:rFonts w:ascii="Times New Roman" w:cs="Times New Roman" w:eastAsia="Times New Roman" w:hAnsi="Times New Roman"/>
          <w:sz w:val="15"/>
          <w:szCs w:val="15"/>
          <w:color w:val="auto"/>
        </w:rPr>
        <w:t>2</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Issuance Date</w:t>
      </w:r>
      <w:r>
        <w:rPr>
          <w:rFonts w:ascii="Times New Roman" w:cs="Times New Roman" w:eastAsia="Times New Roman" w:hAnsi="Times New Roman"/>
          <w:sz w:val="18"/>
          <w:szCs w:val="18"/>
          <w:color w:val="auto"/>
        </w:rPr>
        <w:t>” shall have the meaning set forth in Article 27.1.6(c)(ii).</w:t>
      </w:r>
    </w:p>
    <w:p>
      <w:pPr>
        <w:spacing w:after="0" w:line="252" w:lineRule="exact"/>
        <w:rPr>
          <w:rFonts w:ascii="Times New Roman" w:cs="Times New Roman" w:eastAsia="Times New Roman" w:hAnsi="Times New Roman"/>
          <w:sz w:val="18"/>
          <w:szCs w:val="18"/>
          <w:color w:val="auto"/>
        </w:rPr>
      </w:pPr>
    </w:p>
    <w:p>
      <w:pPr>
        <w:ind w:left="1060" w:right="160" w:hanging="424"/>
        <w:spacing w:after="0" w:line="286" w:lineRule="auto"/>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Ownership Notice</w:t>
      </w:r>
      <w:r>
        <w:rPr>
          <w:rFonts w:ascii="Times New Roman" w:cs="Times New Roman" w:eastAsia="Times New Roman" w:hAnsi="Times New Roman"/>
          <w:sz w:val="18"/>
          <w:szCs w:val="18"/>
          <w:color w:val="auto"/>
        </w:rPr>
        <w:t xml:space="preserve">” shall mean any written notice of the Company containing the information, if any, required to be set forth or stated on certificates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which shall include the information set forth in Exhibit B.</w:t>
      </w:r>
    </w:p>
    <w:p>
      <w:pPr>
        <w:spacing w:after="0" w:line="6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have the meaning set forth in Article 27.1.7(a).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shall have the meaning set forth in Article 27.1.10(a).</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Period</w:t>
      </w:r>
      <w:r>
        <w:rPr>
          <w:rFonts w:ascii="Times New Roman" w:cs="Times New Roman" w:eastAsia="Times New Roman" w:hAnsi="Times New Roman"/>
          <w:sz w:val="18"/>
          <w:szCs w:val="18"/>
          <w:color w:val="auto"/>
        </w:rPr>
        <w:t>” means the 10-consecutive Trading Day period before a Conversion Date.</w:t>
      </w:r>
    </w:p>
    <w:p>
      <w:pPr>
        <w:spacing w:after="0" w:line="130" w:lineRule="exact"/>
        <w:rPr>
          <w:rFonts w:ascii="Times New Roman" w:cs="Times New Roman" w:eastAsia="Times New Roman" w:hAnsi="Times New Roman"/>
          <w:sz w:val="18"/>
          <w:szCs w:val="18"/>
          <w:color w:val="auto"/>
        </w:rPr>
      </w:pPr>
    </w:p>
    <w:p>
      <w:pPr>
        <w:ind w:left="1060" w:right="440" w:hanging="424"/>
        <w:spacing w:after="0" w:line="286" w:lineRule="auto"/>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means a distribution by the Company to all holders of Common Shares consisting of common shares or capital stock of, or similar equity interests in, or relating to, a subsidiary or other business unit of the Company.</w:t>
      </w:r>
    </w:p>
    <w:p>
      <w:pPr>
        <w:spacing w:after="0" w:line="60" w:lineRule="exact"/>
        <w:rPr>
          <w:rFonts w:ascii="Times New Roman" w:cs="Times New Roman" w:eastAsia="Times New Roman" w:hAnsi="Times New Roman"/>
          <w:sz w:val="18"/>
          <w:szCs w:val="18"/>
          <w:color w:val="auto"/>
        </w:rPr>
      </w:pPr>
    </w:p>
    <w:p>
      <w:pPr>
        <w:ind w:left="1060" w:right="140" w:hanging="424"/>
        <w:spacing w:after="0" w:line="259" w:lineRule="auto"/>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mean a day during which trading in securities generally occurs on the New York Stock Exchange or, if the Common Shares are not listed on the New York Stock Exchange, on the principal other national or regional securities exchange on which the Common Shares are then listed or, if the Common Shares are not listed on a national or regional securities exchange, on the principal other market on which the Common Shares are then traded. If the Common Shares are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mean a Business Day.</w:t>
      </w:r>
    </w:p>
    <w:p>
      <w:pPr>
        <w:spacing w:after="0" w:line="85"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set forth in Article 27.1.9(d)(iv).</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Exchange Property</w:t>
      </w:r>
      <w:r>
        <w:rPr>
          <w:rFonts w:ascii="Times New Roman" w:cs="Times New Roman" w:eastAsia="Times New Roman" w:hAnsi="Times New Roman"/>
          <w:sz w:val="18"/>
          <w:szCs w:val="18"/>
          <w:color w:val="auto"/>
        </w:rPr>
        <w:t>” shall have the meaning set forth in Article 27.1.10(a).</w:t>
      </w:r>
    </w:p>
    <w:p>
      <w:pPr>
        <w:spacing w:after="0" w:line="130" w:lineRule="exact"/>
        <w:rPr>
          <w:rFonts w:ascii="Times New Roman" w:cs="Times New Roman" w:eastAsia="Times New Roman" w:hAnsi="Times New Roman"/>
          <w:sz w:val="18"/>
          <w:szCs w:val="18"/>
          <w:color w:val="auto"/>
        </w:rPr>
      </w:pPr>
    </w:p>
    <w:p>
      <w:pPr>
        <w:ind w:left="1060" w:hanging="424"/>
        <w:spacing w:after="0" w:line="257" w:lineRule="auto"/>
        <w:tabs>
          <w:tab w:leader="none" w:pos="10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per Common Share on any Trading Day shall mean the per share volume-weighted average price as displayed on Bloomberg page “CVEO Equity VWAP” (or its equivalent successor if such page is not available) in respect of the period from 9:30 a.m. to 4:00 p.m., New York City time, on such Trading Day; or, if such price is not available, “VWAP” shall mean the market value per Common Share on such Trading Day as determined, using a volume-weighted average method, by a nationally recognized independent investment banking firm retained by the Company for this purpose. VWAP for any other security will be determined in the manner set forth above, with all references to Common Shares being to such other securities.</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27.1.2 Amount; Ranking</w:t>
      </w:r>
    </w:p>
    <w:p>
      <w:pPr>
        <w:spacing w:after="0" w:line="135" w:lineRule="exact"/>
        <w:rPr>
          <w:sz w:val="20"/>
          <w:szCs w:val="20"/>
          <w:color w:val="auto"/>
        </w:rPr>
      </w:pPr>
    </w:p>
    <w:p>
      <w:pPr>
        <w:ind w:left="1060" w:right="360" w:hanging="424"/>
        <w:spacing w:after="0" w:line="282" w:lineRule="auto"/>
        <w:tabs>
          <w:tab w:leader="none" w:pos="10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created from the Class A Series 1 Preferred Shares of the Company authorized to be issued pursuant to the Articles of the Company, [●] Class A Series 1 Preferred Shares.</w:t>
      </w:r>
    </w:p>
    <w:p>
      <w:pPr>
        <w:spacing w:after="0" w:line="67" w:lineRule="exact"/>
        <w:rPr>
          <w:rFonts w:ascii="Times New Roman" w:cs="Times New Roman" w:eastAsia="Times New Roman" w:hAnsi="Times New Roman"/>
          <w:sz w:val="18"/>
          <w:szCs w:val="18"/>
          <w:color w:val="auto"/>
        </w:rPr>
      </w:pPr>
    </w:p>
    <w:p>
      <w:pPr>
        <w:ind w:left="1060" w:right="400" w:hanging="424"/>
        <w:spacing w:after="0" w:line="282" w:lineRule="auto"/>
        <w:tabs>
          <w:tab w:leader="none" w:pos="10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Series 1 Preferred Shares that are redeemed, purchased or otherwise acquired by the Company, or converted into Common Shares, shall be cancelled, shall revert to authorized but unissued Class A Series 1 Preferred Shares and shall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wp:posOffset>
            </wp:positionV>
            <wp:extent cx="6946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5" w:lineRule="exact"/>
        <w:rPr>
          <w:sz w:val="20"/>
          <w:szCs w:val="20"/>
          <w:color w:val="auto"/>
        </w:rPr>
      </w:pPr>
    </w:p>
    <w:p>
      <w:pPr>
        <w:ind w:left="5580" w:right="3420" w:hanging="5376"/>
        <w:spacing w:after="0" w:line="454" w:lineRule="auto"/>
        <w:tabs>
          <w:tab w:leader="none" w:pos="421" w:val="left"/>
        </w:tabs>
        <w:numPr>
          <w:ilvl w:val="0"/>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To be on the first dividend payment date that occurs after the fifth anniversary of the Issue Date. C-3</w:t>
      </w:r>
    </w:p>
    <w:p>
      <w:pPr>
        <w:sectPr>
          <w:pgSz w:w="11900" w:h="16838" w:orient="portrait"/>
          <w:cols w:equalWidth="0" w:num="1">
            <w:col w:w="11220"/>
          </w:cols>
          <w:pgMar w:left="240" w:top="456" w:right="4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66" w:lineRule="auto"/>
        <w:tabs>
          <w:tab w:leader="none" w:pos="10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Series 1 Preferred Shares shall rank senior in all respects to the Common Shares with respect to dividend rights and rights upon the liquidation, dissolution or winding-up of the Company up to the amount of the Liquidation Preference and Accrued Dividends, as provided more fully herein.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27.1.3 Dividends</w:t>
      </w:r>
    </w:p>
    <w:p>
      <w:pPr>
        <w:spacing w:after="0" w:line="135" w:lineRule="exact"/>
        <w:rPr>
          <w:sz w:val="20"/>
          <w:szCs w:val="20"/>
          <w:color w:val="auto"/>
        </w:rPr>
      </w:pPr>
    </w:p>
    <w:p>
      <w:pPr>
        <w:ind w:left="1060" w:right="60" w:hanging="424"/>
        <w:spacing w:after="0" w:line="258" w:lineRule="auto"/>
        <w:tabs>
          <w:tab w:leader="none" w:pos="10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Series 1 Preferred Shares shall be entitled to receive, with respect to each Class A Series 1 Preferred Share, and as, when and if declared by the Board out of funds of the Company legally available for payment, cash dividends (“</w:t>
      </w:r>
      <w:r>
        <w:rPr>
          <w:rFonts w:ascii="Times New Roman" w:cs="Times New Roman" w:eastAsia="Times New Roman" w:hAnsi="Times New Roman"/>
          <w:sz w:val="18"/>
          <w:szCs w:val="18"/>
          <w:b w:val="1"/>
          <w:bCs w:val="1"/>
          <w:color w:val="auto"/>
        </w:rPr>
        <w:t>Cash Dividends</w:t>
      </w:r>
      <w:r>
        <w:rPr>
          <w:rFonts w:ascii="Times New Roman" w:cs="Times New Roman" w:eastAsia="Times New Roman" w:hAnsi="Times New Roman"/>
          <w:sz w:val="18"/>
          <w:szCs w:val="18"/>
          <w:color w:val="auto"/>
        </w:rPr>
        <w:t>”) on the Liquidation Preference in effect immediately after the immediately prior Dividend Payment Date (or if there has been no prior Dividend Payment Date, the Issue Date), computed on the basis of a 360-day year consisting of twelve 30-day months, at the Dividend Rate, compounded quarterly on each Dividend Payment Date.</w:t>
      </w:r>
    </w:p>
    <w:p>
      <w:pPr>
        <w:spacing w:after="0" w:line="89" w:lineRule="exact"/>
        <w:rPr>
          <w:rFonts w:ascii="Times New Roman" w:cs="Times New Roman" w:eastAsia="Times New Roman" w:hAnsi="Times New Roman"/>
          <w:sz w:val="18"/>
          <w:szCs w:val="18"/>
          <w:color w:val="auto"/>
        </w:rPr>
      </w:pPr>
    </w:p>
    <w:p>
      <w:pPr>
        <w:ind w:left="1060" w:hanging="424"/>
        <w:spacing w:after="0" w:line="255" w:lineRule="auto"/>
        <w:tabs>
          <w:tab w:leader="none" w:pos="10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Board so declares, Cash Dividends shall be payable in arrears on each Dividend Payment Date for the quarterly period ending immediately prior to such Dividend Payment Date (or with respect to the first Dividend Payment Date, for the period commencing on the Issue Date and ending immediately prior to the first Dividend Payment Date), to the holders of the Class A Series 1 Preferred Shares as they appear on the Company’s central securities register at the close of business on the relevant Dividend Record Date. If a Dividend Payment Date is not a Business Day, then any Cash Dividend in respect of such Dividend Payment Date shall be due and payable on the first Business Day following such Dividend Payment Date without any accrual of additional dividends or interest on account of such delay in payment.</w:t>
      </w:r>
    </w:p>
    <w:p>
      <w:pPr>
        <w:spacing w:after="0" w:line="94" w:lineRule="exact"/>
        <w:rPr>
          <w:rFonts w:ascii="Times New Roman" w:cs="Times New Roman" w:eastAsia="Times New Roman" w:hAnsi="Times New Roman"/>
          <w:sz w:val="18"/>
          <w:szCs w:val="18"/>
          <w:color w:val="auto"/>
        </w:rPr>
      </w:pPr>
    </w:p>
    <w:p>
      <w:pPr>
        <w:ind w:left="1060" w:hanging="424"/>
        <w:spacing w:after="0" w:line="255" w:lineRule="auto"/>
        <w:tabs>
          <w:tab w:leader="none" w:pos="10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27.1.3(a), the Company may, at the sole election of the Board, elect not to declare or pay a Cash Dividend, or to pay a partial Cash Dividend, in respect of any Dividend Payment Date, subject to the provisions of this Article 27.1.3(c). In the event that the Company does not declare and pay a Cash Dividend, or elects to pay a partial Cash Dividend, at the Dividend Rate in respect of any Dividend Payment Date, then, effective upon such Dividend Payment Date, an amount equal to, if the Board elects not to declare or pay a Cash Dividend, the amount that would have been payable if such dividend had been paid as a Cash Dividend, or if the Board elects to pay a partial Cash Dividend, the amount not paid as a Cash Dividend, shall be deemed paid-in-kind and such amount shall be added to the Liquidation Preference.</w:t>
      </w:r>
    </w:p>
    <w:p>
      <w:pPr>
        <w:spacing w:after="0" w:line="94" w:lineRule="exact"/>
        <w:rPr>
          <w:rFonts w:ascii="Times New Roman" w:cs="Times New Roman" w:eastAsia="Times New Roman" w:hAnsi="Times New Roman"/>
          <w:sz w:val="18"/>
          <w:szCs w:val="18"/>
          <w:color w:val="auto"/>
        </w:rPr>
      </w:pPr>
    </w:p>
    <w:p>
      <w:pPr>
        <w:ind w:left="1060" w:right="140" w:hanging="424"/>
        <w:spacing w:after="0" w:line="261" w:lineRule="auto"/>
        <w:tabs>
          <w:tab w:leader="none" w:pos="10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Class A Series 1 Preferred Shares shall accumulate and become Accrued Dividends on a day-to-day basis, whether or not declared (and whether or not permitted to be declared under applicable law), from the most recent Dividend Payment Date, or if there has been no prior Dividend Payment Date, from the Issue Date, until Cash Dividends are paid pursuant to Article 27.1.3(b) in respect of such accumulated amounts or the Liquidation Preference is increased in respect of such accumulated amounts pursuant to Article 27.1.3(c).</w:t>
      </w:r>
    </w:p>
    <w:p>
      <w:pPr>
        <w:spacing w:after="0" w:line="85" w:lineRule="exact"/>
        <w:rPr>
          <w:rFonts w:ascii="Times New Roman" w:cs="Times New Roman" w:eastAsia="Times New Roman" w:hAnsi="Times New Roman"/>
          <w:sz w:val="18"/>
          <w:szCs w:val="18"/>
          <w:color w:val="auto"/>
        </w:rPr>
      </w:pPr>
    </w:p>
    <w:p>
      <w:pPr>
        <w:ind w:left="1060" w:right="140" w:hanging="424"/>
        <w:spacing w:after="0" w:line="261" w:lineRule="auto"/>
        <w:tabs>
          <w:tab w:leader="none" w:pos="10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if any Class A Series 1 Preferred Shares are converted into Common Shares, any Accrued Dividends with respect to such Class A Series 1 Preferred Shares shall not be permitted to be paid in cash, but shall be added to the Liquidation Preference for purposes of such Conversion. For the avoidance of doubt, such Accrued Dividends shall include dividends accruing from, and including, the most recently preceding Dividend Payment Date to, but not including, the Conversion Date.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27.1.4 Liquidation, Dissolution or Winding-Up</w:t>
      </w:r>
    </w:p>
    <w:p>
      <w:pPr>
        <w:spacing w:after="0" w:line="135" w:lineRule="exact"/>
        <w:rPr>
          <w:sz w:val="20"/>
          <w:szCs w:val="20"/>
          <w:color w:val="auto"/>
        </w:rPr>
      </w:pPr>
    </w:p>
    <w:p>
      <w:pPr>
        <w:ind w:left="1060" w:right="220" w:hanging="424"/>
        <w:spacing w:after="0" w:line="261" w:lineRule="auto"/>
        <w:tabs>
          <w:tab w:leader="none" w:pos="10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liquidation, dissolution or winding-up of the Company or other distribution of assets of the Company among its shareholders for the purpose of winding-up its affairs, the holders of the Class A Series 1 Preferred Shares shall be entitled to receive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the Liquidation Preference and Accrued Dividends for each Class A Series 1 Preferred Share held before any amount shall be paid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property or assets of the Company distributed to the holders of Common Shares or shares ranking</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220"/>
          </w:cols>
          <w:pgMar w:left="240" w:top="456" w:right="4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600"/>
        <w:spacing w:after="0" w:line="282" w:lineRule="auto"/>
        <w:rPr>
          <w:sz w:val="20"/>
          <w:szCs w:val="20"/>
          <w:color w:val="auto"/>
        </w:rPr>
      </w:pPr>
      <w:r>
        <w:rPr>
          <w:rFonts w:ascii="Times New Roman" w:cs="Times New Roman" w:eastAsia="Times New Roman" w:hAnsi="Times New Roman"/>
          <w:sz w:val="18"/>
          <w:szCs w:val="18"/>
          <w:color w:val="auto"/>
        </w:rPr>
        <w:t>junior to the Class A Series 1 Preferred Shares. Upon payment of the amount so payable to them, the holders of the Class A Series 1 Preferred Shares shall not be entitled to share in any further distribution of the property or assets of the Company.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27.1.5 Voting Rights.</w:t>
      </w:r>
    </w:p>
    <w:p>
      <w:pPr>
        <w:spacing w:after="0" w:line="133" w:lineRule="exact"/>
        <w:rPr>
          <w:sz w:val="20"/>
          <w:szCs w:val="20"/>
          <w:color w:val="auto"/>
        </w:rPr>
      </w:pPr>
    </w:p>
    <w:p>
      <w:pPr>
        <w:ind w:left="1060" w:right="60" w:hanging="424"/>
        <w:spacing w:after="0" w:line="284" w:lineRule="auto"/>
        <w:tabs>
          <w:tab w:leader="none" w:pos="10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Class A Series 1 Preferred Share shall have only such voting rights as prescribed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in connection with such voting rights, shall be entitled to one vote per Class A Series 1 Preferred Share.</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27.1.6 Conversion</w:t>
      </w:r>
    </w:p>
    <w:p>
      <w:pPr>
        <w:spacing w:after="0" w:line="135" w:lineRule="exact"/>
        <w:rPr>
          <w:sz w:val="20"/>
          <w:szCs w:val="20"/>
          <w:color w:val="auto"/>
        </w:rPr>
      </w:pPr>
    </w:p>
    <w:p>
      <w:pPr>
        <w:ind w:left="1060" w:hanging="424"/>
        <w:spacing w:after="0"/>
        <w:tabs>
          <w:tab w:leader="none" w:pos="10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Conversion at the Option of the Holder</w:t>
      </w:r>
    </w:p>
    <w:p>
      <w:pPr>
        <w:spacing w:after="0" w:line="130" w:lineRule="exact"/>
        <w:rPr>
          <w:rFonts w:ascii="Times New Roman" w:cs="Times New Roman" w:eastAsia="Times New Roman" w:hAnsi="Times New Roman"/>
          <w:sz w:val="18"/>
          <w:szCs w:val="18"/>
          <w:color w:val="auto"/>
        </w:rPr>
      </w:pPr>
    </w:p>
    <w:p>
      <w:pPr>
        <w:ind w:left="1620" w:right="40" w:hanging="538"/>
        <w:spacing w:after="0" w:line="258" w:lineRule="auto"/>
        <w:tabs>
          <w:tab w:leader="none" w:pos="162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Class A Series 1 Preferred Shares shall have the right, exercisable from time to time, to convert their Class A Series 1 Preferred Shares, in whole or in part (but in no event less than whole Class A Series 1 Preferred Shares), at any time after [●], 2020</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and prior to the Mandatory Conversion Date (“</w:t>
      </w:r>
      <w:r>
        <w:rPr>
          <w:rFonts w:ascii="Times New Roman" w:cs="Times New Roman" w:eastAsia="Times New Roman" w:hAnsi="Times New Roman"/>
          <w:sz w:val="18"/>
          <w:szCs w:val="18"/>
          <w:b w:val="1"/>
          <w:bCs w:val="1"/>
          <w:color w:val="auto"/>
        </w:rPr>
        <w:t>Early Conversion</w:t>
      </w:r>
      <w:r>
        <w:rPr>
          <w:rFonts w:ascii="Times New Roman" w:cs="Times New Roman" w:eastAsia="Times New Roman" w:hAnsi="Times New Roman"/>
          <w:sz w:val="18"/>
          <w:szCs w:val="18"/>
          <w:color w:val="auto"/>
        </w:rPr>
        <w:t>”), into Common Shares at the Conversion Rate then in effect, subject to satisfaction of the Conversion procedures set forth in this Article 27.1.6(a) (the date of issuance of such Shares, the “</w:t>
      </w:r>
      <w:r>
        <w:rPr>
          <w:rFonts w:ascii="Times New Roman" w:cs="Times New Roman" w:eastAsia="Times New Roman" w:hAnsi="Times New Roman"/>
          <w:sz w:val="18"/>
          <w:szCs w:val="18"/>
          <w:b w:val="1"/>
          <w:bCs w:val="1"/>
          <w:color w:val="auto"/>
        </w:rPr>
        <w:t>Early Conversion Date</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left="1620" w:right="280" w:hanging="538"/>
        <w:spacing w:after="0" w:line="289" w:lineRule="auto"/>
        <w:tabs>
          <w:tab w:leader="none" w:pos="1620" w:val="left"/>
        </w:tabs>
        <w:numPr>
          <w:ilvl w:val="1"/>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effect an Early Conversion of any Class A Series 1 Preferred Shares pursuant to this Article 27.1.6(a), the holder thereof must deliver to the Company the Share Certificate(s) representing such Class A Series 1 Preferred Shares, together with the Notice in Exhibit A hereto and, if required by clause (iv) of this Article 27.1.6(a) below, pay all transfer or similar taxes or duties, if any.</w:t>
      </w:r>
    </w:p>
    <w:p>
      <w:pPr>
        <w:spacing w:after="0" w:line="63" w:lineRule="exact"/>
        <w:rPr>
          <w:rFonts w:ascii="Times New Roman" w:cs="Times New Roman" w:eastAsia="Times New Roman" w:hAnsi="Times New Roman"/>
          <w:sz w:val="17"/>
          <w:szCs w:val="17"/>
          <w:color w:val="auto"/>
        </w:rPr>
      </w:pPr>
    </w:p>
    <w:p>
      <w:pPr>
        <w:ind w:left="1620" w:right="40" w:hanging="538"/>
        <w:spacing w:after="0" w:line="252" w:lineRule="auto"/>
        <w:tabs>
          <w:tab w:leader="none" w:pos="162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 Conversion shall be effective on the date on which a holder of Class A Series 1 Preferred Shares has satisfied the foregoing requirements, to the extent applicable (such date, the “</w:t>
      </w:r>
      <w:r>
        <w:rPr>
          <w:rFonts w:ascii="Times New Roman" w:cs="Times New Roman" w:eastAsia="Times New Roman" w:hAnsi="Times New Roman"/>
          <w:sz w:val="18"/>
          <w:szCs w:val="18"/>
          <w:b w:val="1"/>
          <w:bCs w:val="1"/>
          <w:color w:val="auto"/>
        </w:rPr>
        <w:t>Early Conversion Effective Date</w:t>
      </w:r>
      <w:r>
        <w:rPr>
          <w:rFonts w:ascii="Times New Roman" w:cs="Times New Roman" w:eastAsia="Times New Roman" w:hAnsi="Times New Roman"/>
          <w:sz w:val="18"/>
          <w:szCs w:val="18"/>
          <w:color w:val="auto"/>
        </w:rPr>
        <w:t>”). A holder of Class A Series 1 Preferred Shares shall not be required to pay any transfer or similar taxes or duties relating to the issuance or delivery of any Common Shares if such holder exercises its conversion rights, but such holder shall be required to pay any transfer or similar tax or duty that may be payable relating to any transfer involved in the issuance or delivery of Common Shares in a name other than the name of such holder. As Common Shares issued upon an Early Conversion will be in book entry form, the Common Shares issuable upon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on the latest of (i) the 10th Business Day immediately succeeding the Early Conversion Effective Date, and (ii) the Business Day after such holder has paid in full all applicable taxes and duties, if any, in accordance with the foregoing provisions. On any Early Conversion Effective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02" w:lineRule="exact"/>
        <w:rPr>
          <w:rFonts w:ascii="Times New Roman" w:cs="Times New Roman" w:eastAsia="Times New Roman" w:hAnsi="Times New Roman"/>
          <w:sz w:val="18"/>
          <w:szCs w:val="18"/>
          <w:color w:val="auto"/>
        </w:rPr>
      </w:pPr>
    </w:p>
    <w:p>
      <w:pPr>
        <w:ind w:left="1620" w:hanging="538"/>
        <w:spacing w:after="0" w:line="266" w:lineRule="auto"/>
        <w:tabs>
          <w:tab w:leader="none" w:pos="162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entitled to receive the Common Shares issuable upon Early Conversion shall be treated for all purposes as the record holder(s) of such Common Shares as of 5:00 p.m., New York City time, on the applicable Early Conversion Date. Except as set forth in Article 27.1.9(j)(iii), prior to 5:00 p.m., New York City time, on such applicable Early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46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9" w:lineRule="exact"/>
        <w:rPr>
          <w:sz w:val="20"/>
          <w:szCs w:val="20"/>
          <w:color w:val="auto"/>
        </w:rPr>
      </w:pPr>
    </w:p>
    <w:p>
      <w:pPr>
        <w:ind w:left="420" w:hanging="216"/>
        <w:spacing w:after="0"/>
        <w:tabs>
          <w:tab w:leader="none" w:pos="420" w:val="left"/>
        </w:tabs>
        <w:numPr>
          <w:ilvl w:val="0"/>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To be the second anniversary of the Issue Date.</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80"/>
          </w:cols>
          <w:pgMar w:left="240" w:top="456" w:right="47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right="40"/>
        <w:spacing w:after="0" w:line="261" w:lineRule="auto"/>
        <w:rPr>
          <w:sz w:val="20"/>
          <w:szCs w:val="20"/>
          <w:color w:val="auto"/>
        </w:rPr>
      </w:pPr>
      <w:r>
        <w:rPr>
          <w:rFonts w:ascii="Times New Roman" w:cs="Times New Roman" w:eastAsia="Times New Roman" w:hAnsi="Times New Roman"/>
          <w:sz w:val="18"/>
          <w:szCs w:val="18"/>
          <w:color w:val="auto"/>
        </w:rPr>
        <w:t>the Common Shares issuable upon Early Conversion of any Class A Series 1 Preferred Shares shall not be deemed to be outstanding for any purpose, and holders of Class A Series 1 Preferred Shares shall have no rights with respect to such Common Shares, including voting rights, rights to respond to tender offers for the Common Shares or rights to receive any dividends or other distributions on the Common Shares, by virtue of holding Class A Series 1 Preferred Shares.</w:t>
      </w:r>
    </w:p>
    <w:p>
      <w:pPr>
        <w:spacing w:after="0" w:line="86" w:lineRule="exact"/>
        <w:rPr>
          <w:sz w:val="20"/>
          <w:szCs w:val="20"/>
          <w:color w:val="auto"/>
        </w:rPr>
      </w:pPr>
    </w:p>
    <w:p>
      <w:pPr>
        <w:ind w:left="1620" w:right="160" w:hanging="538"/>
        <w:spacing w:after="0" w:line="261" w:lineRule="auto"/>
        <w:tabs>
          <w:tab w:leader="none" w:pos="162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Early Conversion is effected with respect to Class A Series 1 Preferred Shares representing less than all the Class A Series 1 Preferred Shares held by a holder of Class A Series 1 Preferred Shares, upon such Early Conversion the Company shall execute and instruct its transfer agent to countersign and deliver to the holder thereof, at the expense of the Company, a certificate evidencing the Class A Series 1 Preferred Shares as to which Early Conversion was not effected.</w:t>
      </w:r>
    </w:p>
    <w:p>
      <w:pPr>
        <w:spacing w:after="0" w:line="85"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Forced Conversion by the Company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20" w:right="160" w:hanging="538"/>
        <w:spacing w:after="0" w:line="258" w:lineRule="auto"/>
        <w:tabs>
          <w:tab w:leader="none" w:pos="162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at any time and from time to time, to cause the outstanding Class A Series 1 Preferred Shares to be converted, in whole or in part, into Common Shares at the Conversion Rate then in effect (“</w:t>
      </w:r>
      <w:r>
        <w:rPr>
          <w:rFonts w:ascii="Times New Roman" w:cs="Times New Roman" w:eastAsia="Times New Roman" w:hAnsi="Times New Roman"/>
          <w:sz w:val="18"/>
          <w:szCs w:val="18"/>
          <w:b w:val="1"/>
          <w:bCs w:val="1"/>
          <w:color w:val="auto"/>
        </w:rPr>
        <w:t>Forced Conversion</w:t>
      </w:r>
      <w:r>
        <w:rPr>
          <w:rFonts w:ascii="Times New Roman" w:cs="Times New Roman" w:eastAsia="Times New Roman" w:hAnsi="Times New Roman"/>
          <w:sz w:val="18"/>
          <w:szCs w:val="18"/>
          <w:color w:val="auto"/>
        </w:rPr>
        <w:t>”); provided, however that, in order for the Company to exercise such right, the Average VWAP of the Common Shares during a 15 consecutive Trading Day period ending on, and including, the Trading Day immediately preceding the Forced Conversion Notice Date shall be greater than or equal to the Conversion Price then in effect.</w:t>
      </w:r>
    </w:p>
    <w:p>
      <w:pPr>
        <w:spacing w:after="0" w:line="89" w:lineRule="exact"/>
        <w:rPr>
          <w:sz w:val="20"/>
          <w:szCs w:val="20"/>
          <w:color w:val="auto"/>
        </w:rPr>
      </w:pPr>
    </w:p>
    <w:p>
      <w:pPr>
        <w:ind w:left="1620" w:right="20" w:hanging="538"/>
        <w:spacing w:after="0" w:line="261" w:lineRule="auto"/>
        <w:tabs>
          <w:tab w:leader="none" w:pos="16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convert Class A Series 1 Preferred Shares into Common Shares pursuant to this Article 27.1.6(b), the Company shall give written notice (the “</w:t>
      </w:r>
      <w:r>
        <w:rPr>
          <w:rFonts w:ascii="Times New Roman" w:cs="Times New Roman" w:eastAsia="Times New Roman" w:hAnsi="Times New Roman"/>
          <w:sz w:val="18"/>
          <w:szCs w:val="18"/>
          <w:b w:val="1"/>
          <w:bCs w:val="1"/>
          <w:color w:val="auto"/>
        </w:rPr>
        <w:t>Forced Conversion Notice</w:t>
      </w:r>
      <w:r>
        <w:rPr>
          <w:rFonts w:ascii="Times New Roman" w:cs="Times New Roman" w:eastAsia="Times New Roman" w:hAnsi="Times New Roman"/>
          <w:sz w:val="18"/>
          <w:szCs w:val="18"/>
          <w:color w:val="auto"/>
        </w:rPr>
        <w:t>” and the date of such notice, the “</w:t>
      </w:r>
      <w:r>
        <w:rPr>
          <w:rFonts w:ascii="Times New Roman" w:cs="Times New Roman" w:eastAsia="Times New Roman" w:hAnsi="Times New Roman"/>
          <w:sz w:val="18"/>
          <w:szCs w:val="18"/>
          <w:b w:val="1"/>
          <w:bCs w:val="1"/>
          <w:color w:val="auto"/>
        </w:rPr>
        <w:t>Forced Conversion Notice Date</w:t>
      </w:r>
      <w:r>
        <w:rPr>
          <w:rFonts w:ascii="Times New Roman" w:cs="Times New Roman" w:eastAsia="Times New Roman" w:hAnsi="Times New Roman"/>
          <w:sz w:val="18"/>
          <w:szCs w:val="18"/>
          <w:color w:val="auto"/>
        </w:rPr>
        <w:t>”) to each holder of Class A Series 1 Preferred Shares stating that the Company elects to force Conversion of such Class A Series 1 Preferred Shares pursuant to this Article 27.1.6(b) and shall state therein:</w:t>
      </w:r>
    </w:p>
    <w:p>
      <w:pPr>
        <w:spacing w:after="0" w:line="85"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Series 1 Preferred Shares to be converted;</w:t>
      </w:r>
    </w:p>
    <w:p>
      <w:pPr>
        <w:spacing w:after="0" w:line="130"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on the Forced Conversion Notice Date; and</w:t>
      </w:r>
    </w:p>
    <w:p>
      <w:pPr>
        <w:spacing w:after="0" w:line="130"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computation of the number of Common Shares to be received by such holder.</w:t>
      </w:r>
    </w:p>
    <w:p>
      <w:pPr>
        <w:spacing w:after="0" w:line="117" w:lineRule="exact"/>
        <w:rPr>
          <w:sz w:val="20"/>
          <w:szCs w:val="20"/>
          <w:color w:val="auto"/>
        </w:rPr>
      </w:pPr>
    </w:p>
    <w:p>
      <w:pPr>
        <w:ind w:left="1640" w:right="140"/>
        <w:spacing w:after="0" w:line="266" w:lineRule="auto"/>
        <w:rPr>
          <w:sz w:val="20"/>
          <w:szCs w:val="20"/>
          <w:color w:val="auto"/>
        </w:rPr>
      </w:pPr>
      <w:r>
        <w:rPr>
          <w:rFonts w:ascii="Times New Roman" w:cs="Times New Roman" w:eastAsia="Times New Roman" w:hAnsi="Times New Roman"/>
          <w:sz w:val="18"/>
          <w:szCs w:val="18"/>
          <w:color w:val="auto"/>
        </w:rPr>
        <w:t>If the Company validly delivers a Forced Conversion Notice in accordance with this Article 27.1.6(b), the Company shall issue the Common Shares as soon as reasonably practicable, but not later than 10 Business Days thereafter (the date of issuance of such shares, the “</w:t>
      </w:r>
      <w:r>
        <w:rPr>
          <w:rFonts w:ascii="Times New Roman" w:cs="Times New Roman" w:eastAsia="Times New Roman" w:hAnsi="Times New Roman"/>
          <w:sz w:val="18"/>
          <w:szCs w:val="18"/>
          <w:b w:val="1"/>
          <w:bCs w:val="1"/>
          <w:color w:val="auto"/>
        </w:rPr>
        <w:t>Forced Conversion Date</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1620" w:hanging="538"/>
        <w:spacing w:after="0" w:line="253" w:lineRule="auto"/>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entitled to receive the Common Shares issuable upon the Forced Conversion of Class A Series 1 Preferred Shares shall be treated as the record holder(s) of such Common Shares as of 5:00 p.m., New York City time, on the Forced Conversion Date. Except as provided under Article 27.1.9(j)(iii), prior to 5:00 p.m., New York City time, on the Forced Conversion Date, the Common Shares issuable upon the Forced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Forced Conversion will be in book entry form, the Common Shares issuable upon Forced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On the Forced Conversion Notice Date, dividends shall cease to accrue on the Class A Series 1 Preferred Shares so converted and all other rights with respect to the Class A Series 1 Preferred Shares so converted, including the rights, if any, to receive notices,</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200"/>
          </w:cols>
          <w:pgMar w:left="240" w:top="455" w:right="4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right="100"/>
        <w:spacing w:after="0" w:line="282" w:lineRule="auto"/>
        <w:rPr>
          <w:sz w:val="20"/>
          <w:szCs w:val="20"/>
          <w:color w:val="auto"/>
        </w:rPr>
      </w:pPr>
      <w:r>
        <w:rPr>
          <w:rFonts w:ascii="Times New Roman" w:cs="Times New Roman" w:eastAsia="Times New Roman" w:hAnsi="Times New Roman"/>
          <w:sz w:val="18"/>
          <w:szCs w:val="18"/>
          <w:color w:val="auto"/>
        </w:rPr>
        <w:t>will terminate, except only the rights of holders thereof to receive the number of whole Common Shares into which such of Class A Series 1 Preferred Shares have been converted (with cash payment for fractional shares pursuant to Article 27.1.8).</w:t>
      </w:r>
    </w:p>
    <w:p>
      <w:pPr>
        <w:spacing w:after="0" w:line="67" w:lineRule="exact"/>
        <w:rPr>
          <w:sz w:val="20"/>
          <w:szCs w:val="20"/>
          <w:color w:val="auto"/>
        </w:rPr>
      </w:pPr>
    </w:p>
    <w:p>
      <w:pPr>
        <w:ind w:left="1620" w:right="60" w:hanging="538"/>
        <w:spacing w:after="0" w:line="261" w:lineRule="auto"/>
        <w:tabs>
          <w:tab w:leader="none" w:pos="162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Forced Conversion is effected with respect to Class A Series 1 Preferred Shares representing less than all the Class A Series 1 Preferred Shares held by a holder of Class A Series 1 Preferred Shares, upon such Forced Conversion the Company shall execute and instruct its transfer agent to countersign and deliver to the holder thereof, at the expense of the Company, a certificate evidencing the Class A Series 1 Preferred Shares as to which Forced Conversion was not effected.</w:t>
      </w:r>
    </w:p>
    <w:p>
      <w:pPr>
        <w:spacing w:after="0" w:line="85"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p>
    <w:p>
      <w:pPr>
        <w:spacing w:after="0" w:line="126" w:lineRule="exact"/>
        <w:rPr>
          <w:rFonts w:ascii="Times New Roman" w:cs="Times New Roman" w:eastAsia="Times New Roman" w:hAnsi="Times New Roman"/>
          <w:sz w:val="18"/>
          <w:szCs w:val="18"/>
          <w:color w:val="auto"/>
        </w:rPr>
      </w:pPr>
    </w:p>
    <w:p>
      <w:pPr>
        <w:ind w:left="1620" w:right="160" w:hanging="538"/>
        <w:spacing w:after="0" w:line="286" w:lineRule="auto"/>
        <w:tabs>
          <w:tab w:leader="none" w:pos="16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Series 1 Preferred Share shall automatically convert on the Mandatory Conversion Date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into Common Shares at the Conversion Rate in effect on such date.</w:t>
      </w:r>
    </w:p>
    <w:p>
      <w:pPr>
        <w:spacing w:after="0" w:line="64" w:lineRule="exact"/>
        <w:rPr>
          <w:rFonts w:ascii="Times New Roman" w:cs="Times New Roman" w:eastAsia="Times New Roman" w:hAnsi="Times New Roman"/>
          <w:sz w:val="18"/>
          <w:szCs w:val="18"/>
          <w:color w:val="auto"/>
        </w:rPr>
      </w:pPr>
    </w:p>
    <w:p>
      <w:pPr>
        <w:ind w:left="1620" w:hanging="538"/>
        <w:spacing w:after="0" w:line="252" w:lineRule="auto"/>
        <w:tabs>
          <w:tab w:leader="none" w:pos="16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entitled to receive the Common Shares issuable upon the Mandatory Conversion of Class A Series 1 Preferred Shares shall be treated as the record holder(s) of such Common Shares as of 5:00 p.m., New York City time, on the Mandatory Conversion Issuance Date. Except as provided under Article 27.1.9(j)(iii), prior to 5:00 p.m., New York City time, on the Mandatory Conversion Issuance Date, the Common Shares issuable upon the Mandatory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Mandatory Conversion will be in book entry form, the Common Shares issuable upon Mandatory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as soon as reasonably practicable but in no event later than the 10th Business Day immediately succeeding the Mandatory Conversion Date (the date of issuances of such shares, the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On the Mandatory Conversion Date, dividends shall cease to accrue on the Class A Series 1 Preferred Shares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0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on Change of Control</w:t>
      </w:r>
    </w:p>
    <w:p>
      <w:pPr>
        <w:spacing w:after="0" w:line="130" w:lineRule="exact"/>
        <w:rPr>
          <w:rFonts w:ascii="Times New Roman" w:cs="Times New Roman" w:eastAsia="Times New Roman" w:hAnsi="Times New Roman"/>
          <w:sz w:val="18"/>
          <w:szCs w:val="18"/>
          <w:color w:val="auto"/>
        </w:rPr>
      </w:pPr>
    </w:p>
    <w:p>
      <w:pPr>
        <w:ind w:left="1620" w:hanging="538"/>
        <w:spacing w:after="0" w:line="255" w:lineRule="auto"/>
        <w:tabs>
          <w:tab w:leader="none" w:pos="16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a Change of Control, each Class A Series 1 Preferred Share shall automatically convert (“</w:t>
      </w:r>
      <w:r>
        <w:rPr>
          <w:rFonts w:ascii="Times New Roman" w:cs="Times New Roman" w:eastAsia="Times New Roman" w:hAnsi="Times New Roman"/>
          <w:sz w:val="18"/>
          <w:szCs w:val="18"/>
          <w:b w:val="1"/>
          <w:bCs w:val="1"/>
          <w:color w:val="auto"/>
        </w:rPr>
        <w:t>Automatic Conversion</w:t>
      </w:r>
      <w:r>
        <w:rPr>
          <w:rFonts w:ascii="Times New Roman" w:cs="Times New Roman" w:eastAsia="Times New Roman" w:hAnsi="Times New Roman"/>
          <w:sz w:val="18"/>
          <w:szCs w:val="18"/>
          <w:color w:val="auto"/>
        </w:rPr>
        <w:t>”) into Common Shares at the Conversion Rate in effect on such date (the “</w:t>
      </w:r>
      <w:r>
        <w:rPr>
          <w:rFonts w:ascii="Times New Roman" w:cs="Times New Roman" w:eastAsia="Times New Roman" w:hAnsi="Times New Roman"/>
          <w:sz w:val="18"/>
          <w:szCs w:val="18"/>
          <w:b w:val="1"/>
          <w:bCs w:val="1"/>
          <w:color w:val="auto"/>
        </w:rPr>
        <w:t>Automatic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Such Automatic Conversion shall be automatic, without need for any further action by the holders of Class A Series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Shares and regardless of whether the certificates representing such shares are surrendered to the Company or its transfer agent. Upon the Automatic Conversion of the Class A Series 1 Preferred Shares pursuant to this Article 27.1.6(d), the Company shall promptly send written notice thereof to each holder of record of the Class A Series 1 Preferred Shares at such holder’s address then shown on the records of the Company.</w:t>
      </w:r>
    </w:p>
    <w:p>
      <w:pPr>
        <w:spacing w:after="0" w:line="94" w:lineRule="exact"/>
        <w:rPr>
          <w:rFonts w:ascii="Times New Roman" w:cs="Times New Roman" w:eastAsia="Times New Roman" w:hAnsi="Times New Roman"/>
          <w:sz w:val="18"/>
          <w:szCs w:val="18"/>
          <w:color w:val="auto"/>
        </w:rPr>
      </w:pPr>
    </w:p>
    <w:p>
      <w:pPr>
        <w:ind w:left="1620" w:right="40" w:hanging="538"/>
        <w:spacing w:after="0" w:line="266" w:lineRule="auto"/>
        <w:tabs>
          <w:tab w:leader="none" w:pos="16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entitled to receive the Common Shares issuable upon the Automatic Conversion of Class A Series 1 Preferred Shares shall be treated as the record holder(s) of such Common Shares as of the Automatic Conversion Time. Except as provided under Article 27.1.9(j)(iii), prior to the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220"/>
          </w:cols>
          <w:pgMar w:left="24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spacing w:after="0" w:line="258" w:lineRule="auto"/>
        <w:rPr>
          <w:sz w:val="20"/>
          <w:szCs w:val="20"/>
          <w:color w:val="auto"/>
        </w:rPr>
      </w:pPr>
      <w:r>
        <w:rPr>
          <w:rFonts w:ascii="Times New Roman" w:cs="Times New Roman" w:eastAsia="Times New Roman" w:hAnsi="Times New Roman"/>
          <w:sz w:val="18"/>
          <w:szCs w:val="18"/>
          <w:color w:val="auto"/>
        </w:rPr>
        <w:t>Automatic Conversion Time, the Common Shares issuable upon the Automatic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The Common Shares will be deemed issued as of the Automatic Conversion Time.</w:t>
      </w:r>
    </w:p>
    <w:p>
      <w:pPr>
        <w:spacing w:after="0" w:line="89" w:lineRule="exact"/>
        <w:rPr>
          <w:sz w:val="20"/>
          <w:szCs w:val="20"/>
          <w:color w:val="auto"/>
        </w:rPr>
      </w:pPr>
    </w:p>
    <w:p>
      <w:pPr>
        <w:ind w:left="1060" w:right="420" w:hanging="424"/>
        <w:spacing w:after="0" w:line="282" w:lineRule="auto"/>
        <w:tabs>
          <w:tab w:leader="none" w:pos="10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Conversion Provisions</w:t>
      </w:r>
      <w:r>
        <w:rPr>
          <w:rFonts w:ascii="Times New Roman" w:cs="Times New Roman" w:eastAsia="Times New Roman" w:hAnsi="Times New Roman"/>
          <w:sz w:val="18"/>
          <w:szCs w:val="18"/>
          <w:color w:val="auto"/>
        </w:rPr>
        <w:t>. The Company shall be entitled to register the Common Shares issued on a Conversion, and make such payment, in the name of the holder of Class A Series 1 Preferred Shares as shown on the records of the Company.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27.1.7 Redemption</w:t>
      </w:r>
    </w:p>
    <w:p>
      <w:pPr>
        <w:spacing w:after="0" w:line="135" w:lineRule="exact"/>
        <w:rPr>
          <w:sz w:val="20"/>
          <w:szCs w:val="20"/>
          <w:color w:val="auto"/>
        </w:rPr>
      </w:pPr>
    </w:p>
    <w:p>
      <w:pPr>
        <w:ind w:left="1060" w:right="60" w:hanging="424"/>
        <w:spacing w:after="0" w:line="261" w:lineRule="auto"/>
        <w:tabs>
          <w:tab w:leader="none" w:pos="106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at the Company’s Option</w:t>
      </w:r>
      <w:r>
        <w:rPr>
          <w:rFonts w:ascii="Times New Roman" w:cs="Times New Roman" w:eastAsia="Times New Roman" w:hAnsi="Times New Roman"/>
          <w:sz w:val="18"/>
          <w:szCs w:val="18"/>
          <w:color w:val="auto"/>
        </w:rPr>
        <w:t>. The Company shall have the right, at any time and from time to time, to redeem the Class A Series 1 Preferred Shares, in whole or in part, for cash. The Company may exercise such right upon giving notice of redemption pursuant to Article 27.1.7(b) and paying a redemption price per share equal to the Liquidation Preference plus Accrued Dividends as of the Business Day immediately preceding the date of redemption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60" w:right="160" w:hanging="424"/>
        <w:spacing w:after="0" w:line="255" w:lineRule="auto"/>
        <w:tabs>
          <w:tab w:leader="none" w:pos="106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of Class A Series 1 Preferred Shares shall be given to the holders of record of the Class A Series 1 Preferred Shares to be redeemed at their respective last addresses appearing on the books of the Company at least 15 days and not more than 60 days before the Redemption Date. Any notice given as provided in this Article 27.1.7(b) shall be conclusively presumed to have been duly given, whether or not the holder of the Class A Series 1 Preferred Shares to be redeemed receives such notice, but failure duly to give such notice, or any defect in such notice, to any holder of Class A Series 1 Preferred Shares shall not affect the validity of the proceedings for the redemption of any other Class A Series 1 Preferred Shares. The notice of redemption given to a holder of the Class A Series 1 Preferred Shares shall state:</w:t>
      </w:r>
    </w:p>
    <w:p>
      <w:pPr>
        <w:spacing w:after="0" w:line="94"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Series 1 Preferred Shares to be redeemed;</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as provided in Article 27.1.7(a); and</w:t>
      </w:r>
    </w:p>
    <w:p>
      <w:pPr>
        <w:spacing w:after="0" w:line="130" w:lineRule="exact"/>
        <w:rPr>
          <w:rFonts w:ascii="Times New Roman" w:cs="Times New Roman" w:eastAsia="Times New Roman" w:hAnsi="Times New Roman"/>
          <w:sz w:val="18"/>
          <w:szCs w:val="18"/>
          <w:color w:val="auto"/>
        </w:rPr>
      </w:pPr>
    </w:p>
    <w:p>
      <w:pPr>
        <w:ind w:left="1620" w:right="40" w:hanging="538"/>
        <w:spacing w:after="0" w:line="282" w:lineRule="auto"/>
        <w:tabs>
          <w:tab w:leader="none" w:pos="162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Class A Series 1 Preferred Shares are to be surrendered for payment of the redemption price.</w:t>
      </w:r>
    </w:p>
    <w:p>
      <w:pPr>
        <w:spacing w:after="0" w:line="67" w:lineRule="exact"/>
        <w:rPr>
          <w:rFonts w:ascii="Times New Roman" w:cs="Times New Roman" w:eastAsia="Times New Roman" w:hAnsi="Times New Roman"/>
          <w:sz w:val="18"/>
          <w:szCs w:val="18"/>
          <w:color w:val="auto"/>
        </w:rPr>
      </w:pPr>
    </w:p>
    <w:p>
      <w:pPr>
        <w:ind w:left="1060" w:hanging="424"/>
        <w:spacing w:after="0" w:line="254" w:lineRule="auto"/>
        <w:tabs>
          <w:tab w:leader="none" w:pos="106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Redemption</w:t>
      </w:r>
      <w:r>
        <w:rPr>
          <w:rFonts w:ascii="Times New Roman" w:cs="Times New Roman" w:eastAsia="Times New Roman" w:hAnsi="Times New Roman"/>
          <w:sz w:val="18"/>
          <w:szCs w:val="18"/>
          <w:color w:val="auto"/>
        </w:rPr>
        <w:t xml:space="preserve">. If notice of redemption has been duly given and if on or before the Redemption Date specified in the notice all funds necessary for the redemption have been deposited by the Company, in trust for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benefit of the holders of the shares called for redemption, with a bank or trust company doing business in New York City, and having a capital and surplus of at least $50 million and selected by the Board,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applicable law, be released to the Company, after which time the holders of the shares so called for redemption shall look only to the Company for payment of the redemption price of such shares.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27.1.8 No Fractional Shares</w:t>
      </w:r>
    </w:p>
    <w:p>
      <w:pPr>
        <w:spacing w:after="0" w:line="135" w:lineRule="exact"/>
        <w:rPr>
          <w:sz w:val="20"/>
          <w:szCs w:val="20"/>
          <w:color w:val="auto"/>
        </w:rPr>
      </w:pPr>
    </w:p>
    <w:p>
      <w:pPr>
        <w:ind w:left="5580" w:right="3120" w:hanging="4944"/>
        <w:spacing w:after="0" w:line="454" w:lineRule="auto"/>
        <w:tabs>
          <w:tab w:leader="none" w:pos="106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Common Shares shall be issued upon Conversion, whether voluntary or mandatory. C-8</w:t>
      </w:r>
    </w:p>
    <w:p>
      <w:pPr>
        <w:sectPr>
          <w:pgSz w:w="11900" w:h="16838" w:orient="portrait"/>
          <w:cols w:equalWidth="0" w:num="1">
            <w:col w:w="11200"/>
          </w:cols>
          <w:pgMar w:left="240" w:top="456" w:right="4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424"/>
        <w:spacing w:after="0" w:line="261" w:lineRule="auto"/>
        <w:tabs>
          <w:tab w:leader="none" w:pos="10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any fractional Common Shares otherwise issuable in respect of a Conversion, the Company shall make a cash payment to each holder of the Class A Series 1 Preferred Shares that would otherwise be entitled to a fractional share (based on the Average VWAP of the Common Shares over the five consecutive Trading Day period beginning on, and including, the seventh Trading Day immediately prior to the applicable Conversion Date).</w:t>
      </w:r>
    </w:p>
    <w:p>
      <w:pPr>
        <w:spacing w:after="0" w:line="85" w:lineRule="exact"/>
        <w:rPr>
          <w:rFonts w:ascii="Times New Roman" w:cs="Times New Roman" w:eastAsia="Times New Roman" w:hAnsi="Times New Roman"/>
          <w:sz w:val="18"/>
          <w:szCs w:val="18"/>
          <w:color w:val="auto"/>
        </w:rPr>
      </w:pPr>
    </w:p>
    <w:p>
      <w:pPr>
        <w:jc w:val="both"/>
        <w:ind w:left="1060" w:right="260" w:hanging="424"/>
        <w:spacing w:after="0" w:line="266" w:lineRule="auto"/>
        <w:tabs>
          <w:tab w:leader="none" w:pos="10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Class A Series 1 Preferred Share is surrendered for Conversion at one time by or for the same holder, the number of full Common Shares issuable upon Conversion thereof shall be computed on the basis of the aggregate number of Class A Series 1 Preferred Shares so surrendered.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27.1.9 Anti-Dilution Adjustments to the Conversion Rate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Conversion Rate shall be subject to the following adjustments:</w:t>
      </w:r>
    </w:p>
    <w:p>
      <w:pPr>
        <w:spacing w:after="0" w:line="131" w:lineRule="exact"/>
        <w:rPr>
          <w:sz w:val="20"/>
          <w:szCs w:val="20"/>
          <w:color w:val="auto"/>
        </w:rPr>
      </w:pPr>
    </w:p>
    <w:p>
      <w:pPr>
        <w:ind w:left="1060" w:hanging="424"/>
        <w:spacing w:after="0"/>
        <w:tabs>
          <w:tab w:leader="none" w:pos="10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Distributions</w:t>
      </w:r>
    </w:p>
    <w:p>
      <w:pPr>
        <w:spacing w:after="0" w:line="130" w:lineRule="exact"/>
        <w:rPr>
          <w:rFonts w:ascii="Times New Roman" w:cs="Times New Roman" w:eastAsia="Times New Roman" w:hAnsi="Times New Roman"/>
          <w:sz w:val="18"/>
          <w:szCs w:val="18"/>
          <w:color w:val="auto"/>
        </w:rPr>
      </w:pPr>
    </w:p>
    <w:p>
      <w:pPr>
        <w:ind w:left="1620" w:right="80" w:hanging="538"/>
        <w:spacing w:after="0" w:line="266" w:lineRule="auto"/>
        <w:tabs>
          <w:tab w:leader="none" w:pos="16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Common Shares to all holders of Common Shares as a dividend or other distribution, the Conversion Rate in effect at 5:00 p.m., New York City time, on the date fixed for determination of the holders of Common Shares entitled to receive such dividend or other distribution shall be divided by a fraction:</w:t>
      </w:r>
    </w:p>
    <w:p>
      <w:pPr>
        <w:spacing w:after="0" w:line="81" w:lineRule="exact"/>
        <w:rPr>
          <w:rFonts w:ascii="Times New Roman" w:cs="Times New Roman" w:eastAsia="Times New Roman" w:hAnsi="Times New Roman"/>
          <w:sz w:val="18"/>
          <w:szCs w:val="18"/>
          <w:color w:val="auto"/>
        </w:rPr>
      </w:pPr>
    </w:p>
    <w:p>
      <w:pPr>
        <w:ind w:left="2060" w:right="100" w:hanging="425"/>
        <w:spacing w:after="0" w:line="282" w:lineRule="auto"/>
        <w:tabs>
          <w:tab w:leader="none" w:pos="2060"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number of Common Shares outstanding at 5:00 p.m., New York City time, on the date fixed for such determination; and</w:t>
      </w:r>
    </w:p>
    <w:p>
      <w:pPr>
        <w:spacing w:after="0" w:line="67" w:lineRule="exact"/>
        <w:rPr>
          <w:rFonts w:ascii="Times New Roman" w:cs="Times New Roman" w:eastAsia="Times New Roman" w:hAnsi="Times New Roman"/>
          <w:sz w:val="18"/>
          <w:szCs w:val="18"/>
          <w:color w:val="auto"/>
        </w:rPr>
      </w:pPr>
    </w:p>
    <w:p>
      <w:pPr>
        <w:ind w:left="2060" w:right="140" w:hanging="425"/>
        <w:spacing w:after="0" w:line="313" w:lineRule="auto"/>
        <w:tabs>
          <w:tab w:leader="none" w:pos="2060" w:val="left"/>
        </w:tabs>
        <w:numPr>
          <w:ilvl w:val="2"/>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is the sum of the number of Common Shares outstanding at 5:00 p.m., New York City time, on the date fixed for such determination and the total number of Common Shares constituting such dividend or other distribution.</w:t>
      </w:r>
    </w:p>
    <w:p>
      <w:pPr>
        <w:spacing w:after="0" w:line="43" w:lineRule="exact"/>
        <w:rPr>
          <w:rFonts w:ascii="Times New Roman" w:cs="Times New Roman" w:eastAsia="Times New Roman" w:hAnsi="Times New Roman"/>
          <w:sz w:val="17"/>
          <w:szCs w:val="17"/>
          <w:color w:val="auto"/>
        </w:rPr>
      </w:pPr>
    </w:p>
    <w:p>
      <w:pPr>
        <w:ind w:left="1620" w:hanging="538"/>
        <w:spacing w:after="0" w:line="255" w:lineRule="auto"/>
        <w:tabs>
          <w:tab w:leader="none" w:pos="16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made pursuant to this Article 27.1.9(a) shall become effective immediately after 5:00 p.m., New York City time, on the date fixed for such determination. If any dividend or distribution described in this Article 27.1.9(a) is declared but not so paid or made, the Conversion Rate shall be readjusted, effective as of the date the Board (or an authorized committee thereof) publicly announces its decision not to pay or make such dividend or distribution, to the Conversion Rate that would be in effect if such dividend or distribution had not been declared. For the purposes of this Article 27.1.9(a), the number of Common Shares outstanding at 5:00 p.m., New York City time, on the date fixed for such determination shall include any shares issuable in respect of any scrip certificates issued in lieu of fractions of Common Shares.</w:t>
      </w:r>
    </w:p>
    <w:p>
      <w:pPr>
        <w:spacing w:after="0" w:line="94"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 Purchase Rights</w:t>
      </w:r>
    </w:p>
    <w:p>
      <w:pPr>
        <w:spacing w:after="0" w:line="130" w:lineRule="exact"/>
        <w:rPr>
          <w:rFonts w:ascii="Times New Roman" w:cs="Times New Roman" w:eastAsia="Times New Roman" w:hAnsi="Times New Roman"/>
          <w:sz w:val="18"/>
          <w:szCs w:val="18"/>
          <w:color w:val="auto"/>
        </w:rPr>
      </w:pPr>
    </w:p>
    <w:p>
      <w:pPr>
        <w:ind w:left="1620" w:hanging="538"/>
        <w:spacing w:after="0" w:line="256" w:lineRule="auto"/>
        <w:tabs>
          <w:tab w:leader="none" w:pos="16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holders of Common Shares rights or warrants (other than rights or warrants issued pursuant to a dividend reinvestment plan, shareholder rights plan or share purchase plan or other similar plans) entitling such holders, for a period of up to 45 calendar days from the date of issuance of such rights or warrants, to subscribe for or purchase Common Shares at a price per share less than the Current Market Price, the Conversion Rate in effect at 5:00 p.m., New York City time, on the date fixed for determination of the holders of Common Shares entitled to receive such rights or warrants shall be increased by multiplying the Conversion Rate by a fraction:</w:t>
      </w:r>
    </w:p>
    <w:p>
      <w:pPr>
        <w:spacing w:after="0" w:line="93" w:lineRule="exact"/>
        <w:rPr>
          <w:rFonts w:ascii="Times New Roman" w:cs="Times New Roman" w:eastAsia="Times New Roman" w:hAnsi="Times New Roman"/>
          <w:sz w:val="18"/>
          <w:szCs w:val="18"/>
          <w:color w:val="auto"/>
        </w:rPr>
      </w:pPr>
    </w:p>
    <w:p>
      <w:pPr>
        <w:ind w:left="2060" w:right="320" w:hanging="425"/>
        <w:spacing w:after="0" w:line="282" w:lineRule="auto"/>
        <w:tabs>
          <w:tab w:leader="none" w:pos="2060"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sum of the number of Common Shares outstanding at 5:00 p.m., New York City time, on the date fixed for such determination and the number of Common Shares issuable pursuant to such rights or warrants; and</w:t>
      </w:r>
    </w:p>
    <w:p>
      <w:pPr>
        <w:spacing w:after="0" w:line="67" w:lineRule="exact"/>
        <w:rPr>
          <w:rFonts w:ascii="Times New Roman" w:cs="Times New Roman" w:eastAsia="Times New Roman" w:hAnsi="Times New Roman"/>
          <w:sz w:val="18"/>
          <w:szCs w:val="18"/>
          <w:color w:val="auto"/>
        </w:rPr>
      </w:pPr>
    </w:p>
    <w:p>
      <w:pPr>
        <w:ind w:left="2060" w:right="140" w:hanging="425"/>
        <w:spacing w:after="0" w:line="266" w:lineRule="auto"/>
        <w:tabs>
          <w:tab w:leader="none" w:pos="2060"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the sum of the number of Common Shares outstanding at 5:00 p.m., New York City time, on the date fixed for such determination and the number of Common Shares equal to the quotient of the aggregate offering price payable to exercise such rights or warrants divided by the Current Market Price.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200"/>
          </w:cols>
          <w:pgMar w:left="240" w:top="456"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line="252" w:lineRule="auto"/>
        <w:tabs>
          <w:tab w:leader="none" w:pos="162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made pursuant to this Article 27.1.9(b) shall become effective immediately after 5:00 p.m., New York City time, on the date fixed for such determination. In the event that such rights or warrants described in this Article 27.1.9(b) are not so issued, the Conversion Rate shall be readjusted, effective as of the date the Board (or an authorized committee thereof) publicly announces its decision not to issue such rights or warrants, to the Conversion Rate that would then be in effect if such issuance had not been declared. To the extent that such rights or warrants are not exercised prior to their expiration or Common Shares are otherwise not delivered pursuant to such rights or warrants upon the exercise of such rights or warrants, the Conversion Rate shall be readjusted to the Conversion Rate that would then be in effect had the adjustment made upon the issuance of such rights or warrants been made on the basis of the delivery of only the number of Common Shares actually delivered. In determining whether any rights or warrants entitle the holders thereof to subscribe for or purchase Common Shares at less than the Current Market Price, and in determining the aggregate offering price payable for Common Shares, there shall be taken into account any consideration received for such rights or warrants and the value of such consideration (if other than cash, to be determined in good faith by the Board or an authorized committee thereof, which determination shall be conclusive and final). For the purposes of this Article 27.1.9(b), the number of Common Shares at the time outstanding shall include any shares issuable in respect of any scrip certificates issued in lieu of fractions of Common Shares.</w:t>
      </w:r>
    </w:p>
    <w:p>
      <w:pPr>
        <w:spacing w:after="0" w:line="104"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and Combinations of the Common Shares</w:t>
      </w:r>
    </w:p>
    <w:p>
      <w:pPr>
        <w:spacing w:after="0" w:line="130" w:lineRule="exact"/>
        <w:rPr>
          <w:rFonts w:ascii="Times New Roman" w:cs="Times New Roman" w:eastAsia="Times New Roman" w:hAnsi="Times New Roman"/>
          <w:sz w:val="18"/>
          <w:szCs w:val="18"/>
          <w:color w:val="auto"/>
        </w:rPr>
      </w:pPr>
    </w:p>
    <w:p>
      <w:pPr>
        <w:ind w:left="1620" w:right="240" w:hanging="538"/>
        <w:spacing w:after="0" w:line="266" w:lineRule="auto"/>
        <w:tabs>
          <w:tab w:leader="none" w:pos="162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outstanding Common Shares shall be subdivided into a greater number of Common Shares or combined into a lesser number of Common Shares, the Conversion Rate in effect at 5:00 p.m., New York City time, on the effective date of such subdivision or combination shall be multiplied by a fraction:</w:t>
      </w:r>
    </w:p>
    <w:p>
      <w:pPr>
        <w:spacing w:after="0" w:line="81" w:lineRule="exact"/>
        <w:rPr>
          <w:rFonts w:ascii="Times New Roman" w:cs="Times New Roman" w:eastAsia="Times New Roman" w:hAnsi="Times New Roman"/>
          <w:sz w:val="18"/>
          <w:szCs w:val="18"/>
          <w:color w:val="auto"/>
        </w:rPr>
      </w:pPr>
    </w:p>
    <w:p>
      <w:pPr>
        <w:ind w:left="2060" w:right="200" w:hanging="425"/>
        <w:spacing w:after="0" w:line="282" w:lineRule="auto"/>
        <w:tabs>
          <w:tab w:leader="none" w:pos="2060" w:val="left"/>
        </w:tabs>
        <w:numPr>
          <w:ilvl w:val="2"/>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number of Common Shares that would be outstanding immediately after, and solely as a result of, such subdivision or combination; and</w:t>
      </w:r>
    </w:p>
    <w:p>
      <w:pPr>
        <w:spacing w:after="0" w:line="67" w:lineRule="exact"/>
        <w:rPr>
          <w:rFonts w:ascii="Times New Roman" w:cs="Times New Roman" w:eastAsia="Times New Roman" w:hAnsi="Times New Roman"/>
          <w:sz w:val="18"/>
          <w:szCs w:val="18"/>
          <w:color w:val="auto"/>
        </w:rPr>
      </w:pPr>
    </w:p>
    <w:p>
      <w:pPr>
        <w:ind w:left="2060" w:right="980" w:hanging="425"/>
        <w:spacing w:after="0" w:line="282" w:lineRule="auto"/>
        <w:tabs>
          <w:tab w:leader="none" w:pos="2060" w:val="left"/>
        </w:tabs>
        <w:numPr>
          <w:ilvl w:val="2"/>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the number of Common Shares outstanding immediately prior to such subdivision or combination.</w:t>
      </w:r>
    </w:p>
    <w:p>
      <w:pPr>
        <w:spacing w:after="0" w:line="67" w:lineRule="exact"/>
        <w:rPr>
          <w:sz w:val="20"/>
          <w:szCs w:val="20"/>
          <w:color w:val="auto"/>
        </w:rPr>
      </w:pPr>
    </w:p>
    <w:p>
      <w:pPr>
        <w:ind w:left="1620" w:right="100" w:hanging="538"/>
        <w:spacing w:after="0" w:line="282" w:lineRule="auto"/>
        <w:tabs>
          <w:tab w:leader="none" w:pos="162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made pursuant to this Article 27.1.9(c) shall become effective immediately after 5:00 p.m., New York City time, on the effective date of such subdivision or combination.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or Asset Distribution</w:t>
      </w:r>
    </w:p>
    <w:p>
      <w:pPr>
        <w:spacing w:after="0" w:line="130" w:lineRule="exact"/>
        <w:rPr>
          <w:rFonts w:ascii="Times New Roman" w:cs="Times New Roman" w:eastAsia="Times New Roman" w:hAnsi="Times New Roman"/>
          <w:sz w:val="18"/>
          <w:szCs w:val="18"/>
          <w:color w:val="auto"/>
        </w:rPr>
      </w:pPr>
    </w:p>
    <w:p>
      <w:pPr>
        <w:ind w:left="1620" w:right="60" w:hanging="538"/>
        <w:spacing w:after="0" w:line="258" w:lineRule="auto"/>
        <w:tabs>
          <w:tab w:leader="none" w:pos="162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holders of Common Shares evidences of its indebtedness, shares, securities, rights to acquire shares of the Company, cash or other assets (excluding: (1) any dividend or distribution covered by Article 27.1.9(a); (2) any rights or warrants covered by Article 27.1.9(b); (3) any dividend or distribution covered by Article 27.1.9(e); and (4) any Spin-Off to which the provisions set forth in Article 27.1.9(d)(ii) apply), the Conversion Rate in effect at 5:00 p.m., New York City time, on the date fixed for the determination of holders of Common Shares entitled to receive such distribution shall be multiplied by a fraction:</w:t>
      </w:r>
    </w:p>
    <w:p>
      <w:pPr>
        <w:spacing w:after="0" w:line="89"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Current Market Price; and</w:t>
      </w:r>
    </w:p>
    <w:p>
      <w:pPr>
        <w:spacing w:after="0" w:line="130" w:lineRule="exact"/>
        <w:rPr>
          <w:rFonts w:ascii="Times New Roman" w:cs="Times New Roman" w:eastAsia="Times New Roman" w:hAnsi="Times New Roman"/>
          <w:sz w:val="18"/>
          <w:szCs w:val="18"/>
          <w:color w:val="auto"/>
        </w:rPr>
      </w:pPr>
    </w:p>
    <w:p>
      <w:pPr>
        <w:ind w:left="2060" w:right="100" w:hanging="425"/>
        <w:spacing w:after="0" w:line="266" w:lineRule="auto"/>
        <w:tabs>
          <w:tab w:leader="none" w:pos="2060"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the Current Market Price minus the Fair Market Value, on such date fixed for determination, of the portion of the evidences of indebtedness, shares, securities, rights to acquire the Company’s shares, cash or other assets so distributed applicable to one Common Share.</w:t>
      </w:r>
    </w:p>
    <w:p>
      <w:pPr>
        <w:spacing w:after="0" w:line="82" w:lineRule="exact"/>
        <w:rPr>
          <w:sz w:val="20"/>
          <w:szCs w:val="20"/>
          <w:color w:val="auto"/>
        </w:rPr>
      </w:pPr>
    </w:p>
    <w:p>
      <w:pPr>
        <w:ind w:left="1620" w:right="120" w:hanging="538"/>
        <w:spacing w:after="0" w:line="282" w:lineRule="auto"/>
        <w:tabs>
          <w:tab w:leader="none" w:pos="162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Spin-Off, the Conversion Rate in effect at 5:00 p.m., New York City time, on the date fixed for the determination of holders of Common Shares entitled to receive such distribution shall be multiplied by a fraction:</w:t>
      </w:r>
    </w:p>
    <w:p>
      <w:pPr>
        <w:spacing w:after="0" w:line="67" w:lineRule="exact"/>
        <w:rPr>
          <w:rFonts w:ascii="Times New Roman" w:cs="Times New Roman" w:eastAsia="Times New Roman" w:hAnsi="Times New Roman"/>
          <w:sz w:val="18"/>
          <w:szCs w:val="18"/>
          <w:color w:val="auto"/>
        </w:rPr>
      </w:pPr>
    </w:p>
    <w:p>
      <w:pPr>
        <w:ind w:left="2060" w:hanging="425"/>
        <w:spacing w:after="0" w:line="282" w:lineRule="auto"/>
        <w:tabs>
          <w:tab w:leader="none" w:pos="206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sum of the Current Market Price of the Common Shares and the Fair Market Value of the portion of those shares or similar equity interests so distributed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220"/>
          </w:cols>
          <w:pgMar w:left="240" w:top="456" w:right="4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60" w:right="340"/>
        <w:spacing w:after="0" w:line="266" w:lineRule="auto"/>
        <w:rPr>
          <w:sz w:val="20"/>
          <w:szCs w:val="20"/>
          <w:color w:val="auto"/>
        </w:rPr>
      </w:pPr>
      <w:r>
        <w:rPr>
          <w:rFonts w:ascii="Times New Roman" w:cs="Times New Roman" w:eastAsia="Times New Roman" w:hAnsi="Times New Roman"/>
          <w:sz w:val="18"/>
          <w:szCs w:val="18"/>
          <w:color w:val="auto"/>
        </w:rPr>
        <w:t>that is applicable to one Common Share as of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Trading Day after the effective date for such distribution (or, if such shares or equity interests are listed on a U.S. national or regional securities exchange, the Current Market Price of such securities); and</w:t>
      </w:r>
    </w:p>
    <w:p>
      <w:pPr>
        <w:spacing w:after="0" w:line="82" w:lineRule="exact"/>
        <w:rPr>
          <w:sz w:val="20"/>
          <w:szCs w:val="20"/>
          <w:color w:val="auto"/>
        </w:rPr>
      </w:pPr>
    </w:p>
    <w:p>
      <w:pPr>
        <w:ind w:left="2060" w:hanging="425"/>
        <w:spacing w:after="0"/>
        <w:tabs>
          <w:tab w:leader="none" w:pos="206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the Current Market Price of the Common Shares.</w:t>
      </w:r>
    </w:p>
    <w:p>
      <w:pPr>
        <w:spacing w:after="0" w:line="130" w:lineRule="exact"/>
        <w:rPr>
          <w:rFonts w:ascii="Times New Roman" w:cs="Times New Roman" w:eastAsia="Times New Roman" w:hAnsi="Times New Roman"/>
          <w:sz w:val="18"/>
          <w:szCs w:val="18"/>
          <w:color w:val="auto"/>
        </w:rPr>
      </w:pPr>
    </w:p>
    <w:p>
      <w:pPr>
        <w:ind w:left="1620" w:right="80" w:hanging="538"/>
        <w:spacing w:after="0" w:line="255" w:lineRule="auto"/>
        <w:tabs>
          <w:tab w:leader="none" w:pos="162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made pursuant to this Article 27.1.9(d) shall become effective immediately after 5:00 p.m., New York City time, on the date fixed for the determination of the holders of Common Shares entitled to receive such distribution. In the event that such distribution described in this Article 27.1.9(d) is not so made, the Conversion Rate shall be readjusted, effective as of the date the Board (or an authorized committee thereof) publicly announces its decision not to make such distribution, to the Conversion Rate that would then be in effect if such distribution had not been declared. If an adjustment to the Conversion Rate is required under this Article 27.1.9(d) during any Settlement Period in respect of Class A Series 1 Preferred Shares that have been tendered for Conversion, delivery of the Common Shares issuable upon Conversion shall be delayed to the extent necessary in order to complete the calculations provided for in this Article 27.1.9(d).</w:t>
      </w:r>
    </w:p>
    <w:p>
      <w:pPr>
        <w:spacing w:after="0" w:line="90" w:lineRule="exact"/>
        <w:rPr>
          <w:rFonts w:ascii="Times New Roman" w:cs="Times New Roman" w:eastAsia="Times New Roman" w:hAnsi="Times New Roman"/>
          <w:sz w:val="18"/>
          <w:szCs w:val="18"/>
          <w:color w:val="auto"/>
        </w:rPr>
      </w:pPr>
    </w:p>
    <w:p>
      <w:pPr>
        <w:ind w:left="1620" w:hanging="538"/>
        <w:spacing w:after="0" w:line="251" w:lineRule="auto"/>
        <w:tabs>
          <w:tab w:leader="none" w:pos="162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27.1.9(d) (and subject in all respects to Article 27.1.9(b)), rights, options or warrants distributed by the Company to all holders of its Common Shares entitling them to subscribe for or purchase shares of the Company, including Common Shares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shares of the Common Shares; (ii) are not exercisable; and (iii) are also issued in respect of future issuances of the Common Shares, shall be deemed not to have been distributed for purposes of this Article 27.1.9(d) (and no adjustment to the Conversion Rate under this Article 27.1.9(d) shall be required) until the occurrence of the earliest Trigger Event, whereupon such rights, options or warrants shall be deemed to have been distributed and an appropriate adjustment (if any is required) to the Conversion Rate shall be made under this Article 27.1.9(d).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the date fixed for the determination of the holders of Common Shares entitled to receive such distribution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Article 27.1.9(d)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220"/>
          </w:cols>
          <w:pgMar w:left="24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Article 27.1.9(a), Article 27.1.9(b) and this Article 27.1.9(d), if any dividend or distribution to which this Article</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27.1.9(d) is applicable includes one or both of:</w:t>
      </w:r>
    </w:p>
    <w:p>
      <w:pPr>
        <w:spacing w:after="0" w:line="108" w:lineRule="exact"/>
        <w:rPr>
          <w:rFonts w:ascii="Times New Roman" w:cs="Times New Roman" w:eastAsia="Times New Roman" w:hAnsi="Times New Roman"/>
          <w:sz w:val="18"/>
          <w:szCs w:val="18"/>
          <w:color w:val="auto"/>
        </w:rPr>
      </w:pPr>
    </w:p>
    <w:p>
      <w:pPr>
        <w:ind w:left="2060" w:right="140" w:hanging="425"/>
        <w:spacing w:after="0" w:line="286" w:lineRule="auto"/>
        <w:tabs>
          <w:tab w:leader="none" w:pos="206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Common Shares to which Article 27.1.9(a) is applicable (the “</w:t>
      </w:r>
      <w:r>
        <w:rPr>
          <w:rFonts w:ascii="Times New Roman" w:cs="Times New Roman" w:eastAsia="Times New Roman" w:hAnsi="Times New Roman"/>
          <w:sz w:val="18"/>
          <w:szCs w:val="18"/>
          <w:b w:val="1"/>
          <w:bCs w:val="1"/>
          <w:color w:val="auto"/>
        </w:rPr>
        <w:t>Article 27.1.9(a) Distribution</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rights or warrants to which Article 27.1.9(b) is applicable (the “</w:t>
      </w:r>
      <w:r>
        <w:rPr>
          <w:rFonts w:ascii="Times New Roman" w:cs="Times New Roman" w:eastAsia="Times New Roman" w:hAnsi="Times New Roman"/>
          <w:sz w:val="18"/>
          <w:szCs w:val="18"/>
          <w:b w:val="1"/>
          <w:bCs w:val="1"/>
          <w:color w:val="auto"/>
        </w:rPr>
        <w:t>Article 27.1.9(b) Distribution</w:t>
      </w:r>
      <w:r>
        <w:rPr>
          <w:rFonts w:ascii="Times New Roman" w:cs="Times New Roman" w:eastAsia="Times New Roman" w:hAnsi="Times New Roman"/>
          <w:sz w:val="18"/>
          <w:szCs w:val="18"/>
          <w:color w:val="auto"/>
        </w:rPr>
        <w:t>”), then</w:t>
      </w:r>
    </w:p>
    <w:p>
      <w:pPr>
        <w:spacing w:after="0" w:line="134" w:lineRule="exact"/>
        <w:rPr>
          <w:rFonts w:ascii="Times New Roman" w:cs="Times New Roman" w:eastAsia="Times New Roman" w:hAnsi="Times New Roman"/>
          <w:sz w:val="18"/>
          <w:szCs w:val="18"/>
          <w:color w:val="auto"/>
        </w:rPr>
      </w:pPr>
    </w:p>
    <w:p>
      <w:pPr>
        <w:ind w:left="2500" w:right="60" w:hanging="432"/>
        <w:spacing w:after="0" w:line="261" w:lineRule="auto"/>
        <w:tabs>
          <w:tab w:leader="none" w:pos="2500"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dividend or distribution, other than the Article 27.1.9(a) Distribution, if any, and the Article 27.1.9(b) Distribution, if any, shall be deemed to be a dividend or distribution to which this Article 27.1.9(d) is applicable (the</w:t>
      </w:r>
    </w:p>
    <w:p>
      <w:pPr>
        <w:ind w:left="2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27.1.9(d) Distribution</w:t>
      </w:r>
      <w:r>
        <w:rPr>
          <w:rFonts w:ascii="Times New Roman" w:cs="Times New Roman" w:eastAsia="Times New Roman" w:hAnsi="Times New Roman"/>
          <w:sz w:val="18"/>
          <w:szCs w:val="18"/>
          <w:color w:val="auto"/>
        </w:rPr>
        <w:t>”) and any Conversion Rate adjustment required by this Article 27.1.9(d) with respect to such Article 27.1.9(d) Distribution shall then be made; and</w:t>
      </w:r>
    </w:p>
    <w:p>
      <w:pPr>
        <w:spacing w:after="0" w:line="85" w:lineRule="exact"/>
        <w:rPr>
          <w:rFonts w:ascii="Times New Roman" w:cs="Times New Roman" w:eastAsia="Times New Roman" w:hAnsi="Times New Roman"/>
          <w:sz w:val="18"/>
          <w:szCs w:val="18"/>
          <w:color w:val="auto"/>
        </w:rPr>
      </w:pPr>
    </w:p>
    <w:p>
      <w:pPr>
        <w:ind w:left="2500" w:right="120" w:hanging="432"/>
        <w:spacing w:after="0" w:line="261" w:lineRule="auto"/>
        <w:tabs>
          <w:tab w:leader="none" w:pos="2500"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 27.1.9(a) Distribution, if any, and Article 27.1.9(b) Distribution, if any, shall be deemed to immediately follow the Article 27.1.9(d) Distribution and any Conversion Rate adjustment required by Article 27.1.9(a) and Article</w:t>
      </w:r>
    </w:p>
    <w:p>
      <w:pPr>
        <w:ind w:left="2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27.1.9(b) with respect thereto shall then be made, except that, if determined by the Company:</w:t>
      </w:r>
    </w:p>
    <w:p>
      <w:pPr>
        <w:spacing w:after="0" w:line="112" w:lineRule="exact"/>
        <w:rPr>
          <w:rFonts w:ascii="Times New Roman" w:cs="Times New Roman" w:eastAsia="Times New Roman" w:hAnsi="Times New Roman"/>
          <w:sz w:val="18"/>
          <w:szCs w:val="18"/>
          <w:color w:val="auto"/>
        </w:rPr>
      </w:pPr>
    </w:p>
    <w:p>
      <w:pPr>
        <w:jc w:val="both"/>
        <w:ind w:left="3060" w:right="500" w:hanging="547"/>
        <w:spacing w:after="0" w:line="266" w:lineRule="auto"/>
        <w:tabs>
          <w:tab w:leader="none" w:pos="3060" w:val="left"/>
        </w:tabs>
        <w:numPr>
          <w:ilvl w:val="3"/>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for determination of the holders of Common Shares entitled to receive any Article 27.1.9(a) Distribution or Article 27.1.9(b) Distribution shall be deemed to be the date fixed for the determination of holders of Common Shares entitled to receive the Article 27.1.9(d) Distribution; and</w:t>
      </w:r>
    </w:p>
    <w:p>
      <w:pPr>
        <w:spacing w:after="0" w:line="82" w:lineRule="exact"/>
        <w:rPr>
          <w:sz w:val="20"/>
          <w:szCs w:val="20"/>
          <w:color w:val="auto"/>
        </w:rPr>
      </w:pPr>
    </w:p>
    <w:p>
      <w:pPr>
        <w:ind w:left="3060" w:right="360" w:hanging="547"/>
        <w:spacing w:after="0" w:line="266" w:lineRule="auto"/>
        <w:tabs>
          <w:tab w:leader="none" w:pos="30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Common Shares included in any Article 27.1.9(a) Distribution or Article 27.1.9(b) Distribution shall be deemed not to be “outstanding at 5:00 p.m., New York City time, on the date fixed for such determination” within the meaning of Article 27.1.9(a) and Article 27.1.9(b).</w:t>
      </w:r>
    </w:p>
    <w:p>
      <w:pPr>
        <w:spacing w:after="0" w:line="82" w:lineRule="exact"/>
        <w:rPr>
          <w:sz w:val="20"/>
          <w:szCs w:val="20"/>
          <w:color w:val="auto"/>
        </w:rPr>
      </w:pPr>
    </w:p>
    <w:p>
      <w:pPr>
        <w:ind w:left="1060" w:hanging="424"/>
        <w:spacing w:after="0"/>
        <w:tabs>
          <w:tab w:leader="none" w:pos="10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Distributions</w:t>
      </w:r>
    </w:p>
    <w:p>
      <w:pPr>
        <w:spacing w:after="0" w:line="130" w:lineRule="exact"/>
        <w:rPr>
          <w:rFonts w:ascii="Times New Roman" w:cs="Times New Roman" w:eastAsia="Times New Roman" w:hAnsi="Times New Roman"/>
          <w:sz w:val="18"/>
          <w:szCs w:val="18"/>
          <w:color w:val="auto"/>
        </w:rPr>
      </w:pPr>
    </w:p>
    <w:p>
      <w:pPr>
        <w:ind w:left="1620" w:right="40" w:hanging="538"/>
        <w:spacing w:after="0" w:line="256" w:lineRule="auto"/>
        <w:tabs>
          <w:tab w:leader="none" w:pos="162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pays or makes a dividend or other distribution consisting exclusively of cash to all holders of Common Shares (excluding (1) any cash that is distributed in a Reorganization Event to which Article 27.1.10 applies; (2) any dividend or other distribution in connection with the voluntary or involuntary liquidation, dissolution or winding up of the Company; and (3) any consideration payable as part of a tender or exchange offer by the Company or any subsidiary of the Company covered by Article 27.1.9(f)), the Conversion Rate in effect at 5:00 p.m., New York City time, on the date fixed for determination of the holders of Common Shares entitled to receive such dividend or other distribution shall be multiplied by a fraction:</w:t>
      </w:r>
    </w:p>
    <w:p>
      <w:pPr>
        <w:spacing w:after="0" w:line="93"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Current Market Price per share of Common Shares; and</w:t>
      </w:r>
    </w:p>
    <w:p>
      <w:pPr>
        <w:spacing w:after="0" w:line="130" w:lineRule="exact"/>
        <w:rPr>
          <w:rFonts w:ascii="Times New Roman" w:cs="Times New Roman" w:eastAsia="Times New Roman" w:hAnsi="Times New Roman"/>
          <w:sz w:val="18"/>
          <w:szCs w:val="18"/>
          <w:color w:val="auto"/>
        </w:rPr>
      </w:pPr>
    </w:p>
    <w:p>
      <w:pPr>
        <w:ind w:left="2060" w:right="520" w:hanging="425"/>
        <w:spacing w:after="0" w:line="282" w:lineRule="auto"/>
        <w:tabs>
          <w:tab w:leader="none" w:pos="2060"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the Current Market Price per share of Common Shares minus the amount per share of such dividend or other distribution.</w:t>
      </w:r>
    </w:p>
    <w:p>
      <w:pPr>
        <w:spacing w:after="0" w:line="67" w:lineRule="exact"/>
        <w:rPr>
          <w:rFonts w:ascii="Times New Roman" w:cs="Times New Roman" w:eastAsia="Times New Roman" w:hAnsi="Times New Roman"/>
          <w:sz w:val="18"/>
          <w:szCs w:val="18"/>
          <w:color w:val="auto"/>
        </w:rPr>
      </w:pPr>
    </w:p>
    <w:p>
      <w:pPr>
        <w:ind w:left="1620" w:right="20" w:hanging="538"/>
        <w:spacing w:after="0" w:line="256" w:lineRule="auto"/>
        <w:tabs>
          <w:tab w:leader="none" w:pos="162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made pursuant to this Article 27.1.9(e) shall become effective immediately after 5:00 p.m., New York City time, on the date fixed for the determination of the holders of Common Shares entitled to receive such dividend or other distribution. In the event that any dividend or other distribution described in this Article 27.1.9(e) is not so paid or made, the Conversion Rate shall be readjusted, effective as of the date the Board (or an authorized committee thereof) publicly announces its decision not to pay such dividend or make such other distribution, to the Conversion Rate which would then be in effect if such dividend or other distribution had not been declared.</w:t>
      </w:r>
    </w:p>
    <w:p>
      <w:pPr>
        <w:spacing w:after="0" w:line="93"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Self Tender Offers and Exchange Offers</w:t>
      </w:r>
    </w:p>
    <w:p>
      <w:pPr>
        <w:spacing w:after="0" w:line="130" w:lineRule="exact"/>
        <w:rPr>
          <w:rFonts w:ascii="Times New Roman" w:cs="Times New Roman" w:eastAsia="Times New Roman" w:hAnsi="Times New Roman"/>
          <w:sz w:val="18"/>
          <w:szCs w:val="18"/>
          <w:color w:val="auto"/>
        </w:rPr>
      </w:pPr>
    </w:p>
    <w:p>
      <w:pPr>
        <w:ind w:left="1620" w:right="160" w:hanging="538"/>
        <w:spacing w:after="0" w:line="282" w:lineRule="auto"/>
        <w:tabs>
          <w:tab w:leader="none" w:pos="162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subsidiary of the Company successfully completes a tender or exchange offer pursuant to a Schedule TO or registration statement on Form S-4 (or any successor form) for</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80"/>
          </w:cols>
          <w:pgMar w:left="240" w:top="456" w:right="47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right="80"/>
        <w:spacing w:after="0" w:line="261" w:lineRule="auto"/>
        <w:rPr>
          <w:sz w:val="20"/>
          <w:szCs w:val="20"/>
          <w:color w:val="auto"/>
        </w:rPr>
      </w:pPr>
      <w:r>
        <w:rPr>
          <w:rFonts w:ascii="Times New Roman" w:cs="Times New Roman" w:eastAsia="Times New Roman" w:hAnsi="Times New Roman"/>
          <w:sz w:val="18"/>
          <w:szCs w:val="18"/>
          <w:color w:val="auto"/>
        </w:rPr>
        <w:t>Common Shares (excluding any securities convertible or exchangeable for Common Shares), where the cash and the value of any other consideration included in the payment per share of Common Shares exceeds the Current Market Price, the Conversion Rate in effect at 5:00 p.m., New York City time, on the date of expiration of the tender or exchange offer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be multiplied by a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6278880</wp:posOffset>
            </wp:positionH>
            <wp:positionV relativeFrom="paragraph">
              <wp:posOffset>-173355</wp:posOffset>
            </wp:positionV>
            <wp:extent cx="285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6" w:lineRule="exact"/>
        <w:rPr>
          <w:sz w:val="20"/>
          <w:szCs w:val="20"/>
          <w:color w:val="auto"/>
        </w:rPr>
      </w:pPr>
    </w:p>
    <w:p>
      <w:pPr>
        <w:ind w:left="2060" w:hanging="425"/>
        <w:spacing w:after="0"/>
        <w:tabs>
          <w:tab w:leader="none" w:pos="206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equal to the sum of:</w:t>
      </w:r>
    </w:p>
    <w:p>
      <w:pPr>
        <w:spacing w:after="0" w:line="130" w:lineRule="exact"/>
        <w:rPr>
          <w:rFonts w:ascii="Times New Roman" w:cs="Times New Roman" w:eastAsia="Times New Roman" w:hAnsi="Times New Roman"/>
          <w:sz w:val="18"/>
          <w:szCs w:val="18"/>
          <w:color w:val="auto"/>
        </w:rPr>
      </w:pPr>
    </w:p>
    <w:p>
      <w:pPr>
        <w:ind w:left="2500" w:hanging="432"/>
        <w:spacing w:after="0" w:line="282" w:lineRule="auto"/>
        <w:tabs>
          <w:tab w:leader="none" w:pos="2500" w:val="left"/>
        </w:tabs>
        <w:numPr>
          <w:ilvl w:val="3"/>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cash and Fair Market Value on the Expiration Date of any other consideration paid or payable for Common Shares purchased in such tender or exchange offer; and</w:t>
      </w:r>
    </w:p>
    <w:p>
      <w:pPr>
        <w:spacing w:after="0" w:line="67" w:lineRule="exact"/>
        <w:rPr>
          <w:rFonts w:ascii="Times New Roman" w:cs="Times New Roman" w:eastAsia="Times New Roman" w:hAnsi="Times New Roman"/>
          <w:sz w:val="18"/>
          <w:szCs w:val="18"/>
          <w:color w:val="auto"/>
        </w:rPr>
      </w:pPr>
    </w:p>
    <w:p>
      <w:pPr>
        <w:ind w:left="2500" w:hanging="432"/>
        <w:spacing w:after="0" w:line="282" w:lineRule="auto"/>
        <w:tabs>
          <w:tab w:leader="none" w:pos="2500" w:val="left"/>
        </w:tabs>
        <w:numPr>
          <w:ilvl w:val="3"/>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(x) the Current Market Price and (y) the number of Common Shares outstanding at the time such tender or exchange offer expires, less any purchased shares; and</w:t>
      </w:r>
    </w:p>
    <w:p>
      <w:pPr>
        <w:spacing w:after="0" w:line="67"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2"/>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equal to the product of:</w:t>
      </w:r>
    </w:p>
    <w:p>
      <w:pPr>
        <w:spacing w:after="0" w:line="130" w:lineRule="exact"/>
        <w:rPr>
          <w:rFonts w:ascii="Times New Roman" w:cs="Times New Roman" w:eastAsia="Times New Roman" w:hAnsi="Times New Roman"/>
          <w:sz w:val="18"/>
          <w:szCs w:val="18"/>
          <w:color w:val="auto"/>
        </w:rPr>
      </w:pPr>
    </w:p>
    <w:p>
      <w:pPr>
        <w:ind w:left="2500" w:hanging="432"/>
        <w:spacing w:after="0"/>
        <w:tabs>
          <w:tab w:leader="none" w:pos="2500" w:val="left"/>
        </w:tabs>
        <w:numPr>
          <w:ilvl w:val="3"/>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Market Price; and</w:t>
      </w:r>
    </w:p>
    <w:p>
      <w:pPr>
        <w:spacing w:after="0" w:line="130" w:lineRule="exact"/>
        <w:rPr>
          <w:rFonts w:ascii="Times New Roman" w:cs="Times New Roman" w:eastAsia="Times New Roman" w:hAnsi="Times New Roman"/>
          <w:sz w:val="18"/>
          <w:szCs w:val="18"/>
          <w:color w:val="auto"/>
        </w:rPr>
      </w:pPr>
    </w:p>
    <w:p>
      <w:pPr>
        <w:ind w:left="2500" w:right="180" w:hanging="432"/>
        <w:spacing w:after="0" w:line="282" w:lineRule="auto"/>
        <w:tabs>
          <w:tab w:leader="none" w:pos="2500" w:val="left"/>
        </w:tabs>
        <w:numPr>
          <w:ilvl w:val="3"/>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outstanding at the time such tender or exchange offer expires, including any purchased shares.</w:t>
      </w:r>
    </w:p>
    <w:p>
      <w:pPr>
        <w:spacing w:after="0" w:line="67" w:lineRule="exact"/>
        <w:rPr>
          <w:rFonts w:ascii="Times New Roman" w:cs="Times New Roman" w:eastAsia="Times New Roman" w:hAnsi="Times New Roman"/>
          <w:sz w:val="18"/>
          <w:szCs w:val="18"/>
          <w:color w:val="auto"/>
        </w:rPr>
      </w:pPr>
    </w:p>
    <w:p>
      <w:pPr>
        <w:ind w:left="1620" w:hanging="538"/>
        <w:spacing w:after="0" w:line="253" w:lineRule="auto"/>
        <w:tabs>
          <w:tab w:leader="none" w:pos="162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made pursuant to this Article 27.1.9(f) shall become effective immediately after 5:00 p.m., New York City time, on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Trading Day immediately following the Expiration Date but will be given effect as of 9:00 a.m., New York City time, on the Expiration Date.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Rate shall be readjusted to be the Conversion Rate that would then be in effect if such tender offer or exchange offer had not been made. Except as set forth in the preceding sentence, if the application of this Article 27.1.9(f) to any tender offer or exchange offer would result in a decrease the Conversion Rate, no adjustment shall be made for such tender offer or exchange offer under this Article 27.1.9(f). If an adjustment to the Conversion Rate is required pursuant to this Article 27.1.9(f) during any Settlement Period in respect of Class A Series 1 Preferred Shares that have been tendered for Conversion, delivery of the related Conversion consideration shall be delayed to the extent necessary in order to complete the calculations provided for in this Article 27.1.9(f).</w:t>
      </w:r>
    </w:p>
    <w:p>
      <w:pPr>
        <w:spacing w:after="0" w:line="98" w:lineRule="exact"/>
        <w:rPr>
          <w:rFonts w:ascii="Times New Roman" w:cs="Times New Roman" w:eastAsia="Times New Roman" w:hAnsi="Times New Roman"/>
          <w:sz w:val="18"/>
          <w:szCs w:val="18"/>
          <w:color w:val="auto"/>
        </w:rPr>
      </w:pPr>
    </w:p>
    <w:p>
      <w:pPr>
        <w:ind w:left="1060" w:right="60" w:hanging="424"/>
        <w:spacing w:after="0" w:line="253" w:lineRule="auto"/>
        <w:tabs>
          <w:tab w:leader="none" w:pos="106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Market Value in Excess of Current Market Price</w:t>
      </w:r>
      <w:r>
        <w:rPr>
          <w:rFonts w:ascii="Times New Roman" w:cs="Times New Roman" w:eastAsia="Times New Roman" w:hAnsi="Times New Roman"/>
          <w:sz w:val="18"/>
          <w:szCs w:val="18"/>
          <w:color w:val="auto"/>
        </w:rPr>
        <w:t>. Except with respect to a Spin-Off, in cases where the Fair Market Value of the evidences of the Company’s indebtedness, shares, securities, rights to acquire the Company’s shares, cash or other assets as to which Article 27.1.9(d) or Article 27.1.9(e) apply, applicable to one share of Common Shares, distributed to holders of Common Shares equals or exceeds the Current Market Price (as determined for purposes of calculating the Conversion Rate adjustment pursuant to such Article 27.1.9(d) or Article 27.1.9(e)), rather than being entitled to an adjustment in the Conversion Rate, holders of Class A Series 1 Preferred Shares shall be entitled to receive upon Conversion, in addition to a number of Common Shares otherwise deliverable on the applicable Conversion Date, the kind and amount of the evidences of the Company’s indebtedness, shares of the Company, securities, rights to acquire the Company’s shares, cash or other assets comprising the distribution that such holder of Class A Series 1 Preferred Shares would have received if such holder of Class A Series 1 Preferred Shares had owned, immediately prior to the record date for determining the holders of Common Shares entitled to receive the distribution, for each Class A Series 1 Preferred Share, a number of Common Shares equal to the Conversion Rate in effect on the date of such distribution.</w:t>
      </w:r>
    </w:p>
    <w:p>
      <w:pPr>
        <w:spacing w:after="0" w:line="98" w:lineRule="exact"/>
        <w:rPr>
          <w:rFonts w:ascii="Times New Roman" w:cs="Times New Roman" w:eastAsia="Times New Roman" w:hAnsi="Times New Roman"/>
          <w:sz w:val="18"/>
          <w:szCs w:val="18"/>
          <w:color w:val="auto"/>
        </w:rPr>
      </w:pPr>
    </w:p>
    <w:p>
      <w:pPr>
        <w:ind w:left="1060" w:right="180" w:hanging="424"/>
        <w:spacing w:after="0" w:line="282" w:lineRule="auto"/>
        <w:tabs>
          <w:tab w:leader="none" w:pos="106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Plans</w:t>
      </w:r>
      <w:r>
        <w:rPr>
          <w:rFonts w:ascii="Times New Roman" w:cs="Times New Roman" w:eastAsia="Times New Roman" w:hAnsi="Times New Roman"/>
          <w:sz w:val="18"/>
          <w:szCs w:val="18"/>
          <w:color w:val="auto"/>
        </w:rPr>
        <w:t>. To the extent that the Company has a rights plan in effect with respect to the Common Shares on any Conversion Date, upon Conversion of any Class A Series 1 Preferred Shares, converting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220"/>
          </w:cols>
          <w:pgMar w:left="240" w:top="456"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120"/>
        <w:spacing w:after="0" w:line="255" w:lineRule="auto"/>
        <w:rPr>
          <w:sz w:val="20"/>
          <w:szCs w:val="20"/>
          <w:color w:val="auto"/>
        </w:rPr>
      </w:pPr>
      <w:r>
        <w:rPr>
          <w:rFonts w:ascii="Times New Roman" w:cs="Times New Roman" w:eastAsia="Times New Roman" w:hAnsi="Times New Roman"/>
          <w:sz w:val="18"/>
          <w:szCs w:val="18"/>
          <w:color w:val="auto"/>
        </w:rPr>
        <w:t>holders of Class A Series 1 Preferred Shares shall receive, in addition to the Common Shares, the rights issued under such rights plan, unless, prior to such Conversion Date, the rights have separated from the Common Shares, in which case the Conversion Rate shall be adjusted at the time of separation of such rights as if the Company made a distribution to all holders of the Common Shares as described in Article 27.1.9(d), subject to readjustment in the event of the expiration, termination or redemption of such rights. Any distribution of rights or warrants pursuant to a rights plan that would allow holders of Class A Series 1 Preferred Shares to receive upon Conversion, in addition to any Common Shares, the rights described therein (unless such rights or warrants have separated from Common Shares) shall not constitute a distribution of rights or warrants that would entitle holders of the Class A Series 1 Preferred Shares to an adjustment to the Conversion Rate.</w:t>
      </w:r>
    </w:p>
    <w:p>
      <w:pPr>
        <w:spacing w:after="0" w:line="91" w:lineRule="exact"/>
        <w:rPr>
          <w:sz w:val="20"/>
          <w:szCs w:val="20"/>
          <w:color w:val="auto"/>
        </w:rPr>
      </w:pPr>
    </w:p>
    <w:p>
      <w:pPr>
        <w:ind w:left="1060" w:right="80" w:hanging="424"/>
        <w:spacing w:after="0" w:line="258" w:lineRule="auto"/>
        <w:tabs>
          <w:tab w:leader="none" w:pos="10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Tax Reasons</w:t>
      </w:r>
      <w:r>
        <w:rPr>
          <w:rFonts w:ascii="Times New Roman" w:cs="Times New Roman" w:eastAsia="Times New Roman" w:hAnsi="Times New Roman"/>
          <w:sz w:val="18"/>
          <w:szCs w:val="18"/>
          <w:color w:val="auto"/>
        </w:rPr>
        <w:t>. The Company may make such increases in the Conversion Rate, in addition to any other increases required by this Article 27.1.9, as the Company deems advisable to avoid or diminish any income tax to holders of the Common Shares resulting from any dividend or distribution of Common Shares (or issuance of rights or warrants to acquire Common Shares) or from any event treated as such for income tax purposes or for any other reason; provided that the same proportionate adjustment must be made to the Conversion Rate.</w:t>
      </w:r>
    </w:p>
    <w:p>
      <w:pPr>
        <w:spacing w:after="0" w:line="89"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Adjustments; Adjustments to Threshold Appreciation Price, Initial Price and Share Price</w:t>
      </w:r>
    </w:p>
    <w:p>
      <w:pPr>
        <w:spacing w:after="0" w:line="130" w:lineRule="exact"/>
        <w:rPr>
          <w:rFonts w:ascii="Times New Roman" w:cs="Times New Roman" w:eastAsia="Times New Roman" w:hAnsi="Times New Roman"/>
          <w:sz w:val="18"/>
          <w:szCs w:val="18"/>
          <w:color w:val="auto"/>
        </w:rPr>
      </w:pPr>
    </w:p>
    <w:p>
      <w:pPr>
        <w:ind w:left="1620" w:hanging="538"/>
        <w:spacing w:after="0" w:line="256" w:lineRule="auto"/>
        <w:tabs>
          <w:tab w:leader="none" w:pos="162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adjustments to the Conversion Rate shall be calculated to the nearest 1/10,000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a Common Share. Prior to any Conversion Date, no adjustment in the Conversion Rate shall be required unless such adjustment would require an increase or decrease of at least one percent therein. If any adjustment by reason of this Article 27.1.9(j)(i) is not required to be made because it would not change the Conversion Rate by at least one percent, such adjustment shall be carried forward and taken into account in any subsequent adjustment; provided, however, that on a Conversion Date, adjustments to the Conversion Rate shall be made with respect to any such adjustment carried forward that has not been taken into account before such date.</w:t>
      </w:r>
    </w:p>
    <w:p>
      <w:pPr>
        <w:spacing w:after="0" w:line="93" w:lineRule="exact"/>
        <w:rPr>
          <w:rFonts w:ascii="Times New Roman" w:cs="Times New Roman" w:eastAsia="Times New Roman" w:hAnsi="Times New Roman"/>
          <w:sz w:val="18"/>
          <w:szCs w:val="18"/>
          <w:color w:val="auto"/>
        </w:rPr>
      </w:pPr>
    </w:p>
    <w:p>
      <w:pPr>
        <w:ind w:left="1620" w:right="140" w:hanging="538"/>
        <w:spacing w:after="0" w:line="256" w:lineRule="auto"/>
        <w:tabs>
          <w:tab w:leader="none" w:pos="162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provision of these Articles requires the Company to calculate the VWAP per Common Share over a span of multiple days, the Board (or an authorized committee thereof) shall make appropriate adjustments (including, without limitation, to the Fair Market Value and the Current Market Price (as the case may be)) to account for any adjustments, pursuant to Article 27.1.9, to the Conversion Rate that become effective, or any event that would require such an adjustment if the Ex-Date, effective date or Expiration Date (as the case may be) of such event occurs, during the relevant period used to calculate such prices or values (as the case may be).</w:t>
      </w:r>
    </w:p>
    <w:p>
      <w:pPr>
        <w:spacing w:after="0" w:line="93" w:lineRule="exact"/>
        <w:rPr>
          <w:rFonts w:ascii="Times New Roman" w:cs="Times New Roman" w:eastAsia="Times New Roman" w:hAnsi="Times New Roman"/>
          <w:sz w:val="18"/>
          <w:szCs w:val="18"/>
          <w:color w:val="auto"/>
        </w:rPr>
      </w:pPr>
    </w:p>
    <w:p>
      <w:pPr>
        <w:ind w:left="1620" w:hanging="538"/>
        <w:spacing w:after="0" w:line="255" w:lineRule="auto"/>
        <w:tabs>
          <w:tab w:leader="none" w:pos="162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adjustment to the Conversion Rate shall be made if holders of the Class A Series 1 Preferred Shares may participate, at the same time, upon the same terms and otherwise on the same basis as holders of Common Shares and solely as a result of holding Class A Series 1 Preferred Shares, in the transaction that would otherwise give rise to an adjustment as if they held, for each Class A Series 1 Preferred Share, a number of Common Shares equal to the Conversion Rate then in effect. The Company shall notify holders of the Class A Series 1 Preferred Shares, in the event they may so participate, at the same time it notifies holders of Common Shares of their participation in such transaction. In addition, the Conversion Rate shall not be adjusted:</w:t>
      </w:r>
    </w:p>
    <w:p>
      <w:pPr>
        <w:spacing w:after="0" w:line="94" w:lineRule="exact"/>
        <w:rPr>
          <w:rFonts w:ascii="Times New Roman" w:cs="Times New Roman" w:eastAsia="Times New Roman" w:hAnsi="Times New Roman"/>
          <w:sz w:val="18"/>
          <w:szCs w:val="18"/>
          <w:color w:val="auto"/>
        </w:rPr>
      </w:pPr>
    </w:p>
    <w:p>
      <w:pPr>
        <w:ind w:left="2060" w:right="20" w:hanging="425"/>
        <w:spacing w:after="0" w:line="266" w:lineRule="auto"/>
        <w:tabs>
          <w:tab w:leader="none" w:pos="2060" w:val="left"/>
        </w:tabs>
        <w:numPr>
          <w:ilvl w:val="2"/>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pursuant to any present or future plan providing for the reinvestment of dividends or interest payable on the Company’s securities and the investment of additional optional amounts in Common Shares under any plan;</w:t>
      </w:r>
    </w:p>
    <w:p>
      <w:pPr>
        <w:spacing w:after="0" w:line="81" w:lineRule="exact"/>
        <w:rPr>
          <w:rFonts w:ascii="Times New Roman" w:cs="Times New Roman" w:eastAsia="Times New Roman" w:hAnsi="Times New Roman"/>
          <w:sz w:val="18"/>
          <w:szCs w:val="18"/>
          <w:color w:val="auto"/>
        </w:rPr>
      </w:pPr>
    </w:p>
    <w:p>
      <w:pPr>
        <w:ind w:left="2060" w:right="200" w:hanging="425"/>
        <w:spacing w:after="0" w:line="266" w:lineRule="auto"/>
        <w:tabs>
          <w:tab w:leader="none" w:pos="2060" w:val="left"/>
        </w:tabs>
        <w:numPr>
          <w:ilvl w:val="2"/>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or options or rights to purchase those shares pursuant to any present or future employee, director or consultant benefit, compensation or stock purchase plan or program of or assumed by the Company or any of its subsidiaries;</w:t>
      </w:r>
    </w:p>
    <w:p>
      <w:pPr>
        <w:spacing w:after="0" w:line="81" w:lineRule="exact"/>
        <w:rPr>
          <w:rFonts w:ascii="Times New Roman" w:cs="Times New Roman" w:eastAsia="Times New Roman" w:hAnsi="Times New Roman"/>
          <w:sz w:val="18"/>
          <w:szCs w:val="18"/>
          <w:color w:val="auto"/>
        </w:rPr>
      </w:pPr>
    </w:p>
    <w:p>
      <w:pPr>
        <w:ind w:left="2060" w:right="240" w:hanging="425"/>
        <w:spacing w:after="0" w:line="282" w:lineRule="auto"/>
        <w:tabs>
          <w:tab w:leader="none" w:pos="2060" w:val="left"/>
        </w:tabs>
        <w:numPr>
          <w:ilvl w:val="2"/>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Common Shares pursuant to any option, warrant, right or exercisable, exchangeable or convertible security outstanding as of the Issue Date;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C-14</w:t>
      </w:r>
    </w:p>
    <w:p>
      <w:pPr>
        <w:sectPr>
          <w:pgSz w:w="11900" w:h="16838" w:orient="portrait"/>
          <w:cols w:equalWidth="0" w:num="1">
            <w:col w:w="11220"/>
          </w:cols>
          <w:pgMar w:left="240" w:top="455" w:right="4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60" w:hanging="425"/>
        <w:spacing w:after="0"/>
        <w:tabs>
          <w:tab w:leader="none" w:pos="206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in the par value of the Common Shares;</w:t>
      </w:r>
    </w:p>
    <w:p>
      <w:pPr>
        <w:spacing w:after="0" w:line="130"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repurchases that are not tender offers or exchange offers, including structured or derivative transactions; or</w:t>
      </w:r>
    </w:p>
    <w:p>
      <w:pPr>
        <w:spacing w:after="0" w:line="130" w:lineRule="exact"/>
        <w:rPr>
          <w:rFonts w:ascii="Times New Roman" w:cs="Times New Roman" w:eastAsia="Times New Roman" w:hAnsi="Times New Roman"/>
          <w:sz w:val="18"/>
          <w:szCs w:val="18"/>
          <w:color w:val="auto"/>
        </w:rPr>
      </w:pPr>
    </w:p>
    <w:p>
      <w:pPr>
        <w:ind w:left="2060" w:hanging="425"/>
        <w:spacing w:after="0"/>
        <w:tabs>
          <w:tab w:leader="none" w:pos="206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Dividends.</w:t>
      </w:r>
    </w:p>
    <w:p>
      <w:pPr>
        <w:spacing w:after="0" w:line="130" w:lineRule="exact"/>
        <w:rPr>
          <w:rFonts w:ascii="Times New Roman" w:cs="Times New Roman" w:eastAsia="Times New Roman" w:hAnsi="Times New Roman"/>
          <w:sz w:val="18"/>
          <w:szCs w:val="18"/>
          <w:color w:val="auto"/>
        </w:rPr>
      </w:pPr>
    </w:p>
    <w:p>
      <w:pPr>
        <w:ind w:left="1060" w:right="280" w:hanging="424"/>
        <w:spacing w:after="0" w:line="261" w:lineRule="auto"/>
        <w:tabs>
          <w:tab w:leader="none" w:pos="10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Whenever the Conversion Rate is to be adjusted, the Company shall compute such adjusted Conversion Rates and transmit to the holders of the Class A Series 1 Preferred Shares a statement setting forth such adjusted Conversion Rate, the method of calculation thereof in reasonable detail and the facts requiring such adjustment and upon which such adjustment is based in reasonable detail.</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27.1.10 Recapitalization, Reclassifications and Changes of Common Shares</w:t>
      </w:r>
    </w:p>
    <w:p>
      <w:pPr>
        <w:spacing w:after="0" w:line="131" w:lineRule="exact"/>
        <w:rPr>
          <w:sz w:val="20"/>
          <w:szCs w:val="20"/>
          <w:color w:val="auto"/>
        </w:rPr>
      </w:pPr>
    </w:p>
    <w:p>
      <w:pPr>
        <w:ind w:left="1060" w:hanging="424"/>
        <w:spacing w:after="0"/>
        <w:tabs>
          <w:tab w:leader="none" w:pos="10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following, other than on a transaction which results in a Change of Control (each, a “</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620" w:right="120" w:hanging="538"/>
        <w:spacing w:after="0" w:line="261" w:lineRule="auto"/>
        <w:tabs>
          <w:tab w:leader="none" w:pos="162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amalgamation, arrangement or merger of the Company with or into another Person (other than an amalgamation, arrangement, merger or consolidation in which the Company is the surviving corporation and in which the Common Shares outstanding immediately prior to the amalgamation, arrangement, merger or consolidation are not exchanged for cash, securities or other property of the Company or another Person);</w:t>
      </w:r>
    </w:p>
    <w:p>
      <w:pPr>
        <w:spacing w:after="0" w:line="85"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substantially all of the property and assets of the Company;</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Common Shares into securities other than Common Shares; or</w:t>
      </w:r>
    </w:p>
    <w:p>
      <w:pPr>
        <w:spacing w:after="0" w:line="130" w:lineRule="exact"/>
        <w:rPr>
          <w:rFonts w:ascii="Times New Roman" w:cs="Times New Roman" w:eastAsia="Times New Roman" w:hAnsi="Times New Roman"/>
          <w:sz w:val="18"/>
          <w:szCs w:val="18"/>
          <w:color w:val="auto"/>
        </w:rPr>
      </w:pPr>
    </w:p>
    <w:p>
      <w:pPr>
        <w:ind w:left="1620" w:right="100" w:hanging="538"/>
        <w:spacing w:after="0" w:line="282" w:lineRule="auto"/>
        <w:tabs>
          <w:tab w:leader="none" w:pos="162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or arrangement of securities of the Company with another Person (other than in connection with a merger or acquisition);</w:t>
      </w:r>
    </w:p>
    <w:p>
      <w:pPr>
        <w:spacing w:after="0" w:line="54" w:lineRule="exact"/>
        <w:rPr>
          <w:sz w:val="20"/>
          <w:szCs w:val="20"/>
          <w:color w:val="auto"/>
        </w:rPr>
      </w:pPr>
    </w:p>
    <w:p>
      <w:pPr>
        <w:ind w:left="1080"/>
        <w:spacing w:after="0" w:line="256" w:lineRule="auto"/>
        <w:rPr>
          <w:sz w:val="20"/>
          <w:szCs w:val="20"/>
          <w:color w:val="auto"/>
        </w:rPr>
      </w:pPr>
      <w:r>
        <w:rPr>
          <w:rFonts w:ascii="Times New Roman" w:cs="Times New Roman" w:eastAsia="Times New Roman" w:hAnsi="Times New Roman"/>
          <w:sz w:val="18"/>
          <w:szCs w:val="18"/>
          <w:color w:val="auto"/>
        </w:rPr>
        <w:t>in each case, as a result of which the Common Shares would be converted into, or exchanged for, securities, cash or property, each Class A Series 1 Preferred Share outstanding immediately prior to such Reorganization Event shall, without the consent of the holders of Class A Series 1 Preferred Share,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 (such securities, cash and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meaning the kind and amount of such Exchange Property that a holder of one Common Share is entitled to receive).</w:t>
      </w:r>
    </w:p>
    <w:p>
      <w:pPr>
        <w:spacing w:after="0" w:line="93" w:lineRule="exact"/>
        <w:rPr>
          <w:sz w:val="20"/>
          <w:szCs w:val="20"/>
          <w:color w:val="auto"/>
        </w:rPr>
      </w:pPr>
    </w:p>
    <w:p>
      <w:pPr>
        <w:ind w:left="1060" w:right="80" w:hanging="424"/>
        <w:spacing w:after="0" w:line="253" w:lineRule="auto"/>
        <w:tabs>
          <w:tab w:leader="none" w:pos="10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foregoing in Article 27.1.10(a), the type and amount of Exchange Property in the case of any Reorganization Event that causes the Common Shares to be converted into the right to receive more than a single type of consideration (determined based in part upon any form of shareholder election) shall be deemed to be the weighted average of the types and amounts of consideration received by the holders of Common Shares that affirmatively make such an election (or of all holders of Common Shares if none makes an election). The value of a Unit of Exchange Property shall be determined in good faith by the Board or an authorized committee thereof (which determination will be conclusive and final). The Company shall notify holders of the Class A Series 1 Preferred Shares of the weighted average as soon as practicable after such determination is made. The number of Units of Exchange Property for each Class A Series 1 Preferred Share converted or subject to Conversion or redemption following the effective date of such Reorganization Event shall be determined as if references in Article 27.1.6 to Common Shares were to Units of Exchange Property (without interest thereon and without any right to dividends or distributions thereon which have a record date that is prior to such Conversion Date, except as provided in Article 27.1.9(j)(iii)).</w:t>
      </w:r>
    </w:p>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220"/>
          </w:cols>
          <w:pgMar w:left="240" w:top="456" w:right="4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82" w:lineRule="auto"/>
        <w:tabs>
          <w:tab w:leader="none" w:pos="10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Article 27.1.10 shall apply to any shares or capital stock of the Company (or any successor thereto) received by the holders of Common Shares in connection with any such Reorganization Event.</w:t>
      </w:r>
    </w:p>
    <w:p>
      <w:pPr>
        <w:spacing w:after="0" w:line="67" w:lineRule="exact"/>
        <w:rPr>
          <w:rFonts w:ascii="Times New Roman" w:cs="Times New Roman" w:eastAsia="Times New Roman" w:hAnsi="Times New Roman"/>
          <w:sz w:val="18"/>
          <w:szCs w:val="18"/>
          <w:color w:val="auto"/>
        </w:rPr>
      </w:pPr>
    </w:p>
    <w:p>
      <w:pPr>
        <w:ind w:left="1060" w:right="20" w:hanging="424"/>
        <w:spacing w:after="0" w:line="261" w:lineRule="auto"/>
        <w:tabs>
          <w:tab w:leader="none" w:pos="10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successor thereto) shall, as soon as reasonably practicable (but in any event within 20 calendar days) after the occurrence of any Reorganization Event, provide written notice to the holders of Class A Series 1 Preferred Shares of such occurrence and of the kind and amount of the cash, securities or other property that constitute the Exchange Property. Failure to deliver such notice shall not affect the operation of this Article 27.1.10.</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27.1.11 Other Provisions.</w:t>
      </w:r>
    </w:p>
    <w:p>
      <w:pPr>
        <w:spacing w:after="0" w:line="133" w:lineRule="exact"/>
        <w:rPr>
          <w:sz w:val="20"/>
          <w:szCs w:val="20"/>
          <w:color w:val="auto"/>
        </w:rPr>
      </w:pPr>
    </w:p>
    <w:p>
      <w:pPr>
        <w:ind w:left="1060" w:right="160" w:hanging="424"/>
        <w:spacing w:after="0" w:line="267" w:lineRule="auto"/>
        <w:tabs>
          <w:tab w:leader="none" w:pos="10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Class A Series 1 Preferred Shares are issued in uncertificated, book entry form as permitted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and the Articles of the Company, then within a reasonable time after the issuance or transfer of such uncertificated shares, the Company shall send to the registered owner thereof an Ownership Notice.</w:t>
      </w:r>
    </w:p>
    <w:p>
      <w:pPr>
        <w:spacing w:after="0" w:line="80" w:lineRule="exact"/>
        <w:rPr>
          <w:rFonts w:ascii="Times New Roman" w:cs="Times New Roman" w:eastAsia="Times New Roman" w:hAnsi="Times New Roman"/>
          <w:sz w:val="18"/>
          <w:szCs w:val="18"/>
          <w:color w:val="auto"/>
        </w:rPr>
      </w:pPr>
    </w:p>
    <w:p>
      <w:pPr>
        <w:ind w:left="1060" w:right="200" w:hanging="424"/>
        <w:spacing w:after="0" w:line="282" w:lineRule="auto"/>
        <w:tabs>
          <w:tab w:leader="none" w:pos="106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ensure that all Common Shares issued upon a Conversion will be listed and posted for trading on each stock exchange on which the Common Shares are then listed and posted for trading.</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C-16</w:t>
      </w:r>
    </w:p>
    <w:p>
      <w:pPr>
        <w:sectPr>
          <w:pgSz w:w="11900" w:h="16838" w:orient="portrait"/>
          <w:cols w:equalWidth="0" w:num="1">
            <w:col w:w="11200"/>
          </w:cols>
          <w:pgMar w:left="24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NOTICE OF CONVERSION</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(To be Executed by the Holder</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in order to Convert Class A Series 1 Preferred Shares)</w:t>
      </w:r>
    </w:p>
    <w:p>
      <w:pPr>
        <w:spacing w:after="0" w:line="203"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color w:val="auto"/>
        </w:rPr>
        <w:t>The undersigned hereby irrevocably elects to convert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Class A Series 1 Preferred Shares (the “</w:t>
      </w:r>
      <w:r>
        <w:rPr>
          <w:rFonts w:ascii="Times New Roman" w:cs="Times New Roman" w:eastAsia="Times New Roman" w:hAnsi="Times New Roman"/>
          <w:sz w:val="18"/>
          <w:szCs w:val="18"/>
          <w:b w:val="1"/>
          <w:bCs w:val="1"/>
          <w:color w:val="auto"/>
        </w:rPr>
        <w:t>Class A Series 1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Civeo Corporation (hereinafter called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represented by stock certificate No(s). [ ] (the “</w:t>
      </w:r>
      <w:r>
        <w:rPr>
          <w:rFonts w:ascii="Times New Roman" w:cs="Times New Roman" w:eastAsia="Times New Roman" w:hAnsi="Times New Roman"/>
          <w:sz w:val="18"/>
          <w:szCs w:val="18"/>
          <w:b w:val="1"/>
          <w:bCs w:val="1"/>
          <w:color w:val="auto"/>
        </w:rPr>
        <w:t>Class A Series 1 Preferred Shares Certificates</w:t>
      </w:r>
      <w:r>
        <w:rPr>
          <w:rFonts w:ascii="Times New Roman" w:cs="Times New Roman" w:eastAsia="Times New Roman" w:hAnsi="Times New Roman"/>
          <w:sz w:val="18"/>
          <w:szCs w:val="18"/>
          <w:color w:val="auto"/>
        </w:rPr>
        <w:t>”), into Common Shares, without par value, of the Company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according to the conditions of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as of the date written below. If Common Shares are to be issued in the name of a Person other than the undersigned, the undersigned shall pay all applicable taxes and duties payable with respect thereto, if any. Each Class A Series 1 Preferred Shares Certificate (or evidence of loss, theft or destruction thereof) is attached hereto.</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thereto in or pursuant to the Articles of the Company.</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-130810</wp:posOffset>
            </wp:positionV>
            <wp:extent cx="57372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37225"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517144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-130810</wp:posOffset>
            </wp:positionV>
            <wp:extent cx="38417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-130810</wp:posOffset>
            </wp:positionV>
            <wp:extent cx="51028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-130810</wp:posOffset>
            </wp:positionV>
            <wp:extent cx="62947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-121920</wp:posOffset>
            </wp:positionV>
            <wp:extent cx="62947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62947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-121920</wp:posOffset>
            </wp:positionV>
            <wp:extent cx="62947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117475</wp:posOffset>
            </wp:positionV>
            <wp:extent cx="6946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jc w:val="both"/>
        <w:ind w:left="640" w:right="460" w:hanging="436"/>
        <w:spacing w:after="0" w:line="257" w:lineRule="auto"/>
        <w:tabs>
          <w:tab w:leader="none" w:pos="6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A Series 1 Preferred Shares are evidenced by a Share Certificate, the Company is not required to issue Common Shares until the original Class A Series 1 Preferred Shares Certificate(s) (or evidence of loss, theft or destruction thereof) to be converted are received by the Company or its transfer agent.</w:t>
      </w:r>
    </w:p>
    <w:p>
      <w:pPr>
        <w:spacing w:after="0" w:line="2" w:lineRule="exact"/>
        <w:rPr>
          <w:sz w:val="20"/>
          <w:szCs w:val="20"/>
          <w:color w:val="auto"/>
        </w:rPr>
      </w:pPr>
    </w:p>
    <w:p>
      <w:pPr>
        <w:ind w:left="5540" w:right="3260" w:hanging="5336"/>
        <w:spacing w:after="0" w:line="433" w:lineRule="auto"/>
        <w:tabs>
          <w:tab w:leader="none" w:pos="642"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where Common Shares and any other payments or certificates shall be sent by the Company. C-17</w:t>
      </w:r>
    </w:p>
    <w:p>
      <w:pPr>
        <w:sectPr>
          <w:pgSz w:w="11900" w:h="16838" w:orient="portrait"/>
          <w:cols w:equalWidth="0" w:num="1">
            <w:col w:w="11200"/>
          </w:cols>
          <w:pgMar w:left="240" w:top="456"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u w:val="single" w:color="auto"/>
          <w:color w:val="auto"/>
        </w:rPr>
        <w:t>OWNERSHIP NOTICE</w:t>
      </w:r>
    </w:p>
    <w:p>
      <w:pPr>
        <w:spacing w:after="0" w:line="225"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There are special rights or restrictions attached to each Class A Series 1 Preferred Share. A copy of the full text of those special rights or restrictions may be obtained, without charge, at the registered or records office of the Company.</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C-18</w:t>
      </w:r>
    </w:p>
    <w:p>
      <w:pPr>
        <w:sectPr>
          <w:pgSz w:w="11900" w:h="16838" w:orient="portrait"/>
          <w:cols w:equalWidth="0" w:num="1">
            <w:col w:w="10460"/>
          </w:cols>
          <w:pgMar w:left="240" w:top="456" w:right="11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OPINION OF LAZARD FRÈRES &amp; CO. LLC</w:t>
      </w:r>
    </w:p>
    <w:p>
      <w:pPr>
        <w:spacing w:after="0" w:line="25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892175"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92175" cy="171450"/>
                    </a:xfrm>
                    <a:prstGeom prst="rect">
                      <a:avLst/>
                    </a:prstGeom>
                    <a:noFill/>
                  </pic:spPr>
                </pic:pic>
              </a:graphicData>
            </a:graphic>
          </wp:anchor>
        </w:drawing>
      </w:r>
    </w:p>
    <w:p>
      <w:pPr>
        <w:ind w:left="8640"/>
        <w:spacing w:after="0"/>
        <w:rPr>
          <w:sz w:val="20"/>
          <w:szCs w:val="20"/>
          <w:color w:val="auto"/>
        </w:rPr>
      </w:pPr>
      <w:r>
        <w:rPr>
          <w:rFonts w:ascii="Arial" w:cs="Arial" w:eastAsia="Arial" w:hAnsi="Arial"/>
          <w:sz w:val="18"/>
          <w:szCs w:val="18"/>
          <w:color w:val="auto"/>
        </w:rPr>
        <w:t>30 Rockefeller Plaza</w:t>
      </w:r>
    </w:p>
    <w:p>
      <w:pPr>
        <w:ind w:left="8640"/>
        <w:spacing w:after="0"/>
        <w:rPr>
          <w:sz w:val="20"/>
          <w:szCs w:val="20"/>
          <w:color w:val="auto"/>
        </w:rPr>
      </w:pPr>
      <w:r>
        <w:rPr>
          <w:rFonts w:ascii="Arial" w:cs="Arial" w:eastAsia="Arial" w:hAnsi="Arial"/>
          <w:sz w:val="18"/>
          <w:szCs w:val="18"/>
          <w:color w:val="auto"/>
        </w:rPr>
        <w:t>New York, NY 10112</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26, 2017</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333 Clay Street Suite 4980</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ind w:left="200" w:right="60" w:firstLine="441"/>
        <w:spacing w:after="0" w:line="252" w:lineRule="auto"/>
        <w:rPr>
          <w:sz w:val="20"/>
          <w:szCs w:val="20"/>
          <w:color w:val="auto"/>
        </w:rPr>
      </w:pPr>
      <w:r>
        <w:rPr>
          <w:rFonts w:ascii="Times New Roman" w:cs="Times New Roman" w:eastAsia="Times New Roman" w:hAnsi="Times New Roman"/>
          <w:sz w:val="18"/>
          <w:szCs w:val="18"/>
          <w:color w:val="auto"/>
        </w:rPr>
        <w:t>We understand that Civeo Corporation, a corporation incorporated under the laws of the Province of British Columbia (“Civeo”), Noralta Lodge Ltd., a corporation incorporated under the laws of the Province of Alberta (“Noralta”), the Torgerson Family Trust, a trust resident in the Province of British Columbia, 2073357 Alberta Ltd., a corporation incorporated under the laws of the Province of Alberta, 2073358 Alberta Ltd., a corporation incorporated under the laws of the Province of Alberta, 1818939 Alberta Ltd., a corporation incorporated under the laws of the Province of Alberta, 2040618 Alberta Ltd., a corporation incorporated under the laws of the Province of Alberta, 2040624 Alberta Ltd., a corporation incorporated under the laws of the Province of Alberta, 989677 Alberta Ltd., a corporation incorporated under the laws of the Province of Alberta, and Lance Torgerson, an individual residing in the city of Edmonton, in the Province of Alberta, propose to enter into a Share Purchase Agreement, dated as of November 26, 2017 (the “Agreement”), pursuant to which Civeo will acquire Noralta. Pursuant to the Agreement, Civeo will acquire, directly or indirectly, all of the outstanding shares of Noralta (the “Transaction”) in exchange for (i) $164,856,783 in cash (the “Cash Consideration”), (ii) 32,790,868 common shares of Civeo (“Civeo Common Shares”) and (iii) 9,679 shares of a newly created class of 2.0% convertible preferred shares of Civeo (“Civeo Preferred Shares”), which you acknowledge we have valued at approximately 57% of face value (such number of Civeo Common Shares and Civeo Preferred Shares so issuable, the “Share Consideration” and, together with the Cash Consideration, the “Consideration”), subject to certain adjustments as more fully described in the Agreement (as to which we express no opinion). With respect to the portion of the Consideration constituting Civeo Common Shares, the Agreement provides that 13,491,100 Civeo Common Shares will be placed into escrow upon the closing of the Transaction, to be released in three equal installments in 2021, 2022 and 2023 contingent on the achievement of certain milestones. We understand that, following the closing of the Transaction, Noralta will be a wholly owned subsidiary of Civeo. All dollar amounts herein refer to United States dollars. The terms and conditions of the Transaction are more fully set forth in the Agreement.</w:t>
      </w:r>
    </w:p>
    <w:p>
      <w:pPr>
        <w:spacing w:after="0" w:line="195"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You have requested our opinion as of the date hereof as to the fairness, from a financial point of view, to Civeo of the Consideration to be paid by Civeo in the Transaction.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connection with this opinion, we have:</w:t>
      </w:r>
    </w:p>
    <w:p>
      <w:pPr>
        <w:spacing w:after="0" w:line="131" w:lineRule="exact"/>
        <w:rPr>
          <w:sz w:val="20"/>
          <w:szCs w:val="20"/>
          <w:color w:val="auto"/>
        </w:rPr>
      </w:pPr>
    </w:p>
    <w:p>
      <w:pPr>
        <w:ind w:left="1060" w:hanging="424"/>
        <w:spacing w:after="0"/>
        <w:tabs>
          <w:tab w:leader="none" w:pos="10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the Agreement;</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business and financial information relating to Noralta and Civeo;</w:t>
      </w:r>
    </w:p>
    <w:p>
      <w:pPr>
        <w:spacing w:after="0" w:line="130" w:lineRule="exact"/>
        <w:rPr>
          <w:rFonts w:ascii="Times New Roman" w:cs="Times New Roman" w:eastAsia="Times New Roman" w:hAnsi="Times New Roman"/>
          <w:sz w:val="18"/>
          <w:szCs w:val="18"/>
          <w:color w:val="auto"/>
        </w:rPr>
      </w:pPr>
    </w:p>
    <w:p>
      <w:pPr>
        <w:ind w:left="1060" w:right="160" w:hanging="424"/>
        <w:spacing w:after="0" w:line="261" w:lineRule="auto"/>
        <w:tabs>
          <w:tab w:leader="none" w:pos="10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various financial forecasts and other data provided to us by Noralta relating to the business of Noralta, financial forecasts and other data provided to us by Civeo relating to the business of Noralta, financial forecasts and other data provided to us by Civeo relating to the business of Civeo and the projected synergies and other benefits, including the amount and timing thereof, anticipated by the management of Civeo to be realized from the Transaction;</w:t>
      </w:r>
    </w:p>
    <w:p>
      <w:pPr>
        <w:sectPr>
          <w:pgSz w:w="11900" w:h="16838" w:orient="portrait"/>
          <w:cols w:equalWidth="0" w:num="1">
            <w:col w:w="11220"/>
          </w:cols>
          <w:pgMar w:left="240" w:top="456"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November 26, 2017</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060" w:right="160" w:hanging="424"/>
        <w:spacing w:after="0" w:line="282" w:lineRule="auto"/>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the senior management of Civeo with respect to the businesses and prospects of Noralta and Civeo, and with respect to the projected synergies and other benefits anticipated by the management of Civeo to be realized from the Transaction;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the senior management of Noralta with respect to the businesses and prospects of Noralta;</w:t>
      </w:r>
    </w:p>
    <w:p>
      <w:pPr>
        <w:spacing w:after="0" w:line="130" w:lineRule="exact"/>
        <w:rPr>
          <w:rFonts w:ascii="Times New Roman" w:cs="Times New Roman" w:eastAsia="Times New Roman" w:hAnsi="Times New Roman"/>
          <w:sz w:val="18"/>
          <w:szCs w:val="18"/>
          <w:color w:val="auto"/>
        </w:rPr>
      </w:pPr>
    </w:p>
    <w:p>
      <w:pPr>
        <w:ind w:left="1060" w:right="200" w:hanging="424"/>
        <w:spacing w:after="0" w:line="282" w:lineRule="auto"/>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 information with respect to certain other companies in lines of business we believe to be generally relevant in evaluating the businesses of Noralta and Civeo, respectively;</w:t>
      </w:r>
    </w:p>
    <w:p>
      <w:pPr>
        <w:spacing w:after="0" w:line="67" w:lineRule="exact"/>
        <w:rPr>
          <w:rFonts w:ascii="Times New Roman" w:cs="Times New Roman" w:eastAsia="Times New Roman" w:hAnsi="Times New Roman"/>
          <w:sz w:val="18"/>
          <w:szCs w:val="18"/>
          <w:color w:val="auto"/>
        </w:rPr>
      </w:pPr>
    </w:p>
    <w:p>
      <w:pPr>
        <w:ind w:left="1060" w:right="100" w:hanging="424"/>
        <w:spacing w:after="0" w:line="282" w:lineRule="auto"/>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certain business combinations involving companies in lines of business we believe to be generally relevant in evaluating the businesses of Noralta and Civeo, respectively;</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historical stock prices and trading volumes of Civeo Common Shares;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and conditions of the Civeo Preferred Shares;</w:t>
      </w:r>
    </w:p>
    <w:p>
      <w:pPr>
        <w:spacing w:after="0" w:line="130" w:lineRule="exact"/>
        <w:rPr>
          <w:rFonts w:ascii="Times New Roman" w:cs="Times New Roman" w:eastAsia="Times New Roman" w:hAnsi="Times New Roman"/>
          <w:sz w:val="18"/>
          <w:szCs w:val="18"/>
          <w:color w:val="auto"/>
        </w:rPr>
      </w:pPr>
    </w:p>
    <w:p>
      <w:pPr>
        <w:ind w:left="1060" w:right="60" w:hanging="424"/>
        <w:spacing w:after="0" w:line="266" w:lineRule="auto"/>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potential pro forma financial impact of the Transaction on Civeo based on the financial forecasts provided by Civeo and referred to above relating to Noralta and Civeo and the projected synergies and other benefits anticipated by the management of Civeo to be realized from the Transaction; and</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we deemed appropriate.</w:t>
      </w:r>
    </w:p>
    <w:p>
      <w:pPr>
        <w:spacing w:after="0" w:line="225" w:lineRule="exact"/>
        <w:rPr>
          <w:sz w:val="20"/>
          <w:szCs w:val="20"/>
          <w:color w:val="auto"/>
        </w:rPr>
      </w:pPr>
    </w:p>
    <w:p>
      <w:pPr>
        <w:ind w:left="200" w:right="80" w:firstLine="441"/>
        <w:spacing w:after="0" w:line="253" w:lineRule="auto"/>
        <w:rPr>
          <w:sz w:val="20"/>
          <w:szCs w:val="20"/>
          <w:color w:val="auto"/>
        </w:rPr>
      </w:pPr>
      <w:r>
        <w:rPr>
          <w:rFonts w:ascii="Times New Roman" w:cs="Times New Roman" w:eastAsia="Times New Roman" w:hAnsi="Times New Roman"/>
          <w:sz w:val="18"/>
          <w:szCs w:val="18"/>
          <w:color w:val="auto"/>
        </w:rPr>
        <w:t>We have assumed and relied upon the accuracy and completeness of the foregoing information, without independent verification of such information. We have not conducted any independent valuation or appraisal of any of the assets or liabilities (contingent or otherwise) of Noralta or Civeo or concerning the solvency or fair value of Noralta or Civeo, and we have not been furnished with any such valuation or appraisal. At the direction of Civeo, for purposes of our analysis of Noralta, we have utilized the financial forecasts provided to us by Civeo relating to the business of Noralta. With respect to the financial forecasts utilized in our analyses, including those related to projected synergies and other benefits anticipated by the management of Civeo to be realized from the Transaction, we have assumed, with the consent of Civeo, that they have been reasonably prepared on bases reflecting the best currently available estimates and judgments as to the future financial performance of Noralta and Civeo, respectively, and such synergies and other benefits. In addition, we have assumed, with the consent of Civeo, that such financial forecasts and projected synergies and other benefits will be realized in the amounts and at the times contemplated thereby. In this regard, we have relied upon, with Civeo’s consent, Civeo’s management’s assessment of the ability of Noralta and Civeo to retain in place Noralta’s long-term contracts. We assume no responsibility for and express no view as to any such forecasts or the assumptions on which they are based.</w:t>
      </w:r>
    </w:p>
    <w:p>
      <w:pPr>
        <w:spacing w:after="0" w:line="193"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Further, our opinion is necessarily based on economic, monetary, market and other conditions as in effect on, and the information made available to us as of, the date hereof. We assume no responsibility for updating or revising our opinion based on circumstances or events occurring after the date hereof. We do not express any opinion as to the price at which Civeo Common Shares or the Civeo Preferred Shares may trade at any time subsequent to the announcement of the Transaction. We have assumed, with the consent of Civeo, a constant exchange rate of 1.25 CD/USD. We further have assumed, with the consent of Civeo, that adjustments (if any) to the Consideration will not be material in any respect to our analyses or opinion. Our opinion does not address the relative merits of the Transaction as compared to any other transaction or business strategy in which Civeo might engage or the merits of the underlying decision by Civeo to engage in the Transaction.</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200"/>
          </w:cols>
          <w:pgMar w:left="240" w:top="456" w:right="4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November 26, 2017</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200" w:right="20" w:firstLine="441"/>
        <w:spacing w:after="0" w:line="251" w:lineRule="auto"/>
        <w:rPr>
          <w:sz w:val="20"/>
          <w:szCs w:val="20"/>
          <w:color w:val="auto"/>
        </w:rPr>
      </w:pPr>
      <w:r>
        <w:rPr>
          <w:rFonts w:ascii="Times New Roman" w:cs="Times New Roman" w:eastAsia="Times New Roman" w:hAnsi="Times New Roman"/>
          <w:sz w:val="18"/>
          <w:szCs w:val="18"/>
          <w:color w:val="auto"/>
        </w:rPr>
        <w:t>In rendering our opinion, we have assumed, with the consent of Civeo, that the Transaction will be consummated on the terms described in the Agreement and the Standstill Agreement (as defined below), without any waiver or modification of any material terms or conditions. Representatives of Civeo have advised us, and we have assumed, that the Agreement and the Standstill Agreement, when executed, will conform to the drafts reviewed by us in all material respects. We note that, pursuant to a Registration Rights, Lock-Up and Standstill Agreement to be entered into by Civeo and the significant shareholders of Noralta upon closing of the Transaction (the “Standstill Agreement”), the significant shareholders of Noralta will be subject to certain limitations with respect to the Civeo Common Shares received in the Transaction, including certain limitations on the ability of such shareholders to transfer their Civeo Common Shares or to acquire additional Civeo Common Shares, to propose any acquisition of Civeo by such shareholders, or to seek to exercise any control or influence over the management of Civeo or its board of directors, as well as a requirement that, in respect of any matter on which the shareholders of Civeo are voting, to vote any Civeo Common Shares in excess of 15% of the outstanding Civeo Common Shares in a manner that is proportionate to the manner in which all other Civeo Common Shares are voted on such matter. With respect to the payment of dividends on the Civeo Preferred Stock, we have assumed, at the direction of Civeo, that such dividends will be paid by a corresponding increase in the liquidation preference. We have been advised that prior (and as a condition) to the closing of the Transaction, Noralta and its shareholders will effect certain restructuring transactions (the “Pre-Closing Transactions”). We have assumed, with the consent of Civeo, that the Pre-Closing Transactions will not have any adverse impact upon the business, results of operations or financial condition of Noralta or the financial forecasts utilized in our analyses, including those related to projected synergies and other benefits anticipated by the management of Civeo to be realized from the Transaction. We also have assumed, with the consent of Civeo, that obtaining the necessary governmental, regulatory or third party approvals and consents for the Transaction will not have an adverse effect on Civeo, Noralta or the Transaction. We do not express any opinion as to any tax or other consequences that might result from the Transaction, nor does our opinion address any legal, tax, regulatory or accounting matters, as to which we understand that Civeo obtained such advice as it deemed necessary from qualified professionals. We express no view or opinion as to any terms or other aspects (other than the Consideration to the extent expressly specified herein) of the Transaction, including, without limitation, the form or structure of the Transaction or any agreements or arrangements entered into in connection with, or contemplated by, the Transaction, including but not limited to any adjustments to the Consideration and the terms of the Standstill Agreement. In addition, we express no view or opinion as to the fairness of the amount or nature of, or any other aspects relating to, the compensation to any officers, directors or employees of any parties to the Transaction, or class of such persons, relative to the Consideration or otherwise.</w:t>
      </w:r>
    </w:p>
    <w:p>
      <w:pPr>
        <w:spacing w:after="0" w:line="207"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Lazard Frères &amp; Co. LLC (“Lazard”) is acting as financial advisor to Civeo in connection with the Transaction and will receive a fee for such services, a portion of which is payable upon the rendering of this opinion and a substantial portion of which is contingent upon the closing of the Transaction. We in the past have provided, currently are providing and in the future may provide certain investment banking services to Civeo, for which we have received and may receive compensation, including, in the past two years, having advised Civeo regarding certain strategic and financial matters. In addition, in the ordinary course, Lazard and our affiliates and employees may trade securities of Civeo for their own accounts and for the accounts of their customers and, accordingly, may at any time hold a long or short position in such securities, and may also trade and hold securities on behalf of Civeo, Noralta and certain of their respective affiliates. The issuance of this opinion was approved by the Opinion Committee of Lazard.</w:t>
      </w:r>
    </w:p>
    <w:p>
      <w:pPr>
        <w:spacing w:after="0" w:line="189"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Our engagement and the opinion expressed herein are for the benefit of the Board of Directors of Civeo (in its capacity as such) and our opinion is rendered to the Board of Directors of Civeo in connection with its evaluation of the Transaction. Our opinion is not intended to and does not constitute a recommendation to any</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220"/>
          </w:cols>
          <w:pgMar w:left="24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November 26, 2017</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stockholder as to how such stockholder should vote or act with respect to the Transaction or any matter relating thereto. This opinion is delivered and is to be interpreted in accordance with New York law and customary practice in the United States.</w:t>
      </w:r>
    </w:p>
    <w:p>
      <w:pPr>
        <w:spacing w:after="0" w:line="162"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as of the date hereof, the Consideration to be paid by Civeo in the Transaction is fair, from a financial point of view, to Civeo.</w:t>
      </w:r>
    </w:p>
    <w:p>
      <w:pPr>
        <w:spacing w:after="0" w:line="18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LAZARD FRÈRES &amp; CO. LLC</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 /s/ Douglas A. Fordyce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Douglas A.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6587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80"/>
          </w:cols>
          <w:pgMar w:left="240" w:top="455" w:right="47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NORALTA LODGE LTD. BUSINESS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Noralta Lodge Ltd. (“Noralta” or the “Company”) is a premier, Alberta-based provider of remote accommodations to the Canadian oil sands region. Through its full service open lodge accommodations, facilities management services and turnkey solutions, Noralta offers hospitality for thousands of workers in Western Canada’s energy sector. With eleven lodges comprised of over 5,600 owned rooms and 7,700 total rooms strategically located throughout Northern Alberta, Noralta has the capacity to house large workforces and the flexibility to meet its clients’ rapidly changing needs. The Company also manages camp facilities and provides catering services that serve the Western Canadian energy market. Noralta leverages its expertise in planning, building and managing lodges and its strategic partnerships to act as a valuable partner to its clients.</w:t>
      </w:r>
    </w:p>
    <w:p>
      <w:pPr>
        <w:spacing w:after="0" w:line="188"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Noralta has been in business for over 20 years and employs approximately 600 people. Noralta is headquartered in the Nisku Industrial Business Park, one of the largest oil and gas related industrial business parks in Western Canada, located on the southern city limit of Edmonton, Alberta. Its head office is located at 2710 5th Street, Nisku, Alberta, Canada, T9E 0H1. Noralta’s head office is supported by an onsite equipment yard and is strategically located near the Edmonton International Airport for easy access to serve its operations in Northern Alberta. Noralta also has business development offices in Calgary.</w:t>
      </w:r>
    </w:p>
    <w:p>
      <w:pPr>
        <w:spacing w:after="0" w:line="184"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Noralta’s facilities include a wide variety of amenities, including full service kitchen and dining areas (24 hour access), lounge/recreational spaces, meeting rooms, laundry and fitness facilities, and are well-positioned in the Northern Alberta oil sands region close to some of the largest and longest running development projects. Its key customers are oil and gas companies, exploration and production companies and related oilfield services companies and contractors. Noralta has strategic relationships with a variety of other customers, including certain oil producers and services companies.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description of its eleven lodges can be found in the table below.</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Lodge</w:t>
            </w:r>
          </w:p>
        </w:tc>
        <w:tc>
          <w:tcPr>
            <w:tcW w:w="860" w:type="dxa"/>
            <w:vAlign w:val="bottom"/>
          </w:tcPr>
          <w:p>
            <w:pPr>
              <w:spacing w:after="0"/>
              <w:rPr>
                <w:sz w:val="16"/>
                <w:szCs w:val="16"/>
                <w:color w:val="auto"/>
              </w:rPr>
            </w:pPr>
          </w:p>
        </w:tc>
        <w:tc>
          <w:tcPr>
            <w:tcW w:w="41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Room Count</w:t>
            </w:r>
          </w:p>
        </w:tc>
        <w:tc>
          <w:tcPr>
            <w:tcW w:w="380" w:type="dxa"/>
            <w:vAlign w:val="bottom"/>
          </w:tcPr>
          <w:p>
            <w:pPr>
              <w:spacing w:after="0"/>
              <w:rPr>
                <w:sz w:val="16"/>
                <w:szCs w:val="16"/>
                <w:color w:val="auto"/>
              </w:rPr>
            </w:pPr>
          </w:p>
        </w:tc>
        <w:tc>
          <w:tcPr>
            <w:tcW w:w="28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20" w:type="dxa"/>
            <w:vAlign w:val="bottom"/>
            <w:tcBorders>
              <w:top w:val="single" w:sz="8" w:color="auto"/>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Fort McMurray, Alberta, Canada</w:t>
            </w:r>
          </w:p>
        </w:tc>
        <w:tc>
          <w:tcPr>
            <w:tcW w:w="320" w:type="dxa"/>
            <w:vAlign w:val="bottom"/>
          </w:tcPr>
          <w:p>
            <w:pPr>
              <w:spacing w:after="0" w:line="20" w:lineRule="exact"/>
              <w:rPr>
                <w:sz w:val="1"/>
                <w:szCs w:val="1"/>
                <w:color w:val="auto"/>
              </w:rPr>
            </w:pPr>
          </w:p>
        </w:tc>
        <w:tc>
          <w:tcPr>
            <w:tcW w:w="800" w:type="dxa"/>
            <w:vAlign w:val="bottom"/>
            <w:tcBorders>
              <w:top w:val="single" w:sz="8" w:color="auto"/>
            </w:tcBorders>
            <w:vMerge w:val="restart"/>
          </w:tcPr>
          <w:p>
            <w:pPr>
              <w:jc w:val="right"/>
              <w:spacing w:after="0" w:line="191" w:lineRule="exact"/>
              <w:rPr>
                <w:sz w:val="20"/>
                <w:szCs w:val="20"/>
                <w:color w:val="auto"/>
              </w:rPr>
            </w:pPr>
            <w:r>
              <w:rPr>
                <w:rFonts w:ascii="Times New Roman" w:cs="Times New Roman" w:eastAsia="Times New Roman" w:hAnsi="Times New Roman"/>
                <w:sz w:val="18"/>
                <w:szCs w:val="18"/>
                <w:color w:val="auto"/>
              </w:rPr>
              <w:t>573</w:t>
            </w:r>
          </w:p>
        </w:tc>
        <w:tc>
          <w:tcPr>
            <w:tcW w:w="380" w:type="dxa"/>
            <w:vAlign w:val="bottom"/>
          </w:tcPr>
          <w:p>
            <w:pPr>
              <w:spacing w:after="0" w:line="20" w:lineRule="exact"/>
              <w:rPr>
                <w:sz w:val="1"/>
                <w:szCs w:val="1"/>
                <w:color w:val="auto"/>
              </w:rPr>
            </w:pPr>
          </w:p>
        </w:tc>
        <w:tc>
          <w:tcPr>
            <w:tcW w:w="2880" w:type="dxa"/>
            <w:vAlign w:val="bottom"/>
            <w:tcBorders>
              <w:top w:val="single" w:sz="8" w:color="auto"/>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Fort McMurray Village</w:t>
            </w: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16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Buffalo</w:t>
            </w:r>
          </w:p>
        </w:tc>
        <w:tc>
          <w:tcPr>
            <w:tcW w:w="86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Black Bear</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Fort McMurray,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Bighorn</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Fort McMurray,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Lynx</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Fort McMurray,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Wolverine</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Fort McMurray,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Grey Wolf</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Fort McMurray,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Hammerstone Quarry</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Borealis</w:t>
            </w:r>
            <w:r>
              <w:rPr>
                <w:rFonts w:ascii="Times New Roman" w:cs="Times New Roman" w:eastAsia="Times New Roman" w:hAnsi="Times New Roman"/>
                <w:sz w:val="15"/>
                <w:szCs w:val="15"/>
                <w:color w:val="auto"/>
              </w:rPr>
              <w:t>(1)</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Fort McMurray,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Site</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Firebag</w:t>
            </w:r>
            <w:r>
              <w:rPr>
                <w:rFonts w:ascii="Times New Roman" w:cs="Times New Roman" w:eastAsia="Times New Roman" w:hAnsi="Times New Roman"/>
                <w:sz w:val="15"/>
                <w:szCs w:val="15"/>
                <w:color w:val="auto"/>
              </w:rPr>
              <w:t>(2)</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Firebag Region,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Firebag</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Hudson</w:t>
            </w:r>
            <w:r>
              <w:rPr>
                <w:rFonts w:ascii="Times New Roman" w:cs="Times New Roman" w:eastAsia="Times New Roman" w:hAnsi="Times New Roman"/>
                <w:sz w:val="15"/>
                <w:szCs w:val="15"/>
                <w:color w:val="auto"/>
              </w:rPr>
              <w:t>(1)</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Fort McMurray,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Site</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Wabasca</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North Central Region,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Wabasca</w:t>
            </w:r>
          </w:p>
        </w:tc>
        <w:tc>
          <w:tcPr>
            <w:tcW w:w="0" w:type="dxa"/>
            <w:vAlign w:val="bottom"/>
          </w:tcPr>
          <w:p>
            <w:pPr>
              <w:spacing w:after="0"/>
              <w:rPr>
                <w:sz w:val="1"/>
                <w:szCs w:val="1"/>
                <w:color w:val="auto"/>
              </w:rPr>
            </w:pPr>
          </w:p>
        </w:tc>
      </w:tr>
      <w:tr>
        <w:trPr>
          <w:trHeight w:val="234"/>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 Earth</w:t>
            </w:r>
          </w:p>
        </w:tc>
        <w:tc>
          <w:tcPr>
            <w:tcW w:w="4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North Central Region, Alberta, Canada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Red Earth Creek</w:t>
            </w:r>
          </w:p>
        </w:tc>
        <w:tc>
          <w:tcPr>
            <w:tcW w:w="0" w:type="dxa"/>
            <w:vAlign w:val="bottom"/>
          </w:tcPr>
          <w:p>
            <w:pPr>
              <w:spacing w:after="0"/>
              <w:rPr>
                <w:sz w:val="1"/>
                <w:szCs w:val="1"/>
                <w:color w:val="auto"/>
              </w:rPr>
            </w:pPr>
          </w:p>
        </w:tc>
      </w:tr>
      <w:tr>
        <w:trPr>
          <w:trHeight w:val="223"/>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7,780</w:t>
            </w:r>
          </w:p>
        </w:tc>
        <w:tc>
          <w:tcPr>
            <w:tcW w:w="3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40" w:hanging="436"/>
        <w:spacing w:after="0"/>
        <w:tabs>
          <w:tab w:leader="none" w:pos="640" w:val="left"/>
        </w:tabs>
        <w:numPr>
          <w:ilvl w:val="0"/>
          <w:numId w:val="3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Borealis and Hudson are customer-owned facilities that Noralta began operating on June 22, 2017.</w:t>
      </w:r>
    </w:p>
    <w:p>
      <w:pPr>
        <w:spacing w:after="0" w:line="29" w:lineRule="exact"/>
        <w:rPr>
          <w:rFonts w:ascii="Times New Roman" w:cs="Times New Roman" w:eastAsia="Times New Roman" w:hAnsi="Times New Roman"/>
          <w:sz w:val="18"/>
          <w:szCs w:val="18"/>
          <w:i w:val="1"/>
          <w:iCs w:val="1"/>
          <w:color w:val="auto"/>
        </w:rPr>
      </w:pPr>
    </w:p>
    <w:p>
      <w:pPr>
        <w:ind w:left="640" w:hanging="436"/>
        <w:spacing w:after="0"/>
        <w:tabs>
          <w:tab w:leader="none" w:pos="640" w:val="left"/>
        </w:tabs>
        <w:numPr>
          <w:ilvl w:val="0"/>
          <w:numId w:val="3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Firebag Lodge has been closed since September 2015.</w:t>
      </w:r>
    </w:p>
    <w:p>
      <w:pPr>
        <w:spacing w:after="0" w:line="207" w:lineRule="exact"/>
        <w:rPr>
          <w:sz w:val="20"/>
          <w:szCs w:val="20"/>
          <w:color w:val="auto"/>
        </w:rPr>
      </w:pPr>
    </w:p>
    <w:p>
      <w:pPr>
        <w:ind w:left="200" w:right="460" w:firstLine="441"/>
        <w:spacing w:after="0" w:line="266" w:lineRule="auto"/>
        <w:rPr>
          <w:sz w:val="20"/>
          <w:szCs w:val="20"/>
          <w:color w:val="auto"/>
        </w:rPr>
      </w:pPr>
      <w:r>
        <w:rPr>
          <w:rFonts w:ascii="Times New Roman" w:cs="Times New Roman" w:eastAsia="Times New Roman" w:hAnsi="Times New Roman"/>
          <w:sz w:val="18"/>
          <w:szCs w:val="18"/>
          <w:color w:val="auto"/>
        </w:rPr>
        <w:t>Noralta has also partnered with the Fort McKay First Nation to create Dene Koe Workforce &amp; Lodging Services Limited Partnership (“Dene Koe”), which is a high-quality workforce lodging and services provider in Northern Alberta offering open lodging at the Fort McMurray Village, facilities management and other related workforce services.</w:t>
      </w:r>
    </w:p>
    <w:p>
      <w:pPr>
        <w:sectPr>
          <w:pgSz w:w="11900" w:h="16838" w:orient="portrait"/>
          <w:cols w:equalWidth="0" w:num="1">
            <w:col w:w="11240"/>
          </w:cols>
          <w:pgMar w:left="240" w:top="456" w:right="41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Over its 20-year history, Noralta has offered a “home away from home” experience across its facilities. Employees and contractors in the Alberta oil sands region value a lodge environment that promotes privacy, comfort, high quality food and amenities with reasonable commutes to work sites. Partnering with Noralta helps customers compete for talented employees and contractors by allowing them to offer their employees and contractors best-in-class accommodations.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Management’s Discussion and Analysis of Financial Condition and Results of Operations</w:t>
      </w:r>
    </w:p>
    <w:p>
      <w:pPr>
        <w:spacing w:after="0" w:line="121"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Noralta’s audited consolidated balance sheets as of May 31, 2017 and 2016 and consolidated statements of retained earnings, operations and cash flows for each of the fiscal years ended May 31, 2017, 2016 and 2015, which are included as Annex F to this proxy statement (“Noralta’s Financial Statements”). This MD&amp;A compares the twelve months ended May 31, 2017 (“fiscal 2017”) to the twelve months ended May 31, 2016 (“fiscal 2016”) and fiscal 2016 to the twelve months ended May 31, 2015 (“fiscal 2015”). The Liquidity and Capital Resources discussion compares information as of May 31, 2017 to May 31, 2016. All amounts are in Canadian dollars (“CAD”) unless otherwise noted. Noralta’s Financial Statements have been prepared in accordance with Canadian Accounting Standards for Private Enterprises (“ASPE”).</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Noralta provides workforce accommodation solutions to the Western Canadian energy market. Demand for its services can be attributed to two phases of a customer’s project: (1) the development or construction phase and (2) the operations or production phase. Initial demand for its services is driven by its customers’ capital spending programs related to the construction and development of oil sands. Long-term demand for its services is driven by continued development and expansion of natural resources production and operation of the oil sands. Industry capital spending is generally based on the outlook for commodity prices, economic growth and estimates of resource production. As a result, demand for Noralta’s services is most sensitive to current and expected West Texas Intermediate (“WTI”) crude oil pricing.</w:t>
      </w:r>
    </w:p>
    <w:p>
      <w:pPr>
        <w:spacing w:after="0" w:line="188"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For fiscal 2017, WTI prices remained depressed due to concerns over tepid global oil demand and excess inventory levels. Despite Organization of the Petroleum Exporting Countries (“OPEC”) production cuts announced on November 30, 2016, increased production from U.S. shale oil and OPEC producers that were exempt from these production cuts kept inventory levels high. As a result, since fiscal 2017, WTI has been mostly range bound between US$45-US$55 per barrel. This has negatively impacted plans for future development of major energy projects in Western Canada and ultimately demand for Noralta’s services. Existing customers that had facilities in operation requested price concessions for rooms. Further, the delay and cancellation of pipeline projects in Canada and the United States has increased investor uncertainty regarding the ability of Western Canadian oil to reach consumer markets and realize its full economic value, which also reduced demand for Noralta’s services.</w:t>
      </w:r>
    </w:p>
    <w:p>
      <w:pPr>
        <w:spacing w:after="0" w:line="189"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Noralta continues to monitor the global economy, particularly current and expected WTI prices, for the impact it could have on capital spending plans and general activity levels in the area it operates in order to plan its business activities.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During fiscal 2016 and 2017, there were forest fires in northern Alberta that negatively impacted customer demand at the Company’s lodges. Because most of these lodges are in the same region where the fires took place, they had a significant impact to Noralta’s operations, impacting revenue and profitability. Additionally, in fiscal 2017, $0.2 million CAD ($1.7 million CAD in fiscal 2016) of wildfire related costs were incurred and $2.9 million CAD ($1.3 million CAD in fiscal 2016) of insurance proceeds were received. Management does not</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200"/>
          </w:cols>
          <w:pgMar w:left="240" w:top="456" w:right="4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82" w:lineRule="auto"/>
        <w:rPr>
          <w:sz w:val="20"/>
          <w:szCs w:val="20"/>
          <w:color w:val="auto"/>
        </w:rPr>
      </w:pPr>
      <w:r>
        <w:rPr>
          <w:rFonts w:ascii="Times New Roman" w:cs="Times New Roman" w:eastAsia="Times New Roman" w:hAnsi="Times New Roman"/>
          <w:sz w:val="18"/>
          <w:szCs w:val="18"/>
          <w:color w:val="auto"/>
        </w:rPr>
        <w:t>believe this event and its impact on the Company’s fiscal 2017 and 2016 financial results are indicative of its future operating results or financial performance.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November 1, 2016, Noralta completed a cash tender offer to repurchase $56.5 million CAD of its 7.50% senior secured notes of which</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$150.0 million CAD was then outstanding. A $5.4 million CAD gain was recorded on settlement less transaction costs. The purchase was funded with 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$40.0 million CAD bank term loan and $10.0 million CAD cash on hand. A further $11.3 million CAD of senior secured notes were repurchased 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January 16, 2017 with cash on hand resulting in a $1.3 million CAD gain on settlement less transaction costs. These debt retirements improved Noralta’s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leverage and reduced borrowing costs.</w:t>
      </w:r>
    </w:p>
    <w:p>
      <w:pPr>
        <w:spacing w:after="0" w:line="207"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On May 1, 2017 and June 22, 2017, Noralta and Dene Koe executed a 60-month contract and a 120-month contract for lodging and accommodation services at Noralta’s Fort McMurray Village and Grey Wolf lodge, respectively, with two major oil sands producers. These contracts represent significant long-term agreements that Noralta believes position it for sustained future growth.</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Fiscal 2017 Compared to Fiscal 2016</w:t>
      </w: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(CAD $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Twelve months ended May 31,</w:t>
            </w:r>
          </w:p>
        </w:tc>
        <w:tc>
          <w:tcPr>
            <w:tcW w:w="30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3"/>
        </w:trPr>
        <w:tc>
          <w:tcPr>
            <w:tcW w:w="5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4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158,725</w:t>
            </w: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94,953</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$63,772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64,120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30,833</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56,620</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8,319</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20,884</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14,796</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1,418</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28"/>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(14,584)</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56,310</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and other income (expense)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(14,811)</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66,122</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(1,606)</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(3,137)</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(4,743)</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18,646</w:t>
            </w: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 (loss) for the year</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Revenue increased $63.8 million CAD, or 67%, in fiscal 2017 compared to fiscal 2016 mainly due to higher revenues earned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 McMurray Village of approximately $47.2 million CAD and at the Grey Wolf lodge of approximately $16.2 million CAD. The Fort McMurray Village achieved annual occupancy of 79% in fiscal 2017 compared to 49% in fiscal 2016. Occupancy at the Fort McMurray Village increased initially due to the reduced impact of wildfires in the Fort McMurray region, which had interrupted lodging for a longer period in fiscal 2016, and then occupancy further increased due to new customer contracts and the consolidation of customer activity at Noralta’s facilities. Grey Wolf lodge achieved annual occupancy of 85% in fiscal 2017 compared to 41% in fiscal 2016. Occupancy at Grey Wolf lodge increased due to new customer contracts in the region along with higher construction activity by a customer at a major oil sands project that is nearing first oil in fiscal 2018.</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220"/>
          </w:cols>
          <w:pgMar w:left="24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3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 Operating expenses increased $7.2 million CAD, or 11%, in fiscal 2017 compared to fiscal 2016 mainly due to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grocery related costs, which increased commensurate with higher occupancy levels.</w:t>
      </w:r>
    </w:p>
    <w:p>
      <w:pPr>
        <w:spacing w:after="0" w:line="155" w:lineRule="exact"/>
        <w:rPr>
          <w:sz w:val="20"/>
          <w:szCs w:val="20"/>
          <w:color w:val="auto"/>
        </w:rPr>
      </w:pPr>
    </w:p>
    <w:p>
      <w:pPr>
        <w:jc w:val="both"/>
        <w:ind w:left="200" w:right="1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 General and administrative expenses increased $2.1 million CAD, or 26%, in fiscal 2017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2016 due to (1) a $1.2 million CAD increase in wages and benefits expense due to a larger bonus accrual because of strong operating results in fiscal 2017 and (2) a $0.8 million CAD increase of bad debt expense due to a single customer.</w:t>
      </w:r>
    </w:p>
    <w:p>
      <w:pPr>
        <w:spacing w:after="0" w:line="171" w:lineRule="exact"/>
        <w:rPr>
          <w:sz w:val="20"/>
          <w:szCs w:val="20"/>
          <w:color w:val="auto"/>
        </w:rPr>
      </w:pPr>
    </w:p>
    <w:p>
      <w:pPr>
        <w:ind w:left="2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w:t>
      </w:r>
      <w:r>
        <w:rPr>
          <w:rFonts w:ascii="Times New Roman" w:cs="Times New Roman" w:eastAsia="Times New Roman" w:hAnsi="Times New Roman"/>
          <w:sz w:val="18"/>
          <w:szCs w:val="18"/>
          <w:color w:val="auto"/>
        </w:rPr>
        <w:t>– Amortization decreased $1.0 million CAD, or 5%, in fiscal 2017 compared to fiscal 2016 due to a lower asset base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capital spending and dispositions of non-essential assets.</w:t>
      </w:r>
    </w:p>
    <w:p>
      <w:pPr>
        <w:spacing w:after="0" w:line="155" w:lineRule="exact"/>
        <w:rPr>
          <w:sz w:val="20"/>
          <w:szCs w:val="20"/>
          <w:color w:val="auto"/>
        </w:rPr>
      </w:pPr>
    </w:p>
    <w:p>
      <w:pPr>
        <w:ind w:left="200" w:right="7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 Interest expense decreased $2.6 million CAD, or 17%, in fiscal 2017 compared to fiscal 2016 due to lower debt levels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comparatively lower interest rate on the new term debt compared to the 7.50% senior secured notes that were repurchased, as discussed above.</w:t>
      </w:r>
    </w:p>
    <w:p>
      <w:pPr>
        <w:spacing w:after="0" w:line="155" w:lineRule="exact"/>
        <w:rPr>
          <w:sz w:val="20"/>
          <w:szCs w:val="20"/>
          <w:color w:val="auto"/>
        </w:rPr>
      </w:pPr>
    </w:p>
    <w:p>
      <w:pPr>
        <w:ind w:left="200" w:right="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 Other expense represents corporate reorganization costs and lodge demobilization costs, which increased $1.8 million CAD, or 125%,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2017 compared to fiscal 2016, due to 2017 items, including severance expenses for members of senior management, restructuring of a telecommunication contract at the Fort McMurray Village and demobilization costs for lodges.</w:t>
      </w:r>
    </w:p>
    <w:p>
      <w:pPr>
        <w:spacing w:after="0" w:line="171" w:lineRule="exact"/>
        <w:rPr>
          <w:sz w:val="20"/>
          <w:szCs w:val="20"/>
          <w:color w:val="auto"/>
        </w:rPr>
      </w:pPr>
    </w:p>
    <w:p>
      <w:pPr>
        <w:ind w:left="200" w:right="1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Finance and other income (expense) </w:t>
      </w:r>
      <w:r>
        <w:rPr>
          <w:rFonts w:ascii="Times New Roman" w:cs="Times New Roman" w:eastAsia="Times New Roman" w:hAnsi="Times New Roman"/>
          <w:sz w:val="18"/>
          <w:szCs w:val="18"/>
          <w:color w:val="auto"/>
        </w:rPr>
        <w:t>– Finance income (expense) increased $9.8 million CAD in fiscal 2017 compared to fiscal 2016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 $6.7 million CAD gain recorded on the retirement of 7.50% senior secured notes during fiscal 2017 and a $3.1 million CAD increase in net insurance proceeds for business interruption insurance related to the Fort McMurray wildfires in May 2016.</w:t>
      </w:r>
    </w:p>
    <w:p>
      <w:pPr>
        <w:spacing w:after="0" w:line="171" w:lineRule="exact"/>
        <w:rPr>
          <w:sz w:val="20"/>
          <w:szCs w:val="20"/>
          <w:color w:val="auto"/>
        </w:rPr>
      </w:pPr>
    </w:p>
    <w:p>
      <w:pPr>
        <w:ind w:left="200" w:right="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expense (benefit) </w:t>
      </w:r>
      <w:r>
        <w:rPr>
          <w:rFonts w:ascii="Times New Roman" w:cs="Times New Roman" w:eastAsia="Times New Roman" w:hAnsi="Times New Roman"/>
          <w:sz w:val="18"/>
          <w:szCs w:val="18"/>
          <w:color w:val="auto"/>
        </w:rPr>
        <w:t>– Income tax expense (benefit) increased $18.6 million CAD in fiscal 2017 compared to fiscal 2016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earnings before income taxes. This led to an increase in current tax expense as Noralta began paying cash taxes. Moreover, Noralta utilized its net operating loss carryforwards in fiscal 2017, and therefore its future income tax provision increased.</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Included in the table below are Noralta’s key performance indicators for fiscal 2017 compared to fiscal 2016. Noralta’s management believes that in addition to the information presented in the Results of Operations – Fiscal 2017 Compared to Fiscal 2016 table, these key performance indicators provide additional insight into the Company’s operational performance and ability to generate cash flow to fund working capital, service debt, pay income taxes and fund capital programs. They are also widely recognized key performance indicators used by Noralta’s competitors in the lodging services market.</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(CAD $ thousands except as otherwise noted)</w:t>
            </w: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Twelve months ended May 31,</w:t>
            </w:r>
          </w:p>
        </w:tc>
        <w:tc>
          <w:tcPr>
            <w:tcW w:w="8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3580" w:type="dxa"/>
            <w:vAlign w:val="bottom"/>
            <w:gridSpan w:val="3"/>
            <w:vMerge w:val="continue"/>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158,725</w:t>
            </w:r>
          </w:p>
        </w:tc>
        <w:tc>
          <w:tcPr>
            <w:tcW w:w="4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94,953</w:t>
            </w: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6"/>
              </w:rPr>
              <w:t>63,772</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71,272</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87,453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30,833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56,620</w:t>
            </w:r>
          </w:p>
        </w:tc>
        <w:tc>
          <w:tcPr>
            <w:tcW w:w="0" w:type="dxa"/>
            <w:vAlign w:val="bottom"/>
          </w:tcPr>
          <w:p>
            <w:pPr>
              <w:spacing w:after="0"/>
              <w:rPr>
                <w:sz w:val="1"/>
                <w:szCs w:val="1"/>
                <w:color w:val="auto"/>
              </w:rPr>
            </w:pPr>
          </w:p>
        </w:tc>
      </w:tr>
      <w:tr>
        <w:trPr>
          <w:trHeight w:val="32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 as a % of sales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available lodge rooms</w:t>
            </w:r>
            <w:r>
              <w:rPr>
                <w:rFonts w:ascii="Times New Roman" w:cs="Times New Roman" w:eastAsia="Times New Roman" w:hAnsi="Times New Roman"/>
                <w:sz w:val="15"/>
                <w:szCs w:val="15"/>
                <w:color w:val="auto"/>
              </w:rPr>
              <w:t>(1)</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32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Rentable rooms for lodges</w:t>
            </w:r>
            <w:r>
              <w:rPr>
                <w:rFonts w:ascii="Times New Roman" w:cs="Times New Roman" w:eastAsia="Times New Roman" w:hAnsi="Times New Roman"/>
                <w:sz w:val="15"/>
                <w:szCs w:val="15"/>
                <w:color w:val="auto"/>
              </w:rPr>
              <w:t>(2)</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4,474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 for lodges</w:t>
            </w:r>
            <w:r>
              <w:rPr>
                <w:rFonts w:ascii="Times New Roman" w:cs="Times New Roman" w:eastAsia="Times New Roman" w:hAnsi="Times New Roman"/>
                <w:sz w:val="15"/>
                <w:szCs w:val="15"/>
                <w:color w:val="auto"/>
              </w:rPr>
              <w:t>(3)</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125.50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126.28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32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Lodge occupancy</w:t>
            </w:r>
            <w:r>
              <w:rPr>
                <w:rFonts w:ascii="Times New Roman" w:cs="Times New Roman" w:eastAsia="Times New Roman" w:hAnsi="Times New Roman"/>
                <w:sz w:val="15"/>
                <w:szCs w:val="15"/>
                <w:color w:val="auto"/>
              </w:rPr>
              <w:t>(4)</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gridSpan w:val="2"/>
          </w:tcPr>
          <w:p>
            <w:pPr>
              <w:jc w:val="right"/>
              <w:ind w:right="615"/>
              <w:spacing w:after="0"/>
              <w:rPr>
                <w:sz w:val="20"/>
                <w:szCs w:val="20"/>
                <w:color w:val="auto"/>
              </w:rPr>
            </w:pPr>
            <w:r>
              <w:rPr>
                <w:rFonts w:ascii="Times New Roman" w:cs="Times New Roman" w:eastAsia="Times New Roman" w:hAnsi="Times New Roman"/>
                <w:sz w:val="18"/>
                <w:szCs w:val="18"/>
                <w:color w:val="auto"/>
              </w:rPr>
              <w:t>E-4</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640" w:hanging="436"/>
        <w:spacing w:after="0"/>
        <w:tabs>
          <w:tab w:leader="none" w:pos="640" w:val="left"/>
        </w:tabs>
        <w:numPr>
          <w:ilvl w:val="0"/>
          <w:numId w:val="3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available rooms include rooms that are used for Noralta personnel.</w:t>
      </w:r>
    </w:p>
    <w:p>
      <w:pPr>
        <w:spacing w:after="0" w:line="29" w:lineRule="exact"/>
        <w:rPr>
          <w:rFonts w:ascii="Times New Roman" w:cs="Times New Roman" w:eastAsia="Times New Roman" w:hAnsi="Times New Roman"/>
          <w:sz w:val="18"/>
          <w:szCs w:val="18"/>
          <w:i w:val="1"/>
          <w:iCs w:val="1"/>
          <w:color w:val="auto"/>
        </w:rPr>
      </w:pPr>
    </w:p>
    <w:p>
      <w:pPr>
        <w:ind w:left="640" w:hanging="436"/>
        <w:spacing w:after="0"/>
        <w:tabs>
          <w:tab w:leader="none" w:pos="640" w:val="left"/>
        </w:tabs>
        <w:numPr>
          <w:ilvl w:val="0"/>
          <w:numId w:val="3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Rentable rooms exclude rooms that are utilized for Noralta personnel and out-of-service rooms.</w:t>
      </w:r>
    </w:p>
    <w:p>
      <w:pPr>
        <w:spacing w:after="0" w:line="9" w:lineRule="exact"/>
        <w:rPr>
          <w:rFonts w:ascii="Times New Roman" w:cs="Times New Roman" w:eastAsia="Times New Roman" w:hAnsi="Times New Roman"/>
          <w:sz w:val="18"/>
          <w:szCs w:val="18"/>
          <w:i w:val="1"/>
          <w:iCs w:val="1"/>
          <w:color w:val="auto"/>
        </w:rPr>
      </w:pPr>
    </w:p>
    <w:p>
      <w:pPr>
        <w:ind w:left="640" w:hanging="436"/>
        <w:spacing w:after="0"/>
        <w:tabs>
          <w:tab w:leader="none" w:pos="640" w:val="left"/>
        </w:tabs>
        <w:numPr>
          <w:ilvl w:val="0"/>
          <w:numId w:val="3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daily rate is based on rentable rooms and lodge revenue.</w:t>
      </w:r>
    </w:p>
    <w:p>
      <w:pPr>
        <w:spacing w:after="0" w:line="9" w:lineRule="exact"/>
        <w:rPr>
          <w:rFonts w:ascii="Times New Roman" w:cs="Times New Roman" w:eastAsia="Times New Roman" w:hAnsi="Times New Roman"/>
          <w:sz w:val="18"/>
          <w:szCs w:val="18"/>
          <w:i w:val="1"/>
          <w:iCs w:val="1"/>
          <w:color w:val="auto"/>
        </w:rPr>
      </w:pPr>
    </w:p>
    <w:p>
      <w:pPr>
        <w:ind w:left="640" w:hanging="436"/>
        <w:spacing w:after="0"/>
        <w:tabs>
          <w:tab w:leader="none" w:pos="640" w:val="left"/>
        </w:tabs>
        <w:numPr>
          <w:ilvl w:val="0"/>
          <w:numId w:val="3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Occupancy represents total billed days divided by rentable days. Rentable days exclude staff rooms and out-of-service rooms.</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Fiscal 2016 Compared to Fiscal 2015</w:t>
      </w: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(CAD $ thousands)</w:t>
            </w:r>
          </w:p>
        </w:tc>
        <w:tc>
          <w:tcPr>
            <w:tcW w:w="160" w:type="dxa"/>
            <w:vAlign w:val="bottom"/>
          </w:tcPr>
          <w:p>
            <w:pPr>
              <w:spacing w:after="0"/>
              <w:rPr>
                <w:sz w:val="13"/>
                <w:szCs w:val="13"/>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Twelve months ended May 31,</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3"/>
        </w:trPr>
        <w:tc>
          <w:tcPr>
            <w:tcW w:w="55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4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94,953</w:t>
            </w: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132,436</w:t>
            </w:r>
          </w:p>
        </w:tc>
        <w:tc>
          <w:tcPr>
            <w:tcW w:w="6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3"/>
              </w:rPr>
              <w:t>$(37,483)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84,260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48,176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(17,343)</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20,633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24,271</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12,167</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8"/>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58,203</w:t>
            </w:r>
          </w:p>
        </w:tc>
        <w:tc>
          <w:tcPr>
            <w:tcW w:w="6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(14,584)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(10,027)</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(4,557)</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and other expense</w:t>
            </w:r>
          </w:p>
        </w:tc>
        <w:tc>
          <w:tcPr>
            <w:tcW w:w="160" w:type="dxa"/>
            <w:vAlign w:val="bottom"/>
          </w:tcPr>
          <w:p>
            <w:pPr>
              <w:spacing w:after="0"/>
              <w:rPr>
                <w:sz w:val="24"/>
                <w:szCs w:val="24"/>
                <w:color w:val="auto"/>
              </w:rPr>
            </w:pPr>
          </w:p>
        </w:tc>
        <w:tc>
          <w:tcPr>
            <w:tcW w:w="13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(1,064)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(14,811)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(11,091)</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(4,326)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w:t>
            </w:r>
          </w:p>
        </w:tc>
        <w:tc>
          <w:tcPr>
            <w:tcW w:w="16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6,154</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(4,743)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1,828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6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6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Revenue decreased $37.5 million CAD, or 28%, in fiscal 2016 compared to fiscal 2015 mainly due to lower revenues earned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Grey Wolf lodge of approximately $18.2 million CAD and at the Firebag lodge of approximately $13.9 million CAD. Grey Wolf lodge occupancy decreased to 41% in fiscal 2016 from 55% in fiscal 2015 because of reduced demand from customers due to major customer projects that were canceled or delayed. Firebag occupancy decreased to 8% in fiscal 2016 from 60% in fiscal 2015 due to the completion of a major oil sands facility in the immediate area in 2016. Firebag has been closed since September 2015. Revenue also decreased an additional $8.2 million CAD due to wildfires in the Fort McMurray region which interrupted lodging in May of fiscal 2016.</w:t>
      </w:r>
    </w:p>
    <w:p>
      <w:pPr>
        <w:spacing w:after="0" w:line="183" w:lineRule="exact"/>
        <w:rPr>
          <w:sz w:val="20"/>
          <w:szCs w:val="20"/>
          <w:color w:val="auto"/>
        </w:rPr>
      </w:pPr>
    </w:p>
    <w:p>
      <w:pPr>
        <w:jc w:val="both"/>
        <w:ind w:left="200" w:right="2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 Operating expenses decreased $20.1 million CAD, or 24%, in fiscal 2016 compared to fiscal 2015 mainly due to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wages and benefits for lodging staff, which were caused by headcount reductions and other cost containment measures to reduce wages and benefits expense.</w:t>
      </w:r>
    </w:p>
    <w:p>
      <w:pPr>
        <w:spacing w:after="0" w:line="171" w:lineRule="exact"/>
        <w:rPr>
          <w:sz w:val="20"/>
          <w:szCs w:val="20"/>
          <w:color w:val="auto"/>
        </w:rPr>
      </w:pPr>
    </w:p>
    <w:p>
      <w:pPr>
        <w:ind w:left="200" w:right="4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 General and administrative expenses decreased $12.3 million CAD, or 60%, in fiscal 2016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2015 primarily due to share-based compensation expense in 2015 that did not recur in 2016, lower professional fees and lower advertising and promotion costs. Lower professional fees and advertising and promotion costs reflected cost containment strategies in response to falling customer demand for rooms.</w:t>
      </w:r>
    </w:p>
    <w:p>
      <w:pPr>
        <w:spacing w:after="0" w:line="177" w:lineRule="exact"/>
        <w:rPr>
          <w:sz w:val="20"/>
          <w:szCs w:val="20"/>
          <w:color w:val="auto"/>
        </w:rPr>
      </w:pPr>
    </w:p>
    <w:p>
      <w:pPr>
        <w:ind w:left="200" w:right="4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w:t>
      </w:r>
      <w:r>
        <w:rPr>
          <w:rFonts w:ascii="Times New Roman" w:cs="Times New Roman" w:eastAsia="Times New Roman" w:hAnsi="Times New Roman"/>
          <w:sz w:val="18"/>
          <w:szCs w:val="18"/>
          <w:color w:val="auto"/>
        </w:rPr>
        <w:t>– Amortization decreased $3.4 million CAD, or 14%, in fiscal 2016 compared to fiscal 2015 mainly due to a lower asset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 limited capital spending and dispositions of non-essential assets.</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60"/>
          </w:cols>
          <w:pgMar w:left="240" w:top="455" w:right="49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 Interest increased $2.6 million CAD, or 22%, in fiscal 2016 compared to fiscal 2015 due to higher debt levels.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Finance and other expense </w:t>
      </w:r>
      <w:r>
        <w:rPr>
          <w:rFonts w:ascii="Times New Roman" w:cs="Times New Roman" w:eastAsia="Times New Roman" w:hAnsi="Times New Roman"/>
          <w:sz w:val="18"/>
          <w:szCs w:val="18"/>
          <w:color w:val="auto"/>
        </w:rPr>
        <w:t>– Finance expense decreased $0.8 million CAD primarily due to a $1.4 million CAD impairment charge in fiscal</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2015 related to capitalized construction and land development costs that were impaired due to the abandonment of a new lodge development project.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This decrease was partially offset by wildfire costs in fiscal 2016 related to the Fort McMurray fires, net of insurance proceeds, of $0.4 million CAD.</w:t>
      </w:r>
    </w:p>
    <w:p>
      <w:pPr>
        <w:spacing w:after="0" w:line="203" w:lineRule="exact"/>
        <w:rPr>
          <w:sz w:val="20"/>
          <w:szCs w:val="20"/>
          <w:color w:val="auto"/>
        </w:rPr>
      </w:pPr>
    </w:p>
    <w:p>
      <w:pPr>
        <w:ind w:left="200" w:right="2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expense (benefit) </w:t>
      </w:r>
      <w:r>
        <w:rPr>
          <w:rFonts w:ascii="Times New Roman" w:cs="Times New Roman" w:eastAsia="Times New Roman" w:hAnsi="Times New Roman"/>
          <w:sz w:val="18"/>
          <w:szCs w:val="18"/>
          <w:color w:val="auto"/>
        </w:rPr>
        <w:t>– Income tax benefit increased $6.6 million CAD in fiscal 2016 compared to fiscal 2015 due to increased share-based compensation in 2015 which is not deductible for tax purposes, an adjustment to the opening deferred income tax liability in 2015 due to a legislative increase in the deferred tax rate which increased deferred tax expense, and a decrease in earnings before income taxes.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Included in the table below are Noralta’s key performance indicators for fiscal 2016 compared to fiscal 2015.</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(CAD $ thousands except as otherwise noted)</w:t>
            </w: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Twelve months ended May 31,</w:t>
            </w:r>
          </w:p>
        </w:tc>
        <w:tc>
          <w:tcPr>
            <w:tcW w:w="100" w:type="dxa"/>
            <w:vAlign w:val="bottom"/>
          </w:tcPr>
          <w:p>
            <w:pPr>
              <w:spacing w:after="0"/>
              <w:rPr>
                <w:sz w:val="13"/>
                <w:szCs w:val="13"/>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4040" w:type="dxa"/>
            <w:vAlign w:val="bottom"/>
            <w:gridSpan w:val="3"/>
            <w:vMerge w:val="continue"/>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14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94,953</w:t>
            </w:r>
          </w:p>
        </w:tc>
        <w:tc>
          <w:tcPr>
            <w:tcW w:w="4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132,436</w:t>
            </w: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0"/>
              </w:rPr>
              <w:t>(37,483)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30,833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48,176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(17,343)</w:t>
            </w:r>
          </w:p>
        </w:tc>
        <w:tc>
          <w:tcPr>
            <w:tcW w:w="0" w:type="dxa"/>
            <w:vAlign w:val="bottom"/>
          </w:tcPr>
          <w:p>
            <w:pPr>
              <w:spacing w:after="0"/>
              <w:rPr>
                <w:sz w:val="1"/>
                <w:szCs w:val="1"/>
                <w:color w:val="auto"/>
              </w:rPr>
            </w:pPr>
          </w:p>
        </w:tc>
      </w:tr>
      <w:tr>
        <w:trPr>
          <w:trHeight w:val="324"/>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 as a % of sales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available rooms</w:t>
            </w:r>
            <w:r>
              <w:rPr>
                <w:rFonts w:ascii="Times New Roman" w:cs="Times New Roman" w:eastAsia="Times New Roman" w:hAnsi="Times New Roman"/>
                <w:sz w:val="15"/>
                <w:szCs w:val="15"/>
                <w:color w:val="auto"/>
              </w:rPr>
              <w:t>(1)</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324"/>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Rentable rooms for lodges</w:t>
            </w:r>
            <w:r>
              <w:rPr>
                <w:rFonts w:ascii="Times New Roman" w:cs="Times New Roman" w:eastAsia="Times New Roman" w:hAnsi="Times New Roman"/>
                <w:sz w:val="15"/>
                <w:szCs w:val="15"/>
                <w:color w:val="auto"/>
              </w:rPr>
              <w:t>(2)</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4,683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 for lodges</w:t>
            </w:r>
            <w:r>
              <w:rPr>
                <w:rFonts w:ascii="Times New Roman" w:cs="Times New Roman" w:eastAsia="Times New Roman" w:hAnsi="Times New Roman"/>
                <w:sz w:val="15"/>
                <w:szCs w:val="15"/>
                <w:color w:val="auto"/>
              </w:rPr>
              <w:t>(3)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126.28</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143.28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324"/>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Lodge occupancy</w:t>
            </w:r>
            <w:r>
              <w:rPr>
                <w:rFonts w:ascii="Times New Roman" w:cs="Times New Roman" w:eastAsia="Times New Roman" w:hAnsi="Times New Roman"/>
                <w:sz w:val="15"/>
                <w:szCs w:val="15"/>
                <w:color w:val="auto"/>
              </w:rPr>
              <w:t>(4)</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40" w:hanging="436"/>
        <w:spacing w:after="0"/>
        <w:tabs>
          <w:tab w:leader="none" w:pos="640" w:val="left"/>
        </w:tabs>
        <w:numPr>
          <w:ilvl w:val="0"/>
          <w:numId w:val="3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available rooms include rooms that are used for Noralta personnel.</w:t>
      </w:r>
    </w:p>
    <w:p>
      <w:pPr>
        <w:spacing w:after="0" w:line="29" w:lineRule="exact"/>
        <w:rPr>
          <w:rFonts w:ascii="Times New Roman" w:cs="Times New Roman" w:eastAsia="Times New Roman" w:hAnsi="Times New Roman"/>
          <w:sz w:val="18"/>
          <w:szCs w:val="18"/>
          <w:i w:val="1"/>
          <w:iCs w:val="1"/>
          <w:color w:val="auto"/>
        </w:rPr>
      </w:pPr>
    </w:p>
    <w:p>
      <w:pPr>
        <w:ind w:left="640" w:hanging="436"/>
        <w:spacing w:after="0"/>
        <w:tabs>
          <w:tab w:leader="none" w:pos="640" w:val="left"/>
        </w:tabs>
        <w:numPr>
          <w:ilvl w:val="0"/>
          <w:numId w:val="3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Rentable rooms exclude rooms that are utilized for Noralta personnel and out-of-service rooms.</w:t>
      </w:r>
    </w:p>
    <w:p>
      <w:pPr>
        <w:spacing w:after="0" w:line="9" w:lineRule="exact"/>
        <w:rPr>
          <w:rFonts w:ascii="Times New Roman" w:cs="Times New Roman" w:eastAsia="Times New Roman" w:hAnsi="Times New Roman"/>
          <w:sz w:val="18"/>
          <w:szCs w:val="18"/>
          <w:i w:val="1"/>
          <w:iCs w:val="1"/>
          <w:color w:val="auto"/>
        </w:rPr>
      </w:pPr>
    </w:p>
    <w:p>
      <w:pPr>
        <w:ind w:left="640" w:hanging="436"/>
        <w:spacing w:after="0"/>
        <w:tabs>
          <w:tab w:leader="none" w:pos="640" w:val="left"/>
        </w:tabs>
        <w:numPr>
          <w:ilvl w:val="0"/>
          <w:numId w:val="3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daily rate is based on rentable rooms and lodge revenue.</w:t>
      </w:r>
    </w:p>
    <w:p>
      <w:pPr>
        <w:spacing w:after="0" w:line="9" w:lineRule="exact"/>
        <w:rPr>
          <w:rFonts w:ascii="Times New Roman" w:cs="Times New Roman" w:eastAsia="Times New Roman" w:hAnsi="Times New Roman"/>
          <w:sz w:val="18"/>
          <w:szCs w:val="18"/>
          <w:i w:val="1"/>
          <w:iCs w:val="1"/>
          <w:color w:val="auto"/>
        </w:rPr>
      </w:pPr>
    </w:p>
    <w:p>
      <w:pPr>
        <w:ind w:left="640" w:hanging="436"/>
        <w:spacing w:after="0"/>
        <w:tabs>
          <w:tab w:leader="none" w:pos="640" w:val="left"/>
        </w:tabs>
        <w:numPr>
          <w:ilvl w:val="0"/>
          <w:numId w:val="3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Occupancy represents total billed days divided by rentable days. Rentable days exclude staff rooms and out-of-service rooms.</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Noralta’s objectives in managing its capital resources are to repay debt, fund capital expenditures to expand and improve its lodging facilities, fund strategic business acquisitions, fund working capital and build a profitable, growth oriented company. Historically, the main sources of capital have been borrowings from its 7.50% senior secured notes, credit facility and available cash on hand. As of May 31, 2017, Noralta had $16.9 million CAD of cash on hand and $79.4 million CAD of available, undrawn borrowing capacity from its credit facility.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described further in “– Subsequent Events” below, on July 13, 2017 Noralta entered into an Amended Credit Agreement and on September 29,</w:t>
      </w:r>
    </w:p>
    <w:p>
      <w:pPr>
        <w:spacing w:after="0" w:line="27" w:lineRule="exact"/>
        <w:rPr>
          <w:sz w:val="20"/>
          <w:szCs w:val="20"/>
          <w:color w:val="auto"/>
        </w:rPr>
      </w:pPr>
    </w:p>
    <w:p>
      <w:pPr>
        <w:ind w:left="200" w:right="580"/>
        <w:spacing w:after="0" w:line="261" w:lineRule="auto"/>
        <w:rPr>
          <w:sz w:val="20"/>
          <w:szCs w:val="20"/>
          <w:color w:val="auto"/>
        </w:rPr>
      </w:pPr>
      <w:r>
        <w:rPr>
          <w:rFonts w:ascii="Times New Roman" w:cs="Times New Roman" w:eastAsia="Times New Roman" w:hAnsi="Times New Roman"/>
          <w:sz w:val="18"/>
          <w:szCs w:val="18"/>
          <w:color w:val="auto"/>
        </w:rPr>
        <w:t>2017 Noralta redeemed all of its remaining senior secured bond notes. Therefore, its current sources of liquidity are cash from operations and its revolving credit facility governed by the Amended Credit Agreement.</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80"/>
          </w:cols>
          <w:pgMar w:left="240" w:top="456" w:right="47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Noralta’s consolidated liquidity position as at May 31, 2017 and May 31, 2016:</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(CAD $ thousands)</w:t>
            </w: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3"/>
        </w:trPr>
        <w:tc>
          <w:tcPr>
            <w:tcW w:w="4180" w:type="dxa"/>
            <w:vAlign w:val="bottom"/>
            <w:gridSpan w:val="3"/>
            <w:vMerge w:val="continue"/>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306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54,598</w:t>
            </w: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28,364</w:t>
            </w:r>
          </w:p>
        </w:tc>
        <w:tc>
          <w:tcPr>
            <w:tcW w:w="5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$ 26,234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26,252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14,905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$ 11,347</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Borrowing</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secured bond notes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82,162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150,000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Credit facility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20,622</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12,879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Promissory note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1,346</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leases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5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164,788</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 borrowing</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Available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100,000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Drawn</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79,378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57,121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$ 22,257</w:t>
            </w:r>
          </w:p>
        </w:tc>
        <w:tc>
          <w:tcPr>
            <w:tcW w:w="0" w:type="dxa"/>
            <w:vAlign w:val="bottom"/>
          </w:tcPr>
          <w:p>
            <w:pPr>
              <w:spacing w:after="0"/>
              <w:rPr>
                <w:sz w:val="1"/>
                <w:szCs w:val="1"/>
                <w:color w:val="auto"/>
              </w:rPr>
            </w:pPr>
          </w:p>
        </w:tc>
      </w:tr>
      <w:tr>
        <w:trPr>
          <w:trHeight w:val="32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$ 16,158</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40" w:hanging="436"/>
        <w:spacing w:after="0"/>
        <w:tabs>
          <w:tab w:leader="none" w:pos="640" w:val="left"/>
        </w:tabs>
        <w:numPr>
          <w:ilvl w:val="0"/>
          <w:numId w:val="3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Working capital is calculated as current assets less current liabilities.</w:t>
      </w:r>
    </w:p>
    <w:p>
      <w:pPr>
        <w:spacing w:after="0" w:line="227"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Working capital as of May 31, 2017 increased $11.3 million CAD, or 76%, compared to May 31, 2016 as higher cash and accounts receivables balances were only partially offset by higher income taxes payable. Accounts receivable were higher because of increased sales and income taxes payable were higher because of Noralta becoming a cash tax payer. Borrowing levels decreased $60.5 million CAD, or 37%, compared to May 31, 2016 due to the November 1, 2016 refinancing arrangement which, combined with the January 2017 repurchase, repurchased $67.8 million CAD of senior secured bond notes using cash on hand and a $40.0 million CAD bank term loan. The remaining decrease was due to the removal of letters of credit required by key customers. The term facility is being repaid in quarterly installments of $1.5 million CAD at prime rate plus the applicable pricing margin as defined by the July 13, 2017 Amended Credit Agreement (as further discussed in “Subsequent Events” below). Cash as of May 31, 2017 increased $16.2 million CAD compared to May 31, 2016, mainly due to higher revenue resulting from higher occupancy in the Fort McMurray Village and Grey Wolf lodges.</w:t>
      </w:r>
    </w:p>
    <w:p>
      <w:pPr>
        <w:spacing w:after="0" w:line="189"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Cash totaling $59.1 million CAD was provided by operations during fiscal 2017 compared to $10.2 million CAD of cash provided by operations during fiscal 2016. The increase in cash provided by operations was mainly due to higher revenue from increased occupancy.</w:t>
      </w:r>
    </w:p>
    <w:p>
      <w:pPr>
        <w:spacing w:after="0" w:line="162" w:lineRule="exact"/>
        <w:rPr>
          <w:sz w:val="20"/>
          <w:szCs w:val="20"/>
          <w:color w:val="auto"/>
        </w:rPr>
      </w:pPr>
    </w:p>
    <w:p>
      <w:pPr>
        <w:ind w:left="200" w:right="160" w:firstLine="441"/>
        <w:spacing w:after="0" w:line="257" w:lineRule="auto"/>
        <w:rPr>
          <w:sz w:val="20"/>
          <w:szCs w:val="20"/>
          <w:color w:val="auto"/>
        </w:rPr>
      </w:pPr>
      <w:r>
        <w:rPr>
          <w:rFonts w:ascii="Times New Roman" w:cs="Times New Roman" w:eastAsia="Times New Roman" w:hAnsi="Times New Roman"/>
          <w:sz w:val="18"/>
          <w:szCs w:val="18"/>
          <w:color w:val="auto"/>
        </w:rPr>
        <w:t>Cash totaling $1.0 million CAD was used in investing activities during fiscal 2017 compared to $5.5 million CAD of cash used in investing activities during fiscal 2016. The decrease was mainly due to lower advances to a shareholder. Capital expenditures totaled $1.4 million CAD in fiscal 2017 and mainly consisted of purchases for vehicles and leasehold improvements at the Fort McMurray Village. Capital expenditures totaled</w:t>
      </w:r>
    </w:p>
    <w:p>
      <w:pPr>
        <w:spacing w:after="0" w:line="2" w:lineRule="exact"/>
        <w:rPr>
          <w:sz w:val="20"/>
          <w:szCs w:val="20"/>
          <w:color w:val="auto"/>
        </w:rPr>
      </w:pPr>
    </w:p>
    <w:p>
      <w:pPr>
        <w:ind w:left="200" w:right="100"/>
        <w:spacing w:after="0" w:line="254" w:lineRule="auto"/>
        <w:rPr>
          <w:sz w:val="20"/>
          <w:szCs w:val="20"/>
          <w:color w:val="auto"/>
        </w:rPr>
      </w:pPr>
      <w:r>
        <w:rPr>
          <w:rFonts w:ascii="Times New Roman" w:cs="Times New Roman" w:eastAsia="Times New Roman" w:hAnsi="Times New Roman"/>
          <w:sz w:val="18"/>
          <w:szCs w:val="18"/>
          <w:color w:val="auto"/>
        </w:rPr>
        <w:t>$1.8 million CAD in fiscal 2016 and mainly consisted of purchases for leasehold improvements at the Fort McMurray Village and Grey Wolf lodge. Noralta did not have any growth capital expenditures in either fiscal 2017 or 2016 due to cost containment measures. Noralta did not have any material cash or capital spending in foreign currencies because it transacts in CAD currency. Noralta did not have any material commitments for capital expenditures at the end of 2017.</w:t>
      </w:r>
    </w:p>
    <w:p>
      <w:pPr>
        <w:spacing w:after="0" w:line="186"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Cash totaling $41.9 million CAD was used in financing activities during fiscal 2017 compared to $4.0 million CAD of cash used in financing activities during fiscal 2016. The increase in cash used in financing activities was mainly due to higher repayments of long-term debt, net of proceeds, and finance fees paid.</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80"/>
          </w:cols>
          <w:pgMar w:left="240" w:top="456" w:right="47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Noralta’s management believes that cash on hand and cash flow from operations will be sufficient to meet its anticipated liquidity needs in the next 12 months. If Noralta’s plans or assumptions change, or are inaccurate, or if the Company makes acquisitions, Noralta may need to raise additional capital. To manage its liquidity, Noralta forecasts operational results and capital spending on a regular basis. Actual results are compared to these forecasts to monitor Noralta’s liquidity. The Company may seek to access the debt and equity markets in the future to raise additional capital, increase liquidity, fund acquisitions, and refinance debt.</w:t>
      </w:r>
    </w:p>
    <w:p>
      <w:pPr>
        <w:spacing w:after="0" w:line="184"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Acquisitions and capital projects have been and will continue to be part of Noralta’s business strategy. The timing, size or success of any acquisition or capital project effort and the associated potential capital commitments are unpredictable and uncertain. The Company may seek to fund all or part of any such efforts with debt and/or equity issuances. Noralta’s ability to obtain capital for additional projects to implement its growth strategy over the longer term will depend upon its future operating performance, financial condition, and more broadly, on the availability of equity and debt financing. Capital availability will be affected by prevailing conditions in Noralta’s industry, the global economy, the global financial markets and other factors, many of which are beyond Noralta’s control. Additionally, debt service requirements could be based on higher interest rates and shorter maturities and could impose a significant burden on Noralta’s results of operations and financial condition.</w:t>
      </w:r>
    </w:p>
    <w:p>
      <w:pPr>
        <w:spacing w:after="0" w:line="189"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shows the timing of cash outflows related to accounts payable accrued liabilities, long-term debt, obligations under capital leases, and the promissory note as of May 31, 2017:</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Accounts payable</w:t>
            </w:r>
          </w:p>
        </w:tc>
        <w:tc>
          <w:tcPr>
            <w:tcW w:w="104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8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obligations under</w:t>
            </w: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(CAD $ thousands)</w:t>
            </w: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and accrued</w:t>
            </w:r>
          </w:p>
        </w:tc>
        <w:tc>
          <w:tcPr>
            <w:tcW w:w="2200" w:type="dxa"/>
            <w:vAlign w:val="bottom"/>
            <w:gridSpan w:val="4"/>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capital leases, and</w:t>
            </w:r>
          </w:p>
        </w:tc>
        <w:tc>
          <w:tcPr>
            <w:tcW w:w="0" w:type="dxa"/>
            <w:vAlign w:val="bottom"/>
          </w:tcPr>
          <w:p>
            <w:pPr>
              <w:spacing w:after="0"/>
              <w:rPr>
                <w:sz w:val="1"/>
                <w:szCs w:val="1"/>
                <w:color w:val="auto"/>
              </w:rPr>
            </w:pPr>
          </w:p>
        </w:tc>
      </w:tr>
      <w:tr>
        <w:trPr>
          <w:trHeight w:val="193"/>
        </w:trPr>
        <w:tc>
          <w:tcPr>
            <w:tcW w:w="3100" w:type="dxa"/>
            <w:vAlign w:val="bottom"/>
            <w:gridSpan w:val="3"/>
            <w:vMerge w:val="continue"/>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liabilities</w:t>
            </w:r>
            <w:r>
              <w:rPr>
                <w:rFonts w:ascii="Times New Roman" w:cs="Times New Roman" w:eastAsia="Times New Roman" w:hAnsi="Times New Roman"/>
                <w:sz w:val="12"/>
                <w:szCs w:val="12"/>
                <w:b w:val="1"/>
                <w:bCs w:val="1"/>
                <w:color w:val="auto"/>
              </w:rPr>
              <w:t>(1)</w:t>
            </w:r>
          </w:p>
        </w:tc>
        <w:tc>
          <w:tcPr>
            <w:tcW w:w="104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Year 1</w:t>
            </w:r>
          </w:p>
        </w:tc>
        <w:tc>
          <w:tcPr>
            <w:tcW w:w="198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22,216</w:t>
            </w:r>
          </w:p>
        </w:tc>
        <w:tc>
          <w:tcPr>
            <w:tcW w:w="10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6,190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2</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4</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40" w:hanging="436"/>
        <w:spacing w:after="0"/>
        <w:tabs>
          <w:tab w:leader="none" w:pos="640" w:val="left"/>
        </w:tabs>
        <w:numPr>
          <w:ilvl w:val="0"/>
          <w:numId w:val="3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Accounts payable and accrued liabilities includes income taxes payable.</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May 31, 2017, Noralta had no off-balance sheet arrangements as defined in Item 5(E) of Form 20-F.</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Noralta’s contractual obligations as at May 31, 2017 and the effect such obligations are expected to have on liquidity and cash flow over the next five years and thereafter.</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(CAD $</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44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Interest on</w:t>
            </w:r>
          </w:p>
        </w:tc>
        <w:tc>
          <w:tcPr>
            <w:tcW w:w="4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260" w:type="dxa"/>
            <w:vAlign w:val="bottom"/>
            <w:gridSpan w:val="3"/>
          </w:tcPr>
          <w:p>
            <w:pPr>
              <w:jc w:val="center"/>
              <w:ind w:left="359"/>
              <w:spacing w:after="0" w:line="149" w:lineRule="exact"/>
              <w:rPr>
                <w:sz w:val="20"/>
                <w:szCs w:val="20"/>
                <w:color w:val="auto"/>
              </w:rPr>
            </w:pPr>
            <w:r>
              <w:rPr>
                <w:rFonts w:ascii="Times New Roman" w:cs="Times New Roman" w:eastAsia="Times New Roman" w:hAnsi="Times New Roman"/>
                <w:sz w:val="14"/>
                <w:szCs w:val="14"/>
                <w:b w:val="1"/>
                <w:bCs w:val="1"/>
                <w:color w:val="auto"/>
              </w:rPr>
              <w:t>under capital</w:t>
            </w:r>
          </w:p>
        </w:tc>
        <w:tc>
          <w:tcPr>
            <w:tcW w:w="1400" w:type="dxa"/>
            <w:vAlign w:val="bottom"/>
            <w:gridSpan w:val="3"/>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and promissory</w:t>
            </w: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senior secured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234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note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bond notes</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Year 1</w:t>
            </w:r>
          </w:p>
        </w:tc>
        <w:tc>
          <w:tcPr>
            <w:tcW w:w="17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center"/>
              <w:ind w:left="52"/>
              <w:spacing w:after="0" w:line="189" w:lineRule="exact"/>
              <w:rPr>
                <w:sz w:val="20"/>
                <w:szCs w:val="20"/>
                <w:color w:val="auto"/>
              </w:rPr>
            </w:pPr>
            <w:r>
              <w:rPr>
                <w:rFonts w:ascii="Times New Roman" w:cs="Times New Roman" w:eastAsia="Times New Roman" w:hAnsi="Times New Roman"/>
                <w:sz w:val="18"/>
                <w:szCs w:val="18"/>
                <w:color w:val="auto"/>
                <w:w w:val="98"/>
              </w:rPr>
              <w:t>1,254</w:t>
            </w: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auto"/>
                <w:w w:val="96"/>
              </w:rPr>
              <w:t>190</w:t>
            </w:r>
          </w:p>
        </w:tc>
        <w:tc>
          <w:tcPr>
            <w:tcW w:w="4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6,000</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6,162</w:t>
            </w: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4,422</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2</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4</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8"/>
              </w:rPr>
              <w:t>7,740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8,994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197</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E-8</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Noralta’s Financial Statements in Annex F of this proxy statement have been prepared in accordance with ASPE which requires management to make numerous estimates and judgements. Actual results could differ from these estimates and judgements, and thus impact Noralta’s reported results of operations and financial position. The critical accounting policies described in this section are those that are most important to the depiction of Noralta’s financial condition and results of operations and the application of which require the greatest degree of estimate and judgement on the part of management. Refer to Note 2 Summary of Significant Accounting Policies in Noralta’s Financial Statements included in Annex F of this proxy statement for a complete list of its accounting policies.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Company is required to make a judgement regarding the need for recording an impairment at the end of each reporting date by evaluating events and circumstances that could suggest the carrying amount of its long-lived assets may not be recoverable. The carrying amount of a long-lived asset or asset group is not recoverable if its carrying amount exceeds fair value where fair value is determined as the sum of the undiscounted cash flows that are expected to result from use and eventual disposition. Management determines recoverable amount from undiscounted cash flow models that are based on Noralta’s internal financial forecasts which are subject to judgement and estimate. Recoverable amount is sensitive to expected future cash-inflows and the growth rate used to extrapolate results beyond the forecast period.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Estimation of Useful Lives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Determining the useful lives of the Company’s long-lived assets requires management to estimate how long they will be used in the future. This estimate is influenced by historical experience in operating the asset, technological developments and expectations of future demand. Should the estimate be too long or short, Noralta might report a disproportionate number of losses or gains upon disposition or retirement of these long-lived assets. Management reevaluates the remaining useful lives and salvage values of its long-lived assets when events occur that could impact their useful lives and salvage values, which could include but are not limited to changes in operating condition, functional capability and market and economic factors. Management believes the estimated useful lives of its long-lived assets are currently appropriate.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 (“ARO”)</w:t>
      </w:r>
    </w:p>
    <w:p>
      <w:pPr>
        <w:spacing w:after="0" w:line="12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The Company recognizes AROs to account for future demobilization and reclamation costs associated with the retirement of its owned lodging facilities. In doing so, management makes estimates surrounding the future cost of demobilization and reclamation work, timing of expected payments, and development of an appropriate discount rate and inflation rate.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Collectability of Trade Receivables</w:t>
      </w:r>
    </w:p>
    <w:p>
      <w:pPr>
        <w:spacing w:after="0" w:line="121" w:lineRule="exact"/>
        <w:rPr>
          <w:sz w:val="20"/>
          <w:szCs w:val="20"/>
          <w:color w:val="auto"/>
        </w:rPr>
      </w:pPr>
    </w:p>
    <w:p>
      <w:pPr>
        <w:ind w:left="200" w:right="440" w:firstLine="441"/>
        <w:spacing w:after="0" w:line="266" w:lineRule="auto"/>
        <w:rPr>
          <w:sz w:val="20"/>
          <w:szCs w:val="20"/>
          <w:color w:val="auto"/>
        </w:rPr>
      </w:pPr>
      <w:r>
        <w:rPr>
          <w:rFonts w:ascii="Times New Roman" w:cs="Times New Roman" w:eastAsia="Times New Roman" w:hAnsi="Times New Roman"/>
          <w:sz w:val="18"/>
          <w:szCs w:val="18"/>
          <w:color w:val="auto"/>
        </w:rPr>
        <w:t>The Company is required to make estimates surrounding the collectability of its trade receivables and adequacy of the allowance of doubtful accounts. It does so by reviewing historical bad debts, assessing client credit-worthiness, determining the age of accounts receivable and current economic trends and conditions.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Recognition</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Revenues are recognized based on a periodic (usually daily) room rate or when the services are rendered. Revenues are recognized in the period in which services are provided. In some contracts, the rate or committed room numbers may vary over the contract term. In these cases, revenue may be deferred and recognized on a straight-line basis over the contract term. Revenues exclude taxes assessed based on revenues such as sales taxes.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200"/>
          </w:cols>
          <w:pgMar w:left="240" w:top="456" w:right="4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Noralta uses the liability method in accounting for income taxes in accordance with current accounting standards. Under this method, deferred income taxes are recorded based upon the differences between the accounting and tax bases of its assets and liabilities and are measured using the enacted tax rates and laws in effect at the time the underlying assets or liabilities are recovered or settled.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Instruments and Risk Management</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Noralta is exposed to many different financial risks arising from normal course business operations as well as through Noralta’s financial instruments, which are comprised of cash and cash equivalents, trade and other receivables, trade and other payables, obligations under capital lease, and long-term debt. These risks include credit risk and market risk (including currency exchange risk and interest rate risk). Noralta’s risk management practices include identifying, analyzing and monitoring the risks faced by Noralta. The following presents information about Noralta’s exposure to each of the risks and Noralta’s objectives, policies and processes for measuring and managing risk.</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Credit risk is the risk that a customer will be unable to pay amounts due causing a financial loss. Noralta’s practice is to manage credit risk by examining each new customer individually for credit worthiness before Noralta’s standard payment terms are offered. Noralta’s review may include financial statement review, credit references or bank references. Noralta monitors individual customer trade receivables and accrued revenue, taking into consideration industry, aging profile, maturity, payment history and existence of previous financial difficulties in assessing credit risk. A formal review is performed each month for each subsidiary, focusing on amounts in trade receivable and accrued revenue which have been outstanding for periods which are considered abnormal for each customer. Noralta establishes an allowance for doubtful accounts for specifically identifiable customer balances which are assessed to have credit risk exposure.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the aged balances of trade and other receivables: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(CAD $ thousands)</w:t>
            </w:r>
          </w:p>
        </w:tc>
        <w:tc>
          <w:tcPr>
            <w:tcW w:w="20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260" w:type="dxa"/>
            <w:vAlign w:val="bottom"/>
          </w:tcPr>
          <w:p>
            <w:pPr>
              <w:spacing w:after="0"/>
              <w:rPr>
                <w:sz w:val="13"/>
                <w:szCs w:val="13"/>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93"/>
        </w:trPr>
        <w:tc>
          <w:tcPr>
            <w:tcW w:w="4440" w:type="dxa"/>
            <w:vAlign w:val="bottom"/>
            <w:gridSpan w:val="3"/>
            <w:vMerge w:val="continue"/>
          </w:tcPr>
          <w:p>
            <w:pPr>
              <w:spacing w:after="0"/>
              <w:rPr>
                <w:sz w:val="16"/>
                <w:szCs w:val="16"/>
                <w:color w:val="auto"/>
              </w:rPr>
            </w:pPr>
          </w:p>
        </w:tc>
        <w:tc>
          <w:tcPr>
            <w:tcW w:w="26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w:t>
            </w:r>
          </w:p>
        </w:tc>
        <w:tc>
          <w:tcPr>
            <w:tcW w:w="332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5"/>
              </w:rPr>
              <w:t>$13,193</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31 – 60 days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61 – 90 days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greater than 90 days</w:t>
            </w:r>
          </w:p>
        </w:tc>
        <w:tc>
          <w:tcPr>
            <w:tcW w:w="20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6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6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26,880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1"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Market risk is the risk or uncertainty arising from possible market price movements and their impact on future performance of Noralta. The market price movements that could adversely affect the value of Noralta’s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220"/>
          </w:cols>
          <w:pgMar w:left="24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2" w:lineRule="auto"/>
        <w:rPr>
          <w:sz w:val="20"/>
          <w:szCs w:val="20"/>
          <w:color w:val="auto"/>
        </w:rPr>
      </w:pPr>
      <w:r>
        <w:rPr>
          <w:rFonts w:ascii="Times New Roman" w:cs="Times New Roman" w:eastAsia="Times New Roman" w:hAnsi="Times New Roman"/>
          <w:sz w:val="18"/>
          <w:szCs w:val="18"/>
          <w:color w:val="auto"/>
        </w:rPr>
        <w:t>financial assets, liabilities and expected future cash flows include foreign currency exchange risk and interest rate risk. As Noralta’s exposure to foreign currency exchange risk and interest rate risk is limited, Noralta does not currently hedge its financial instruments.</w:t>
      </w: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Foreign currency exchange risk</w:t>
      </w:r>
    </w:p>
    <w:p>
      <w:pPr>
        <w:spacing w:after="0" w:line="117"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Noralta has minimal exposure to foreign currency exchange risk as the majority of its sales and purchases are denominated in Canadian dollars. Noralta’s exposure to foreign currency exchange risk arises from the purchase of some raw materials which are denominated in U.S. dollars. Any reasonable adverse change in the value of the Canadian dollar relative to the U.S. dollar would increase fiscal 2017 expenses by an immaterial amount.</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117" w:lineRule="exact"/>
        <w:rPr>
          <w:sz w:val="20"/>
          <w:szCs w:val="20"/>
          <w:color w:val="auto"/>
        </w:rPr>
      </w:pPr>
    </w:p>
    <w:p>
      <w:pPr>
        <w:jc w:val="both"/>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Noralta is exposed to interest rate risk as changes in interest rates may affect interest expense and future cash flows due to floating rates on its term loan. Noralta manages its exposure to this risk by minimizing its borrowings. Based on fiscal 2017 year-end balances, a plus or minus 100 basis points change in interest rates would change interest expense on an annual basis by $203,433 CAD on debt subject to floating rates.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200" w:right="1120" w:firstLine="441"/>
        <w:spacing w:after="0" w:line="313" w:lineRule="auto"/>
        <w:rPr>
          <w:sz w:val="20"/>
          <w:szCs w:val="20"/>
          <w:color w:val="auto"/>
        </w:rPr>
      </w:pPr>
      <w:r>
        <w:rPr>
          <w:rFonts w:ascii="Times New Roman" w:cs="Times New Roman" w:eastAsia="Times New Roman" w:hAnsi="Times New Roman"/>
          <w:sz w:val="17"/>
          <w:szCs w:val="17"/>
          <w:color w:val="auto"/>
        </w:rPr>
        <w:t>On May 1, 2017 and June 22, 2017, Noralta and Dene Koe executed a 60-month contract and a 120-month contract for lodging and accommodation services at Noralta’s Fort McMurray Village and Grey Wolf facilities, respectively, with two major oil sands producers.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July 13, 2017, Noralta negotiated an Amended Credit Agreement (the “July 13, 2017 Amended Credit Agreement”), which matures July 13,</w:t>
      </w:r>
    </w:p>
    <w:p>
      <w:pPr>
        <w:spacing w:after="0" w:line="27"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2020. The July 13, 2017 Amended Credit Agreement provides a borrowing base determined by the value of receivables and equipment with Senior Adjusted Leverage Ratio and Fixed Charge Cover Ratio financial covenants. Under the terms of the July 13, 2017 Amended Credit Agreement, the Senior Adjusted Leverage Ratio must not be more than 3.00:1.00 and the Fixed Charge Coverage Ratio must not be less than 1.50:1.00. The July 13, 2017 Amended Credit Agreement allows for borrowing up to $150.0 million CAD contingent on the value of the borrowing base defined above which includes letters of credit up to $30.0 million CAD. The revolving facility can be drawn in both Canadian dollars and U.S. dollars funds. It also contains a $50.0 million CAD non-revolving term loan facility. Proceeds from the term loan facility can only be used to repurchase the senior secured bond notes.</w:t>
      </w:r>
    </w:p>
    <w:p>
      <w:pPr>
        <w:spacing w:after="0" w:line="190"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On August 2, 2017, the Company negotiated a repayment of $79.7 million CAD of its senior secured notes plus $2.2 million CAD in accrued interest. No gain or loss was recorded on repayment because the bonds were repaid at par. The repayment was funded with $27.2 million CAD in cash on hand, a $30.0 million CAD draw on the bank term loan, and a $25.0 million draw on the revolving credit facility portion of the July 13, 2017 Amended Credit Agreement.</w:t>
      </w:r>
    </w:p>
    <w:p>
      <w:pPr>
        <w:spacing w:after="0" w:line="180"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On September 29, 2017, the Company negotiated repayment of all its remaining senior notes. The notes were redeemed for cash at a redemption price of 103.75% of the outstanding principal amount of the redeemed notes plus accrued interest. A $95 thousand CAD loss was recorded upon repayment. Following completion of the redemption, the indenture was terminated effective September 29, 2017. The senior secured notes were issued on September 24, 2014 for $150.0 million CAD at 7.5% and were due September 24, 2019.</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220"/>
          </w:cols>
          <w:pgMar w:left="240" w:top="456"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On November 27, 2017, Civeo Corporation (“Civeo”) and Noralta announced they had entered into a definitive agreement for Civeo to acquire Noralta for a total consideration of approximately $367.0 million CAD on a cash-free, debt-free basis, subject to adjustments. Under the terms of the agreement, Civeo would acquire 100% of Noralta’s equity for consideration comprising approximately $210.0 million CAD in cash (subject to adjustment), 32.8 million Civeo common shares issued to Noralta’s equity holders, and non-voting convertible preferred equity issued to Noralta’s equity holders with a 2.0% dividend rate initially convertible into 29.3 million Civeo common shares.</w:t>
      </w:r>
    </w:p>
    <w:p>
      <w:pPr>
        <w:spacing w:after="0" w:line="1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0960"/>
          </w:cols>
          <w:pgMar w:left="240" w:top="456" w:right="69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Noralta Lodge Ltd.</w:t>
      </w: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Consolidated balance sheets as at May 31, 2017 and May 31, 2016 and the consolidated statements of retained earnings, operations and cash flows for each of the years ended May 31, 2017, May 31, 2016 and May 31, 2015</w:t>
      </w:r>
    </w:p>
    <w:p>
      <w:pPr>
        <w:sectPr>
          <w:pgSz w:w="11900" w:h="16838" w:orient="portrait"/>
          <w:cols w:equalWidth="0" w:num="1">
            <w:col w:w="11220"/>
          </w:cols>
          <w:pgMar w:left="24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848995" cy="651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489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December 11, 2017</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To the Directors of</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207" w:lineRule="exact"/>
        <w:rPr>
          <w:sz w:val="20"/>
          <w:szCs w:val="20"/>
          <w:color w:val="auto"/>
        </w:rPr>
      </w:pPr>
    </w:p>
    <w:p>
      <w:pPr>
        <w:ind w:left="200" w:right="20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Noralta Lodge Ltd. and its subsidiaries, which comprise the consolidated balance sheets as of May 31, 2017 and May 31, 2016 and the consolidated statements of retained earnings, operations and cash flows for each of the years ended May 31, 2017, May 31, 2016 and May 31, 2015, and the related notes, which comprise a summary of significant accounting policies and other explanatory information.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Management’s responsibility for the consolidated financial statements</w:t>
      </w:r>
    </w:p>
    <w:p>
      <w:pPr>
        <w:spacing w:after="0" w:line="121"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consolidated financial statements in accordance with Canadian accounting standards for private enterprises; this includes the design, implementation and maintenance of internal control relevant to the preparation and fair presentation of consolidated financial statements that are free from material misstatement, whether due to fraud or error.</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21" w:lineRule="exact"/>
        <w:rPr>
          <w:sz w:val="20"/>
          <w:szCs w:val="20"/>
          <w:color w:val="auto"/>
        </w:rPr>
      </w:pPr>
    </w:p>
    <w:p>
      <w:pPr>
        <w:jc w:val="both"/>
        <w:ind w:left="200" w:right="100"/>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76"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accounting estimates made by management, as well as evaluating the overall presentation of the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believe that the audit evidence we have obtained in our audits is sufficient and appropriate to provide a basis for our audit opinion.</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left="200" w:right="28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Noralta Lodge Ltd. and its subsidiaries as of May 31, 2017 and May 31, 2016 and the results of their operations and their cash flows for each of the years ended May 31, 2017, May 31, 2016 and May 31, 2015 in accordance with Canadian accounting standards for private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140970</wp:posOffset>
            </wp:positionV>
            <wp:extent cx="2546985" cy="291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46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Chartered Professional Accountants</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60"/>
          </w:cols>
          <w:pgMar w:left="240" w:top="456" w:right="49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8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75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16,940,767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 and other receivables (Note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26,880,351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Advances to shareholder (Note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 (Note 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54,597,933</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28,364,346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(Note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159,279,490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170,690,969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(Note 5)</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170,351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214,047,774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199,454,162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 (Notes 7 and 11)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14,774,745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13,093,613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7,440,837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under capital lease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Long-term debt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4,686,698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obligations (Note 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28,346,127</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13,459,432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capital lease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94,754,822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145,622,907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payable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obligations (Note 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7,739,960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taxes (Note 15)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24,310,700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156,505,334</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178,497,567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guarantees (Note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capital (Note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shares, redeemable at $479,246,126 (2016 – $480,068,244)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9,606,899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47,935,441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11,332,157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57,542,440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214,047,774</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199,454,162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240" w:top="455" w:right="41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Consolidated Statements of Retained Earnings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7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for the years ended</w:t>
            </w:r>
          </w:p>
        </w:tc>
        <w:tc>
          <w:tcPr>
            <w:tcW w:w="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May 31, 2015</w:t>
            </w:r>
          </w:p>
        </w:tc>
      </w:tr>
      <w:tr>
        <w:trPr>
          <w:trHeight w:val="190"/>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 beginning of</w:t>
            </w:r>
          </w:p>
        </w:tc>
        <w:tc>
          <w:tcPr>
            <w:tcW w:w="54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w:t>
            </w:r>
          </w:p>
        </w:tc>
        <w:tc>
          <w:tcPr>
            <w:tcW w:w="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5"/>
              </w:rPr>
              <w:t>$ 11,332,157</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21,500,499</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50,916,550</w:t>
            </w:r>
          </w:p>
        </w:tc>
        <w:tc>
          <w:tcPr>
            <w:tcW w:w="140" w:type="dxa"/>
            <w:vAlign w:val="bottom"/>
            <w:tcBorders>
              <w:top w:val="single" w:sz="8" w:color="CCEEFF"/>
            </w:tcBorders>
            <w:shd w:val="clear" w:color="auto" w:fill="CCEEFF"/>
          </w:tcPr>
          <w:p>
            <w:pPr>
              <w:spacing w:after="0"/>
              <w:rPr>
                <w:sz w:val="16"/>
                <w:szCs w:val="16"/>
                <w:color w:val="auto"/>
              </w:rPr>
            </w:pPr>
          </w:p>
        </w:tc>
      </w:tr>
      <w:tr>
        <w:trPr>
          <w:trHeight w:val="324"/>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 (loss) for the year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37,407,963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(10,067,757)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(12,918,741)</w:t>
            </w: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on redemption of shares (Note 14)</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(804,679)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(100,585)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(16,497,310)</w:t>
            </w:r>
          </w:p>
        </w:tc>
      </w:tr>
      <w:tr>
        <w:trPr>
          <w:trHeight w:val="223"/>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 end of year</w:t>
            </w: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$ 47,935,441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11,332,157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21,500,499</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240" w:top="456" w:right="41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7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for the years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May 31, 2015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5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158,725,312</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94,952,763</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132,435,773</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Wages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29,743,106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31,728,288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45,966,321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Groceries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19,622,481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11,718,906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13,240,239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Telephone and utilities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8,917,952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7,966,855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9,932,449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1,800,638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Contracted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Aircraft and travel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2,015,782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3,750,272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Repairs and maintenance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Lodge supplies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71,272,230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64,119,867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84,260,243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87,453,082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48,175,530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 (Note 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10,441,232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8,318,999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20,632,924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19,873,694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20,884,120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24,270,675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Reorganization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Mobilization and demobilization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12,216,931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14,795,664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12,166,545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35,285,778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37,098,344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37,569,268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41,726,072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(14,584,447)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(10,026,662)</w:t>
            </w: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Wildfire costs (Note 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(169,068)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(1,681,665)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Insurance proceeds (Note 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2,932,091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 loss on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repayment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foreign exchange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9,585,113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51,311,185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(14,811,087)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(11,090,163)</w:t>
            </w: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taxes (recovery) (Note 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(1,606,387)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(3,136,943)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13,903,222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(4,743,330)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earnings (loss) for the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37,407,963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(10,067,757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(12,918,741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240" w:top="456" w:right="41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7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for the years ended</w:t>
            </w:r>
          </w:p>
        </w:tc>
        <w:tc>
          <w:tcPr>
            <w:tcW w:w="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200" w:type="dxa"/>
            <w:vAlign w:val="bottom"/>
          </w:tcPr>
          <w:p>
            <w:pPr>
              <w:spacing w:after="0"/>
              <w:rPr>
                <w:sz w:val="15"/>
                <w:szCs w:val="15"/>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May 31, 2015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6"/>
              </w:rPr>
              <w:t>Cash provided by (used</w:t>
            </w:r>
          </w:p>
        </w:tc>
        <w:tc>
          <w:tcPr>
            <w:tcW w:w="5240" w:type="dxa"/>
            <w:vAlign w:val="bottom"/>
            <w:tcBorders>
              <w:top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in)</w:t>
            </w:r>
          </w:p>
        </w:tc>
        <w:tc>
          <w:tcPr>
            <w:tcW w:w="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earnings (loss) for the year</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$ 37,407,963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(10,067,757)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(12,918,741)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Items not affecting cash</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19,873,694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20,884,120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Accretion</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(229,772)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(164,210)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Amortization of finance fees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1,313,302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Gain on repayment of long-term debt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(6,736,813)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Future income tax expense (recovery)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6,439,043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(3,136,943)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Impairment loss on property and equipment</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58,209,497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8,830,249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non-cash working capital items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(9,246,340)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(2,863,129)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18,709,327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(1,077,624)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1,681,132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(7,336,570)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8,200,384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5,050,825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(4,517,377)</w:t>
            </w:r>
          </w:p>
        </w:tc>
        <w:tc>
          <w:tcPr>
            <w:tcW w:w="0" w:type="dxa"/>
            <w:vAlign w:val="bottom"/>
          </w:tcPr>
          <w:p>
            <w:pPr>
              <w:spacing w:after="0"/>
              <w:rPr>
                <w:sz w:val="1"/>
                <w:szCs w:val="1"/>
                <w:color w:val="auto"/>
              </w:rPr>
            </w:pPr>
          </w:p>
        </w:tc>
      </w:tr>
      <w:tr>
        <w:trPr>
          <w:trHeight w:val="228"/>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59,076,063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10,204,232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39,725,170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 and intangible assets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(1,369,505)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(1,759,737)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to) repayment from shareholder</w:t>
            </w:r>
          </w:p>
        </w:tc>
        <w:tc>
          <w:tcPr>
            <w:tcW w:w="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(5,188,164)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4,063,497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(972,800)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(5,498,616)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(2,482,723)</w:t>
            </w: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on long-term debt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(79,636,629)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(157,513,333)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fees paid</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(1,121,247)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promissory notes payable</w:t>
            </w:r>
          </w:p>
        </w:tc>
        <w:tc>
          <w:tcPr>
            <w:tcW w:w="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obligations under capital lease</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(365,818)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(865,764)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and redemption of shares</w:t>
            </w:r>
          </w:p>
        </w:tc>
        <w:tc>
          <w:tcPr>
            <w:tcW w:w="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(822,118)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(102,765)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(16,499,016)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(41,945,812)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(3,968,529)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(40,326,354)</w:t>
            </w: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cash during the 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16,157,451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737,087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(3,083,907)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$ 16,940,767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240" w:top="456" w:right="41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rFonts w:ascii="Times New Roman" w:cs="Times New Roman" w:eastAsia="Times New Roman" w:hAnsi="Times New Roman"/>
          <w:sz w:val="18"/>
          <w:szCs w:val="18"/>
          <w:b w:val="1"/>
          <w:bCs w:val="1"/>
          <w:color w:val="auto"/>
        </w:rPr>
      </w:pPr>
    </w:p>
    <w:p>
      <w:pPr>
        <w:ind w:left="64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Noralta Lodge Ltd. and its wholly owned subsidiaries (together the “Company”) supply and operate industrial lodging in Northern Alberta. The majority of the Company’s customers operate in the oil and gas industry.</w:t>
      </w:r>
    </w:p>
    <w:p>
      <w:pPr>
        <w:spacing w:after="0" w:line="306" w:lineRule="exact"/>
        <w:rPr>
          <w:sz w:val="20"/>
          <w:szCs w:val="20"/>
          <w:color w:val="auto"/>
        </w:rPr>
      </w:pPr>
    </w:p>
    <w:p>
      <w:pPr>
        <w:ind w:left="640" w:hanging="436"/>
        <w:spacing w:after="0"/>
        <w:tabs>
          <w:tab w:leader="none" w:pos="64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rFonts w:ascii="Times New Roman" w:cs="Times New Roman" w:eastAsia="Times New Roman" w:hAnsi="Times New Roman"/>
          <w:sz w:val="18"/>
          <w:szCs w:val="18"/>
          <w:b w:val="1"/>
          <w:bCs w:val="1"/>
          <w:color w:val="auto"/>
        </w:rPr>
      </w:pPr>
    </w:p>
    <w:p>
      <w:pPr>
        <w:ind w:left="6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have been prepared in accordance with Canadian Accounting Standards for Private Enterprises (“ASPE”). ASPE requires entities to select accounting policies appropriate for their circumstances from choices provided in the specific standards. The following are details of the significant accounting policies selected by the Company, which have been consistently applied throughout all periods presented in these consolidated financial statements.</w:t>
      </w:r>
    </w:p>
    <w:p>
      <w:pPr>
        <w:spacing w:after="0" w:line="28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w:t>
      </w:r>
    </w:p>
    <w:p>
      <w:pPr>
        <w:spacing w:after="0" w:line="121" w:lineRule="exact"/>
        <w:rPr>
          <w:rFonts w:ascii="Times New Roman" w:cs="Times New Roman" w:eastAsia="Times New Roman" w:hAnsi="Times New Roman"/>
          <w:sz w:val="18"/>
          <w:szCs w:val="18"/>
          <w:b w:val="1"/>
          <w:bCs w:val="1"/>
          <w:color w:val="auto"/>
        </w:rPr>
      </w:pPr>
    </w:p>
    <w:p>
      <w:pPr>
        <w:ind w:left="64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 are entities controlled by the Company. The financial statements of subsidiaries are included in the consolidated financial statements from the date that control commences until the date that control ceases. The accounting policies of subsidiaries are aligned with the policies adopted by the Company. The Company’s joint ventures are those entities over whose activities the Company has joint control, established by contractual agreement. Joint ventures are accounted for using the equity method and are initially recognized at cost.</w:t>
      </w:r>
    </w:p>
    <w:p>
      <w:pPr>
        <w:spacing w:after="0" w:line="71" w:lineRule="exact"/>
        <w:rPr>
          <w:rFonts w:ascii="Times New Roman" w:cs="Times New Roman" w:eastAsia="Times New Roman" w:hAnsi="Times New Roman"/>
          <w:sz w:val="18"/>
          <w:szCs w:val="18"/>
          <w:b w:val="1"/>
          <w:bCs w:val="1"/>
          <w:color w:val="auto"/>
        </w:rPr>
      </w:pPr>
    </w:p>
    <w:p>
      <w:pPr>
        <w:ind w:left="64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Intra-group balances and transactions and any unrealized income and expenses arising from intra-group transactions are eliminated in preparing the consolidated financial statements. Unrealized gains arising from transactions with equity accounted investees are eliminated against the investment to the extent of the Company’s interest in the investee. Unrealized losses are eliminated in the same way as unrealized gains, but only to the extent that there is no evidence of impairment.</w:t>
      </w:r>
    </w:p>
    <w:p>
      <w:pPr>
        <w:spacing w:after="0" w:line="28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b w:val="1"/>
          <w:bCs w:val="1"/>
          <w:color w:val="auto"/>
        </w:rPr>
      </w:pPr>
    </w:p>
    <w:p>
      <w:pPr>
        <w:ind w:left="6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consolidated financial statements for a period includes the use of estimates and approximations, which have been made using careful judgment. Uncertainty is inherent in estimating the useful life of property and equipment and corresponding amortization rates, allowances for doubtful accounts receivable, inventory obsolescence, provision for legal contingencies, estimates of asset retirement costs, timing of payments, and present value discount rate and inflation rate used to determine the asset retirement obligation. Actual results could differ significantly from those estimates.</w:t>
      </w:r>
    </w:p>
    <w:p>
      <w:pPr>
        <w:spacing w:after="0" w:line="28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rFonts w:ascii="Times New Roman" w:cs="Times New Roman" w:eastAsia="Times New Roman" w:hAnsi="Times New Roman"/>
          <w:sz w:val="18"/>
          <w:szCs w:val="18"/>
          <w:b w:val="1"/>
          <w:bCs w:val="1"/>
          <w:color w:val="auto"/>
        </w:rPr>
      </w:pPr>
    </w:p>
    <w:p>
      <w:pPr>
        <w:ind w:left="64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is valued at the lower of cost and net realizable value, with cost determined on a first-in, first-out basis. The amount of inventories recognized as an expense in the period is presented in the consolidated statement of operations as groceries and lodge supplies expenses.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has two investments in limited partnerships that are accounted for using the equity method.</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00"/>
          </w:cols>
          <w:pgMar w:left="240" w:top="455" w:right="4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are recorded at cost and are amortized using the following methods and annual rates:</w:t>
      </w:r>
    </w:p>
    <w:p>
      <w:pPr>
        <w:spacing w:after="0" w:line="27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bunkhouses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 declining balance</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 straight-line</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Road, paving and fences</w:t>
            </w:r>
          </w:p>
        </w:tc>
        <w:tc>
          <w:tcPr>
            <w:tcW w:w="2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declining balance</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45% declining balance</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declining balance</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20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declining balance</w:t>
            </w:r>
          </w:p>
        </w:tc>
      </w:tr>
    </w:tbl>
    <w:p>
      <w:pPr>
        <w:spacing w:after="0" w:line="71" w:lineRule="exact"/>
        <w:rPr>
          <w:sz w:val="20"/>
          <w:szCs w:val="20"/>
          <w:color w:val="auto"/>
        </w:rPr>
      </w:pPr>
    </w:p>
    <w:p>
      <w:pPr>
        <w:ind w:left="640" w:right="260"/>
        <w:spacing w:after="0" w:line="282" w:lineRule="auto"/>
        <w:rPr>
          <w:sz w:val="20"/>
          <w:szCs w:val="20"/>
          <w:color w:val="auto"/>
        </w:rPr>
      </w:pPr>
      <w:r>
        <w:rPr>
          <w:rFonts w:ascii="Times New Roman" w:cs="Times New Roman" w:eastAsia="Times New Roman" w:hAnsi="Times New Roman"/>
          <w:sz w:val="18"/>
          <w:szCs w:val="18"/>
          <w:color w:val="auto"/>
        </w:rPr>
        <w:t>Assets under construction are not amortized until they are available for use. Interest that relates directly to financing of construction of assets is capitalized until the date on which the asset is put into use.</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Intangible assets are recorded at cost. Software is amortized using the declining balance method at an annual rate of 20% to 100%. Software under development is not amortized until it is available for use.</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640"/>
        <w:spacing w:after="0" w:line="261" w:lineRule="auto"/>
        <w:rPr>
          <w:sz w:val="20"/>
          <w:szCs w:val="20"/>
          <w:color w:val="auto"/>
        </w:rPr>
      </w:pPr>
      <w:r>
        <w:rPr>
          <w:rFonts w:ascii="Times New Roman" w:cs="Times New Roman" w:eastAsia="Times New Roman" w:hAnsi="Times New Roman"/>
          <w:sz w:val="18"/>
          <w:szCs w:val="18"/>
          <w:color w:val="auto"/>
        </w:rPr>
        <w:t>The Company follows the liability method of accounting for income taxes. Under this method, future income tax assets and liabilities are recognized for the estimated income tax consequences attributable to differences between the consolidated financial statement carrying amounts of assets and liabilities and their respective tax basis. Future income tax assets and liabilities are measured using substantively enacted tax rates. The effect on future income tax assets and liabilities of a change in tax rates is recognized in earnings in the year that the change occurs.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sz w:val="20"/>
          <w:szCs w:val="20"/>
          <w:color w:val="auto"/>
        </w:rPr>
      </w:pPr>
    </w:p>
    <w:p>
      <w:pPr>
        <w:ind w:left="640" w:right="220"/>
        <w:spacing w:after="0" w:line="255" w:lineRule="auto"/>
        <w:rPr>
          <w:sz w:val="20"/>
          <w:szCs w:val="20"/>
          <w:color w:val="auto"/>
        </w:rPr>
      </w:pPr>
      <w:r>
        <w:rPr>
          <w:rFonts w:ascii="Times New Roman" w:cs="Times New Roman" w:eastAsia="Times New Roman" w:hAnsi="Times New Roman"/>
          <w:sz w:val="18"/>
          <w:szCs w:val="18"/>
          <w:color w:val="auto"/>
        </w:rPr>
        <w:t>An asset retirement obligation is recognized if, as a result of a past event, the Company has a present legal obligation that can be estimated reliably and it is probable that an outflow of economic benefits will be required to settle the obligation. In the prior year, the asset retirement obligation was determined to not be material and no amounts were recorded in the financial statements. In the current year, the asset retirement obligation was recorded based on revised timing of the cash flows related to the obligation. An asset retirement obligation is determined by discounting the expected future cash flows at a pre-tax risk-free rate that reflects current market assessments of the time value of money and the risks specific to the liability. The unwinding of the discount is recognized as a finance cost. As at May 31, 2017 the Company recognized a provision for an asset retirement obligation associated with estimated demobilization and site restoration costs for certain lodge facilities.</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640" w:right="220"/>
        <w:spacing w:after="0" w:line="282" w:lineRule="auto"/>
        <w:rPr>
          <w:sz w:val="20"/>
          <w:szCs w:val="20"/>
          <w:color w:val="auto"/>
        </w:rPr>
      </w:pPr>
      <w:r>
        <w:rPr>
          <w:rFonts w:ascii="Times New Roman" w:cs="Times New Roman" w:eastAsia="Times New Roman" w:hAnsi="Times New Roman"/>
          <w:sz w:val="18"/>
          <w:szCs w:val="18"/>
          <w:color w:val="auto"/>
        </w:rPr>
        <w:t>Preferred shares have been issued in tax planning arrangements under certain sections of the Income Tax Act that allow for their presentation as equity under accounting standards for private enterprises.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Room and meal revenue is recognized as services are provided and collection is reasonably assured.</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20"/>
          </w:cols>
          <w:pgMar w:left="240" w:top="455" w:right="4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jc w:val="both"/>
        <w:ind w:left="640" w:right="160"/>
        <w:spacing w:after="0" w:line="266" w:lineRule="auto"/>
        <w:rPr>
          <w:sz w:val="20"/>
          <w:szCs w:val="20"/>
          <w:color w:val="auto"/>
        </w:rPr>
      </w:pPr>
      <w:r>
        <w:rPr>
          <w:rFonts w:ascii="Times New Roman" w:cs="Times New Roman" w:eastAsia="Times New Roman" w:hAnsi="Times New Roman"/>
          <w:sz w:val="18"/>
          <w:szCs w:val="18"/>
          <w:color w:val="auto"/>
        </w:rPr>
        <w:t>Cash, trade and other receivables, accounts payable and accrued liabilities and long-term debt are all recorded at amortized cost. Financial assets are tested for impairment at the end of each reporting period when there are indications the assets may be impaired. Advances to shareholder and promissory note payable are related party balances and have been recorded at the exchange amount.</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p>
      <w:pPr>
        <w:spacing w:after="0" w:line="121" w:lineRule="exact"/>
        <w:rPr>
          <w:sz w:val="20"/>
          <w:szCs w:val="20"/>
          <w:color w:val="auto"/>
        </w:rPr>
      </w:pPr>
    </w:p>
    <w:p>
      <w:pPr>
        <w:ind w:left="640" w:right="46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was recorded at fair value and relates to options that were granted and exercised in 2015. Share capital is increased for the amount of the compensation and the consideration paid upon the exercise of the share options.</w:t>
      </w:r>
    </w:p>
    <w:p>
      <w:pPr>
        <w:spacing w:after="0" w:line="306" w:lineRule="exact"/>
        <w:rPr>
          <w:sz w:val="20"/>
          <w:szCs w:val="20"/>
          <w:color w:val="auto"/>
        </w:rPr>
      </w:pPr>
    </w:p>
    <w:p>
      <w:pPr>
        <w:ind w:left="640" w:hanging="436"/>
        <w:spacing w:after="0"/>
        <w:tabs>
          <w:tab w:leader="none" w:pos="64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color w:val="auto"/>
              </w:rPr>
              <w:t>Canadian $ as at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CCEEFF"/>
            </w:tcBorders>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Groceries</w:t>
            </w:r>
          </w:p>
        </w:tc>
        <w:tc>
          <w:tcPr>
            <w:tcW w:w="1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291,578</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478,354</w:t>
            </w: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Camp supplies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1,762,462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1,792,878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CCEEFF"/>
            </w:tcBorders>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$ 2,271,232</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3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0" w:type="dxa"/>
            <w:vAlign w:val="bottom"/>
            <w:vMerge w:val="continue"/>
          </w:tcPr>
          <w:p>
            <w:pPr>
              <w:spacing w:after="0"/>
              <w:rPr>
                <w:sz w:val="24"/>
                <w:szCs w:val="24"/>
                <w:color w:val="auto"/>
              </w:rPr>
            </w:pPr>
          </w:p>
        </w:tc>
        <w:tc>
          <w:tcPr>
            <w:tcW w:w="32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color w:val="auto"/>
              </w:rPr>
              <w:t>Canadian $ as 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32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Land</w:t>
            </w:r>
          </w:p>
        </w:tc>
        <w:tc>
          <w:tcPr>
            <w:tcW w:w="2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2,927,920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2,927,920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2,927,920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2,927,920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bunkhouses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244,423,339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110,165,263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134,258,076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244,403,903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95,437,262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148,966,641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5,309,349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4,771,805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Road, paving and fences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7,631,804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2,058,937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5,572,867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7,576,487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1,715,990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20,092,440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12,658,260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7,434,180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19,766,718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11,012,498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Automotive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3,837,296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4,224,484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3,184,801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2,951,409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8,851,880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294,555,310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135,275,820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159,279,490</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289,764,734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119,073,765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170,690,969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40" w:right="320"/>
        <w:spacing w:after="0" w:line="282" w:lineRule="auto"/>
        <w:rPr>
          <w:sz w:val="20"/>
          <w:szCs w:val="20"/>
          <w:color w:val="auto"/>
        </w:rPr>
      </w:pPr>
      <w:r>
        <w:rPr>
          <w:rFonts w:ascii="Times New Roman" w:cs="Times New Roman" w:eastAsia="Times New Roman" w:hAnsi="Times New Roman"/>
          <w:sz w:val="18"/>
          <w:szCs w:val="18"/>
          <w:color w:val="auto"/>
        </w:rPr>
        <w:t>Amortization expense relating to property and equipment charged to current operations during the year was $19,623,300 (2016 – $20,340,828; 2015 – $23,177,803). No amortization was recorded for aircraft as the asset was classified as held-for-sale in 2017 as disclosed in note 6.</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240" w:top="456" w:right="41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32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2"/>
                <w:szCs w:val="12"/>
                <w:color w:val="auto"/>
              </w:rPr>
            </w:pPr>
          </w:p>
        </w:tc>
        <w:tc>
          <w:tcPr>
            <w:tcW w:w="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960" w:type="dxa"/>
            <w:vAlign w:val="bottom"/>
            <w:gridSpan w:val="2"/>
            <w:vMerge w:val="continue"/>
          </w:tcPr>
          <w:p>
            <w:pPr>
              <w:spacing w:after="0"/>
              <w:rPr>
                <w:sz w:val="16"/>
                <w:szCs w:val="16"/>
                <w:color w:val="auto"/>
              </w:rPr>
            </w:pPr>
          </w:p>
        </w:tc>
        <w:tc>
          <w:tcPr>
            <w:tcW w:w="3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Software</w:t>
            </w:r>
          </w:p>
        </w:tc>
        <w:tc>
          <w:tcPr>
            <w:tcW w:w="3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$ 2,510,261</w:t>
            </w: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$ 2,339,910</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$ 170,351</w:t>
            </w: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$ 2,488,362</w:t>
            </w: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$ 2,089,515</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$ 398,847</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40" w:right="760"/>
        <w:spacing w:after="0" w:line="282" w:lineRule="auto"/>
        <w:rPr>
          <w:sz w:val="20"/>
          <w:szCs w:val="20"/>
          <w:color w:val="auto"/>
        </w:rPr>
      </w:pPr>
      <w:r>
        <w:rPr>
          <w:rFonts w:ascii="Times New Roman" w:cs="Times New Roman" w:eastAsia="Times New Roman" w:hAnsi="Times New Roman"/>
          <w:sz w:val="18"/>
          <w:szCs w:val="18"/>
          <w:color w:val="auto"/>
        </w:rPr>
        <w:t>Amortization expense relating to intangible assets charged to current operations during the year was $250,394 (2016 – $543,292; 2015 – $1,092,872).</w:t>
      </w:r>
    </w:p>
    <w:p>
      <w:pPr>
        <w:spacing w:after="0" w:line="306" w:lineRule="exact"/>
        <w:rPr>
          <w:sz w:val="20"/>
          <w:szCs w:val="20"/>
          <w:color w:val="auto"/>
        </w:rPr>
      </w:pPr>
    </w:p>
    <w:p>
      <w:pPr>
        <w:ind w:left="640" w:hanging="436"/>
        <w:spacing w:after="0"/>
        <w:tabs>
          <w:tab w:leader="none" w:pos="64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held for sale</w:t>
      </w:r>
    </w:p>
    <w:p>
      <w:pPr>
        <w:spacing w:after="0" w:line="12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 held for sale relates to a single aircraft owned by the Company that was subsequently sold after May 31, 2017. Refer to note 23.</w:t>
      </w:r>
    </w:p>
    <w:p>
      <w:pPr>
        <w:spacing w:after="0" w:line="370" w:lineRule="exact"/>
        <w:rPr>
          <w:sz w:val="20"/>
          <w:szCs w:val="20"/>
          <w:color w:val="auto"/>
        </w:rPr>
      </w:pPr>
    </w:p>
    <w:p>
      <w:pPr>
        <w:ind w:left="640" w:hanging="436"/>
        <w:spacing w:after="0"/>
        <w:tabs>
          <w:tab w:leader="none" w:pos="640"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121" w:lineRule="exact"/>
        <w:rPr>
          <w:rFonts w:ascii="Times New Roman" w:cs="Times New Roman" w:eastAsia="Times New Roman" w:hAnsi="Times New Roman"/>
          <w:sz w:val="18"/>
          <w:szCs w:val="18"/>
          <w:b w:val="1"/>
          <w:bCs w:val="1"/>
          <w:color w:val="auto"/>
        </w:rPr>
      </w:pPr>
    </w:p>
    <w:p>
      <w:pPr>
        <w:ind w:left="64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Government remittances consist of amounts (such as sales taxes and payroll withholding taxes) required to be paid to government authorities and are recognized when the amounts come due. In respect of government remittances $985,245 (2016 – $600,847) is included in accounts payable and accrued liabilities.</w:t>
      </w: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6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2"/>
        </w:trPr>
        <w:tc>
          <w:tcPr>
            <w:tcW w:w="260" w:type="dxa"/>
            <w:vAlign w:val="bottom"/>
          </w:tcPr>
          <w:p>
            <w:pPr>
              <w:spacing w:after="0"/>
              <w:rPr>
                <w:sz w:val="24"/>
                <w:szCs w:val="24"/>
                <w:color w:val="auto"/>
              </w:rPr>
            </w:pPr>
          </w:p>
        </w:tc>
        <w:tc>
          <w:tcPr>
            <w:tcW w:w="7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Canadian $ as at</w:t>
            </w:r>
          </w:p>
        </w:tc>
        <w:tc>
          <w:tcPr>
            <w:tcW w:w="60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May 31, 2016</w:t>
            </w:r>
          </w:p>
        </w:tc>
      </w:tr>
      <w:tr>
        <w:trPr>
          <w:trHeight w:val="190"/>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86"/>
              </w:rPr>
              <w:t>Senior secured</w:t>
            </w:r>
          </w:p>
        </w:tc>
        <w:tc>
          <w:tcPr>
            <w:tcW w:w="6480" w:type="dxa"/>
            <w:vAlign w:val="bottom"/>
            <w:tcBorders>
              <w:top w:val="single" w:sz="8" w:color="CCEEFF"/>
            </w:tcBorders>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notes due September 24, 2019, bearing interest at 7.50% payable semi-annually</w:t>
            </w:r>
          </w:p>
        </w:tc>
        <w:tc>
          <w:tcPr>
            <w:tcW w:w="6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$ 82,162,000</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$ 150,000,000</w:t>
            </w:r>
          </w:p>
        </w:tc>
        <w:tc>
          <w:tcPr>
            <w:tcW w:w="140" w:type="dxa"/>
            <w:vAlign w:val="bottom"/>
            <w:tcBorders>
              <w:top w:val="single" w:sz="8" w:color="CCEEFF"/>
            </w:tcBorders>
            <w:shd w:val="clear" w:color="auto" w:fill="CCEEFF"/>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facility, maturing March 24, 2019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20,343,312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finance fees</w:t>
            </w:r>
          </w:p>
        </w:tc>
        <w:tc>
          <w:tcPr>
            <w:tcW w:w="1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(3,063,792)</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(4,377,093)</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(4,686,698)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$ 94,754,822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$ 145,622,907</w:t>
            </w:r>
          </w:p>
        </w:tc>
        <w:tc>
          <w:tcPr>
            <w:tcW w:w="14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ind w:left="640" w:right="40"/>
        <w:spacing w:after="0" w:line="255" w:lineRule="auto"/>
        <w:rPr>
          <w:sz w:val="20"/>
          <w:szCs w:val="20"/>
          <w:color w:val="auto"/>
        </w:rPr>
      </w:pPr>
      <w:r>
        <w:rPr>
          <w:rFonts w:ascii="Times New Roman" w:cs="Times New Roman" w:eastAsia="Times New Roman" w:hAnsi="Times New Roman"/>
          <w:sz w:val="18"/>
          <w:szCs w:val="18"/>
          <w:color w:val="auto"/>
        </w:rPr>
        <w:t>On September 24, 2014, the Company issued $150,000,000 of 7.50% senior secured notes due September 24, 2019. These notes are secured equally and rateably by second priority liens, subject to certain permitted liens, in substantially all of the present and future undertakings, property and assets of the Company and guarantors, subject to certain limited exceptions set out in the applicable security documents contained in the debenture. These notes pay interest semi-annually and are redeemable at the Company’s option in whole or in part, commencing on September 24, 2016 at the following redemption prices (expressed as a percentage of the principal amount of the notes): 2016 at 105.625%, 2017 at 103.750%, 2018 and thereafter at 100.000%. The outstanding notes are redeemable in accordance with the redemption provisions contained in the indenture governing such notes and would be redeemable if the Company was not in compliance with the indenture. The Company was compliant with the indenture at May 31, 2017 and May 31, 2016.</w:t>
      </w:r>
    </w:p>
    <w:p>
      <w:pPr>
        <w:spacing w:after="0" w:line="77" w:lineRule="exact"/>
        <w:rPr>
          <w:sz w:val="20"/>
          <w:szCs w:val="20"/>
          <w:color w:val="auto"/>
        </w:rPr>
      </w:pPr>
    </w:p>
    <w:p>
      <w:pPr>
        <w:ind w:left="640" w:right="160"/>
        <w:spacing w:after="0" w:line="266" w:lineRule="auto"/>
        <w:rPr>
          <w:sz w:val="20"/>
          <w:szCs w:val="20"/>
          <w:color w:val="auto"/>
        </w:rPr>
      </w:pPr>
      <w:r>
        <w:rPr>
          <w:rFonts w:ascii="Times New Roman" w:cs="Times New Roman" w:eastAsia="Times New Roman" w:hAnsi="Times New Roman"/>
          <w:sz w:val="18"/>
          <w:szCs w:val="18"/>
          <w:color w:val="auto"/>
        </w:rPr>
        <w:t>On November 1, 2016 the Company negotiated a repayment of $56,500,000 of its senior secured notes for $50,000,000 resulting in a $5,395,602 gain, net of fees. The repayment was funded with $10,000,000 in cash on hand and a $40,000,000 bank term loan issued under an amended and restated Credit Agreement dated</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240" w:top="456" w:right="41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ind w:left="640" w:right="120"/>
        <w:spacing w:after="0" w:line="266" w:lineRule="auto"/>
        <w:rPr>
          <w:sz w:val="20"/>
          <w:szCs w:val="20"/>
          <w:color w:val="auto"/>
        </w:rPr>
      </w:pPr>
      <w:r>
        <w:rPr>
          <w:rFonts w:ascii="Times New Roman" w:cs="Times New Roman" w:eastAsia="Times New Roman" w:hAnsi="Times New Roman"/>
          <w:sz w:val="18"/>
          <w:szCs w:val="18"/>
          <w:color w:val="auto"/>
        </w:rPr>
        <w:t>October 31, 2016. On January 16, 2017 the Company negotiated a further repayment of $11,338,000 of its senior secured notes for $9,977,440 resulting in a $1,341,211 gain, net of fees. This repayment was funded with cash on hand. Both gains are recorded in the consolidated statements of operations.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640" w:right="300"/>
        <w:spacing w:after="0" w:line="266" w:lineRule="auto"/>
        <w:rPr>
          <w:sz w:val="20"/>
          <w:szCs w:val="20"/>
          <w:color w:val="auto"/>
        </w:rPr>
      </w:pPr>
      <w:r>
        <w:rPr>
          <w:rFonts w:ascii="Times New Roman" w:cs="Times New Roman" w:eastAsia="Times New Roman" w:hAnsi="Times New Roman"/>
          <w:sz w:val="18"/>
          <w:szCs w:val="18"/>
          <w:color w:val="auto"/>
        </w:rPr>
        <w:t>On September 24, 2014, the Company entered into a credit agreement (the “Credit Agreement”) which was subsequently amended on July 28, 2015, and April 1, 2016. On October 31, 2016 the Company entered into an amended and restated credit agreement, which was subsequently amended on January 9, 2017 (the “Amended Credit Agreement”). The Amended Credit Agreement is secured through the following:</w:t>
      </w:r>
    </w:p>
    <w:p>
      <w:pPr>
        <w:spacing w:after="0" w:line="82" w:lineRule="exact"/>
        <w:rPr>
          <w:sz w:val="20"/>
          <w:szCs w:val="20"/>
          <w:color w:val="auto"/>
        </w:rPr>
      </w:pPr>
    </w:p>
    <w:p>
      <w:pPr>
        <w:ind w:left="1060" w:hanging="424"/>
        <w:spacing w:after="0" w:line="282" w:lineRule="auto"/>
        <w:tabs>
          <w:tab w:leader="none" w:pos="10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debenture or general security agreement containing a first priority security interest in all present and after-acquired personal property and a first priority floating charge on present and after-acquired real property;</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or debenture containing a first priority mortgage and charge over the specified lands;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assignment of rents and leases over the specified lands;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pledge agreement or charge over shares (or other equivalent security applicable in the relevant jurisdiction);</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security agreements if requested by the majority lenders;</w:t>
      </w:r>
    </w:p>
    <w:p>
      <w:pPr>
        <w:spacing w:after="0" w:line="130"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guarantees and all such other mortgages, debentures, assignments and other security agreements as are provided to the second lien secured parties from time to time; and</w:t>
      </w:r>
    </w:p>
    <w:p>
      <w:pPr>
        <w:spacing w:after="0" w:line="67" w:lineRule="exact"/>
        <w:rPr>
          <w:rFonts w:ascii="Times New Roman" w:cs="Times New Roman" w:eastAsia="Times New Roman" w:hAnsi="Times New Roman"/>
          <w:sz w:val="18"/>
          <w:szCs w:val="18"/>
          <w:color w:val="auto"/>
        </w:rPr>
      </w:pPr>
    </w:p>
    <w:p>
      <w:pPr>
        <w:ind w:left="1060" w:right="20" w:hanging="424"/>
        <w:spacing w:after="0" w:line="258" w:lineRule="auto"/>
        <w:tabs>
          <w:tab w:leader="none" w:pos="10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all such other guarantees and all such other mortgages, debentures, assignments and other security agreements as may be required by the majority lenders, acting reasonably (each in form and substance satisfactory to the majority lenders, acting reasonably) in order to, or to more effectively, charge in favour of the collateral agent on behalf of itself, the administrative agent, lenders, the cash manager and swap lenders on and against all of the undertaking assets and property (real or personal, tangible or intangible, present or future and of whatsoever nature and kind).</w:t>
      </w:r>
    </w:p>
    <w:p>
      <w:pPr>
        <w:spacing w:after="0" w:line="76" w:lineRule="exact"/>
        <w:rPr>
          <w:sz w:val="20"/>
          <w:szCs w:val="20"/>
          <w:color w:val="auto"/>
        </w:rPr>
      </w:pPr>
    </w:p>
    <w:p>
      <w:pPr>
        <w:ind w:left="640" w:right="120"/>
        <w:spacing w:after="0" w:line="258" w:lineRule="auto"/>
        <w:rPr>
          <w:sz w:val="20"/>
          <w:szCs w:val="20"/>
          <w:color w:val="auto"/>
        </w:rPr>
      </w:pPr>
      <w:r>
        <w:rPr>
          <w:rFonts w:ascii="Times New Roman" w:cs="Times New Roman" w:eastAsia="Times New Roman" w:hAnsi="Times New Roman"/>
          <w:sz w:val="18"/>
          <w:szCs w:val="18"/>
          <w:color w:val="auto"/>
        </w:rPr>
        <w:t>The Amended Credit Agreement provides a borrowing base determined by the value of receivables and equipment with Total Adjusted Leverage Ratio, Senior Adjusted Leverage Ratio and Fixed Charge Cover Ratio financial covenants. Under the terms of the January 9, 2017 Amended Credit Agreement the Total Adjusted Leverage Ratio will not apply until August 31, 2017; the Senior Adjusted Leverage Ratio will not be more than 2.00:1.00 and the Fixed Charge Coverage Ratio will not be less than 1.10:1.00 until May 31, 2017. Reporting under the terms of the January 9, 2017 Amended Credit Agreement the Company is fully compliant with its financial covenants.</w:t>
      </w:r>
    </w:p>
    <w:p>
      <w:pPr>
        <w:spacing w:after="0" w:line="76"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7"/>
          <w:szCs w:val="17"/>
          <w:color w:val="auto"/>
        </w:rPr>
        <w:t>The Amended Credit Agreement provides a borrowing base, determined by the value of receivables and equipment, with Total Adjusted Leverage Ratio, Senior Adjusted Leverage Ratio and Fixed Charge Cover Ratio financial covenants. Under the terms of the April 1, 2016 Amended Credit Agreement, the Total Adjusted Leverage Ratio will not apply until August 31, 2017; the Senior Adjusted Leverage Ratio will not be more than 2:0:1; and the Fixed Charge Coverage Ratio will not be less than 1.10:1 until May 31, 2016, and 1.50:1 thereafter. Reporting until the terms of the April 1, 2016 Amended Credit Agreement the Company is fully compliant with covenants relating to financial amounts relating to May 31, 2016.</w:t>
      </w:r>
    </w:p>
    <w:p>
      <w:pPr>
        <w:spacing w:after="0" w:line="60" w:lineRule="exact"/>
        <w:rPr>
          <w:sz w:val="20"/>
          <w:szCs w:val="20"/>
          <w:color w:val="auto"/>
        </w:rPr>
      </w:pPr>
    </w:p>
    <w:p>
      <w:pPr>
        <w:jc w:val="both"/>
        <w:ind w:left="640" w:right="200"/>
        <w:spacing w:after="0" w:line="266" w:lineRule="auto"/>
        <w:rPr>
          <w:sz w:val="20"/>
          <w:szCs w:val="20"/>
          <w:color w:val="auto"/>
        </w:rPr>
      </w:pPr>
      <w:r>
        <w:rPr>
          <w:rFonts w:ascii="Times New Roman" w:cs="Times New Roman" w:eastAsia="Times New Roman" w:hAnsi="Times New Roman"/>
          <w:sz w:val="18"/>
          <w:szCs w:val="18"/>
          <w:color w:val="auto"/>
        </w:rPr>
        <w:t>The January 9, 2017 Amended Credit Agreement allows for borrowing up to $100,000,000 (2016 – $70,000,000) contingent on the value of the borrowing base defined above which includes letters of credit up to $30,000,000. The revolving facility can be drawn in both Canadian and US funds. It also contains a</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00"/>
          </w:cols>
          <w:pgMar w:left="240" w:top="456" w:right="45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ind w:left="640" w:right="180"/>
        <w:spacing w:after="0" w:line="261" w:lineRule="auto"/>
        <w:rPr>
          <w:sz w:val="20"/>
          <w:szCs w:val="20"/>
          <w:color w:val="auto"/>
        </w:rPr>
      </w:pPr>
      <w:r>
        <w:rPr>
          <w:rFonts w:ascii="Times New Roman" w:cs="Times New Roman" w:eastAsia="Times New Roman" w:hAnsi="Times New Roman"/>
          <w:sz w:val="18"/>
          <w:szCs w:val="18"/>
          <w:color w:val="auto"/>
        </w:rPr>
        <w:t>$40,000,000 non-revolving term loan facility. Proceeds from the term loan facility can only be used to repurchase the senior secured notes. As at May 31, 2017, $nil (2016 – $nil) was drawn against the revolving credit facility and there was $279,330 (2016 – $12,900,000) of issued and undrawn letters of credit. As at May 31, 2017, $20,343,312 (2016 – $nil) was drawn against the term loan facility. As at May 31, 2017, the Company’s unused borrowing availability under the revolving facility was $79,377,358 (2016 – $57,100,000).</w:t>
      </w:r>
    </w:p>
    <w:p>
      <w:pPr>
        <w:spacing w:after="0" w:line="72" w:lineRule="exact"/>
        <w:rPr>
          <w:sz w:val="20"/>
          <w:szCs w:val="20"/>
          <w:color w:val="auto"/>
        </w:rPr>
      </w:pPr>
    </w:p>
    <w:p>
      <w:pPr>
        <w:jc w:val="both"/>
        <w:ind w:left="640" w:right="100"/>
        <w:spacing w:after="0" w:line="261" w:lineRule="auto"/>
        <w:rPr>
          <w:sz w:val="20"/>
          <w:szCs w:val="20"/>
          <w:color w:val="auto"/>
        </w:rPr>
      </w:pPr>
      <w:r>
        <w:rPr>
          <w:rFonts w:ascii="Times New Roman" w:cs="Times New Roman" w:eastAsia="Times New Roman" w:hAnsi="Times New Roman"/>
          <w:sz w:val="18"/>
          <w:szCs w:val="18"/>
          <w:color w:val="auto"/>
        </w:rPr>
        <w:t>Interest on the revolving facility is paid at variable rates based on the prime rate plus the applicable pricing margin (as defined in the October 31, 2016 Amended Credit Agreement). Stamping fees and interest related to the issuance of bankers’ acceptances are paid in advance on the issuance of such bankers’ acceptances. As at May 31, 2017, the prime rate was 2.70% (2016 – 2.70%; 2015 – 2.85%) and the stamping fee rate was 1.75% (2016 – 4.25%; 2015 – 4.25%).</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on debt includes $1,313,302 (2016 – $1,315,039; 2015 – $3,373,815) of financing fees amortized during the year.</w:t>
      </w:r>
    </w:p>
    <w:p>
      <w:pPr>
        <w:spacing w:after="0" w:line="370" w:lineRule="exact"/>
        <w:rPr>
          <w:sz w:val="20"/>
          <w:szCs w:val="20"/>
          <w:color w:val="auto"/>
        </w:rPr>
      </w:pPr>
    </w:p>
    <w:p>
      <w:pPr>
        <w:ind w:left="640" w:hanging="436"/>
        <w:spacing w:after="0"/>
        <w:tabs>
          <w:tab w:leader="none" w:pos="64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under capital lease</w:t>
      </w:r>
    </w:p>
    <w:p>
      <w:pPr>
        <w:spacing w:after="0" w:line="121" w:lineRule="exact"/>
        <w:rPr>
          <w:rFonts w:ascii="Times New Roman" w:cs="Times New Roman" w:eastAsia="Times New Roman" w:hAnsi="Times New Roman"/>
          <w:sz w:val="18"/>
          <w:szCs w:val="18"/>
          <w:b w:val="1"/>
          <w:bCs w:val="1"/>
          <w:color w:val="auto"/>
        </w:rPr>
      </w:pPr>
    </w:p>
    <w:p>
      <w:pPr>
        <w:ind w:left="640" w:right="6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obligations under capital lease for equipment bear annual interest from 3% to 12% payable in varying quarterly principal and interest payments. Future minimum lease payments for the obligations under capital lease are as follows:</w:t>
      </w:r>
    </w:p>
    <w:p>
      <w:pPr>
        <w:spacing w:after="0" w:line="182" w:lineRule="exact"/>
        <w:rPr>
          <w:sz w:val="20"/>
          <w:szCs w:val="20"/>
          <w:color w:val="auto"/>
        </w:rPr>
      </w:pPr>
    </w:p>
    <w:tbl>
      <w:tblPr>
        <w:tblLayout w:type="fixed"/>
        <w:tblInd w:w="1520" w:type="dxa"/>
        <w:tblCellMar>
          <w:top w:w="0" w:type="dxa"/>
          <w:left w:w="0" w:type="dxa"/>
          <w:bottom w:w="0" w:type="dxa"/>
          <w:right w:w="0" w:type="dxa"/>
        </w:tblCellMar>
      </w:tblPr>
      <w:tr>
        <w:trPr>
          <w:trHeight w:val="193"/>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3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2017</w:t>
            </w:r>
          </w:p>
        </w:tc>
        <w:tc>
          <w:tcPr>
            <w:tcW w:w="48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384,229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193,040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200,442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(189,847)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640" w:right="220"/>
        <w:spacing w:after="0" w:line="266" w:lineRule="auto"/>
        <w:rPr>
          <w:sz w:val="20"/>
          <w:szCs w:val="20"/>
          <w:color w:val="auto"/>
        </w:rPr>
      </w:pPr>
      <w:r>
        <w:rPr>
          <w:rFonts w:ascii="Times New Roman" w:cs="Times New Roman" w:eastAsia="Times New Roman" w:hAnsi="Times New Roman"/>
          <w:sz w:val="18"/>
          <w:szCs w:val="18"/>
          <w:color w:val="auto"/>
        </w:rPr>
        <w:t>The obligations under capital lease are collateralized by equipment with a net book value of $565,859 (2016 – $1,496,168). Assets under capital lease are recorded at a cost of $1,974,051 (2016 – $3,631,578) and accumulated amortization of $1,408,192 (2016 – $2,135,410). Amortization expense recorded during the year on assets under capital lease was $166,521 (2016 – $419,568).</w:t>
      </w:r>
    </w:p>
    <w:p>
      <w:pPr>
        <w:spacing w:after="0" w:line="321" w:lineRule="exact"/>
        <w:rPr>
          <w:sz w:val="20"/>
          <w:szCs w:val="20"/>
          <w:color w:val="auto"/>
        </w:rPr>
      </w:pPr>
    </w:p>
    <w:p>
      <w:pPr>
        <w:ind w:left="2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w:t>
        <w:tab/>
        <w:t>Promissory note payable</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14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26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0" w:type="dxa"/>
            <w:vAlign w:val="bottom"/>
          </w:tcPr>
          <w:p>
            <w:pPr>
              <w:spacing w:after="0"/>
              <w:rPr>
                <w:sz w:val="1"/>
                <w:szCs w:val="1"/>
                <w:color w:val="auto"/>
              </w:rPr>
            </w:pPr>
          </w:p>
        </w:tc>
      </w:tr>
      <w:tr>
        <w:trPr>
          <w:trHeight w:val="173"/>
        </w:trPr>
        <w:tc>
          <w:tcPr>
            <w:tcW w:w="7040" w:type="dxa"/>
            <w:vAlign w:val="bottom"/>
            <w:gridSpan w:val="3"/>
            <w:vMerge w:val="continue"/>
          </w:tcPr>
          <w:p>
            <w:pPr>
              <w:spacing w:after="0"/>
              <w:rPr>
                <w:sz w:val="15"/>
                <w:szCs w:val="15"/>
                <w:color w:val="auto"/>
              </w:rPr>
            </w:pPr>
          </w:p>
        </w:tc>
        <w:tc>
          <w:tcPr>
            <w:tcW w:w="2300" w:type="dxa"/>
            <w:vAlign w:val="bottom"/>
            <w:gridSpan w:val="2"/>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1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$ 1,346,414</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$ 1,346,414</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0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Promissory note payable to Balle Air Ltd., no interest, no terms for repayment</w:t>
            </w:r>
          </w:p>
        </w:tc>
        <w:tc>
          <w:tcPr>
            <w:tcW w:w="1420" w:type="dxa"/>
            <w:vAlign w:val="bottom"/>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540" w:right="1500" w:hanging="4899"/>
        <w:spacing w:after="0" w:line="454" w:lineRule="auto"/>
        <w:rPr>
          <w:sz w:val="20"/>
          <w:szCs w:val="20"/>
          <w:color w:val="auto"/>
        </w:rPr>
      </w:pPr>
      <w:r>
        <w:rPr>
          <w:rFonts w:ascii="Times New Roman" w:cs="Times New Roman" w:eastAsia="Times New Roman" w:hAnsi="Times New Roman"/>
          <w:sz w:val="18"/>
          <w:szCs w:val="18"/>
          <w:color w:val="auto"/>
        </w:rPr>
        <w:t>The promissory note payable is subordinated to the long-term debt described in note 8 and therefore is presented as long-term. F-12</w:t>
      </w:r>
    </w:p>
    <w:p>
      <w:pPr>
        <w:sectPr>
          <w:pgSz w:w="11900" w:h="16838" w:orient="portrait"/>
          <w:cols w:equalWidth="0" w:num="1">
            <w:col w:w="11240"/>
          </w:cols>
          <w:pgMar w:left="240" w:top="455" w:right="41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640" w:right="2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Related parties include the Company’s parent, Torgerson Family Trust, and companies controlled by a trustee of the parent, including Svenco Investments Ltd., 989677 Alberta Ltd., Balle Air Ltd. and Industrial Life Support Inc. Related parties also include a company controlled by an immediate family member of a trustee of the Company’s parent, Balle Capital Inc., as well as partnerships over which the Company has joint control, Dene Koe Workforce Lodging and Services Limited Partnership and Willow Lake Facilities Management Limited Partnership. 989677 Alberta Ltd. is also a preferred shareholder of the Company.</w:t>
      </w:r>
    </w:p>
    <w:p>
      <w:pPr>
        <w:spacing w:after="0" w:line="75" w:lineRule="exact"/>
        <w:rPr>
          <w:rFonts w:ascii="Times New Roman" w:cs="Times New Roman" w:eastAsia="Times New Roman" w:hAnsi="Times New Roman"/>
          <w:sz w:val="18"/>
          <w:szCs w:val="18"/>
          <w:b w:val="1"/>
          <w:bCs w:val="1"/>
          <w:color w:val="auto"/>
        </w:rPr>
      </w:pPr>
    </w:p>
    <w:p>
      <w:pPr>
        <w:ind w:left="64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with related parties in the normal course of operations have been recorded in these consolidated financial statements at the exchange amount, which is the amount of consideration established and agreed to by the related parties. Transactions with related parties not in the normal course of operations have been recorded in these consolidated financial statements at the carrying amount.</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80"/>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for the years ended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4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60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31, 2015</w:t>
            </w:r>
          </w:p>
        </w:tc>
      </w:tr>
      <w:tr>
        <w:trPr>
          <w:trHeight w:val="189"/>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4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67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Willow Lake Facilities Management Limited Partnership Property Management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7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628,732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67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Dene Koe Workforce Lodging and Services Limited Partnership Lodging</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51,771,175</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51,786,920</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628,732</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Industrial Life Support Ltd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Contract services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989677 Alberta Ltd.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Rent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Balle Capital Inc.</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Interest on promissory notes payable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Svenco Investments Ltd.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Interest on promissory notes payable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Balle Air Ltd.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Travel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Key management personnel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9,581,392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468,204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10,840,295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on sale of property and equipment to 989677 Alberta Ltd.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 from 989677 Alberta Ltd.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w:t>
            </w:r>
          </w:p>
        </w:tc>
        <w:tc>
          <w:tcPr>
            <w:tcW w:w="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640" w:right="60"/>
        <w:spacing w:after="0" w:line="266" w:lineRule="auto"/>
        <w:rPr>
          <w:sz w:val="20"/>
          <w:szCs w:val="20"/>
          <w:color w:val="auto"/>
        </w:rPr>
      </w:pPr>
      <w:r>
        <w:rPr>
          <w:rFonts w:ascii="Times New Roman" w:cs="Times New Roman" w:eastAsia="Times New Roman" w:hAnsi="Times New Roman"/>
          <w:sz w:val="18"/>
          <w:szCs w:val="18"/>
          <w:color w:val="auto"/>
        </w:rPr>
        <w:t>There was no gain or loss on the sale or purchase of equipment with 989677 Alberta Ltd. Share-based compensation expense for key management personnel relates to executives who were awarded Class B and H shares in an equity participation plan of the Company. Refer to note 14 for further details of these share classes.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240" w:top="456" w:right="41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Balances</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16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480" w:type="dxa"/>
            <w:vAlign w:val="bottom"/>
          </w:tcPr>
          <w:p>
            <w:pPr>
              <w:spacing w:after="0"/>
              <w:rPr>
                <w:sz w:val="15"/>
                <w:szCs w:val="15"/>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May 31, 2016</w:t>
            </w: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Trade and other receivables</w:t>
            </w: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Willow Lake Facilities Management Limited Partnership</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660,169</w:t>
            </w: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Balle Air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1,716,072</w:t>
            </w:r>
          </w:p>
        </w:tc>
      </w:tr>
      <w:tr>
        <w:trPr>
          <w:trHeight w:val="223"/>
        </w:trPr>
        <w:tc>
          <w:tcPr>
            <w:tcW w:w="20" w:type="dxa"/>
            <w:vAlign w:val="bottom"/>
          </w:tcPr>
          <w:p>
            <w:pPr>
              <w:spacing w:after="0"/>
              <w:rPr>
                <w:sz w:val="19"/>
                <w:szCs w:val="19"/>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Dene Koe Workforce Lodging and Services Limited Partnership</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10,704,702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12,527,371</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2,376,241</w:t>
            </w: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Industrial Life Support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r>
      <w:tr>
        <w:trPr>
          <w:trHeight w:val="32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Advances to shareholder</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989677 Alberta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5,765,605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5,671,857</w:t>
            </w:r>
          </w:p>
        </w:tc>
      </w:tr>
      <w:tr>
        <w:trPr>
          <w:trHeight w:val="32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Promissory note payable (Note 10)</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Balle Air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1,346,414</w:t>
            </w:r>
          </w:p>
        </w:tc>
      </w:tr>
      <w:tr>
        <w:trPr>
          <w:trHeight w:val="32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Senior secured notes (Note 8)</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Svenco Investments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18,500,000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18,500,000</w:t>
            </w:r>
          </w:p>
        </w:tc>
      </w:tr>
      <w:tr>
        <w:trPr>
          <w:trHeight w:val="32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Preferred shares (Note 14 and 22)</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Key management personnel</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9,581,392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9,581,392</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640" w:right="100"/>
        <w:spacing w:after="0" w:line="266" w:lineRule="auto"/>
        <w:rPr>
          <w:sz w:val="20"/>
          <w:szCs w:val="20"/>
          <w:color w:val="auto"/>
        </w:rPr>
      </w:pPr>
      <w:r>
        <w:rPr>
          <w:rFonts w:ascii="Times New Roman" w:cs="Times New Roman" w:eastAsia="Times New Roman" w:hAnsi="Times New Roman"/>
          <w:sz w:val="18"/>
          <w:szCs w:val="18"/>
          <w:color w:val="auto"/>
        </w:rPr>
        <w:t>Trade and other receivables and accounts payable and accrued liabilities from related parties are non-interest bearing without specified repayment terms. Advances to 989677 Alberta Ltd. are non-interest bearing without specified repayment terms. Refer to Note 8 for terms of repayment and interest rate associated with the senior secured notes.</w:t>
      </w:r>
    </w:p>
    <w:p>
      <w:pPr>
        <w:spacing w:after="0" w:line="321" w:lineRule="exact"/>
        <w:rPr>
          <w:sz w:val="20"/>
          <w:szCs w:val="20"/>
          <w:color w:val="auto"/>
        </w:rPr>
      </w:pPr>
    </w:p>
    <w:p>
      <w:pPr>
        <w:ind w:left="640" w:hanging="436"/>
        <w:spacing w:after="0"/>
        <w:tabs>
          <w:tab w:leader="none" w:pos="640"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guarantees</w:t>
      </w:r>
    </w:p>
    <w:p>
      <w:pPr>
        <w:spacing w:after="0" w:line="121" w:lineRule="exact"/>
        <w:rPr>
          <w:rFonts w:ascii="Times New Roman" w:cs="Times New Roman" w:eastAsia="Times New Roman" w:hAnsi="Times New Roman"/>
          <w:sz w:val="18"/>
          <w:szCs w:val="18"/>
          <w:b w:val="1"/>
          <w:bCs w:val="1"/>
          <w:color w:val="auto"/>
        </w:rPr>
      </w:pPr>
    </w:p>
    <w:p>
      <w:pPr>
        <w:ind w:left="64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various land, premises, equipment leases and contracts for telephone, cable and internet services expiring from August 2017 to November 2023. Future minimum contractual obligations in the next five years and thereafter are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Canadian $ for the years ended</w:t>
            </w:r>
          </w:p>
        </w:tc>
        <w:tc>
          <w:tcPr>
            <w:tcW w:w="25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Land leasing</w:t>
            </w: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Utilities</w:t>
            </w:r>
          </w:p>
        </w:tc>
        <w:tc>
          <w:tcPr>
            <w:tcW w:w="14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Premises leasing</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180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2018</w:t>
            </w:r>
          </w:p>
        </w:tc>
        <w:tc>
          <w:tcPr>
            <w:tcW w:w="2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$1,637,400</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77,897</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2,693,337</w:t>
            </w:r>
          </w:p>
        </w:tc>
        <w:tc>
          <w:tcPr>
            <w:tcW w:w="4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w w:val="96"/>
              </w:rPr>
              <w:t>13,800</w:t>
            </w: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4,422,434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1,637,400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2,114,330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1,377,035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1,637,400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1,610,368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1,573,971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369,750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2,171,750</w:t>
            </w:r>
          </w:p>
        </w:tc>
        <w:tc>
          <w:tcPr>
            <w:tcW w:w="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8,306,750</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239,980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11,540,791</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13,800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20,101,321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40" w:right="680"/>
        <w:spacing w:after="0" w:line="282" w:lineRule="auto"/>
        <w:rPr>
          <w:sz w:val="20"/>
          <w:szCs w:val="20"/>
          <w:color w:val="auto"/>
        </w:rPr>
      </w:pPr>
      <w:r>
        <w:rPr>
          <w:rFonts w:ascii="Times New Roman" w:cs="Times New Roman" w:eastAsia="Times New Roman" w:hAnsi="Times New Roman"/>
          <w:sz w:val="18"/>
          <w:szCs w:val="18"/>
          <w:color w:val="auto"/>
        </w:rPr>
        <w:t>The Company is liable under two letters of guarantee for $279,330 issued by the lenders to both vendors and customers as per contractual arrangements.</w:t>
      </w:r>
    </w:p>
    <w:p>
      <w:pPr>
        <w:spacing w:after="0" w:line="306" w:lineRule="exact"/>
        <w:rPr>
          <w:sz w:val="20"/>
          <w:szCs w:val="20"/>
          <w:color w:val="auto"/>
        </w:rPr>
      </w:pPr>
    </w:p>
    <w:p>
      <w:pPr>
        <w:ind w:left="640" w:hanging="436"/>
        <w:spacing w:after="0"/>
        <w:tabs>
          <w:tab w:leader="none" w:pos="64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rFonts w:ascii="Times New Roman" w:cs="Times New Roman" w:eastAsia="Times New Roman" w:hAnsi="Times New Roman"/>
          <w:sz w:val="18"/>
          <w:szCs w:val="18"/>
          <w:b w:val="1"/>
          <w:bCs w:val="1"/>
          <w:color w:val="auto"/>
        </w:rPr>
      </w:pPr>
    </w:p>
    <w:p>
      <w:pPr>
        <w:ind w:left="640" w:right="8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 retirement obligations include constructive site restoration obligations to restore lands to their previous condition when lodges are dismantled and removed. The estimated present value of rehabilitating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240" w:top="456" w:right="41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jc w:val="both"/>
        <w:ind w:left="640" w:right="60"/>
        <w:spacing w:after="0" w:line="261" w:lineRule="auto"/>
        <w:rPr>
          <w:sz w:val="20"/>
          <w:szCs w:val="20"/>
          <w:color w:val="auto"/>
        </w:rPr>
      </w:pPr>
      <w:r>
        <w:rPr>
          <w:rFonts w:ascii="Times New Roman" w:cs="Times New Roman" w:eastAsia="Times New Roman" w:hAnsi="Times New Roman"/>
          <w:sz w:val="18"/>
          <w:szCs w:val="18"/>
          <w:color w:val="auto"/>
        </w:rPr>
        <w:t>these lands at the end of their useful lives has been estimated using existing technology at inflated prices and discounted using a risk free rate. The future value amount at May 31, 2017 was $12,258,932 and was determined using a risk free interest rate of 1.87% and an inflation rate of 2.00%. The timing of these payments is dependent on various factors, such as the estimated lives of the equipment and industry activity in the region, but is anticipated to occur between 2017 and 2038.</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000000"/>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beginning of year</w:t>
            </w: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(1,254,000)</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40" w:right="9600" w:hanging="436"/>
        <w:spacing w:after="0" w:line="400" w:lineRule="auto"/>
        <w:tabs>
          <w:tab w:leader="none" w:pos="632" w:val="left"/>
        </w:tabs>
        <w:numPr>
          <w:ilvl w:val="0"/>
          <w:numId w:val="3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u w:val="single" w:color="auto"/>
          <w:color w:val="auto"/>
        </w:rPr>
        <w:t>Authorized</w:t>
      </w:r>
    </w:p>
    <w:p>
      <w:pPr>
        <w:ind w:left="1080" w:right="6420"/>
        <w:spacing w:after="0" w:line="3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Unlimited Class A, B and C common shares, voting Unlimited Class D common shares, non-voting Unlimited Class E preferred shares, voting</w:t>
      </w:r>
    </w:p>
    <w:p>
      <w:pPr>
        <w:spacing w:after="0" w:line="2" w:lineRule="exact"/>
        <w:rPr>
          <w:rFonts w:ascii="Times New Roman" w:cs="Times New Roman" w:eastAsia="Times New Roman" w:hAnsi="Times New Roman"/>
          <w:sz w:val="17"/>
          <w:szCs w:val="17"/>
          <w:b w:val="1"/>
          <w:bCs w:val="1"/>
          <w:color w:val="auto"/>
        </w:rPr>
      </w:pPr>
    </w:p>
    <w:p>
      <w:pPr>
        <w:ind w:left="10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Unlimited Class F preferred shares, non-voting, non-cumulative</w:t>
      </w:r>
    </w:p>
    <w:p>
      <w:pPr>
        <w:spacing w:after="0" w:line="117" w:lineRule="exact"/>
        <w:rPr>
          <w:rFonts w:ascii="Times New Roman" w:cs="Times New Roman" w:eastAsia="Times New Roman" w:hAnsi="Times New Roman"/>
          <w:sz w:val="17"/>
          <w:szCs w:val="17"/>
          <w:b w:val="1"/>
          <w:bCs w:val="1"/>
          <w:color w:val="auto"/>
        </w:rPr>
      </w:pPr>
    </w:p>
    <w:p>
      <w:pPr>
        <w:ind w:left="10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Unlimited Class G and H preferred shares, non-voting, non-cumulative, retractable at $1 per share</w:t>
      </w: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Issued</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93"/>
        </w:trPr>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210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200" w:type="dxa"/>
            <w:vAlign w:val="bottom"/>
          </w:tcPr>
          <w:p>
            <w:pPr>
              <w:spacing w:after="0"/>
              <w:rPr>
                <w:sz w:val="16"/>
                <w:szCs w:val="16"/>
                <w:color w:val="auto"/>
              </w:rPr>
            </w:pPr>
          </w:p>
        </w:tc>
        <w:tc>
          <w:tcPr>
            <w:tcW w:w="210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200" w:type="dxa"/>
            <w:vAlign w:val="bottom"/>
          </w:tcPr>
          <w:p>
            <w:pPr>
              <w:spacing w:after="0"/>
              <w:rPr>
                <w:sz w:val="16"/>
                <w:szCs w:val="16"/>
                <w:color w:val="auto"/>
              </w:rPr>
            </w:pPr>
          </w:p>
        </w:tc>
        <w:tc>
          <w:tcPr>
            <w:tcW w:w="216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May 31, 2015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140" w:type="dxa"/>
            <w:vAlign w:val="bottom"/>
            <w:gridSpan w:val="2"/>
          </w:tcPr>
          <w:p>
            <w:pPr>
              <w:jc w:val="right"/>
              <w:ind w:right="300"/>
              <w:spacing w:after="0" w:line="9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tcPr>
          <w:p>
            <w:pPr>
              <w:jc w:val="right"/>
              <w:ind w:right="320"/>
              <w:spacing w:after="0" w:line="9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2"/>
          </w:tcPr>
          <w:p>
            <w:pPr>
              <w:jc w:val="right"/>
              <w:ind w:right="320"/>
              <w:spacing w:after="0" w:line="9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shares issued and outstanding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shares issued and outstanding</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Class H shares issued and outstanding</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 beginning of year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56,068,244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1,144,239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56,171,009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1,146,419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58,422,151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Issued in year</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 in year</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(17,439)</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(102,765)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(3,352,534)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 end of year</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55,246,126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1,126,800</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56,068,244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1,144,239</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56,171,009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G shares issued and outstanding</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 beginning of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8,480,099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8,480,099</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in year</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Balance – end of year</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8,480,099</w:t>
            </w:r>
          </w:p>
        </w:tc>
        <w:tc>
          <w:tcPr>
            <w:tcW w:w="2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424,000,000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8,480,099</w:t>
            </w: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8,480,099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preferred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479,246,126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9,606,899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480,068,244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9,624,338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480,171,009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9,626,518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240" w:top="455" w:right="41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ind w:left="640" w:right="80"/>
        <w:spacing w:after="0" w:line="261" w:lineRule="auto"/>
        <w:rPr>
          <w:sz w:val="20"/>
          <w:szCs w:val="20"/>
          <w:color w:val="auto"/>
        </w:rPr>
      </w:pPr>
      <w:r>
        <w:rPr>
          <w:rFonts w:ascii="Times New Roman" w:cs="Times New Roman" w:eastAsia="Times New Roman" w:hAnsi="Times New Roman"/>
          <w:sz w:val="18"/>
          <w:szCs w:val="18"/>
          <w:color w:val="auto"/>
        </w:rPr>
        <w:t>The Company redeemed 822,118 (2016 – 102,765) Class H shares for $822,118 (2016 – $102,765). The premium on redemption of $804,679 (2016 – $100,585) has been charged to retained earnings. In 2015, the Company redeemed 3,352,524 Class H shares and all issued Class B shares for $16,500,000. The premium on redemption of $16,497,310 has been charged to retained earnings. After the redemption, the Company issued 3 Class B shares for $3. The total redemption amount for the preferred shares at May 31, 2017 is $479,246,126 (2016 – $480,068,244).</w:t>
      </w:r>
    </w:p>
    <w:p>
      <w:pPr>
        <w:spacing w:after="0" w:line="325" w:lineRule="exact"/>
        <w:rPr>
          <w:sz w:val="20"/>
          <w:szCs w:val="20"/>
          <w:color w:val="auto"/>
        </w:rPr>
      </w:pPr>
    </w:p>
    <w:p>
      <w:pPr>
        <w:ind w:left="640" w:hanging="436"/>
        <w:spacing w:after="0"/>
        <w:tabs>
          <w:tab w:leader="none" w:pos="64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differs from what would be expected by applying statutory rates. A reconciliation of the difference is as follows:</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4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Canadian $ for the years ended</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gridSpan w:val="8"/>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May 31,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$51,311,185</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$(14,811,087)</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$(11,090,163)</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Earnings (loss) before income taxes</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CCEEFF"/>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4"/>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gridSpan w:val="5"/>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Combined federal and provincial income tax rate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8"/>
                <w:szCs w:val="18"/>
                <w:color w:val="auto"/>
              </w:rPr>
            </w:pP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provision (recovery)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(3,975,296)</w:t>
            </w:r>
          </w:p>
        </w:tc>
        <w:tc>
          <w:tcPr>
            <w:tcW w:w="1720" w:type="dxa"/>
            <w:vAlign w:val="bottom"/>
            <w:gridSpan w:val="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(2,772,541)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Non-temporary differences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28,426</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37,014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stock based compensation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2,395,363</w:t>
            </w:r>
          </w:p>
        </w:tc>
        <w:tc>
          <w:tcPr>
            <w:tcW w:w="2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Rate differential on non-capital loss carry back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1,556,194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recovery adjustment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(856,792)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627,179</w:t>
            </w:r>
          </w:p>
        </w:tc>
        <w:tc>
          <w:tcPr>
            <w:tcW w:w="2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23,019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(14,631)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(4,743,330)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1,828,578</w:t>
            </w:r>
          </w:p>
        </w:tc>
        <w:tc>
          <w:tcPr>
            <w:tcW w:w="2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Represented by:</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income tax expense (recovery)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(1,606,387)</w:t>
            </w:r>
          </w:p>
        </w:tc>
        <w:tc>
          <w:tcPr>
            <w:tcW w:w="1720" w:type="dxa"/>
            <w:vAlign w:val="bottom"/>
            <w:gridSpan w:val="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(4,325,522)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Future income tax</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5"/>
          </w:tcPr>
          <w:p>
            <w:pPr>
              <w:jc w:val="right"/>
              <w:ind w:right="16"/>
              <w:spacing w:after="0"/>
              <w:rPr>
                <w:sz w:val="20"/>
                <w:szCs w:val="20"/>
                <w:color w:val="auto"/>
              </w:rPr>
            </w:pPr>
            <w:r>
              <w:rPr>
                <w:rFonts w:ascii="Times New Roman" w:cs="Times New Roman" w:eastAsia="Times New Roman" w:hAnsi="Times New Roman"/>
                <w:sz w:val="18"/>
                <w:szCs w:val="18"/>
                <w:color w:val="auto"/>
              </w:rPr>
              <w:t>(3,136,943)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6,154,100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13,903,222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(4,743,330)</w:t>
            </w:r>
          </w:p>
        </w:tc>
        <w:tc>
          <w:tcPr>
            <w:tcW w:w="7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1,828,578</w:t>
            </w:r>
          </w:p>
        </w:tc>
        <w:tc>
          <w:tcPr>
            <w:tcW w:w="2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4"/>
            <w:vMerge w:val="continue"/>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The components of net future tax asset (liability) recognized are as follows:</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0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20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2"/>
              </w:rPr>
              <w:t>May 31, 2017</w:t>
            </w: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w:t>
            </w:r>
          </w:p>
        </w:tc>
        <w:tc>
          <w:tcPr>
            <w:tcW w:w="114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193"/>
        </w:trPr>
        <w:tc>
          <w:tcPr>
            <w:tcW w:w="3480" w:type="dxa"/>
            <w:vAlign w:val="bottom"/>
            <w:gridSpan w:val="4"/>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60" w:type="dxa"/>
            <w:vAlign w:val="bottom"/>
          </w:tcPr>
          <w:p>
            <w:pPr>
              <w:spacing w:after="0"/>
              <w:rPr>
                <w:sz w:val="16"/>
                <w:szCs w:val="16"/>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00" w:type="dxa"/>
            <w:vAlign w:val="bottom"/>
          </w:tcPr>
          <w:p>
            <w:pPr>
              <w:spacing w:after="0"/>
              <w:rPr>
                <w:sz w:val="16"/>
                <w:szCs w:val="16"/>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Property and</w:t>
            </w:r>
          </w:p>
        </w:tc>
        <w:tc>
          <w:tcPr>
            <w:tcW w:w="252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equipment</w:t>
            </w:r>
          </w:p>
        </w:tc>
        <w:tc>
          <w:tcPr>
            <w:tcW w:w="900" w:type="dxa"/>
            <w:vAlign w:val="bottom"/>
            <w:tcBorders>
              <w:top w:val="single" w:sz="8" w:color="auto"/>
            </w:tcBorders>
            <w:shd w:val="clear" w:color="auto" w:fill="CCEEFF"/>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5"/>
              </w:rPr>
              <w:t>$ (27,111,898)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(24,320,138)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4"/>
              </w:rPr>
              <w:t>(27,111,898)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(24,320,138)</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2,428,369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2,428,369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Intangibles</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106,948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106,948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losses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(351,000)</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6,101,072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6,101,072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income tax liability</w:t>
            </w: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(24,310,700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(17,871,657</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6" w:right="41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Future income tax assets are recognized for tax loss carry-forwards to the extent that the realization of the related tax benefit through future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taxable profits is probable. The Company recognized future income tax assets of $nil in 2017 (2016 – $6,101,072) in respect of $nil (2016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$22,731,268) of net operating losses that can be applied against future taxable income. Movements in temporary differences were all recognized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within earnings and (loss) during the years ended May 31, 2017, May 31, 2016, and May 31, 2015.</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 analysis of the future income tax liability between current and non-current is as follows:</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80"/>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Canadian $ as at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87"/>
              </w:rPr>
              <w:t>Future income</w:t>
            </w:r>
          </w:p>
        </w:tc>
        <w:tc>
          <w:tcPr>
            <w:tcW w:w="5740" w:type="dxa"/>
            <w:vAlign w:val="bottom"/>
            <w:tcBorders>
              <w:top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tax assets:</w:t>
            </w:r>
          </w:p>
        </w:tc>
        <w:tc>
          <w:tcPr>
            <w:tcW w:w="1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 income tax asset to be recovered after more than 12 months</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2,895,141</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Future income tax asset to be recovered within 12 months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6,154,527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2,897,666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 income tax liability to be recovered after more than 12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(27,208,365)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Future income tax liability to be recovered within 12 months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(27,208,365)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(24,698,676)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 liability</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(24,310,699)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(17,871,657)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2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16</w:t>
        <w:tab/>
        <w:t>General and administrative expenses</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193"/>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Canadian $ for the years ended</w:t>
            </w:r>
          </w:p>
        </w:tc>
        <w:tc>
          <w:tcPr>
            <w:tcW w:w="172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260" w:type="dxa"/>
            <w:vAlign w:val="bottom"/>
          </w:tcPr>
          <w:p>
            <w:pPr>
              <w:spacing w:after="0"/>
              <w:rPr>
                <w:sz w:val="16"/>
                <w:szCs w:val="16"/>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May 31, 2015</w:t>
            </w:r>
          </w:p>
        </w:tc>
      </w:tr>
      <w:tr>
        <w:trPr>
          <w:trHeight w:val="190"/>
        </w:trPr>
        <w:tc>
          <w:tcPr>
            <w:tcW w:w="18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Wages and benefits</w:t>
            </w:r>
          </w:p>
        </w:tc>
        <w:tc>
          <w:tcPr>
            <w:tcW w:w="18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6,970,895</w:t>
            </w:r>
          </w:p>
        </w:tc>
        <w:tc>
          <w:tcPr>
            <w:tcW w:w="5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$ 5,808,644</w:t>
            </w: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6,095,773</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1,092,475</w:t>
            </w:r>
          </w:p>
        </w:tc>
        <w:tc>
          <w:tcPr>
            <w:tcW w:w="5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308,978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39,049</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1,071,377</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1,147,943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2,164,004</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miscellaneous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261,929</w:t>
            </w:r>
          </w:p>
        </w:tc>
        <w:tc>
          <w:tcPr>
            <w:tcW w:w="5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609,515</w:t>
            </w:r>
          </w:p>
        </w:tc>
        <w:tc>
          <w:tcPr>
            <w:tcW w:w="6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164,162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1,228,902</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and utilities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212,305</w:t>
            </w:r>
          </w:p>
        </w:tc>
        <w:tc>
          <w:tcPr>
            <w:tcW w:w="5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220,193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187,377</w:t>
            </w:r>
          </w:p>
        </w:tc>
        <w:tc>
          <w:tcPr>
            <w:tcW w:w="6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210,296</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56,614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39,925</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Repairs and maintenance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159,487</w:t>
            </w:r>
          </w:p>
        </w:tc>
        <w:tc>
          <w:tcPr>
            <w:tcW w:w="5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147,375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79,289</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119,774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202,702</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Automotive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31,917</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26,617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37,177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44,366</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22,990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24,955</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charges and interest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335,675</w:t>
            </w:r>
          </w:p>
        </w:tc>
        <w:tc>
          <w:tcPr>
            <w:tcW w:w="60" w:type="dxa"/>
            <w:vAlign w:val="bottom"/>
            <w:shd w:val="clear" w:color="auto" w:fill="CCEEFF"/>
          </w:tcPr>
          <w:p>
            <w:pPr>
              <w:spacing w:after="0"/>
              <w:rPr>
                <w:sz w:val="18"/>
                <w:szCs w:val="18"/>
                <w:color w:val="auto"/>
              </w:rPr>
            </w:pPr>
          </w:p>
        </w:tc>
      </w:tr>
      <w:tr>
        <w:trPr>
          <w:trHeight w:val="22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9,581,392</w:t>
            </w:r>
          </w:p>
        </w:tc>
        <w:tc>
          <w:tcPr>
            <w:tcW w:w="60" w:type="dxa"/>
            <w:vAlign w:val="bottom"/>
          </w:tcPr>
          <w:p>
            <w:pPr>
              <w:spacing w:after="0"/>
              <w:rPr>
                <w:sz w:val="19"/>
                <w:szCs w:val="19"/>
                <w:color w:val="auto"/>
              </w:rPr>
            </w:pPr>
          </w:p>
        </w:tc>
      </w:tr>
      <w:tr>
        <w:trPr>
          <w:trHeight w:val="216"/>
        </w:trPr>
        <w:tc>
          <w:tcPr>
            <w:tcW w:w="1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10,441,232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$ 8,318,999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20,632,924</w:t>
            </w:r>
          </w:p>
        </w:tc>
      </w:tr>
      <w:tr>
        <w:trPr>
          <w:trHeight w:val="20"/>
        </w:trPr>
        <w:tc>
          <w:tcPr>
            <w:tcW w:w="1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640" w:hanging="436"/>
        <w:spacing w:after="0"/>
        <w:tabs>
          <w:tab w:leader="none" w:pos="64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Wildfire costs</w:t>
      </w:r>
    </w:p>
    <w:p>
      <w:pPr>
        <w:spacing w:after="0" w:line="121" w:lineRule="exact"/>
        <w:rPr>
          <w:rFonts w:ascii="Times New Roman" w:cs="Times New Roman" w:eastAsia="Times New Roman" w:hAnsi="Times New Roman"/>
          <w:sz w:val="18"/>
          <w:szCs w:val="18"/>
          <w:b w:val="1"/>
          <w:bCs w:val="1"/>
          <w:color w:val="auto"/>
        </w:rPr>
      </w:pPr>
    </w:p>
    <w:p>
      <w:pPr>
        <w:ind w:left="64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2016 there were major wildfires in the Fort McMurray region of Alberta and the Company incurred costs related to the protection of its assets and in restarting operations after the fires were extinguished.</w:t>
      </w:r>
    </w:p>
    <w:p>
      <w:pPr>
        <w:spacing w:after="0" w:line="306" w:lineRule="exact"/>
        <w:rPr>
          <w:rFonts w:ascii="Times New Roman" w:cs="Times New Roman" w:eastAsia="Times New Roman" w:hAnsi="Times New Roman"/>
          <w:sz w:val="18"/>
          <w:szCs w:val="18"/>
          <w:b w:val="1"/>
          <w:bCs w:val="1"/>
          <w:color w:val="auto"/>
        </w:rPr>
      </w:pPr>
    </w:p>
    <w:p>
      <w:pPr>
        <w:ind w:left="640" w:hanging="436"/>
        <w:spacing w:after="0"/>
        <w:tabs>
          <w:tab w:leader="none" w:pos="64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proceeds</w:t>
      </w:r>
    </w:p>
    <w:p>
      <w:pPr>
        <w:spacing w:after="0" w:line="12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Insurance proceeds are payments received relating to extra expense incurred and business interruption insurance for the May 2016 wildfire.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240" w:top="455" w:right="41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rFonts w:ascii="Times New Roman" w:cs="Times New Roman" w:eastAsia="Times New Roman" w:hAnsi="Times New Roman"/>
          <w:sz w:val="18"/>
          <w:szCs w:val="18"/>
          <w:b w:val="1"/>
          <w:bCs w:val="1"/>
          <w:color w:val="auto"/>
        </w:rPr>
      </w:pPr>
    </w:p>
    <w:p>
      <w:pPr>
        <w:jc w:val="both"/>
        <w:ind w:left="6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2015 the Company granted share options to two employees. The terms of the grant provided each of the employees the option to acquire 1 Class B share for $1 and 550,696 Class H shares for $441. The options were exercised on the grant date which resulted in the recognition of share-based compensation in the amount of $9,581,392.</w:t>
      </w:r>
    </w:p>
    <w:p>
      <w:pPr>
        <w:spacing w:after="0" w:line="320" w:lineRule="exact"/>
        <w:rPr>
          <w:rFonts w:ascii="Times New Roman" w:cs="Times New Roman" w:eastAsia="Times New Roman" w:hAnsi="Times New Roman"/>
          <w:sz w:val="18"/>
          <w:szCs w:val="18"/>
          <w:b w:val="1"/>
          <w:bCs w:val="1"/>
          <w:color w:val="auto"/>
        </w:rPr>
      </w:pPr>
    </w:p>
    <w:p>
      <w:pPr>
        <w:ind w:left="640" w:right="8900" w:hanging="436"/>
        <w:spacing w:after="0" w:line="378" w:lineRule="auto"/>
        <w:tabs>
          <w:tab w:leader="none" w:pos="632"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Credit risk</w:t>
      </w:r>
    </w:p>
    <w:p>
      <w:pPr>
        <w:ind w:left="64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credit risk through its trade and other receivables. The Company performs ongoing credit evaluations of its customers’ financial condition and limits the amount of credit extended when deemed necessary. The Company maintains provisions for potential credit losses and any such losses to date have been within management’s expectations.</w:t>
      </w:r>
    </w:p>
    <w:p>
      <w:pPr>
        <w:spacing w:after="0" w:line="28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risk</w:t>
      </w:r>
    </w:p>
    <w:p>
      <w:pPr>
        <w:spacing w:after="0" w:line="121" w:lineRule="exact"/>
        <w:rPr>
          <w:rFonts w:ascii="Times New Roman" w:cs="Times New Roman" w:eastAsia="Times New Roman" w:hAnsi="Times New Roman"/>
          <w:sz w:val="18"/>
          <w:szCs w:val="18"/>
          <w:b w:val="1"/>
          <w:bCs w:val="1"/>
          <w:color w:val="auto"/>
        </w:rPr>
      </w:pPr>
    </w:p>
    <w:p>
      <w:pPr>
        <w:ind w:left="6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Liquidity risk relates to the risk the Company will encounter difficulty in meeting obligations associated with its financial liabilities. The Company’s policy in managing liquidity is to ensure it has sufficient resources to meet its liabilities without incurring undue losses or risking damages to the Company’s reputation. In the current environment of low commodity prices, specifically oil and natural gas, management does this by monitoring its cash flows and adjusting the Company’s scale of operations as needed.</w:t>
      </w:r>
    </w:p>
    <w:p>
      <w:pPr>
        <w:spacing w:after="0" w:line="7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amount of principal repayments of financial liabilities estimated to be required in each of the next five years is:</w:t>
      </w:r>
    </w:p>
    <w:p>
      <w:pPr>
        <w:spacing w:after="0" w:line="248" w:lineRule="exact"/>
        <w:rPr>
          <w:sz w:val="20"/>
          <w:szCs w:val="20"/>
          <w:color w:val="auto"/>
        </w:rPr>
      </w:pPr>
    </w:p>
    <w:tbl>
      <w:tblPr>
        <w:tblLayout w:type="fixed"/>
        <w:tblInd w:w="1980" w:type="dxa"/>
        <w:tblCellMar>
          <w:top w:w="0" w:type="dxa"/>
          <w:left w:w="0" w:type="dxa"/>
          <w:bottom w:w="0" w:type="dxa"/>
          <w:right w:w="0" w:type="dxa"/>
        </w:tblCellMar>
      </w:tblPr>
      <w:tr>
        <w:trPr>
          <w:trHeight w:val="178"/>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Canadian $ for the years ended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17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2018</w:t>
            </w:r>
          </w:p>
        </w:tc>
        <w:tc>
          <w:tcPr>
            <w:tcW w:w="4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jc w:val="right"/>
              <w:ind w:right="4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20,750,184</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6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89,508,414</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2,343,312</w:t>
            </w:r>
          </w:p>
        </w:tc>
        <w:tc>
          <w:tcPr>
            <w:tcW w:w="6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118,601,910</w:t>
            </w:r>
          </w:p>
        </w:tc>
        <w:tc>
          <w:tcPr>
            <w:tcW w:w="60" w:type="dxa"/>
            <w:vAlign w:val="bottom"/>
          </w:tcPr>
          <w:p>
            <w:pPr>
              <w:spacing w:after="0"/>
              <w:rPr>
                <w:sz w:val="19"/>
                <w:szCs w:val="19"/>
                <w:color w:val="auto"/>
              </w:rPr>
            </w:pPr>
          </w:p>
        </w:tc>
      </w:tr>
      <w:tr>
        <w:trPr>
          <w:trHeight w:val="20"/>
        </w:trPr>
        <w:tc>
          <w:tcPr>
            <w:tcW w:w="17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Interest risk</w:t>
      </w:r>
    </w:p>
    <w:p>
      <w:pPr>
        <w:spacing w:after="0" w:line="121" w:lineRule="exact"/>
        <w:rPr>
          <w:sz w:val="20"/>
          <w:szCs w:val="20"/>
          <w:color w:val="auto"/>
        </w:rPr>
      </w:pPr>
    </w:p>
    <w:p>
      <w:pPr>
        <w:jc w:val="both"/>
        <w:ind w:left="640" w:right="100"/>
        <w:spacing w:after="0" w:line="266" w:lineRule="auto"/>
        <w:rPr>
          <w:sz w:val="20"/>
          <w:szCs w:val="20"/>
          <w:color w:val="auto"/>
        </w:rPr>
      </w:pPr>
      <w:r>
        <w:rPr>
          <w:rFonts w:ascii="Times New Roman" w:cs="Times New Roman" w:eastAsia="Times New Roman" w:hAnsi="Times New Roman"/>
          <w:sz w:val="18"/>
          <w:szCs w:val="18"/>
          <w:color w:val="auto"/>
        </w:rPr>
        <w:t>The Company is exposed to interest rate risk due to floating rates on its term loan. The Company manages its exposure to this risk by minimizing its borrowings. Based on year-end balances, a plus or minus 1% change in interest rates would change interest expense by $203,433 (2016 – $nil; 2015 – $30,000) on debt subject to floating rates</w:t>
      </w:r>
    </w:p>
    <w:p>
      <w:pPr>
        <w:spacing w:after="0" w:line="321" w:lineRule="exact"/>
        <w:rPr>
          <w:sz w:val="20"/>
          <w:szCs w:val="20"/>
          <w:color w:val="auto"/>
        </w:rPr>
      </w:pPr>
    </w:p>
    <w:p>
      <w:pPr>
        <w:ind w:left="640" w:hanging="436"/>
        <w:spacing w:after="0"/>
        <w:tabs>
          <w:tab w:leader="none" w:pos="640"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Economic dependence</w:t>
      </w:r>
    </w:p>
    <w:p>
      <w:pPr>
        <w:spacing w:after="0" w:line="121" w:lineRule="exact"/>
        <w:rPr>
          <w:rFonts w:ascii="Times New Roman" w:cs="Times New Roman" w:eastAsia="Times New Roman" w:hAnsi="Times New Roman"/>
          <w:sz w:val="18"/>
          <w:szCs w:val="18"/>
          <w:b w:val="1"/>
          <w:bCs w:val="1"/>
          <w:color w:val="auto"/>
        </w:rPr>
      </w:pPr>
    </w:p>
    <w:p>
      <w:pPr>
        <w:ind w:left="6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86% of revenues were from 2 customers (2016 – 85% from two customers; 2015 – 60% from two customers). There are currently two contracts in place with these customers and come due on May 1, 2022 and June 21, 2027.</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20"/>
          </w:cols>
          <w:pgMar w:left="240" w:top="456" w:right="4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 of prior period shareholder financial statements</w:t>
      </w:r>
    </w:p>
    <w:p>
      <w:pPr>
        <w:spacing w:after="0" w:line="121" w:lineRule="exact"/>
        <w:rPr>
          <w:rFonts w:ascii="Times New Roman" w:cs="Times New Roman" w:eastAsia="Times New Roman" w:hAnsi="Times New Roman"/>
          <w:sz w:val="18"/>
          <w:szCs w:val="18"/>
          <w:b w:val="1"/>
          <w:bCs w:val="1"/>
          <w:color w:val="auto"/>
        </w:rPr>
      </w:pPr>
    </w:p>
    <w:p>
      <w:pPr>
        <w:ind w:left="64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2017, the Company identified certain share-based compensation arrangements where compensation expense was misstated for the year ended May 31, 2015. This was identified after the completion and issuance on September 17, 2015 of the shareholder consolidated financial statements of the Company for the year ended May 31, 2015. The adjustment also impacted the Company’s calculation of premium on preferred shares to which the share compensation related. The Company has restated its comparative consolidated financial statements herein to reflect these items as follows:</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1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Premium on</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Canadian $</w:t>
            </w:r>
          </w:p>
        </w:tc>
        <w:tc>
          <w:tcPr>
            <w:tcW w:w="1160" w:type="dxa"/>
            <w:vAlign w:val="bottom"/>
            <w:gridSpan w:val="3"/>
            <w:vMerge w:val="continue"/>
          </w:tcPr>
          <w:p>
            <w:pPr>
              <w:spacing w:after="0"/>
              <w:rPr>
                <w:sz w:val="12"/>
                <w:szCs w:val="12"/>
                <w:color w:val="auto"/>
              </w:rPr>
            </w:pPr>
          </w:p>
        </w:tc>
        <w:tc>
          <w:tcPr>
            <w:tcW w:w="148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shares</w:t>
            </w:r>
          </w:p>
        </w:tc>
        <w:tc>
          <w:tcPr>
            <w:tcW w:w="2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53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balance sheet as at May 31, 2017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$ 9,581,392</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9,606,899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57,497,956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(9,581,392)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47,935,441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as at May 31, 2016</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9,581,392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20,911,451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6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(9,581,392)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statement of operations for the year ended</w:t>
            </w: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11,051,532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9,581,392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(9,581,392)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(10,026,662)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(1,508,771)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(9,581,392)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(11,090,163)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(3,337,349)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(9,581,392)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(12,918,741)</w:t>
            </w:r>
          </w:p>
        </w:tc>
        <w:tc>
          <w:tcPr>
            <w:tcW w:w="0" w:type="dxa"/>
            <w:vAlign w:val="bottom"/>
          </w:tcPr>
          <w:p>
            <w:pPr>
              <w:spacing w:after="0"/>
              <w:rPr>
                <w:sz w:val="1"/>
                <w:szCs w:val="1"/>
                <w:color w:val="auto"/>
              </w:rPr>
            </w:pPr>
          </w:p>
        </w:tc>
      </w:tr>
      <w:tr>
        <w:trPr>
          <w:trHeight w:val="201"/>
        </w:trPr>
        <w:tc>
          <w:tcPr>
            <w:tcW w:w="53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 statement of cash flows for the year ended</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(3,337,349)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(9,581,392)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(12,918,741)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$ 9,581,392</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revision does not impact cash flows for any period nor does it impact the Company’s overall shareholders’ equity.</w:t>
      </w:r>
    </w:p>
    <w:p>
      <w:pPr>
        <w:spacing w:after="0" w:line="370" w:lineRule="exact"/>
        <w:rPr>
          <w:sz w:val="20"/>
          <w:szCs w:val="20"/>
          <w:color w:val="auto"/>
        </w:rPr>
      </w:pPr>
    </w:p>
    <w:p>
      <w:pPr>
        <w:ind w:left="640" w:right="8820" w:hanging="436"/>
        <w:spacing w:after="0" w:line="378" w:lineRule="auto"/>
        <w:tabs>
          <w:tab w:leader="none" w:pos="632"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Subsequent acquisition</w:t>
      </w:r>
    </w:p>
    <w:p>
      <w:pPr>
        <w:ind w:left="6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29, 2017 the Company purchased assets from North Country Catering Ltd. in exchange for $905,283 of cash to expand its presence in the Western Canadian mobile camp catering market.</w:t>
      </w:r>
    </w:p>
    <w:p>
      <w:pPr>
        <w:spacing w:after="0" w:line="26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aircraft</w:t>
      </w:r>
    </w:p>
    <w:p>
      <w:pPr>
        <w:spacing w:after="0" w:line="12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21, 2017 the Company entered into a sale agreement with a third party for disposal of its aircraft for cash consideration.</w:t>
      </w:r>
    </w:p>
    <w:p>
      <w:pPr>
        <w:spacing w:after="0" w:line="3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Amended credit agreement</w:t>
      </w:r>
    </w:p>
    <w:p>
      <w:pPr>
        <w:spacing w:after="0" w:line="121" w:lineRule="exact"/>
        <w:rPr>
          <w:rFonts w:ascii="Times New Roman" w:cs="Times New Roman" w:eastAsia="Times New Roman" w:hAnsi="Times New Roman"/>
          <w:sz w:val="18"/>
          <w:szCs w:val="18"/>
          <w:b w:val="1"/>
          <w:bCs w:val="1"/>
          <w:color w:val="auto"/>
        </w:rPr>
      </w:pPr>
    </w:p>
    <w:p>
      <w:pPr>
        <w:ind w:left="64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13, 2017 the Company negotiated an Amended Credit Agreement (the July 13, 2017 Amended Credit Agreement) which matures July 13, 2020. The July 13, 2017 Amended Credit Agreement provides a borrowing base determined by the value of receivables and equipment with Senior Adjusted Leverage Ratio</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240" w:top="456" w:right="41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ind w:left="640" w:right="260"/>
        <w:spacing w:after="0" w:line="258" w:lineRule="auto"/>
        <w:rPr>
          <w:sz w:val="20"/>
          <w:szCs w:val="20"/>
          <w:color w:val="auto"/>
        </w:rPr>
      </w:pPr>
      <w:r>
        <w:rPr>
          <w:rFonts w:ascii="Times New Roman" w:cs="Times New Roman" w:eastAsia="Times New Roman" w:hAnsi="Times New Roman"/>
          <w:sz w:val="18"/>
          <w:szCs w:val="18"/>
          <w:color w:val="auto"/>
        </w:rPr>
        <w:t>and Fixed Charge Cover Ratio financial covenants. Under the terms of the July 13, 2017 Amended Credit Agreement the Senior Adjusted Leverage Ratio must not be more than 3.00:1.00 and the Fixed Charge Coverage Ratio must not be less than 1.50:1.00. The July 13, 2017 Amended Credit Agreement allows for borrowing up to $150,000,000 contingent on the value of the borrowing base defined above which includes letters of credit up to $30,000,000. The revolving facility can be drawn in both Canadian and US funds. It also contains a $50,000,000 non-revolving term loan facility. Proceeds from the term loan facility can only be used to repurchase the senior secured notes.</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Cash tender offer for senior secured notes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August 2, 2017 the Company negotiated a repayment of $79,680,000 of its senior secured notes plus $2,161,184 in accrued interest. No gain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or loss was recorded on repayment because the bonds were repaid at par. The repayment was funded with $27,246,804 in cash on hand, a</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$30,000,000 draw on the bank term loan, and a $25,000,000 draw on the revolving credit facility portion of the July 13, 2017 Amended Credit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left="640"/>
        <w:spacing w:after="0" w:line="266" w:lineRule="auto"/>
        <w:rPr>
          <w:sz w:val="20"/>
          <w:szCs w:val="20"/>
          <w:color w:val="auto"/>
        </w:rPr>
      </w:pPr>
      <w:r>
        <w:rPr>
          <w:rFonts w:ascii="Times New Roman" w:cs="Times New Roman" w:eastAsia="Times New Roman" w:hAnsi="Times New Roman"/>
          <w:sz w:val="18"/>
          <w:szCs w:val="18"/>
          <w:color w:val="auto"/>
        </w:rPr>
        <w:t>On September 29, 2017 the Company negotiated repayment of all of its remaining senior notes. The notes were redeemed for cash at a redemption price of 103.75% of the outstanding principal amount of the redeemed notes plus accrued interest. Following completion of the redemption, the indenture was terminated effective September 29, 2017.</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121" w:lineRule="exact"/>
        <w:rPr>
          <w:sz w:val="20"/>
          <w:szCs w:val="20"/>
          <w:color w:val="auto"/>
        </w:rPr>
      </w:pPr>
    </w:p>
    <w:p>
      <w:pPr>
        <w:ind w:left="640" w:right="320"/>
        <w:spacing w:after="0" w:line="266" w:lineRule="auto"/>
        <w:rPr>
          <w:sz w:val="20"/>
          <w:szCs w:val="20"/>
          <w:color w:val="auto"/>
        </w:rPr>
      </w:pPr>
      <w:r>
        <w:rPr>
          <w:rFonts w:ascii="Times New Roman" w:cs="Times New Roman" w:eastAsia="Times New Roman" w:hAnsi="Times New Roman"/>
          <w:sz w:val="18"/>
          <w:szCs w:val="18"/>
          <w:color w:val="auto"/>
        </w:rPr>
        <w:t>On September 18, 2017 the Company introduced a long-term incentive plan to allow for equity participation plan of certain key executives. Participation in the plan allows for ownership of Class “B” common, voting shares of the Company. As part of the arrangement, the Company undertook a 3 for 1 share split on its common shares.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Class H preferred share redemptions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November 30, 2017 the Company had repurchased and redeemed $718,778 of Class H preferred shares.</w:t>
      </w:r>
    </w:p>
    <w:p>
      <w:pPr>
        <w:spacing w:after="0" w:line="3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Civeo Corporation acquisition</w:t>
      </w:r>
    </w:p>
    <w:p>
      <w:pPr>
        <w:spacing w:after="0" w:line="121" w:lineRule="exact"/>
        <w:rPr>
          <w:sz w:val="20"/>
          <w:szCs w:val="20"/>
          <w:color w:val="auto"/>
        </w:rPr>
      </w:pPr>
    </w:p>
    <w:p>
      <w:pPr>
        <w:ind w:left="640" w:right="120"/>
        <w:spacing w:after="0" w:line="258" w:lineRule="auto"/>
        <w:rPr>
          <w:sz w:val="20"/>
          <w:szCs w:val="20"/>
          <w:color w:val="auto"/>
        </w:rPr>
      </w:pPr>
      <w:r>
        <w:rPr>
          <w:rFonts w:ascii="Times New Roman" w:cs="Times New Roman" w:eastAsia="Times New Roman" w:hAnsi="Times New Roman"/>
          <w:sz w:val="18"/>
          <w:szCs w:val="18"/>
          <w:color w:val="auto"/>
        </w:rPr>
        <w:t>On November 27, 2017 Civeo Corporation (“Civeo”) and Noralta announced they had entered into a definitive agreement for Civeo to acquire Noralta for a total consideration of approximately $367.0 million CAD on a cash-free, debt-free basis, subject to adjustments. Under the terms of the agreement, Civeo would acquire 100% of Noralta’s equity comprising approximately $210.0 million CAD in cash, 32.8 million Civeo common shares issued to Noralta’s equity holders, and non-voting convertible preferred equity issued to Noralta’s equity holders with a 2.0% dividend rate initially convertible into 29.3 million Civeo common shares.</w:t>
      </w:r>
    </w:p>
    <w:p>
      <w:pPr>
        <w:spacing w:after="0" w:line="329" w:lineRule="exact"/>
        <w:rPr>
          <w:sz w:val="20"/>
          <w:szCs w:val="20"/>
          <w:color w:val="auto"/>
        </w:rPr>
      </w:pPr>
    </w:p>
    <w:p>
      <w:pPr>
        <w:ind w:left="640" w:hanging="436"/>
        <w:spacing w:after="0"/>
        <w:tabs>
          <w:tab w:leader="none" w:pos="64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ASPE to US GAAP Reconciliation</w:t>
      </w:r>
    </w:p>
    <w:p>
      <w:pPr>
        <w:spacing w:after="0" w:line="121" w:lineRule="exact"/>
        <w:rPr>
          <w:rFonts w:ascii="Times New Roman" w:cs="Times New Roman" w:eastAsia="Times New Roman" w:hAnsi="Times New Roman"/>
          <w:sz w:val="18"/>
          <w:szCs w:val="18"/>
          <w:b w:val="1"/>
          <w:bCs w:val="1"/>
          <w:color w:val="auto"/>
        </w:rPr>
      </w:pPr>
    </w:p>
    <w:p>
      <w:pPr>
        <w:ind w:left="64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reconciliations below illustrate the impact of applying United States Generally Accepted Accounting Principles (“US GAAP”) to the Company’s financial information as at May 31, 2017 and May 31, 2016 and for the years ended May 31, 2017 and May 31, 2016. Previously, the Company had prepared its financial</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00"/>
          </w:cols>
          <w:pgMar w:left="240" w:top="456" w:right="45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ind w:left="640" w:right="260"/>
        <w:spacing w:after="0" w:line="282" w:lineRule="auto"/>
        <w:rPr>
          <w:sz w:val="20"/>
          <w:szCs w:val="20"/>
          <w:color w:val="auto"/>
        </w:rPr>
      </w:pPr>
      <w:r>
        <w:rPr>
          <w:rFonts w:ascii="Times New Roman" w:cs="Times New Roman" w:eastAsia="Times New Roman" w:hAnsi="Times New Roman"/>
          <w:sz w:val="18"/>
          <w:szCs w:val="18"/>
          <w:color w:val="auto"/>
        </w:rPr>
        <w:t>information in accordance with Canadian Accounting Standards for Private Enterprises (“ASPE”). An explanation of the adjustments that were made are as follows:</w:t>
      </w:r>
    </w:p>
    <w:p>
      <w:pPr>
        <w:spacing w:after="0" w:line="67" w:lineRule="exact"/>
        <w:rPr>
          <w:sz w:val="20"/>
          <w:szCs w:val="20"/>
          <w:color w:val="auto"/>
        </w:rPr>
      </w:pPr>
    </w:p>
    <w:p>
      <w:pPr>
        <w:ind w:left="1060" w:right="80" w:hanging="424"/>
        <w:spacing w:after="0" w:line="266" w:lineRule="auto"/>
        <w:tabs>
          <w:tab w:leader="none" w:pos="10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requires the use of a credit-adjusted risk-free rate for discounting when an expected present-value technique is used for estimating the fair value of asset retirement obligations. Under ASPE, a pre-tax discount is used to reflect current market assessments of the time value of money and the risks specific to the liability.</w:t>
      </w:r>
    </w:p>
    <w:p>
      <w:pPr>
        <w:spacing w:after="0" w:line="81" w:lineRule="exact"/>
        <w:rPr>
          <w:rFonts w:ascii="Times New Roman" w:cs="Times New Roman" w:eastAsia="Times New Roman" w:hAnsi="Times New Roman"/>
          <w:sz w:val="18"/>
          <w:szCs w:val="18"/>
          <w:color w:val="auto"/>
        </w:rPr>
      </w:pPr>
    </w:p>
    <w:p>
      <w:pPr>
        <w:ind w:left="1060" w:hanging="424"/>
        <w:spacing w:after="0" w:line="261" w:lineRule="auto"/>
        <w:tabs>
          <w:tab w:leader="none" w:pos="10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requires consolidation decisions first be made under the Variable Interest Entity (“VIE”) model. ASPE focuses on the concept of control in determining whether a parent-subsidiary relationship exists. It was determined that certain limited partnership arrangements required consolidation under the VIE model because Noralta was the primary beneficiary and had the obligation to absorb losses and right to receive benefits.</w:t>
      </w:r>
    </w:p>
    <w:p>
      <w:pPr>
        <w:spacing w:after="0" w:line="85"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requires that advances from a shareholder be classified as a reduction in a Company’s equity to properly reflect the nature of the advances and attendant circumstances giving rise to the transactions. ASPE does not require such presentation.</w:t>
      </w:r>
    </w:p>
    <w:p>
      <w:pPr>
        <w:spacing w:after="0" w:line="67" w:lineRule="exact"/>
        <w:rPr>
          <w:rFonts w:ascii="Times New Roman" w:cs="Times New Roman" w:eastAsia="Times New Roman" w:hAnsi="Times New Roman"/>
          <w:sz w:val="18"/>
          <w:szCs w:val="18"/>
          <w:color w:val="auto"/>
        </w:rPr>
      </w:pPr>
    </w:p>
    <w:p>
      <w:pPr>
        <w:ind w:left="1060" w:right="120" w:hanging="424"/>
        <w:spacing w:after="0" w:line="277" w:lineRule="auto"/>
        <w:tabs>
          <w:tab w:leader="none" w:pos="1060"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Class G and H preferred shares are redeemable at the option of the holder and have no mandatory redemption feature. Because they were issued as part of a tax planning arrangement they were presented as equity under ASPE. Under US GAAP, the preferred shares are presented as mezzanine equity at redemption value to reflect their debt and equity characteristics. This required a balance sheet reclassification of preferred shares within shareholders’ equity of $9,606,899 (2016 – $9,624,338) to mezzanine equity at redemption value of $479,246,126 (2016 – $480,068,244) with the difference of $475,027,252 (2016 – $476,115,763) charged to retained earnings.</w:t>
      </w:r>
    </w:p>
    <w:p>
      <w:pPr>
        <w:spacing w:after="0" w:line="1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20"/>
          </w:cols>
          <w:pgMar w:left="240" w:top="456" w:right="4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Consolidated Balance Sheet as at May 31, 2017</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Canadian $</w:t>
            </w:r>
          </w:p>
        </w:tc>
        <w:tc>
          <w:tcPr>
            <w:tcW w:w="1300" w:type="dxa"/>
            <w:vAlign w:val="bottom"/>
          </w:tcPr>
          <w:p>
            <w:pPr>
              <w:spacing w:after="0"/>
              <w:rPr>
                <w:sz w:val="13"/>
                <w:szCs w:val="13"/>
                <w:color w:val="auto"/>
              </w:rPr>
            </w:pPr>
          </w:p>
        </w:tc>
        <w:tc>
          <w:tcPr>
            <w:tcW w:w="10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Previous</w:t>
            </w:r>
          </w:p>
        </w:tc>
        <w:tc>
          <w:tcPr>
            <w:tcW w:w="16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ASPE to US GAAP</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0" w:type="dxa"/>
            <w:vAlign w:val="bottom"/>
          </w:tcPr>
          <w:p>
            <w:pPr>
              <w:spacing w:after="0"/>
              <w:rPr>
                <w:sz w:val="1"/>
                <w:szCs w:val="1"/>
                <w:color w:val="auto"/>
              </w:rPr>
            </w:pPr>
          </w:p>
        </w:tc>
      </w:tr>
      <w:tr>
        <w:trPr>
          <w:trHeight w:val="180"/>
        </w:trPr>
        <w:tc>
          <w:tcPr>
            <w:tcW w:w="4100" w:type="dxa"/>
            <w:vAlign w:val="bottom"/>
            <w:gridSpan w:val="3"/>
            <w:vMerge w:val="continue"/>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Canadian ASPE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16,940,767</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362,213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17,302,980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26,880,351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27,263,018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shareholder</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5,765,605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(5,765,605)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1,726,985</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1,726,985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54,597,933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49,577,208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159,279,490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(4,999,820)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154,279,670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214,047,774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(10,020,545</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204,027,229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14,774,745</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744,880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7,440,837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7,440,837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 under capital lease</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4,686,698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4,686,698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28,346,127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29,091,007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under capital lease</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94,754,822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94,754,822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Promissory note payable</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7,739,960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(5,517,080)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1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24,310,700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24,450,360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156,505,334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(4,632,540)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151,872,794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479,246,126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479,246,126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shares</w:t>
            </w:r>
          </w:p>
        </w:tc>
        <w:tc>
          <w:tcPr>
            <w:tcW w:w="1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9,606,899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(9,606,899)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 ii) iii) iv)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47,935,441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(475,027,232)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(427,091,791)</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57,542,440</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(484,634,131)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(427,091,691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214,047,774</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(10,020,545)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204,027,229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gridSpan w:val="2"/>
            <w:vMerge w:val="restart"/>
          </w:tcPr>
          <w:p>
            <w:pPr>
              <w:jc w:val="right"/>
              <w:ind w:right="1112"/>
              <w:spacing w:after="0"/>
              <w:rPr>
                <w:sz w:val="20"/>
                <w:szCs w:val="20"/>
                <w:color w:val="auto"/>
              </w:rPr>
            </w:pPr>
            <w:r>
              <w:rPr>
                <w:rFonts w:ascii="Times New Roman" w:cs="Times New Roman" w:eastAsia="Times New Roman" w:hAnsi="Times New Roman"/>
                <w:sz w:val="18"/>
                <w:szCs w:val="18"/>
                <w:color w:val="auto"/>
              </w:rPr>
              <w:t>F-22</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Consolidated Balance Sheet as at May 31, 2016</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Canadian $</w:t>
            </w:r>
          </w:p>
        </w:tc>
        <w:tc>
          <w:tcPr>
            <w:tcW w:w="1500" w:type="dxa"/>
            <w:vAlign w:val="bottom"/>
          </w:tcPr>
          <w:p>
            <w:pPr>
              <w:spacing w:after="0"/>
              <w:rPr>
                <w:sz w:val="13"/>
                <w:szCs w:val="13"/>
                <w:color w:val="auto"/>
              </w:rPr>
            </w:pPr>
          </w:p>
        </w:tc>
        <w:tc>
          <w:tcPr>
            <w:tcW w:w="5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Previous</w:t>
            </w: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ASPE to US GAAP</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0" w:type="dxa"/>
            <w:vAlign w:val="bottom"/>
          </w:tcPr>
          <w:p>
            <w:pPr>
              <w:spacing w:after="0"/>
              <w:rPr>
                <w:sz w:val="1"/>
                <w:szCs w:val="1"/>
                <w:color w:val="auto"/>
              </w:rPr>
            </w:pPr>
          </w:p>
        </w:tc>
      </w:tr>
      <w:tr>
        <w:trPr>
          <w:trHeight w:val="180"/>
        </w:trPr>
        <w:tc>
          <w:tcPr>
            <w:tcW w:w="4100" w:type="dxa"/>
            <w:vAlign w:val="bottom"/>
            <w:gridSpan w:val="3"/>
            <w:vMerge w:val="continue"/>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Canadian ASPE</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783,316</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17,634,011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17,637,111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2,271,232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1,244,383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Advances to shareholder</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5,671,857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(5,671,857)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28,364,346</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(5,651,246)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22,713,100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170,690,969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170,690,969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398,847</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199,454,162</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(5,651,246)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193,802,916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3"/>
            <w:vMerge w:val="continue"/>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13,093,613</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under capital lease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365,819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13,459,432</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13,480,043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capital lease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145,622,907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145,622,907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payable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1,346,414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17,871,657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178,497,567</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178,518,178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iv)</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480,068,244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480,068,244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shares</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shares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iv)</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9,624,338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(9,624,338)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 iv)</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11,332,157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(476,115,763)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(464,783,606)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20,956,595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(485,740,101)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(464,783,506)</w:t>
            </w: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199,454,162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(5,651,246</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193,802,916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4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18"/>
                <w:szCs w:val="18"/>
                <w:color w:val="auto"/>
              </w:rPr>
              <w:t>F-23</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for the year ended May 31, 2017</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Canadian $</w:t>
            </w:r>
          </w:p>
        </w:tc>
        <w:tc>
          <w:tcPr>
            <w:tcW w:w="9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Previous Canadian</w:t>
            </w:r>
          </w:p>
        </w:tc>
        <w:tc>
          <w:tcPr>
            <w:tcW w:w="17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ASPE to US GAAP</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0" w:type="dxa"/>
            <w:vAlign w:val="bottom"/>
          </w:tcPr>
          <w:p>
            <w:pPr>
              <w:spacing w:after="0"/>
              <w:rPr>
                <w:sz w:val="1"/>
                <w:szCs w:val="1"/>
                <w:color w:val="auto"/>
              </w:rPr>
            </w:pPr>
          </w:p>
        </w:tc>
      </w:tr>
      <w:tr>
        <w:trPr>
          <w:trHeight w:val="193"/>
        </w:trPr>
        <w:tc>
          <w:tcPr>
            <w:tcW w:w="442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ASPE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3"/>
              </w:rPr>
              <w:t>Revenue</w:t>
            </w:r>
          </w:p>
        </w:tc>
        <w:tc>
          <w:tcPr>
            <w:tcW w:w="37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ii)</w:t>
            </w: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158,725,312</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2,153,560</w:t>
            </w: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160,878,872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Wages and benefits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29,743,106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29,743,106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Groceries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19,622,481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Telephone and utilities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8,917,952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Rent</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2,881,257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Contracted Services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Aircraft and travel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2,015,782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Repairs and maintenance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taxes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Lodge supplies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71,272,230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2,153,560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73,425,790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87,453,082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87,453,082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10,441,232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10,441,232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19,873,694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(555,535)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19,318,159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Reorganization cost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Mobilization and demobilization costs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12,216,931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35,285,778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34,730,243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from operations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41,726,072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42,281,607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Wildfire costs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(169,068)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Insurance proceeds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2,932,091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 loss on property and equipment</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repayment of long-term debt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6,736,813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foreign exchange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9,585,113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51,311,185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51,828,445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6,439,043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13,903,222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and comprehensive income for the year</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37,407,963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37,785,563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00" w:type="dxa"/>
            <w:vAlign w:val="bottom"/>
            <w:gridSpan w:val="2"/>
            <w:vMerge w:val="restart"/>
          </w:tcPr>
          <w:p>
            <w:pPr>
              <w:jc w:val="right"/>
              <w:ind w:right="393"/>
              <w:spacing w:after="0"/>
              <w:rPr>
                <w:sz w:val="20"/>
                <w:szCs w:val="20"/>
                <w:color w:val="auto"/>
              </w:rPr>
            </w:pPr>
            <w:r>
              <w:rPr>
                <w:rFonts w:ascii="Times New Roman" w:cs="Times New Roman" w:eastAsia="Times New Roman" w:hAnsi="Times New Roman"/>
                <w:sz w:val="18"/>
                <w:szCs w:val="18"/>
                <w:color w:val="auto"/>
              </w:rPr>
              <w:t>F-24</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6" w:right="41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for the year ended May 31, 2016</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Canadian $</w:t>
            </w:r>
          </w:p>
        </w:tc>
        <w:tc>
          <w:tcPr>
            <w:tcW w:w="1440" w:type="dxa"/>
            <w:vAlign w:val="bottom"/>
          </w:tcPr>
          <w:p>
            <w:pPr>
              <w:spacing w:after="0"/>
              <w:rPr>
                <w:sz w:val="13"/>
                <w:szCs w:val="13"/>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Previous</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ASPE to US GAAP</w:t>
            </w:r>
          </w:p>
        </w:tc>
        <w:tc>
          <w:tcPr>
            <w:tcW w:w="460" w:type="dxa"/>
            <w:vAlign w:val="bottom"/>
          </w:tcPr>
          <w:p>
            <w:pPr>
              <w:spacing w:after="0"/>
              <w:rPr>
                <w:sz w:val="13"/>
                <w:szCs w:val="13"/>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0" w:type="dxa"/>
            <w:vAlign w:val="bottom"/>
          </w:tcPr>
          <w:p>
            <w:pPr>
              <w:spacing w:after="0"/>
              <w:rPr>
                <w:sz w:val="1"/>
                <w:szCs w:val="1"/>
                <w:color w:val="auto"/>
              </w:rPr>
            </w:pPr>
          </w:p>
        </w:tc>
      </w:tr>
      <w:tr>
        <w:trPr>
          <w:trHeight w:val="193"/>
        </w:trPr>
        <w:tc>
          <w:tcPr>
            <w:tcW w:w="4220" w:type="dxa"/>
            <w:vAlign w:val="bottom"/>
            <w:gridSpan w:val="3"/>
            <w:vMerge w:val="continue"/>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6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Canadian ASPE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3"/>
              </w:rPr>
              <w:t>Revenue</w:t>
            </w:r>
          </w:p>
        </w:tc>
        <w:tc>
          <w:tcPr>
            <w:tcW w:w="35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w w:val="99"/>
              </w:rPr>
              <w:t>ii)</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94,952,763</w:t>
            </w: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19,631</w:t>
            </w:r>
          </w:p>
        </w:tc>
        <w:tc>
          <w:tcPr>
            <w:tcW w:w="4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$ 94,972,394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Wages and benefits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31,728,288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Groceries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11,718,906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11,718,906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Telephone and utilities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7,966,855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1,800,638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Contracted services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ii)</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Aircraft and travel</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2,762,263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Repairs and maintenance</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taxes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Lodge supplies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fees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64,119,867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64,139,498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30,832,896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8,318,999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8,318,999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20,884,120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20,884,120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Reorganization cost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Mobilization and demobilization costs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14,795,664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37,098,344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37,098,344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(14,584,447)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(14,584,447)</w:t>
            </w: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Wildfire costs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(1,681,665)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Insurance proceeds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 loss on property and equipment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repayment of long-term debt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foreign exchange</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(14,811,087)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(14,811,087)</w:t>
            </w: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(1,606,387)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(3,136,943)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(3,136,943)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(4,743,330)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(4,743,330)</w:t>
            </w:r>
          </w:p>
        </w:tc>
        <w:tc>
          <w:tcPr>
            <w:tcW w:w="0" w:type="dxa"/>
            <w:vAlign w:val="bottom"/>
          </w:tcPr>
          <w:p>
            <w:pPr>
              <w:spacing w:after="0"/>
              <w:rPr>
                <w:sz w:val="1"/>
                <w:szCs w:val="1"/>
                <w:color w:val="auto"/>
              </w:rPr>
            </w:pPr>
          </w:p>
        </w:tc>
      </w:tr>
      <w:tr>
        <w:trPr>
          <w:trHeight w:val="223"/>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 for the year</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(10,067,757</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(10,067,757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F-25</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6" w:right="41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866140" cy="4457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66140" cy="44577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208280</wp:posOffset>
            </wp:positionV>
            <wp:extent cx="1140460" cy="2146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404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color w:val="auto"/>
        </w:rPr>
        <w:t>8th Floor, 100 University Avenue</w:t>
      </w:r>
    </w:p>
    <w:p>
      <w:pPr>
        <w:ind w:left="8880"/>
        <w:spacing w:after="0" w:line="226" w:lineRule="auto"/>
        <w:rPr>
          <w:sz w:val="20"/>
          <w:szCs w:val="20"/>
          <w:color w:val="auto"/>
        </w:rPr>
      </w:pPr>
      <w:r>
        <w:rPr>
          <w:rFonts w:ascii="Times New Roman" w:cs="Times New Roman" w:eastAsia="Times New Roman" w:hAnsi="Times New Roman"/>
          <w:sz w:val="14"/>
          <w:szCs w:val="14"/>
          <w:color w:val="auto"/>
        </w:rPr>
        <w:t>Toronto, Ontario M5J 2Y1</w:t>
      </w:r>
    </w:p>
    <w:p>
      <w:pPr>
        <w:spacing w:after="0" w:line="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color w:val="auto"/>
        </w:rPr>
        <w:t>www.computershare.com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Security Class</w:t>
      </w:r>
    </w:p>
    <w:p>
      <w:pPr>
        <w:spacing w:after="0" w:line="200" w:lineRule="exact"/>
        <w:rPr>
          <w:sz w:val="20"/>
          <w:szCs w:val="20"/>
          <w:color w:val="auto"/>
        </w:rPr>
      </w:pPr>
    </w:p>
    <w:p>
      <w:pPr>
        <w:spacing w:after="0" w:line="2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Holder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6998970</wp:posOffset>
            </wp:positionH>
            <wp:positionV relativeFrom="paragraph">
              <wp:posOffset>621030</wp:posOffset>
            </wp:positionV>
            <wp:extent cx="26543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543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Fold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Proxy - Special Meeting to be held on March 28,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Form of Proxy is solicited by and on behalf of the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proxy</w:t>
      </w:r>
    </w:p>
    <w:p>
      <w:pPr>
        <w:spacing w:after="0" w:line="2" w:lineRule="exact"/>
        <w:rPr>
          <w:sz w:val="20"/>
          <w:szCs w:val="20"/>
          <w:color w:val="auto"/>
        </w:rPr>
      </w:pPr>
    </w:p>
    <w:p>
      <w:pPr>
        <w:ind w:left="220" w:right="80" w:hanging="212"/>
        <w:spacing w:after="0" w:line="233" w:lineRule="auto"/>
        <w:tabs>
          <w:tab w:leader="none" w:pos="220" w:val="left"/>
        </w:tabs>
        <w:numPr>
          <w:ilvl w:val="0"/>
          <w:numId w:val="3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Every holder has the right to appoint some other person or company of their choice, who need not be a holder, to attend and act on their behalf at the meeting or any adjournment or postponement thereof. If you wish to appoint a person or company other than the persons whose names are printed herein, please insert the name of your chosen proxyholder in the space provided (see reverse).</w:t>
      </w:r>
    </w:p>
    <w:p>
      <w:pPr>
        <w:spacing w:after="0" w:line="41" w:lineRule="exact"/>
        <w:rPr>
          <w:rFonts w:ascii="Times New Roman" w:cs="Times New Roman" w:eastAsia="Times New Roman" w:hAnsi="Times New Roman"/>
          <w:sz w:val="14"/>
          <w:szCs w:val="14"/>
          <w:b w:val="1"/>
          <w:bCs w:val="1"/>
          <w:color w:val="auto"/>
        </w:rPr>
      </w:pPr>
    </w:p>
    <w:p>
      <w:pPr>
        <w:ind w:left="220" w:right="160" w:hanging="212"/>
        <w:spacing w:after="0" w:line="241" w:lineRule="auto"/>
        <w:tabs>
          <w:tab w:leader="none" w:pos="220"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registered in the name of more than one owner (for example, joint ownership, trustees, executors, etc.), then all those registered should sign this proxy. If you are voting on behalf of a corporation or other entity or another individual you must sign this proxy with signing capacity stated, and you may be required to provide documentation evidencing your power to sign this proxy.</w:t>
      </w:r>
    </w:p>
    <w:p>
      <w:pPr>
        <w:spacing w:after="0" w:line="4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proxy should be signed in the exact manner as the name(s) appear(s) on the proxy.</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proxy is not dated, it will be deemed to bear the date on which it is mailed by Management to the holder.</w:t>
      </w:r>
    </w:p>
    <w:p>
      <w:pPr>
        <w:spacing w:after="0" w:line="66" w:lineRule="exact"/>
        <w:rPr>
          <w:rFonts w:ascii="Times New Roman" w:cs="Times New Roman" w:eastAsia="Times New Roman" w:hAnsi="Times New Roman"/>
          <w:sz w:val="14"/>
          <w:szCs w:val="14"/>
          <w:color w:val="auto"/>
        </w:rPr>
      </w:pPr>
    </w:p>
    <w:p>
      <w:pPr>
        <w:ind w:left="220" w:right="720" w:hanging="212"/>
        <w:spacing w:after="0" w:line="265" w:lineRule="auto"/>
        <w:tabs>
          <w:tab w:leader="none" w:pos="220" w:val="left"/>
        </w:tabs>
        <w:numPr>
          <w:ilvl w:val="0"/>
          <w:numId w:val="3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securities represented by this proxy will be voted as directed by the holder. However, if such a direction is not made in respect of any matter, this proxy will be voted as recommended by the Board of Directors.</w:t>
      </w:r>
    </w:p>
    <w:p>
      <w:pPr>
        <w:spacing w:after="0" w:line="22" w:lineRule="exact"/>
        <w:rPr>
          <w:rFonts w:ascii="Times New Roman" w:cs="Times New Roman" w:eastAsia="Times New Roman" w:hAnsi="Times New Roman"/>
          <w:sz w:val="14"/>
          <w:szCs w:val="14"/>
          <w:b w:val="1"/>
          <w:bCs w:val="1"/>
          <w:color w:val="auto"/>
        </w:rPr>
      </w:pPr>
    </w:p>
    <w:p>
      <w:pPr>
        <w:ind w:left="220" w:right="220" w:hanging="212"/>
        <w:spacing w:after="0" w:line="265" w:lineRule="auto"/>
        <w:tabs>
          <w:tab w:leader="none" w:pos="220" w:val="left"/>
        </w:tabs>
        <w:numPr>
          <w:ilvl w:val="0"/>
          <w:numId w:val="3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This proxy confers discretionary authority in respect of amendments or variations to the matter identified in the Notice of Meeting or other matters that may properly come before the meeting or any adjournment or postponement thereof.</w:t>
      </w:r>
    </w:p>
    <w:p>
      <w:pPr>
        <w:spacing w:after="0" w:line="24" w:lineRule="exact"/>
        <w:rPr>
          <w:rFonts w:ascii="Times New Roman" w:cs="Times New Roman" w:eastAsia="Times New Roman" w:hAnsi="Times New Roman"/>
          <w:sz w:val="14"/>
          <w:szCs w:val="14"/>
          <w:b w:val="1"/>
          <w:bCs w:val="1"/>
          <w:color w:val="auto"/>
        </w:rPr>
      </w:pPr>
    </w:p>
    <w:p>
      <w:pPr>
        <w:ind w:left="220" w:hanging="212"/>
        <w:spacing w:after="0"/>
        <w:tabs>
          <w:tab w:leader="none" w:pos="220"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proxy should be read in conjunction with the accompanying documentation provided by Management.</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Proxies submitted must be received by 9:00 AM (Central Time) on March 26, 2018.                             </w:t>
      </w:r>
      <w:r>
        <w:rPr>
          <w:sz w:val="1"/>
          <w:szCs w:val="1"/>
          <w:color w:val="auto"/>
        </w:rPr>
        <w:drawing>
          <wp:inline distT="0" distB="0" distL="0" distR="0">
            <wp:extent cx="93980" cy="3429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 cy="34290"/>
                    </a:xfrm>
                    <a:prstGeom prst="rect">
                      <a:avLst/>
                    </a:prstGeom>
                    <a:noFill/>
                    <a:ln>
                      <a:noFill/>
                    </a:ln>
                  </pic:spPr>
                </pic:pic>
              </a:graphicData>
            </a:graphic>
          </wp:inline>
        </w:drawing>
      </w:r>
      <w:r>
        <w:rPr>
          <w:rFonts w:ascii="Times New Roman" w:cs="Times New Roman" w:eastAsia="Times New Roman" w:hAnsi="Times New Roman"/>
          <w:sz w:val="29"/>
          <w:szCs w:val="29"/>
          <w:color w:val="auto"/>
          <w:vertAlign w:val="superscript"/>
        </w:rPr>
        <w:t>Fold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7067550</wp:posOffset>
            </wp:positionH>
            <wp:positionV relativeFrom="paragraph">
              <wp:posOffset>-209550</wp:posOffset>
            </wp:positionV>
            <wp:extent cx="19685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96850" cy="342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673600" cy="3860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673600" cy="38608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right="339" w:hanging="112"/>
        <w:spacing w:after="0" w:line="262" w:lineRule="auto"/>
        <w:tabs>
          <w:tab w:leader="none" w:pos="98"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the number listed BELOW from a touch tone telephone.</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1-866-732-VOTE (8683) Toll Free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81" w:right="5640" w:hanging="81"/>
        <w:spacing w:after="0" w:line="233" w:lineRule="auto"/>
        <w:tabs>
          <w:tab w:leader="none" w:pos="95"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 to the following web site: www.investorvote.com</w:t>
      </w:r>
    </w:p>
    <w:p>
      <w:pPr>
        <w:ind w:left="81" w:hanging="81"/>
        <w:spacing w:after="0" w:line="221" w:lineRule="auto"/>
        <w:tabs>
          <w:tab w:leader="none" w:pos="81" w:val="left"/>
        </w:tabs>
        <w:numPr>
          <w:ilvl w:val="0"/>
          <w:numId w:val="4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Smartphone?</w:t>
      </w:r>
    </w:p>
    <w:p>
      <w:pPr>
        <w:ind w:left="81"/>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Scan the QR code to vote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-380365</wp:posOffset>
            </wp:positionV>
            <wp:extent cx="514350" cy="523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000000"/>
                        </a:clrFrom>
                        <a:clrTo>
                          <a:srgbClr val="000000">
                            <a:alpha val="0"/>
                          </a:srgbClr>
                        </a:clrTo>
                      </a:clrChange>
                      <a:extLst>
                        <a:ext uri="{28A0092B-C50C-407E-A947-70E740481C1C}"/>
                      </a:extLst>
                    </a:blip>
                    <a:srcRect/>
                    <a:stretch>
                      <a:fillRect/>
                    </a:stretch>
                  </pic:blipFill>
                  <pic:spPr bwMode="auto">
                    <a:xfrm>
                      <a:off x="0" y="0"/>
                      <a:ext cx="514350" cy="52324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-380365</wp:posOffset>
            </wp:positionV>
            <wp:extent cx="514350" cy="523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514350" cy="523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99" w:space="720"/>
            <w:col w:w="7401"/>
          </w:cols>
          <w:pgMar w:left="240" w:top="455" w:right="23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vote by telephone or the Internet, DO NOT mail back this proxy.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Voting by mail </w:t>
      </w:r>
      <w:r>
        <w:rPr>
          <w:rFonts w:ascii="Times New Roman" w:cs="Times New Roman" w:eastAsia="Times New Roman" w:hAnsi="Times New Roman"/>
          <w:sz w:val="14"/>
          <w:szCs w:val="14"/>
          <w:color w:val="auto"/>
        </w:rPr>
        <w:t>may be the only method for securities held in the name of a corporation or securities being voted on behalf of another individual.</w:t>
      </w:r>
    </w:p>
    <w:p>
      <w:pPr>
        <w:spacing w:after="0" w:line="96"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Voting by mail or by Internet </w:t>
      </w:r>
      <w:r>
        <w:rPr>
          <w:rFonts w:ascii="Times New Roman" w:cs="Times New Roman" w:eastAsia="Times New Roman" w:hAnsi="Times New Roman"/>
          <w:sz w:val="14"/>
          <w:szCs w:val="14"/>
          <w:color w:val="auto"/>
        </w:rPr>
        <w:t>are the only methods by which a holder may appoint a person as proxyholder other than the Management nominees named on the reverse of this proxy. Instead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mailing this proxy, you may choose one of the two voting methods outlined above to vote this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vote by telephone or the Internet, you will need to provide your CONTROL NUMBER listed below.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NUMBER</w:t>
      </w:r>
    </w:p>
    <w:p>
      <w:pPr>
        <w:sectPr>
          <w:pgSz w:w="11900" w:h="16838" w:orient="portrait"/>
          <w:cols w:equalWidth="0" w:num="1">
            <w:col w:w="11420"/>
          </w:cols>
          <w:pgMar w:left="240" w:top="455" w:right="239" w:bottom="1440" w:gutter="0" w:footer="0" w:header="0"/>
          <w:type w:val="continuous"/>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80340" cy="1714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0340" cy="17145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208280</wp:posOffset>
            </wp:positionV>
            <wp:extent cx="180340"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803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Proxyholder</w:t>
      </w:r>
    </w:p>
    <w:p>
      <w:pPr>
        <w:spacing w:after="0" w:line="26" w:lineRule="exact"/>
        <w:rPr>
          <w:sz w:val="20"/>
          <w:szCs w:val="20"/>
          <w:color w:val="auto"/>
        </w:rPr>
      </w:pPr>
    </w:p>
    <w:p>
      <w:pPr>
        <w:spacing w:after="0"/>
        <w:tabs>
          <w:tab w:leader="none" w:pos="5360" w:val="left"/>
          <w:tab w:leader="none" w:pos="6060" w:val="left"/>
        </w:tabs>
        <w:rPr>
          <w:sz w:val="20"/>
          <w:szCs w:val="20"/>
          <w:color w:val="auto"/>
        </w:rPr>
      </w:pPr>
      <w:r>
        <w:rPr>
          <w:rFonts w:ascii="Times New Roman" w:cs="Times New Roman" w:eastAsia="Times New Roman" w:hAnsi="Times New Roman"/>
          <w:sz w:val="14"/>
          <w:szCs w:val="14"/>
          <w:b w:val="1"/>
          <w:bCs w:val="1"/>
          <w:color w:val="auto"/>
        </w:rPr>
        <w:t xml:space="preserve">I/We being holder(s) of Civeo Corporation hereby appoint: </w:t>
      </w:r>
      <w:r>
        <w:rPr>
          <w:rFonts w:ascii="Times New Roman" w:cs="Times New Roman" w:eastAsia="Times New Roman" w:hAnsi="Times New Roman"/>
          <w:sz w:val="14"/>
          <w:szCs w:val="14"/>
          <w:color w:val="auto"/>
        </w:rPr>
        <w:t>Bradley J.</w:t>
      </w:r>
      <w:r>
        <w:rPr>
          <w:sz w:val="20"/>
          <w:szCs w:val="20"/>
          <w:color w:val="auto"/>
        </w:rPr>
        <w:tab/>
      </w:r>
      <w:r>
        <w:rPr>
          <w:rFonts w:ascii="Times New Roman" w:cs="Times New Roman" w:eastAsia="Times New Roman" w:hAnsi="Times New Roman"/>
          <w:sz w:val="14"/>
          <w:szCs w:val="14"/>
          <w:b w:val="1"/>
          <w:bCs w:val="1"/>
          <w:color w:val="auto"/>
        </w:rPr>
        <w:t>OR</w:t>
      </w:r>
      <w:r>
        <w:rPr>
          <w:sz w:val="20"/>
          <w:szCs w:val="20"/>
          <w:color w:val="auto"/>
        </w:rPr>
        <w:tab/>
      </w:r>
      <w:r>
        <w:rPr>
          <w:rFonts w:ascii="Times New Roman" w:cs="Times New Roman" w:eastAsia="Times New Roman" w:hAnsi="Times New Roman"/>
          <w:sz w:val="14"/>
          <w:szCs w:val="14"/>
          <w:b w:val="1"/>
          <w:bCs w:val="1"/>
          <w:color w:val="auto"/>
        </w:rPr>
        <w:t>Print the name of the person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-97790</wp:posOffset>
            </wp:positionV>
            <wp:extent cx="1526540" cy="3086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26540" cy="308610"/>
                    </a:xfrm>
                    <a:prstGeom prst="rect">
                      <a:avLst/>
                    </a:prstGeom>
                    <a:noFill/>
                  </pic:spPr>
                </pic:pic>
              </a:graphicData>
            </a:graphic>
          </wp:anchor>
        </w:drawing>
      </w:r>
    </w:p>
    <w:p>
      <w:pPr>
        <w:spacing w:after="0" w:line="221" w:lineRule="auto"/>
        <w:tabs>
          <w:tab w:leader="none" w:pos="6060" w:val="left"/>
        </w:tabs>
        <w:rPr>
          <w:sz w:val="20"/>
          <w:szCs w:val="20"/>
          <w:color w:val="auto"/>
        </w:rPr>
      </w:pPr>
      <w:r>
        <w:rPr>
          <w:rFonts w:ascii="Times New Roman" w:cs="Times New Roman" w:eastAsia="Times New Roman" w:hAnsi="Times New Roman"/>
          <w:sz w:val="14"/>
          <w:szCs w:val="14"/>
          <w:color w:val="auto"/>
        </w:rPr>
        <w:t>Dodson, or failing him, Frank C. Steininger,</w:t>
      </w:r>
      <w:r>
        <w:rPr>
          <w:sz w:val="20"/>
          <w:szCs w:val="20"/>
          <w:color w:val="auto"/>
        </w:rPr>
        <w:tab/>
      </w:r>
      <w:r>
        <w:rPr>
          <w:rFonts w:ascii="Times New Roman" w:cs="Times New Roman" w:eastAsia="Times New Roman" w:hAnsi="Times New Roman"/>
          <w:sz w:val="14"/>
          <w:szCs w:val="14"/>
          <w:b w:val="1"/>
          <w:bCs w:val="1"/>
          <w:color w:val="auto"/>
        </w:rPr>
        <w:t>appointing if this person is someone</w:t>
      </w:r>
    </w:p>
    <w:p>
      <w:pPr>
        <w:ind w:left="6080"/>
        <w:spacing w:after="0"/>
        <w:rPr>
          <w:sz w:val="20"/>
          <w:szCs w:val="20"/>
          <w:color w:val="auto"/>
        </w:rPr>
      </w:pPr>
      <w:r>
        <w:rPr>
          <w:rFonts w:ascii="Times New Roman" w:cs="Times New Roman" w:eastAsia="Times New Roman" w:hAnsi="Times New Roman"/>
          <w:sz w:val="14"/>
          <w:szCs w:val="14"/>
          <w:b w:val="1"/>
          <w:bCs w:val="1"/>
          <w:color w:val="auto"/>
        </w:rPr>
        <w:t>other than Bradley J. Dodson.</w:t>
      </w:r>
    </w:p>
    <w:p>
      <w:pPr>
        <w:spacing w:after="0" w:line="215"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4"/>
          <w:szCs w:val="14"/>
          <w:color w:val="auto"/>
        </w:rPr>
        <w:t>as my/our proxyholder with full power of substitution and to attend, act and to vote for and on behalf of the shareholder in accordance with the following direction (or if no directions have been given, as the proxyholder sees fit) and all other matters that may properly come before the Special Meeting of shareholders of Civeo Corporation to be held at the Doubletree Houston, 400 Dallas Street, Houston, Texas 77002 on March 28, 2018 at 9:00 AM (Central Time) and at any adjournment or postponement thereof.</w:t>
      </w:r>
    </w:p>
    <w:p>
      <w:pPr>
        <w:sectPr>
          <w:pgSz w:w="11900" w:h="16838" w:orient="portrait"/>
          <w:cols w:equalWidth="0" w:num="1">
            <w:col w:w="11420"/>
          </w:cols>
          <w:pgMar w:left="240" w:top="456" w:right="239" w:bottom="1440" w:gutter="0" w:footer="0" w:header="0"/>
        </w:sectPr>
      </w:pPr>
    </w:p>
    <w:p>
      <w:pPr>
        <w:spacing w:after="0" w:line="202" w:lineRule="exact"/>
        <w:rPr>
          <w:sz w:val="20"/>
          <w:szCs w:val="20"/>
          <w:color w:val="auto"/>
        </w:rPr>
      </w:pPr>
    </w:p>
    <w:p>
      <w:pPr>
        <w:spacing w:after="0"/>
        <w:tabs>
          <w:tab w:leader="none" w:pos="3680" w:val="left"/>
          <w:tab w:leader="none" w:pos="4860" w:val="left"/>
        </w:tabs>
        <w:rPr>
          <w:sz w:val="20"/>
          <w:szCs w:val="20"/>
          <w:color w:val="auto"/>
        </w:rPr>
      </w:pPr>
      <w:r>
        <w:rPr>
          <w:rFonts w:ascii="Times New Roman" w:cs="Times New Roman" w:eastAsia="Times New Roman" w:hAnsi="Times New Roman"/>
          <w:sz w:val="14"/>
          <w:szCs w:val="14"/>
          <w:b w:val="1"/>
          <w:bCs w:val="1"/>
          <w:color w:val="auto"/>
        </w:rPr>
        <w:t>VOTING RECOMMENDATIONS ARE INDICATED BY</w:t>
      </w:r>
      <w:r>
        <w:rPr>
          <w:rFonts w:ascii="Times New Roman" w:cs="Times New Roman" w:eastAsia="Times New Roman" w:hAnsi="Times New Roman"/>
          <w:sz w:val="14"/>
          <w:szCs w:val="14"/>
          <w:b w:val="1"/>
          <w:bCs w:val="1"/>
          <w:color w:val="FFFFFF"/>
          <w:highlight w:val="black"/>
        </w:rPr>
        <w:tab/>
        <w:t>HIGHLIGHTED</w:t>
      </w:r>
      <w:r>
        <w:rPr>
          <w:rFonts w:ascii="Times New Roman" w:cs="Times New Roman" w:eastAsia="Times New Roman" w:hAnsi="Times New Roman"/>
          <w:sz w:val="14"/>
          <w:szCs w:val="14"/>
          <w:b w:val="1"/>
          <w:bCs w:val="1"/>
          <w:color w:val="auto"/>
        </w:rPr>
        <w:tab/>
        <w:t>TEXT OVER THE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946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Issuance Proposal</w:t>
      </w:r>
    </w:p>
    <w:p>
      <w:pPr>
        <w:spacing w:after="0" w:line="2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To approve the issuance of Common Shares and the Preferred Shares, together with the issuance of Common Shares upon any conversion of the Preferred Shares, upon the consummation of the Acquisition as described in our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b w:val="1"/>
          <w:bCs w:val="1"/>
          <w:color w:val="FFFFFF"/>
        </w:rPr>
        <w:t>For</w:t>
      </w:r>
      <w:r>
        <w:rPr>
          <w:rFonts w:ascii="Times New Roman" w:cs="Times New Roman" w:eastAsia="Times New Roman" w:hAnsi="Times New Roman"/>
          <w:sz w:val="14"/>
          <w:szCs w:val="14"/>
          <w:b w:val="1"/>
          <w:bCs w:val="1"/>
          <w:color w:val="auto"/>
        </w:rPr>
        <w:tab/>
        <w:t>Against  Abstain</w:t>
      </w:r>
    </w:p>
    <w:p>
      <w:pPr>
        <w:spacing w:after="0" w:line="181" w:lineRule="exact"/>
        <w:rPr>
          <w:sz w:val="20"/>
          <w:szCs w:val="20"/>
          <w:color w:val="auto"/>
        </w:rPr>
      </w:pPr>
    </w:p>
    <w:p>
      <w:pPr>
        <w:ind w:left="100"/>
        <w:spacing w:after="0" w:line="181" w:lineRule="exact"/>
        <w:tabs>
          <w:tab w:leader="none" w:pos="580" w:val="left"/>
          <w:tab w:leader="none" w:pos="11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1035050</wp:posOffset>
            </wp:positionV>
            <wp:extent cx="26543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5430" cy="34290"/>
                    </a:xfrm>
                    <a:prstGeom prst="rect">
                      <a:avLst/>
                    </a:prstGeom>
                    <a:noFill/>
                  </pic:spPr>
                </pic:pic>
              </a:graphicData>
            </a:graphic>
          </wp:anchor>
        </w:drawing>
      </w:r>
    </w:p>
    <w:p>
      <w:pPr>
        <w:spacing w:after="0" w:line="380" w:lineRule="exact"/>
        <w:rPr>
          <w:sz w:val="20"/>
          <w:szCs w:val="20"/>
          <w:color w:val="auto"/>
        </w:rPr>
      </w:pPr>
    </w:p>
    <w:p>
      <w:pPr>
        <w:sectPr>
          <w:pgSz w:w="11900" w:h="16838" w:orient="portrait"/>
          <w:cols w:equalWidth="0" w:num="2">
            <w:col w:w="9660" w:space="240"/>
            <w:col w:w="1520"/>
          </w:cols>
          <w:pgMar w:left="240" w:top="4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4"/>
          <w:szCs w:val="14"/>
          <w:color w:val="auto"/>
        </w:rPr>
        <w:t>Fold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958215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958215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958215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958215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958215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958215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958215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958215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958215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958215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958215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958215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958215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958215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958215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958215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958215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958215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958215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958215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958215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958215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958215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958215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958215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958215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958215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958215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958215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958215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958215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958215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958215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958215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958215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958215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958215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958215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958215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958215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958215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958215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958215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958215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958215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958215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958215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958215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958215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958215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958215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958215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958215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958215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958215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958215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958215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958215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958215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958215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958215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958215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958215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958215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958215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958215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958215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958215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958215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958215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958215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958215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958215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958215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958215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958215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958215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958215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958215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958215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958215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958215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958215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958215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958215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958215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958215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958215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958215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958215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958215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958215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958215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958215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958215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958215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958215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958215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958215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958215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958215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958215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958215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958215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958215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958215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958215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958215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958215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958215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958215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958215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958215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958215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958215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958215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958215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958215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958215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958215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958215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958215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958215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958215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958215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958215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958215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958215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958215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958215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958215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958215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958215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958215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958215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958215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958215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958215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958215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958215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958215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958215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958215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958215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958215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958215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958215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958215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958215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958215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958215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958215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958215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958215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958215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958215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958215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958215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958215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958215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958215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958215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958215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958215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958215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958215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958215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958215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958215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958215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958215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958215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958215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958215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958215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958215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958215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958215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958215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958215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958215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958215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958215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958215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958215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958215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958215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958215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958215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958215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958215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958215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958215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958215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958215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958215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958215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958215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958215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958215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958215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958215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958215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958215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958215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958215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958215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958215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958215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958215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958215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958215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958215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958215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958215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958215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958215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958215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958215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958215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958215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958215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958215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958215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958215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958215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958215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958215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958215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958215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958215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958215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958215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958215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958215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958215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958215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958215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958215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958215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958215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958215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958215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958215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958215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958215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958215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958215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958215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958215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958215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958215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958215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958215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958215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958215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958215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958215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958215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958215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958215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958215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958215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958215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958215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958215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958215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958215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958215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958215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958215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958215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958215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958215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958215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958215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958215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958215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958215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958215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958215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958215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958215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958215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958215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958215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958215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958215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958215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958215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958215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958215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958215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958215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958215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958215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958215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958215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958215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958215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958215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958215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958215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958215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958215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958215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958215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958215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958215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958215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958215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958215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958215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958215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958215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958215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958215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958215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958215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958215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958215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958215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958215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958215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958215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958215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958215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958215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958215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958215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958215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958215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958215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958215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958215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958215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958215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958215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958215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958215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958215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958215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958215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958215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958215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958215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958215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958215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958215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958215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958215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958215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958215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958215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958215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958215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958215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958215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958215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958215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958215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958215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958215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958215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958215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958215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958215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958215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958215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958215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958215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958215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958215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958215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958215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958215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958215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958215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958215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958215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Authorized Signature(s) - This section must be completed for your</w:t>
            </w:r>
          </w:p>
        </w:tc>
        <w:tc>
          <w:tcPr>
            <w:tcW w:w="32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Signature(s)</w:t>
            </w:r>
          </w:p>
        </w:tc>
        <w:tc>
          <w:tcPr>
            <w:tcW w:w="1540" w:type="dxa"/>
            <w:vAlign w:val="bottom"/>
            <w:gridSpan w:val="7"/>
          </w:tcPr>
          <w:p>
            <w:pPr>
              <w:ind w:left="3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instructions to be executed.</w:t>
            </w:r>
          </w:p>
        </w:tc>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I/We authorize you to act in accordance with my/our instructions set out above. I/We hereby</w:t>
            </w:r>
          </w:p>
        </w:tc>
        <w:tc>
          <w:tcPr>
            <w:tcW w:w="32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660" w:type="dxa"/>
            <w:vAlign w:val="bottom"/>
            <w:vMerge w:val="continue"/>
          </w:tcPr>
          <w:p>
            <w:pPr>
              <w:spacing w:after="0"/>
              <w:rPr>
                <w:sz w:val="9"/>
                <w:szCs w:val="9"/>
                <w:color w:val="auto"/>
              </w:rPr>
            </w:pPr>
          </w:p>
        </w:tc>
        <w:tc>
          <w:tcPr>
            <w:tcW w:w="3240" w:type="dxa"/>
            <w:vAlign w:val="bottom"/>
            <w:tcBorders>
              <w:left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revoke any proxy previously given with respect to the Meeting. </w:t>
            </w:r>
            <w:r>
              <w:rPr>
                <w:rFonts w:ascii="Times New Roman" w:cs="Times New Roman" w:eastAsia="Times New Roman" w:hAnsi="Times New Roman"/>
                <w:sz w:val="14"/>
                <w:szCs w:val="14"/>
                <w:b w:val="1"/>
                <w:bCs w:val="1"/>
                <w:color w:val="auto"/>
              </w:rPr>
              <w:t>If no voting instructions are</w:t>
            </w:r>
          </w:p>
        </w:tc>
        <w:tc>
          <w:tcPr>
            <w:tcW w:w="3240" w:type="dxa"/>
            <w:vAlign w:val="bottom"/>
            <w:tcBorders>
              <w:left w:val="single" w:sz="8" w:color="auto"/>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7F7F7F"/>
                <w:w w:val="92"/>
              </w:rPr>
              <w:t>DD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7F7F7F"/>
                <w:w w:val="94"/>
              </w:rPr>
              <w:t>MM</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7F7F7F"/>
                <w:w w:val="92"/>
              </w:rPr>
              <w:t>YY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66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indicated above, this Proxy will be voted as recommended by the Board of Directors.</w:t>
            </w:r>
          </w:p>
        </w:tc>
        <w:tc>
          <w:tcPr>
            <w:tcW w:w="3240" w:type="dxa"/>
            <w:vAlign w:val="bottom"/>
            <w:tcBorders>
              <w:left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Borders>
              <w:bottom w:val="single" w:sz="8" w:color="7F7F7F"/>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7F7F7F"/>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7F7F7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163195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163195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163195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163195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163195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163195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163195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163195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163195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163195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163195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163195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163195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163195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163195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163195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163195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163195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163195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163195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163195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163195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163195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163195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163195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163195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163195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163195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163195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163195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163195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163195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163195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163195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163195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163195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163195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163195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163195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163195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163195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163195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163195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163195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163195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163195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163195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163195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163195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163195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163195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163195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163195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163195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163195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163195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163195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163195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163195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163195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163195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163195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163195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163195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163195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163195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163195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163195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163195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163195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163195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163195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163195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163195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163195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163195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163195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163195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163195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163195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163195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163195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163195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163195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163195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163195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163195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163195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163195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163195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163195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163195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163195</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163195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163195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163195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163195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163195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163195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163195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163195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163195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163195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163195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163195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163195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163195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163195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163195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163195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163195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163195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163195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163195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163195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163195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163195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163195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163195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163195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163195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163195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163195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163195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163195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163195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163195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163195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163195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163195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163195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163195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163195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163195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163195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163195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163195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163195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163195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163195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163195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163195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163195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163195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163195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163195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163195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163195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163195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163195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163195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163195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163195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163195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163195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163195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163195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163195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163195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163195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163195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163195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163195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163195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163195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163195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163195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163195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163195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163195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163195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163195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163195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163195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163195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163195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163195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163195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163195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163195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163195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163195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163195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163195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163195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163195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163195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163195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163195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163195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163195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163195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163195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163195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163195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163195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163195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163195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163195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163195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163195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163195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163195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163195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163195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163195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163195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163195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163195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163195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163195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163195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163195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163195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163195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163195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163195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163195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163195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163195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163195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163195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163195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163195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163195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163195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163195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163195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163195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163195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163195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163195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163195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163195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163195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163195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163195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163195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163195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163195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163195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163195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163195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163195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163195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163195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163195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163195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163195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163195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163195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163195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163195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163195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163195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163195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163195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163195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163195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163195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163195</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163195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163195</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163195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163195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163195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163195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163195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163195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163195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163195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163195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163195</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163195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163195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163195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163195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163195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163195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163195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163195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163195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163195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163195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163195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163195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163195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163195</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163195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163195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163195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163195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163195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163195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163195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163195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163195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163195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163195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163195</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163195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163195</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163195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163195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163195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163195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163195</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163195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163195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163195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163195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163195</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163195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163195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163195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163195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163195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163195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163195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163195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163195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163195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163195</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163195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163195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163195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163195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163195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163195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163195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163195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163195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163195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163195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163195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163195</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163195</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163195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163195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163195</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163195</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163195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163195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163195</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163195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163195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163195</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163195</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163195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163195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163195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163195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163195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163195</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163195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163195</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163195</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163195</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163195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163195</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163195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163195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163195</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163195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163195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163195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163195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163195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163195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163195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163195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163195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163195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163195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163195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163195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163195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163195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163195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986155</wp:posOffset>
            </wp:positionV>
            <wp:extent cx="180340" cy="18034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986155</wp:posOffset>
            </wp:positionV>
            <wp:extent cx="180340" cy="17145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803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spacing w:after="0"/>
        <w:tabs>
          <w:tab w:leader="none" w:pos="6840" w:val="left"/>
        </w:tabs>
        <w:rPr>
          <w:sz w:val="20"/>
          <w:szCs w:val="20"/>
          <w:color w:val="auto"/>
        </w:rPr>
      </w:pPr>
      <w:r>
        <w:rPr>
          <w:rFonts w:ascii="Times New Roman" w:cs="Times New Roman" w:eastAsia="Times New Roman" w:hAnsi="Times New Roman"/>
          <w:sz w:val="18"/>
          <w:szCs w:val="18"/>
          <w:color w:val="auto"/>
        </w:rPr>
        <w:t>V E O Q</w:t>
      </w:r>
      <w:r>
        <w:rPr>
          <w:sz w:val="20"/>
          <w:szCs w:val="20"/>
          <w:color w:val="auto"/>
        </w:rPr>
        <w:tab/>
      </w:r>
      <w:r>
        <w:rPr>
          <w:rFonts w:ascii="Times New Roman" w:cs="Times New Roman" w:eastAsia="Times New Roman" w:hAnsi="Times New Roman"/>
          <w:sz w:val="17"/>
          <w:szCs w:val="17"/>
          <w:color w:val="auto"/>
        </w:rPr>
        <w:t>A R 0</w:t>
      </w:r>
    </w:p>
    <w:sectPr>
      <w:pgSz w:w="11900" w:h="16838" w:orient="portrait"/>
      <w:cols w:equalWidth="0" w:num="1">
        <w:col w:w="11420"/>
      </w:cols>
      <w:pgMar w:left="240" w:top="45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793735"/>
    <w:multiLevelType w:val="hybridMultilevel"/>
    <w:lvl w:ilvl="0">
      <w:lvlJc w:val="left"/>
      <w:lvlText w:val="☐"/>
      <w:numFmt w:val="bullet"/>
      <w:start w:val="1"/>
    </w:lvl>
  </w:abstractNum>
  <w:abstractNum w:abstractNumId="1">
    <w:nsid w:val="4A10B4E8"/>
    <w:multiLevelType w:val="hybridMultilevel"/>
    <w:lvl w:ilvl="0">
      <w:lvlJc w:val="left"/>
      <w:lvlText w:val="☒"/>
      <w:numFmt w:val="bullet"/>
      <w:start w:val="1"/>
    </w:lvl>
  </w:abstractNum>
  <w:abstractNum w:abstractNumId="2">
    <w:nsid w:val="43D3BCD4"/>
    <w:multiLevelType w:val="hybridMultilevel"/>
    <w:lvl w:ilvl="0">
      <w:lvlJc w:val="left"/>
      <w:lvlText w:val="☐"/>
      <w:numFmt w:val="bullet"/>
      <w:start w:val="1"/>
    </w:lvl>
  </w:abstractNum>
  <w:abstractNum w:abstractNumId="3">
    <w:nsid w:val="4C2A7166"/>
    <w:multiLevelType w:val="hybridMultilevel"/>
    <w:lvl w:ilvl="0">
      <w:lvlJc w:val="left"/>
      <w:lvlText w:val="☐"/>
      <w:numFmt w:val="bullet"/>
      <w:start w:val="1"/>
    </w:lvl>
    <w:lvl w:ilvl="1">
      <w:lvlJc w:val="left"/>
      <w:lvlText w:val="(%2)"/>
      <w:numFmt w:val="decimal"/>
      <w:start w:val="1"/>
    </w:lvl>
  </w:abstractNum>
  <w:abstractNum w:abstractNumId="4">
    <w:nsid w:val="2E534A82"/>
    <w:multiLevelType w:val="hybridMultilevel"/>
    <w:lvl w:ilvl="0">
      <w:lvlJc w:val="left"/>
      <w:lvlText w:val="☒"/>
      <w:numFmt w:val="bullet"/>
      <w:start w:val="1"/>
    </w:lvl>
  </w:abstractNum>
  <w:abstractNum w:abstractNumId="5">
    <w:nsid w:val="26F2D364"/>
    <w:multiLevelType w:val="hybridMultilevel"/>
    <w:lvl w:ilvl="0">
      <w:lvlJc w:val="left"/>
      <w:lvlText w:val="☐"/>
      <w:numFmt w:val="bullet"/>
      <w:start w:val="1"/>
    </w:lvl>
    <w:lvl w:ilvl="1">
      <w:lvlJc w:val="left"/>
      <w:lvlText w:val="(%2)"/>
      <w:numFmt w:val="decimal"/>
      <w:start w:val="1"/>
    </w:lvl>
  </w:abstractNum>
  <w:abstractNum w:abstractNumId="6">
    <w:nsid w:val="71C1AF98"/>
    <w:multiLevelType w:val="hybridMultilevel"/>
    <w:lvl w:ilvl="0">
      <w:lvlJc w:val="left"/>
      <w:lvlText w:val="(%1)"/>
      <w:numFmt w:val="decimal"/>
      <w:start w:val="3"/>
    </w:lvl>
  </w:abstractNum>
  <w:abstractNum w:abstractNumId="7">
    <w:nsid w:val="3D00B9D9"/>
    <w:multiLevelType w:val="hybridMultilevel"/>
    <w:lvl w:ilvl="0">
      <w:lvlJc w:val="left"/>
      <w:lvlText w:val="%1:"/>
      <w:numFmt w:val="upperLetter"/>
      <w:start w:val="1"/>
    </w:lvl>
  </w:abstractNum>
  <w:abstractNum w:abstractNumId="8">
    <w:nsid w:val="15BCABA8"/>
    <w:multiLevelType w:val="hybridMultilevel"/>
    <w:lvl w:ilvl="0">
      <w:lvlJc w:val="left"/>
      <w:lvlText w:val="%1:"/>
      <w:numFmt w:val="upperLetter"/>
      <w:start w:val="1"/>
    </w:lvl>
  </w:abstractNum>
  <w:abstractNum w:abstractNumId="9">
    <w:nsid w:val="4E0B9A87"/>
    <w:multiLevelType w:val="hybridMultilevel"/>
    <w:lvl w:ilvl="0">
      <w:lvlJc w:val="left"/>
      <w:lvlText w:val="%1:"/>
      <w:numFmt w:val="upperLetter"/>
      <w:start w:val="1"/>
    </w:lvl>
  </w:abstractNum>
  <w:abstractNum w:abstractNumId="10">
    <w:nsid w:val="434BAE75"/>
    <w:multiLevelType w:val="hybridMultilevel"/>
    <w:lvl w:ilvl="0">
      <w:lvlJc w:val="left"/>
      <w:lvlText w:val="%1:"/>
      <w:numFmt w:val="upperLetter"/>
      <w:start w:val="1"/>
    </w:lvl>
  </w:abstractNum>
  <w:abstractNum w:abstractNumId="11">
    <w:nsid w:val="4F38F265"/>
    <w:multiLevelType w:val="hybridMultilevel"/>
    <w:lvl w:ilvl="0">
      <w:lvlJc w:val="left"/>
      <w:lvlText w:val="%1:"/>
      <w:numFmt w:val="upperLetter"/>
      <w:start w:val="1"/>
    </w:lvl>
  </w:abstractNum>
  <w:abstractNum w:abstractNumId="12">
    <w:nsid w:val="4C502870"/>
    <w:multiLevelType w:val="hybridMultilevel"/>
    <w:lvl w:ilvl="0">
      <w:lvlJc w:val="left"/>
      <w:lvlText w:val="%1:"/>
      <w:numFmt w:val="upperLetter"/>
      <w:start w:val="1"/>
    </w:lvl>
  </w:abstractNum>
  <w:abstractNum w:abstractNumId="13">
    <w:nsid w:val="1DE8725A"/>
    <w:multiLevelType w:val="hybridMultilevel"/>
    <w:lvl w:ilvl="0">
      <w:lvlJc w:val="left"/>
      <w:lvlText w:val="%1:"/>
      <w:numFmt w:val="upperLetter"/>
      <w:start w:val="1"/>
    </w:lvl>
  </w:abstractNum>
  <w:abstractNum w:abstractNumId="14">
    <w:nsid w:val="6A37288A"/>
    <w:multiLevelType w:val="hybridMultilevel"/>
    <w:lvl w:ilvl="0">
      <w:lvlJc w:val="left"/>
      <w:lvlText w:val="%1:"/>
      <w:numFmt w:val="upperLetter"/>
      <w:start w:val="1"/>
    </w:lvl>
    <w:lvl w:ilvl="1">
      <w:lvlJc w:val="left"/>
      <w:lvlText w:val="•"/>
      <w:numFmt w:val="bullet"/>
      <w:start w:val="1"/>
    </w:lvl>
  </w:abstractNum>
  <w:abstractNum w:abstractNumId="15">
    <w:nsid w:val="8F8B73F"/>
    <w:multiLevelType w:val="hybridMultilevel"/>
    <w:lvl w:ilvl="0">
      <w:lvlJc w:val="left"/>
      <w:lvlText w:val="%1:"/>
      <w:numFmt w:val="upperLetter"/>
      <w:start w:val="1"/>
    </w:lvl>
  </w:abstractNum>
  <w:abstractNum w:abstractNumId="16">
    <w:nsid w:val="CA6B462"/>
    <w:multiLevelType w:val="hybridMultilevel"/>
    <w:lvl w:ilvl="0">
      <w:lvlJc w:val="left"/>
      <w:lvlText w:val="%1:"/>
      <w:numFmt w:val="upperLetter"/>
      <w:start w:val="1"/>
    </w:lvl>
  </w:abstractNum>
  <w:abstractNum w:abstractNumId="17">
    <w:nsid w:val="763CB680"/>
    <w:multiLevelType w:val="hybridMultilevel"/>
    <w:lvl w:ilvl="0">
      <w:lvlJc w:val="left"/>
      <w:lvlText w:val="%1:"/>
      <w:numFmt w:val="upperLetter"/>
      <w:start w:val="1"/>
    </w:lvl>
  </w:abstractNum>
  <w:abstractNum w:abstractNumId="18">
    <w:nsid w:val="15B71329"/>
    <w:multiLevelType w:val="hybridMultilevel"/>
    <w:lvl w:ilvl="0">
      <w:lvlJc w:val="left"/>
      <w:lvlText w:val="%1:"/>
      <w:numFmt w:val="upperLetter"/>
      <w:start w:val="1"/>
    </w:lvl>
  </w:abstractNum>
  <w:abstractNum w:abstractNumId="19">
    <w:nsid w:val="3DA97044"/>
    <w:multiLevelType w:val="hybridMultilevel"/>
    <w:lvl w:ilvl="0">
      <w:lvlJc w:val="left"/>
      <w:lvlText w:val="%1:"/>
      <w:numFmt w:val="upperLetter"/>
      <w:start w:val="1"/>
    </w:lvl>
    <w:lvl w:ilvl="1">
      <w:lvlJc w:val="left"/>
      <w:lvlText w:val="•"/>
      <w:numFmt w:val="bullet"/>
      <w:start w:val="1"/>
    </w:lvl>
  </w:abstractNum>
  <w:abstractNum w:abstractNumId="20">
    <w:nsid w:val="1CDCE2DE"/>
    <w:multiLevelType w:val="hybridMultilevel"/>
    <w:lvl w:ilvl="0">
      <w:lvlJc w:val="left"/>
      <w:lvlText w:val="%1:"/>
      <w:numFmt w:val="upperLetter"/>
      <w:start w:val="1"/>
    </w:lvl>
  </w:abstractNum>
  <w:abstractNum w:abstractNumId="21">
    <w:nsid w:val="69D3947C"/>
    <w:multiLevelType w:val="hybridMultilevel"/>
    <w:lvl w:ilvl="0">
      <w:lvlJc w:val="left"/>
      <w:lvlText w:val="%1:"/>
      <w:numFmt w:val="upperLetter"/>
      <w:start w:val="1"/>
    </w:lvl>
  </w:abstractNum>
  <w:abstractNum w:abstractNumId="22">
    <w:nsid w:val="2539DFA5"/>
    <w:multiLevelType w:val="hybridMultilevel"/>
    <w:lvl w:ilvl="0">
      <w:lvlJc w:val="left"/>
      <w:lvlText w:val="%1:"/>
      <w:numFmt w:val="upperLetter"/>
      <w:start w:val="1"/>
    </w:lvl>
  </w:abstractNum>
  <w:abstractNum w:abstractNumId="23">
    <w:nsid w:val="2DB88089"/>
    <w:multiLevelType w:val="hybridMultilevel"/>
    <w:lvl w:ilvl="0">
      <w:lvlJc w:val="left"/>
      <w:lvlText w:val="%1:"/>
      <w:numFmt w:val="upperLetter"/>
      <w:start w:val="1"/>
    </w:lvl>
  </w:abstractNum>
  <w:abstractNum w:abstractNumId="24">
    <w:nsid w:val="706B674E"/>
    <w:multiLevelType w:val="hybridMultilevel"/>
    <w:lvl w:ilvl="0">
      <w:lvlJc w:val="left"/>
      <w:lvlText w:val="%1:"/>
      <w:numFmt w:val="upperLetter"/>
      <w:start w:val="1"/>
    </w:lvl>
  </w:abstractNum>
  <w:abstractNum w:abstractNumId="25">
    <w:nsid w:val="2C106A57"/>
    <w:multiLevelType w:val="hybridMultilevel"/>
    <w:lvl w:ilvl="0">
      <w:lvlJc w:val="left"/>
      <w:lvlText w:val="%1:"/>
      <w:numFmt w:val="upperLetter"/>
      <w:start w:val="1"/>
    </w:lvl>
  </w:abstractNum>
  <w:abstractNum w:abstractNumId="26">
    <w:nsid w:val="684EED59"/>
    <w:multiLevelType w:val="hybridMultilevel"/>
    <w:lvl w:ilvl="0">
      <w:lvlJc w:val="left"/>
      <w:lvlText w:val="%1:"/>
      <w:numFmt w:val="upperLetter"/>
      <w:start w:val="1"/>
    </w:lvl>
  </w:abstractNum>
  <w:abstractNum w:abstractNumId="27">
    <w:nsid w:val="545EE5D3"/>
    <w:multiLevelType w:val="hybridMultilevel"/>
    <w:lvl w:ilvl="0">
      <w:lvlJc w:val="left"/>
      <w:lvlText w:val="%1:"/>
      <w:numFmt w:val="upperLetter"/>
      <w:start w:val="1"/>
    </w:lvl>
  </w:abstractNum>
  <w:abstractNum w:abstractNumId="28">
    <w:nsid w:val="4A66051"/>
    <w:multiLevelType w:val="hybridMultilevel"/>
    <w:lvl w:ilvl="0">
      <w:lvlJc w:val="left"/>
      <w:lvlText w:val="(%1)"/>
      <w:numFmt w:val="lowerRoman"/>
      <w:start w:val="3"/>
    </w:lvl>
  </w:abstractNum>
  <w:abstractNum w:abstractNumId="29">
    <w:nsid w:val="20F4BDAD"/>
    <w:multiLevelType w:val="hybridMultilevel"/>
    <w:lvl w:ilvl="0">
      <w:lvlJc w:val="left"/>
      <w:lvlText w:val="•"/>
      <w:numFmt w:val="bullet"/>
      <w:start w:val="1"/>
    </w:lvl>
  </w:abstractNum>
  <w:abstractNum w:abstractNumId="30">
    <w:nsid w:val="639DEFAC"/>
    <w:multiLevelType w:val="hybridMultilevel"/>
    <w:lvl w:ilvl="0">
      <w:lvlJc w:val="left"/>
      <w:lvlText w:val="•"/>
      <w:numFmt w:val="bullet"/>
      <w:start w:val="1"/>
    </w:lvl>
  </w:abstractNum>
  <w:abstractNum w:abstractNumId="31">
    <w:nsid w:val="501F9786"/>
    <w:multiLevelType w:val="hybridMultilevel"/>
    <w:lvl w:ilvl="0">
      <w:lvlJc w:val="left"/>
      <w:lvlText w:val="•"/>
      <w:numFmt w:val="bullet"/>
      <w:start w:val="1"/>
    </w:lvl>
  </w:abstractNum>
  <w:abstractNum w:abstractNumId="32">
    <w:nsid w:val="6B057295"/>
    <w:multiLevelType w:val="hybridMultilevel"/>
    <w:lvl w:ilvl="0">
      <w:lvlJc w:val="left"/>
      <w:lvlText w:val="•"/>
      <w:numFmt w:val="bullet"/>
      <w:start w:val="1"/>
    </w:lvl>
  </w:abstractNum>
  <w:abstractNum w:abstractNumId="33">
    <w:nsid w:val="2771AC80"/>
    <w:multiLevelType w:val="hybridMultilevel"/>
    <w:lvl w:ilvl="0">
      <w:lvlJc w:val="left"/>
      <w:lvlText w:val="(%1)"/>
      <w:numFmt w:val="decimal"/>
      <w:start w:val="1"/>
    </w:lvl>
  </w:abstractNum>
  <w:abstractNum w:abstractNumId="34">
    <w:nsid w:val="1C4A08EC"/>
    <w:multiLevelType w:val="hybridMultilevel"/>
    <w:lvl w:ilvl="0">
      <w:lvlJc w:val="left"/>
      <w:lvlText w:val="•"/>
      <w:numFmt w:val="bullet"/>
      <w:start w:val="1"/>
    </w:lvl>
  </w:abstractNum>
  <w:abstractNum w:abstractNumId="35">
    <w:nsid w:val="1958BD17"/>
    <w:multiLevelType w:val="hybridMultilevel"/>
    <w:lvl w:ilvl="0">
      <w:lvlJc w:val="left"/>
      <w:lvlText w:val="(%1)"/>
      <w:numFmt w:val="decimal"/>
      <w:start w:val="1"/>
    </w:lvl>
  </w:abstractNum>
  <w:abstractNum w:abstractNumId="36">
    <w:nsid w:val="4E647FE4"/>
    <w:multiLevelType w:val="hybridMultilevel"/>
    <w:lvl w:ilvl="0">
      <w:lvlJc w:val="left"/>
      <w:lvlText w:val="•"/>
      <w:numFmt w:val="bullet"/>
      <w:start w:val="1"/>
    </w:lvl>
  </w:abstractNum>
  <w:abstractNum w:abstractNumId="37">
    <w:nsid w:val="E0BB885"/>
    <w:multiLevelType w:val="hybridMultilevel"/>
    <w:lvl w:ilvl="0">
      <w:lvlJc w:val="left"/>
      <w:lvlText w:val="•"/>
      <w:numFmt w:val="bullet"/>
      <w:start w:val="1"/>
    </w:lvl>
  </w:abstractNum>
  <w:abstractNum w:abstractNumId="38">
    <w:nsid w:val="565976F1"/>
    <w:multiLevelType w:val="hybridMultilevel"/>
    <w:lvl w:ilvl="0">
      <w:lvlJc w:val="left"/>
      <w:lvlText w:val="•"/>
      <w:numFmt w:val="bullet"/>
      <w:start w:val="1"/>
    </w:lvl>
  </w:abstractNum>
  <w:abstractNum w:abstractNumId="39">
    <w:nsid w:val="64212B8C"/>
    <w:multiLevelType w:val="hybridMultilevel"/>
    <w:lvl w:ilvl="0">
      <w:lvlJc w:val="left"/>
      <w:lvlText w:val="•"/>
      <w:numFmt w:val="bullet"/>
      <w:start w:val="1"/>
    </w:lvl>
  </w:abstractNum>
  <w:abstractNum w:abstractNumId="40">
    <w:nsid w:val="5C17530C"/>
    <w:multiLevelType w:val="hybridMultilevel"/>
    <w:lvl w:ilvl="0">
      <w:lvlJc w:val="left"/>
      <w:lvlText w:val="•"/>
      <w:numFmt w:val="bullet"/>
      <w:start w:val="1"/>
    </w:lvl>
  </w:abstractNum>
  <w:abstractNum w:abstractNumId="41">
    <w:nsid w:val="19A52566"/>
    <w:multiLevelType w:val="hybridMultilevel"/>
    <w:lvl w:ilvl="0">
      <w:lvlJc w:val="left"/>
      <w:lvlText w:val="•"/>
      <w:numFmt w:val="bullet"/>
      <w:start w:val="1"/>
    </w:lvl>
  </w:abstractNum>
  <w:abstractNum w:abstractNumId="42">
    <w:nsid w:val="335A1DF1"/>
    <w:multiLevelType w:val="hybridMultilevel"/>
    <w:lvl w:ilvl="0">
      <w:lvlJc w:val="left"/>
      <w:lvlText w:val="•"/>
      <w:numFmt w:val="bullet"/>
      <w:start w:val="1"/>
    </w:lvl>
  </w:abstractNum>
  <w:abstractNum w:abstractNumId="43">
    <w:nsid w:val="28677B7C"/>
    <w:multiLevelType w:val="hybridMultilevel"/>
    <w:lvl w:ilvl="0">
      <w:lvlJc w:val="left"/>
      <w:lvlText w:val="•"/>
      <w:numFmt w:val="bullet"/>
      <w:start w:val="1"/>
    </w:lvl>
  </w:abstractNum>
  <w:abstractNum w:abstractNumId="44">
    <w:nsid w:val="378D97C0"/>
    <w:multiLevelType w:val="hybridMultilevel"/>
    <w:lvl w:ilvl="0">
      <w:lvlJc w:val="left"/>
      <w:lvlText w:val="•"/>
      <w:numFmt w:val="bullet"/>
      <w:start w:val="1"/>
    </w:lvl>
  </w:abstractNum>
  <w:abstractNum w:abstractNumId="45">
    <w:nsid w:val="1D91467C"/>
    <w:multiLevelType w:val="hybridMultilevel"/>
    <w:lvl w:ilvl="0">
      <w:lvlJc w:val="left"/>
      <w:lvlText w:val="(%1)"/>
      <w:numFmt w:val="decimal"/>
      <w:start w:val="1"/>
    </w:lvl>
  </w:abstractNum>
  <w:abstractNum w:abstractNumId="46">
    <w:nsid w:val="316032BB"/>
    <w:multiLevelType w:val="hybridMultilevel"/>
    <w:lvl w:ilvl="0">
      <w:lvlJc w:val="left"/>
      <w:lvlText w:val="•"/>
      <w:numFmt w:val="bullet"/>
      <w:start w:val="1"/>
    </w:lvl>
  </w:abstractNum>
  <w:abstractNum w:abstractNumId="47">
    <w:nsid w:val="44344C22"/>
    <w:multiLevelType w:val="hybridMultilevel"/>
    <w:lvl w:ilvl="0">
      <w:lvlJc w:val="left"/>
      <w:lvlText w:val="•"/>
      <w:numFmt w:val="bullet"/>
      <w:start w:val="1"/>
    </w:lvl>
  </w:abstractNum>
  <w:abstractNum w:abstractNumId="48">
    <w:nsid w:val="13CDFCFC"/>
    <w:multiLevelType w:val="hybridMultilevel"/>
    <w:lvl w:ilvl="0">
      <w:lvlJc w:val="left"/>
      <w:lvlText w:val="•"/>
      <w:numFmt w:val="bullet"/>
      <w:start w:val="1"/>
    </w:lvl>
  </w:abstractNum>
  <w:abstractNum w:abstractNumId="49">
    <w:nsid w:val="471745E4"/>
    <w:multiLevelType w:val="hybridMultilevel"/>
    <w:lvl w:ilvl="0">
      <w:lvlJc w:val="left"/>
      <w:lvlText w:val="•"/>
      <w:numFmt w:val="bullet"/>
      <w:start w:val="1"/>
    </w:lvl>
  </w:abstractNum>
  <w:abstractNum w:abstractNumId="50">
    <w:nsid w:val="1DDBC66"/>
    <w:multiLevelType w:val="hybridMultilevel"/>
    <w:lvl w:ilvl="0">
      <w:lvlJc w:val="left"/>
      <w:lvlText w:val="•"/>
      <w:numFmt w:val="bullet"/>
      <w:start w:val="1"/>
    </w:lvl>
  </w:abstractNum>
  <w:abstractNum w:abstractNumId="51">
    <w:nsid w:val="30AADFDA"/>
    <w:multiLevelType w:val="hybridMultilevel"/>
    <w:lvl w:ilvl="0">
      <w:lvlJc w:val="left"/>
      <w:lvlText w:val="(%1)"/>
      <w:numFmt w:val="decimal"/>
      <w:start w:val="1"/>
    </w:lvl>
  </w:abstractNum>
  <w:abstractNum w:abstractNumId="52">
    <w:nsid w:val="30EADA61"/>
    <w:multiLevelType w:val="hybridMultilevel"/>
    <w:lvl w:ilvl="0">
      <w:lvlJc w:val="left"/>
      <w:lvlText w:val="(%1)"/>
      <w:numFmt w:val="decimal"/>
      <w:start w:val="1"/>
    </w:lvl>
  </w:abstractNum>
  <w:abstractNum w:abstractNumId="53">
    <w:nsid w:val="27179C0B"/>
    <w:multiLevelType w:val="hybridMultilevel"/>
    <w:lvl w:ilvl="0">
      <w:lvlJc w:val="left"/>
      <w:lvlText w:val="•"/>
      <w:numFmt w:val="bullet"/>
      <w:start w:val="1"/>
    </w:lvl>
  </w:abstractNum>
  <w:abstractNum w:abstractNumId="54">
    <w:nsid w:val="5E636063"/>
    <w:multiLevelType w:val="hybridMultilevel"/>
    <w:lvl w:ilvl="0">
      <w:lvlJc w:val="left"/>
      <w:lvlText w:val="•"/>
      <w:numFmt w:val="bullet"/>
      <w:start w:val="1"/>
    </w:lvl>
  </w:abstractNum>
  <w:abstractNum w:abstractNumId="55">
    <w:nsid w:val="215641AF"/>
    <w:multiLevelType w:val="hybridMultilevel"/>
    <w:lvl w:ilvl="0">
      <w:lvlJc w:val="left"/>
      <w:lvlText w:val="•"/>
      <w:numFmt w:val="bullet"/>
      <w:start w:val="1"/>
    </w:lvl>
  </w:abstractNum>
  <w:abstractNum w:abstractNumId="56">
    <w:nsid w:val="53280662"/>
    <w:multiLevelType w:val="hybridMultilevel"/>
    <w:lvl w:ilvl="0">
      <w:lvlJc w:val="left"/>
      <w:lvlText w:val="(%1)"/>
      <w:numFmt w:val="lowerRoman"/>
      <w:start w:val="3"/>
    </w:lvl>
  </w:abstractNum>
  <w:abstractNum w:abstractNumId="57">
    <w:nsid w:val="46B24DBC"/>
    <w:multiLevelType w:val="hybridMultilevel"/>
    <w:lvl w:ilvl="0">
      <w:lvlJc w:val="left"/>
      <w:lvlText w:val="(%1)"/>
      <w:numFmt w:val="lowerRoman"/>
      <w:start w:val="1"/>
    </w:lvl>
  </w:abstractNum>
  <w:abstractNum w:abstractNumId="58">
    <w:nsid w:val="75B52783"/>
    <w:multiLevelType w:val="hybridMultilevel"/>
    <w:lvl w:ilvl="0">
      <w:lvlJc w:val="left"/>
      <w:lvlText w:val="(%1)"/>
      <w:numFmt w:val="lowerRoman"/>
      <w:start w:val="1"/>
    </w:lvl>
  </w:abstractNum>
  <w:abstractNum w:abstractNumId="59">
    <w:nsid w:val="57CE66B4"/>
    <w:multiLevelType w:val="hybridMultilevel"/>
    <w:lvl w:ilvl="0">
      <w:lvlJc w:val="left"/>
      <w:lvlText w:val="•"/>
      <w:numFmt w:val="bullet"/>
      <w:start w:val="1"/>
    </w:lvl>
  </w:abstractNum>
  <w:abstractNum w:abstractNumId="60">
    <w:nsid w:val="67A70B69"/>
    <w:multiLevelType w:val="hybridMultilevel"/>
    <w:lvl w:ilvl="0">
      <w:lvlJc w:val="left"/>
      <w:lvlText w:val="•"/>
      <w:numFmt w:val="bullet"/>
      <w:start w:val="1"/>
    </w:lvl>
  </w:abstractNum>
  <w:abstractNum w:abstractNumId="61">
    <w:nsid w:val="5953172F"/>
    <w:multiLevelType w:val="hybridMultilevel"/>
    <w:lvl w:ilvl="0">
      <w:lvlJc w:val="left"/>
      <w:lvlText w:val="•"/>
      <w:numFmt w:val="bullet"/>
      <w:start w:val="1"/>
    </w:lvl>
  </w:abstractNum>
  <w:abstractNum w:abstractNumId="62">
    <w:nsid w:val="27EDFE3A"/>
    <w:multiLevelType w:val="hybridMultilevel"/>
    <w:lvl w:ilvl="0">
      <w:lvlJc w:val="left"/>
      <w:lvlText w:val="•"/>
      <w:numFmt w:val="bullet"/>
      <w:start w:val="1"/>
    </w:lvl>
  </w:abstractNum>
  <w:abstractNum w:abstractNumId="63">
    <w:nsid w:val="52AC7DFF"/>
    <w:multiLevelType w:val="hybridMultilevel"/>
    <w:lvl w:ilvl="0">
      <w:lvlJc w:val="left"/>
      <w:lvlText w:val="•"/>
      <w:numFmt w:val="bullet"/>
      <w:start w:val="1"/>
    </w:lvl>
  </w:abstractNum>
  <w:abstractNum w:abstractNumId="64">
    <w:nsid w:val="C4C3AF"/>
    <w:multiLevelType w:val="hybridMultilevel"/>
    <w:lvl w:ilvl="0">
      <w:lvlJc w:val="left"/>
      <w:lvlText w:val="(%1)"/>
      <w:numFmt w:val="lowerRoman"/>
      <w:start w:val="8"/>
    </w:lvl>
  </w:abstractNum>
  <w:abstractNum w:abstractNumId="65">
    <w:nsid w:val="44380727"/>
    <w:multiLevelType w:val="hybridMultilevel"/>
    <w:lvl w:ilvl="0">
      <w:lvlJc w:val="left"/>
      <w:lvlText w:val="•"/>
      <w:numFmt w:val="bullet"/>
      <w:start w:val="1"/>
    </w:lvl>
  </w:abstractNum>
  <w:abstractNum w:abstractNumId="66">
    <w:nsid w:val="6C053B16"/>
    <w:multiLevelType w:val="hybridMultilevel"/>
    <w:lvl w:ilvl="0">
      <w:lvlJc w:val="left"/>
      <w:lvlText w:val="•"/>
      <w:numFmt w:val="bullet"/>
      <w:start w:val="1"/>
    </w:lvl>
  </w:abstractNum>
  <w:abstractNum w:abstractNumId="67">
    <w:nsid w:val="4F294393"/>
    <w:multiLevelType w:val="hybridMultilevel"/>
    <w:lvl w:ilvl="0">
      <w:lvlJc w:val="left"/>
      <w:lvlText w:val="•"/>
      <w:numFmt w:val="bullet"/>
      <w:start w:val="1"/>
    </w:lvl>
  </w:abstractNum>
  <w:abstractNum w:abstractNumId="68">
    <w:nsid w:val="5243BFAC"/>
    <w:multiLevelType w:val="hybridMultilevel"/>
    <w:lvl w:ilvl="0">
      <w:lvlJc w:val="left"/>
      <w:lvlText w:val="•"/>
      <w:numFmt w:val="bullet"/>
      <w:start w:val="1"/>
    </w:lvl>
  </w:abstractNum>
  <w:abstractNum w:abstractNumId="69">
    <w:nsid w:val="425EB207"/>
    <w:multiLevelType w:val="hybridMultilevel"/>
    <w:lvl w:ilvl="0">
      <w:lvlJc w:val="left"/>
      <w:lvlText w:val="•"/>
      <w:numFmt w:val="bullet"/>
      <w:start w:val="1"/>
    </w:lvl>
  </w:abstractNum>
  <w:abstractNum w:abstractNumId="70">
    <w:nsid w:val="334A6F1F"/>
    <w:multiLevelType w:val="hybridMultilevel"/>
    <w:lvl w:ilvl="0">
      <w:lvlJc w:val="left"/>
      <w:lvlText w:val="•"/>
      <w:numFmt w:val="bullet"/>
      <w:start w:val="1"/>
    </w:lvl>
  </w:abstractNum>
  <w:abstractNum w:abstractNumId="71">
    <w:nsid w:val="2E5B12B8"/>
    <w:multiLevelType w:val="hybridMultilevel"/>
    <w:lvl w:ilvl="0">
      <w:lvlJc w:val="left"/>
      <w:lvlText w:val="•"/>
      <w:numFmt w:val="bullet"/>
      <w:start w:val="1"/>
    </w:lvl>
  </w:abstractNum>
  <w:abstractNum w:abstractNumId="72">
    <w:nsid w:val="5C03D76D"/>
    <w:multiLevelType w:val="hybridMultilevel"/>
    <w:lvl w:ilvl="0">
      <w:lvlJc w:val="left"/>
      <w:lvlText w:val="•"/>
      <w:numFmt w:val="bullet"/>
      <w:start w:val="1"/>
    </w:lvl>
  </w:abstractNum>
  <w:abstractNum w:abstractNumId="73">
    <w:nsid w:val="66A48D11"/>
    <w:multiLevelType w:val="hybridMultilevel"/>
    <w:lvl w:ilvl="0">
      <w:lvlJc w:val="left"/>
      <w:lvlText w:val="•"/>
      <w:numFmt w:val="bullet"/>
      <w:start w:val="1"/>
    </w:lvl>
  </w:abstractNum>
  <w:abstractNum w:abstractNumId="74">
    <w:nsid w:val="56C28E34"/>
    <w:multiLevelType w:val="hybridMultilevel"/>
    <w:lvl w:ilvl="0">
      <w:lvlJc w:val="left"/>
      <w:lvlText w:val="•"/>
      <w:numFmt w:val="bullet"/>
      <w:start w:val="1"/>
    </w:lvl>
  </w:abstractNum>
  <w:abstractNum w:abstractNumId="75">
    <w:nsid w:val="13916F2D"/>
    <w:multiLevelType w:val="hybridMultilevel"/>
    <w:lvl w:ilvl="0">
      <w:lvlJc w:val="left"/>
      <w:lvlText w:val="•"/>
      <w:numFmt w:val="bullet"/>
      <w:start w:val="1"/>
    </w:lvl>
  </w:abstractNum>
  <w:abstractNum w:abstractNumId="76">
    <w:nsid w:val="435D38D"/>
    <w:multiLevelType w:val="hybridMultilevel"/>
    <w:lvl w:ilvl="0">
      <w:lvlJc w:val="left"/>
      <w:lvlText w:val="•"/>
      <w:numFmt w:val="bullet"/>
      <w:start w:val="1"/>
    </w:lvl>
  </w:abstractNum>
  <w:abstractNum w:abstractNumId="77">
    <w:nsid w:val="822C0EF"/>
    <w:multiLevelType w:val="hybridMultilevel"/>
    <w:lvl w:ilvl="0">
      <w:lvlJc w:val="left"/>
      <w:lvlText w:val="•"/>
      <w:numFmt w:val="bullet"/>
      <w:start w:val="1"/>
    </w:lvl>
  </w:abstractNum>
  <w:abstractNum w:abstractNumId="78">
    <w:nsid w:val="57C5BB4F"/>
    <w:multiLevelType w:val="hybridMultilevel"/>
    <w:lvl w:ilvl="0">
      <w:lvlJc w:val="left"/>
      <w:lvlText w:val="•"/>
      <w:numFmt w:val="bullet"/>
      <w:start w:val="1"/>
    </w:lvl>
  </w:abstractNum>
  <w:abstractNum w:abstractNumId="79">
    <w:nsid w:val="1803D089"/>
    <w:multiLevelType w:val="hybridMultilevel"/>
    <w:lvl w:ilvl="0">
      <w:lvlJc w:val="left"/>
      <w:lvlText w:val="•"/>
      <w:numFmt w:val="bullet"/>
      <w:start w:val="1"/>
    </w:lvl>
  </w:abstractNum>
  <w:abstractNum w:abstractNumId="80">
    <w:nsid w:val="4F3A06D4"/>
    <w:multiLevelType w:val="hybridMultilevel"/>
    <w:lvl w:ilvl="0">
      <w:lvlJc w:val="left"/>
      <w:lvlText w:val="•"/>
      <w:numFmt w:val="bullet"/>
      <w:start w:val="1"/>
    </w:lvl>
  </w:abstractNum>
  <w:abstractNum w:abstractNumId="81">
    <w:nsid w:val="59A377B6"/>
    <w:multiLevelType w:val="hybridMultilevel"/>
    <w:lvl w:ilvl="0">
      <w:lvlJc w:val="left"/>
      <w:lvlText w:val="(%1)"/>
      <w:numFmt w:val="lowerRoman"/>
      <w:start w:val="1"/>
    </w:lvl>
  </w:abstractNum>
  <w:abstractNum w:abstractNumId="82">
    <w:nsid w:val="48AEB063"/>
    <w:multiLevelType w:val="hybridMultilevel"/>
    <w:lvl w:ilvl="0">
      <w:lvlJc w:val="left"/>
      <w:lvlText w:val="(%1)"/>
      <w:numFmt w:val="lowerRoman"/>
      <w:start w:val="4"/>
    </w:lvl>
  </w:abstractNum>
  <w:abstractNum w:abstractNumId="83">
    <w:nsid w:val="24E135"/>
    <w:multiLevelType w:val="hybridMultilevel"/>
    <w:lvl w:ilvl="0">
      <w:lvlJc w:val="left"/>
      <w:lvlText w:val="•"/>
      <w:numFmt w:val="bullet"/>
      <w:start w:val="1"/>
    </w:lvl>
  </w:abstractNum>
  <w:abstractNum w:abstractNumId="84">
    <w:nsid w:val="BB13C1"/>
    <w:multiLevelType w:val="hybridMultilevel"/>
    <w:lvl w:ilvl="0">
      <w:lvlJc w:val="left"/>
      <w:lvlText w:val="•"/>
      <w:numFmt w:val="bullet"/>
      <w:start w:val="1"/>
    </w:lvl>
  </w:abstractNum>
  <w:abstractNum w:abstractNumId="85">
    <w:nsid w:val="271210C7"/>
    <w:multiLevelType w:val="hybridMultilevel"/>
    <w:lvl w:ilvl="0">
      <w:lvlJc w:val="left"/>
      <w:lvlText w:val="%1."/>
      <w:numFmt w:val="decimal"/>
      <w:start w:val="1"/>
    </w:lvl>
  </w:abstractNum>
  <w:abstractNum w:abstractNumId="86">
    <w:nsid w:val="217B22E4"/>
    <w:multiLevelType w:val="hybridMultilevel"/>
    <w:lvl w:ilvl="0">
      <w:lvlJc w:val="left"/>
      <w:lvlText w:val="%1."/>
      <w:numFmt w:val="decimal"/>
      <w:start w:val="2"/>
    </w:lvl>
  </w:abstractNum>
  <w:abstractNum w:abstractNumId="87">
    <w:nsid w:val="53E31A24"/>
    <w:multiLevelType w:val="hybridMultilevel"/>
    <w:lvl w:ilvl="0">
      <w:lvlJc w:val="left"/>
      <w:lvlText w:val="%1."/>
      <w:numFmt w:val="decimal"/>
      <w:start w:val="3"/>
    </w:lvl>
  </w:abstractNum>
  <w:abstractNum w:abstractNumId="88">
    <w:nsid w:val="6DC45E83"/>
    <w:multiLevelType w:val="hybridMultilevel"/>
    <w:lvl w:ilvl="0">
      <w:lvlJc w:val="left"/>
      <w:lvlText w:val="%1."/>
      <w:numFmt w:val="decimal"/>
      <w:start w:val="4"/>
    </w:lvl>
    <w:lvl w:ilvl="1">
      <w:lvlJc w:val="left"/>
      <w:lvlText w:val="(%2)"/>
      <w:numFmt w:val="lowerLetter"/>
      <w:start w:val="1"/>
    </w:lvl>
  </w:abstractNum>
  <w:abstractNum w:abstractNumId="89">
    <w:nsid w:val="17304A67"/>
    <w:multiLevelType w:val="hybridMultilevel"/>
    <w:lvl w:ilvl="0">
      <w:lvlJc w:val="left"/>
      <w:lvlText w:val="%1."/>
      <w:numFmt w:val="decimal"/>
      <w:start w:val="5"/>
    </w:lvl>
    <w:lvl w:ilvl="1">
      <w:lvlJc w:val="left"/>
      <w:lvlText w:val="(%2)"/>
      <w:numFmt w:val="lowerLetter"/>
      <w:start w:val="1"/>
    </w:lvl>
  </w:abstractNum>
  <w:abstractNum w:abstractNumId="90">
    <w:nsid w:val="2BB180D8"/>
    <w:multiLevelType w:val="hybridMultilevel"/>
    <w:lvl w:ilvl="0">
      <w:lvlJc w:val="left"/>
      <w:lvlText w:val="(%1)"/>
      <w:numFmt w:val="lowerLetter"/>
      <w:start w:val="1"/>
    </w:lvl>
    <w:lvl w:ilvl="1">
      <w:lvlJc w:val="left"/>
      <w:lvlText w:val="%2)"/>
      <w:numFmt w:val="lowerRoman"/>
      <w:start w:val="1"/>
    </w:lvl>
  </w:abstractNum>
  <w:abstractNum w:abstractNumId="91">
    <w:nsid w:val="556B69ED"/>
    <w:multiLevelType w:val="hybridMultilevel"/>
    <w:lvl w:ilvl="0">
      <w:lvlJc w:val="left"/>
      <w:lvlText w:val="•"/>
      <w:numFmt w:val="bullet"/>
      <w:start w:val="1"/>
    </w:lvl>
  </w:abstractNum>
  <w:abstractNum w:abstractNumId="92">
    <w:nsid w:val="70836196"/>
    <w:multiLevelType w:val="hybridMultilevel"/>
    <w:lvl w:ilvl="0">
      <w:lvlJc w:val="left"/>
      <w:lvlText w:val="*"/>
      <w:numFmt w:val="bullet"/>
      <w:start w:val="1"/>
    </w:lvl>
  </w:abstractNum>
  <w:abstractNum w:abstractNumId="93">
    <w:nsid w:val="539F7F12"/>
    <w:multiLevelType w:val="hybridMultilevel"/>
    <w:lvl w:ilvl="0">
      <w:lvlJc w:val="left"/>
      <w:lvlText w:val="(%1)"/>
      <w:numFmt w:val="decimal"/>
      <w:start w:val="1"/>
    </w:lvl>
  </w:abstractNum>
  <w:abstractNum w:abstractNumId="94">
    <w:nsid w:val="2817E7EC"/>
    <w:multiLevelType w:val="hybridMultilevel"/>
    <w:lvl w:ilvl="0">
      <w:lvlJc w:val="left"/>
      <w:lvlText w:val="(%1)"/>
      <w:numFmt w:val="decimal"/>
      <w:start w:val="2"/>
    </w:lvl>
  </w:abstractNum>
  <w:abstractNum w:abstractNumId="95">
    <w:nsid w:val="71482545"/>
    <w:multiLevelType w:val="hybridMultilevel"/>
    <w:lvl w:ilvl="0">
      <w:lvlJc w:val="left"/>
      <w:lvlText w:val="(%1)"/>
      <w:numFmt w:val="decimal"/>
      <w:start w:val="713"/>
    </w:lvl>
  </w:abstractNum>
  <w:abstractNum w:abstractNumId="96">
    <w:nsid w:val="17D78639"/>
    <w:multiLevelType w:val="hybridMultilevel"/>
    <w:lvl w:ilvl="0">
      <w:lvlJc w:val="left"/>
      <w:lvlText w:val="•"/>
      <w:numFmt w:val="bullet"/>
      <w:start w:val="1"/>
    </w:lvl>
  </w:abstractNum>
  <w:abstractNum w:abstractNumId="97">
    <w:nsid w:val="141D2302"/>
    <w:multiLevelType w:val="hybridMultilevel"/>
    <w:lvl w:ilvl="0">
      <w:lvlJc w:val="left"/>
      <w:lvlText w:val="%1."/>
      <w:numFmt w:val="upperLetter"/>
      <w:start w:val="1"/>
    </w:lvl>
  </w:abstractNum>
  <w:abstractNum w:abstractNumId="98">
    <w:nsid w:val="407168D8"/>
    <w:multiLevelType w:val="hybridMultilevel"/>
    <w:lvl w:ilvl="0">
      <w:lvlJc w:val="left"/>
      <w:lvlText w:val="(%1)"/>
      <w:numFmt w:val="lowerLetter"/>
      <w:start w:val="1"/>
    </w:lvl>
    <w:lvl w:ilvl="1">
      <w:lvlJc w:val="left"/>
      <w:lvlText w:val="(%2)"/>
      <w:numFmt w:val="lowerRoman"/>
      <w:start w:val="1"/>
    </w:lvl>
  </w:abstractNum>
  <w:abstractNum w:abstractNumId="99">
    <w:nsid w:val="6A1B45E5"/>
    <w:multiLevelType w:val="hybridMultilevel"/>
    <w:lvl w:ilvl="0">
      <w:lvlJc w:val="left"/>
      <w:lvlText w:val="(%1)"/>
      <w:numFmt w:val="lowerLetter"/>
      <w:start w:val="5"/>
    </w:lvl>
  </w:abstractNum>
  <w:abstractNum w:abstractNumId="100">
    <w:nsid w:val="567BD50A"/>
    <w:multiLevelType w:val="hybridMultilevel"/>
    <w:lvl w:ilvl="0">
      <w:lvlJc w:val="left"/>
      <w:lvlText w:val="(%1)"/>
      <w:numFmt w:val="lowerLetter"/>
      <w:start w:val="8"/>
    </w:lvl>
  </w:abstractNum>
  <w:abstractNum w:abstractNumId="101">
    <w:nsid w:val="73BBD7F8"/>
    <w:multiLevelType w:val="hybridMultilevel"/>
    <w:lvl w:ilvl="0">
      <w:lvlJc w:val="left"/>
      <w:lvlText w:val="(%1)"/>
      <w:numFmt w:val="lowerLetter"/>
      <w:start w:val="18"/>
    </w:lvl>
  </w:abstractNum>
  <w:abstractNum w:abstractNumId="102">
    <w:nsid w:val="1876589D"/>
    <w:multiLevelType w:val="hybridMultilevel"/>
    <w:lvl w:ilvl="0">
      <w:lvlJc w:val="left"/>
      <w:lvlText w:val="(%1)"/>
      <w:numFmt w:val="lowerLetter"/>
      <w:start w:val="27"/>
    </w:lvl>
  </w:abstractNum>
  <w:abstractNum w:abstractNumId="103">
    <w:nsid w:val="327FAC77"/>
    <w:multiLevelType w:val="hybridMultilevel"/>
    <w:lvl w:ilvl="0">
      <w:lvlJc w:val="left"/>
      <w:lvlText w:val="(%1)"/>
      <w:numFmt w:val="lowerLetter"/>
      <w:start w:val="32"/>
    </w:lvl>
  </w:abstractNum>
  <w:abstractNum w:abstractNumId="104">
    <w:nsid w:val="5A606509"/>
    <w:multiLevelType w:val="hybridMultilevel"/>
    <w:lvl w:ilvl="0">
      <w:lvlJc w:val="left"/>
      <w:lvlText w:val="(%1)"/>
      <w:numFmt w:val="lowerLetter"/>
      <w:start w:val="44"/>
    </w:lvl>
  </w:abstractNum>
  <w:abstractNum w:abstractNumId="105">
    <w:nsid w:val="6F38E6D1"/>
    <w:multiLevelType w:val="hybridMultilevel"/>
    <w:lvl w:ilvl="0">
      <w:lvlJc w:val="left"/>
      <w:lvlText w:val="(%1)"/>
      <w:numFmt w:val="lowerLetter"/>
      <w:start w:val="53"/>
    </w:lvl>
  </w:abstractNum>
  <w:abstractNum w:abstractNumId="106">
    <w:nsid w:val="46111BA5"/>
    <w:multiLevelType w:val="hybridMultilevel"/>
    <w:lvl w:ilvl="0">
      <w:lvlJc w:val="left"/>
      <w:lvlText w:val="(%1)"/>
      <w:numFmt w:val="lowerLetter"/>
      <w:start w:val="60"/>
    </w:lvl>
    <w:lvl w:ilvl="1">
      <w:lvlJc w:val="left"/>
      <w:lvlText w:val="(%2)"/>
      <w:numFmt w:val="lowerRoman"/>
      <w:start w:val="1"/>
    </w:lvl>
  </w:abstractNum>
  <w:abstractNum w:abstractNumId="107">
    <w:nsid w:val="5E963896"/>
    <w:multiLevelType w:val="hybridMultilevel"/>
    <w:lvl w:ilvl="0">
      <w:lvlJc w:val="left"/>
      <w:lvlText w:val="%1"/>
      <w:numFmt w:val="lowerLetter"/>
      <w:start w:val="1"/>
    </w:lvl>
    <w:lvl w:ilvl="1">
      <w:lvlJc w:val="left"/>
      <w:lvlText w:val="(%2)"/>
      <w:numFmt w:val="lowerRoman"/>
      <w:start w:val="10"/>
    </w:lvl>
  </w:abstractNum>
  <w:abstractNum w:abstractNumId="108">
    <w:nsid w:val="775BA7C1"/>
    <w:multiLevelType w:val="hybridMultilevel"/>
    <w:lvl w:ilvl="0">
      <w:lvlJc w:val="left"/>
      <w:lvlText w:val="(%1)"/>
      <w:numFmt w:val="lowerLetter"/>
      <w:start w:val="72"/>
    </w:lvl>
  </w:abstractNum>
  <w:abstractNum w:abstractNumId="109">
    <w:nsid w:val="1DD6D6F4"/>
    <w:multiLevelType w:val="hybridMultilevel"/>
    <w:lvl w:ilvl="0">
      <w:lvlJc w:val="left"/>
      <w:lvlText w:val="(%1)"/>
      <w:numFmt w:val="lowerLetter"/>
      <w:start w:val="79"/>
    </w:lvl>
  </w:abstractNum>
  <w:abstractNum w:abstractNumId="110">
    <w:nsid w:val="769A091F"/>
    <w:multiLevelType w:val="hybridMultilevel"/>
    <w:lvl w:ilvl="0">
      <w:lvlJc w:val="left"/>
      <w:lvlText w:val="(%1)"/>
      <w:numFmt w:val="lowerLetter"/>
      <w:start w:val="80"/>
    </w:lvl>
  </w:abstractNum>
  <w:abstractNum w:abstractNumId="111">
    <w:nsid w:val="4695AE95"/>
    <w:multiLevelType w:val="hybridMultilevel"/>
    <w:lvl w:ilvl="0">
      <w:lvlJc w:val="left"/>
      <w:lvlText w:val="(%1)"/>
      <w:numFmt w:val="lowerLetter"/>
      <w:start w:val="90"/>
    </w:lvl>
  </w:abstractNum>
  <w:abstractNum w:abstractNumId="112">
    <w:nsid w:val="777A4EAA"/>
    <w:multiLevelType w:val="hybridMultilevel"/>
    <w:lvl w:ilvl="0">
      <w:lvlJc w:val="left"/>
      <w:lvlText w:val="(%1)"/>
      <w:numFmt w:val="lowerLetter"/>
      <w:start w:val="97"/>
    </w:lvl>
  </w:abstractNum>
  <w:abstractNum w:abstractNumId="113">
    <w:nsid w:val="3F48B982"/>
    <w:multiLevelType w:val="hybridMultilevel"/>
    <w:lvl w:ilvl="0">
      <w:lvlJc w:val="left"/>
      <w:lvlText w:val="(%1)"/>
      <w:numFmt w:val="lowerLetter"/>
      <w:start w:val="105"/>
    </w:lvl>
  </w:abstractNum>
  <w:abstractNum w:abstractNumId="114">
    <w:nsid w:val="46BA8FCA"/>
    <w:multiLevelType w:val="hybridMultilevel"/>
    <w:lvl w:ilvl="0">
      <w:lvlJc w:val="left"/>
      <w:lvlText w:val="(%1)"/>
      <w:numFmt w:val="lowerLetter"/>
      <w:start w:val="115"/>
    </w:lvl>
  </w:abstractNum>
  <w:abstractNum w:abstractNumId="115">
    <w:nsid w:val="7835626C"/>
    <w:multiLevelType w:val="hybridMultilevel"/>
    <w:lvl w:ilvl="0">
      <w:lvlJc w:val="left"/>
      <w:lvlText w:val="(%1)"/>
      <w:numFmt w:val="lowerLetter"/>
      <w:start w:val="131"/>
    </w:lvl>
  </w:abstractNum>
  <w:abstractNum w:abstractNumId="116">
    <w:nsid w:val="665ACA49"/>
    <w:multiLevelType w:val="hybridMultilevel"/>
    <w:lvl w:ilvl="0">
      <w:lvlJc w:val="left"/>
      <w:lvlText w:val="(%1)"/>
      <w:numFmt w:val="lowerLetter"/>
      <w:start w:val="132"/>
    </w:lvl>
  </w:abstractNum>
  <w:abstractNum w:abstractNumId="117">
    <w:nsid w:val="6835B2AE"/>
    <w:multiLevelType w:val="hybridMultilevel"/>
    <w:lvl w:ilvl="0">
      <w:lvlJc w:val="left"/>
      <w:lvlText w:val="(%1)"/>
      <w:numFmt w:val="lowerLetter"/>
      <w:start w:val="1"/>
    </w:lvl>
  </w:abstractNum>
  <w:abstractNum w:abstractNumId="118">
    <w:nsid w:val="4C187C90"/>
    <w:multiLevelType w:val="hybridMultilevel"/>
    <w:lvl w:ilvl="0">
      <w:lvlJc w:val="left"/>
      <w:lvlText w:val="(%1)"/>
      <w:numFmt w:val="lowerLetter"/>
      <w:start w:val="1"/>
    </w:lvl>
    <w:lvl w:ilvl="1">
      <w:lvlJc w:val="left"/>
      <w:lvlText w:val="(%2)"/>
      <w:numFmt w:val="lowerRoman"/>
      <w:start w:val="1"/>
    </w:lvl>
  </w:abstractNum>
  <w:abstractNum w:abstractNumId="119">
    <w:nsid w:val="541F28CD"/>
    <w:multiLevelType w:val="hybridMultilevel"/>
    <w:lvl w:ilvl="0">
      <w:lvlJc w:val="left"/>
      <w:lvlText w:val="%1"/>
      <w:numFmt w:val="lowerLetter"/>
      <w:start w:val="1"/>
    </w:lvl>
    <w:lvl w:ilvl="1">
      <w:lvlJc w:val="left"/>
      <w:lvlText w:val="(%2)"/>
      <w:numFmt w:val="lowerRoman"/>
      <w:start w:val="6"/>
    </w:lvl>
  </w:abstractNum>
  <w:abstractNum w:abstractNumId="120">
    <w:nsid w:val="7F65FD16"/>
    <w:multiLevelType w:val="hybridMultilevel"/>
    <w:lvl w:ilvl="0">
      <w:lvlJc w:val="left"/>
      <w:lvlText w:val="(%1)"/>
      <w:numFmt w:val="lowerLetter"/>
      <w:start w:val="2"/>
    </w:lvl>
    <w:lvl w:ilvl="1">
      <w:lvlJc w:val="left"/>
      <w:lvlText w:val="%2"/>
      <w:numFmt w:val="lowerRoman"/>
      <w:start w:val="1"/>
    </w:lvl>
  </w:abstractNum>
  <w:abstractNum w:abstractNumId="121">
    <w:nsid w:val="77C9FD68"/>
    <w:multiLevelType w:val="hybridMultilevel"/>
    <w:lvl w:ilvl="0">
      <w:lvlJc w:val="left"/>
      <w:lvlText w:val="(%1)"/>
      <w:numFmt w:val="lowerLetter"/>
      <w:start w:val="1"/>
    </w:lvl>
  </w:abstractNum>
  <w:abstractNum w:abstractNumId="122">
    <w:nsid w:val="298A92BA"/>
    <w:multiLevelType w:val="hybridMultilevel"/>
    <w:lvl w:ilvl="0">
      <w:lvlJc w:val="left"/>
      <w:lvlText w:val="(%1)"/>
      <w:numFmt w:val="lowerLetter"/>
      <w:start w:val="1"/>
    </w:lvl>
  </w:abstractNum>
  <w:abstractNum w:abstractNumId="123">
    <w:nsid w:val="6FE95EAC"/>
    <w:multiLevelType w:val="hybridMultilevel"/>
    <w:lvl w:ilvl="0">
      <w:lvlJc w:val="left"/>
      <w:lvlText w:val="(%1)"/>
      <w:numFmt w:val="lowerLetter"/>
      <w:start w:val="1"/>
    </w:lvl>
    <w:lvl w:ilvl="1">
      <w:lvlJc w:val="left"/>
      <w:lvlText w:val="(%2)"/>
      <w:numFmt w:val="lowerRoman"/>
      <w:start w:val="1"/>
    </w:lvl>
  </w:abstractNum>
  <w:abstractNum w:abstractNumId="124">
    <w:nsid w:val="4B697C7A"/>
    <w:multiLevelType w:val="hybridMultilevel"/>
    <w:lvl w:ilvl="0">
      <w:lvlJc w:val="left"/>
      <w:lvlText w:val="(%1)"/>
      <w:numFmt w:val="lowerLetter"/>
      <w:start w:val="3"/>
    </w:lvl>
  </w:abstractNum>
  <w:abstractNum w:abstractNumId="125">
    <w:nsid w:val="51A27AA6"/>
    <w:multiLevelType w:val="hybridMultilevel"/>
    <w:lvl w:ilvl="0">
      <w:lvlJc w:val="left"/>
      <w:lvlText w:val="(%1)"/>
      <w:numFmt w:val="lowerRoman"/>
      <w:start w:val="1"/>
    </w:lvl>
    <w:lvl w:ilvl="1">
      <w:lvlJc w:val="left"/>
      <w:lvlText w:val="(%2)"/>
      <w:numFmt w:val="upperLetter"/>
      <w:start w:val="1"/>
    </w:lvl>
  </w:abstractNum>
  <w:abstractNum w:abstractNumId="126">
    <w:nsid w:val="613183F2"/>
    <w:multiLevelType w:val="hybridMultilevel"/>
    <w:lvl w:ilvl="0">
      <w:lvlJc w:val="left"/>
      <w:lvlText w:val="(%1)"/>
      <w:numFmt w:val="lowerRoman"/>
      <w:start w:val="2"/>
    </w:lvl>
    <w:lvl w:ilvl="1">
      <w:lvlJc w:val="left"/>
      <w:lvlText w:val="(%2)"/>
      <w:numFmt w:val="upperLetter"/>
      <w:start w:val="1"/>
    </w:lvl>
  </w:abstractNum>
  <w:abstractNum w:abstractNumId="127">
    <w:nsid w:val="634102B4"/>
    <w:multiLevelType w:val="hybridMultilevel"/>
    <w:lvl w:ilvl="0">
      <w:lvlJc w:val="left"/>
      <w:lvlText w:val="%1"/>
      <w:numFmt w:val="lowerRoman"/>
      <w:start w:val="1"/>
    </w:lvl>
    <w:lvl w:ilvl="1">
      <w:lvlJc w:val="left"/>
      <w:lvlText w:val="(%2)"/>
      <w:numFmt w:val="upperLetter"/>
      <w:start w:val="2"/>
    </w:lvl>
  </w:abstractNum>
  <w:abstractNum w:abstractNumId="128">
    <w:nsid w:val="65BF9DA8"/>
    <w:multiLevelType w:val="hybridMultilevel"/>
    <w:lvl w:ilvl="0">
      <w:lvlJc w:val="left"/>
      <w:lvlText w:val="(%1)"/>
      <w:numFmt w:val="lowerRoman"/>
      <w:start w:val="5"/>
    </w:lvl>
    <w:lvl w:ilvl="1">
      <w:lvlJc w:val="left"/>
      <w:lvlText w:val="%2"/>
      <w:numFmt w:val="upperLetter"/>
      <w:start w:val="1"/>
    </w:lvl>
  </w:abstractNum>
  <w:abstractNum w:abstractNumId="129">
    <w:nsid w:val="21A2ECCA"/>
    <w:multiLevelType w:val="hybridMultilevel"/>
    <w:lvl w:ilvl="0">
      <w:lvlJc w:val="left"/>
      <w:lvlText w:val="(%1)"/>
      <w:numFmt w:val="lowerLetter"/>
      <w:start w:val="1"/>
    </w:lvl>
  </w:abstractNum>
  <w:abstractNum w:abstractNumId="130">
    <w:nsid w:val="4D5C4899"/>
    <w:multiLevelType w:val="hybridMultilevel"/>
    <w:lvl w:ilvl="0">
      <w:lvlJc w:val="left"/>
      <w:lvlText w:val="(%1)"/>
      <w:numFmt w:val="lowerLetter"/>
      <w:start w:val="2"/>
    </w:lvl>
  </w:abstractNum>
  <w:abstractNum w:abstractNumId="131">
    <w:nsid w:val="3C3B72B2"/>
    <w:multiLevelType w:val="hybridMultilevel"/>
    <w:lvl w:ilvl="0">
      <w:lvlJc w:val="left"/>
      <w:lvlText w:val="(%1)"/>
      <w:numFmt w:val="lowerLetter"/>
      <w:start w:val="3"/>
    </w:lvl>
  </w:abstractNum>
  <w:abstractNum w:abstractNumId="132">
    <w:nsid w:val="155EC4C2"/>
    <w:multiLevelType w:val="hybridMultilevel"/>
    <w:lvl w:ilvl="0">
      <w:lvlJc w:val="left"/>
      <w:lvlText w:val="(%1)"/>
      <w:numFmt w:val="lowerLetter"/>
      <w:start w:val="4"/>
    </w:lvl>
    <w:lvl w:ilvl="1">
      <w:lvlJc w:val="left"/>
      <w:lvlText w:val="(%2)"/>
      <w:numFmt w:val="lowerRoman"/>
      <w:start w:val="1"/>
    </w:lvl>
  </w:abstractNum>
  <w:abstractNum w:abstractNumId="133">
    <w:nsid w:val="65D2A137"/>
    <w:multiLevelType w:val="hybridMultilevel"/>
    <w:lvl w:ilvl="0">
      <w:lvlJc w:val="left"/>
      <w:lvlText w:val="(%1)"/>
      <w:numFmt w:val="lowerLetter"/>
      <w:start w:val="5"/>
    </w:lvl>
  </w:abstractNum>
  <w:abstractNum w:abstractNumId="134">
    <w:nsid w:val="6EBB1F2A"/>
    <w:multiLevelType w:val="hybridMultilevel"/>
    <w:lvl w:ilvl="0">
      <w:lvlJc w:val="left"/>
      <w:lvlText w:val="(%1)"/>
      <w:numFmt w:val="lowerLetter"/>
      <w:start w:val="6"/>
    </w:lvl>
  </w:abstractNum>
  <w:abstractNum w:abstractNumId="135">
    <w:nsid w:val="6FBF29CB"/>
    <w:multiLevelType w:val="hybridMultilevel"/>
    <w:lvl w:ilvl="0">
      <w:lvlJc w:val="left"/>
      <w:lvlText w:val="(%1)"/>
      <w:numFmt w:val="lowerLetter"/>
      <w:start w:val="7"/>
    </w:lvl>
  </w:abstractNum>
  <w:abstractNum w:abstractNumId="136">
    <w:nsid w:val="550B8808"/>
    <w:multiLevelType w:val="hybridMultilevel"/>
    <w:lvl w:ilvl="0">
      <w:lvlJc w:val="left"/>
      <w:lvlText w:val="(%1)"/>
      <w:numFmt w:val="lowerLetter"/>
      <w:start w:val="8"/>
    </w:lvl>
  </w:abstractNum>
  <w:abstractNum w:abstractNumId="137">
    <w:nsid w:val="34CC3ACF"/>
    <w:multiLevelType w:val="hybridMultilevel"/>
    <w:lvl w:ilvl="0">
      <w:lvlJc w:val="left"/>
      <w:lvlText w:val="(%1)"/>
      <w:numFmt w:val="lowerRoman"/>
      <w:start w:val="1"/>
    </w:lvl>
  </w:abstractNum>
  <w:abstractNum w:abstractNumId="138">
    <w:nsid w:val="4E556261"/>
    <w:multiLevelType w:val="hybridMultilevel"/>
    <w:lvl w:ilvl="0">
      <w:lvlJc w:val="left"/>
      <w:lvlText w:val="(%1)"/>
      <w:numFmt w:val="lowerLetter"/>
      <w:start w:val="10"/>
    </w:lvl>
  </w:abstractNum>
  <w:abstractNum w:abstractNumId="139">
    <w:nsid w:val="4C672FC9"/>
    <w:multiLevelType w:val="hybridMultilevel"/>
    <w:lvl w:ilvl="0">
      <w:lvlJc w:val="left"/>
      <w:lvlText w:val="(%1)"/>
      <w:numFmt w:val="lowerLetter"/>
      <w:start w:val="11"/>
    </w:lvl>
  </w:abstractNum>
  <w:abstractNum w:abstractNumId="140">
    <w:nsid w:val="52A311C3"/>
    <w:multiLevelType w:val="hybridMultilevel"/>
    <w:lvl w:ilvl="0">
      <w:lvlJc w:val="left"/>
      <w:lvlText w:val="(%1)"/>
      <w:numFmt w:val="lowerLetter"/>
      <w:start w:val="12"/>
    </w:lvl>
  </w:abstractNum>
  <w:abstractNum w:abstractNumId="141">
    <w:nsid w:val="44EF6B80"/>
    <w:multiLevelType w:val="hybridMultilevel"/>
    <w:lvl w:ilvl="0">
      <w:lvlJc w:val="left"/>
      <w:lvlText w:val="(%1)"/>
      <w:numFmt w:val="lowerLetter"/>
      <w:start w:val="14"/>
    </w:lvl>
  </w:abstractNum>
  <w:abstractNum w:abstractNumId="142">
    <w:nsid w:val="12FCDE5E"/>
    <w:multiLevelType w:val="hybridMultilevel"/>
    <w:lvl w:ilvl="0">
      <w:lvlJc w:val="left"/>
      <w:lvlText w:val="(%1)"/>
      <w:numFmt w:val="lowerLetter"/>
      <w:start w:val="15"/>
    </w:lvl>
  </w:abstractNum>
  <w:abstractNum w:abstractNumId="143">
    <w:nsid w:val="4A1D606E"/>
    <w:multiLevelType w:val="hybridMultilevel"/>
    <w:lvl w:ilvl="0">
      <w:lvlJc w:val="left"/>
      <w:lvlText w:val="(%1)"/>
      <w:numFmt w:val="lowerLetter"/>
      <w:start w:val="16"/>
    </w:lvl>
  </w:abstractNum>
  <w:abstractNum w:abstractNumId="144">
    <w:nsid w:val="4382503"/>
    <w:multiLevelType w:val="hybridMultilevel"/>
    <w:lvl w:ilvl="0">
      <w:lvlJc w:val="left"/>
      <w:lvlText w:val="(%1)"/>
      <w:numFmt w:val="lowerLetter"/>
      <w:start w:val="17"/>
    </w:lvl>
  </w:abstractNum>
  <w:abstractNum w:abstractNumId="145">
    <w:nsid w:val="59B76E28"/>
    <w:multiLevelType w:val="hybridMultilevel"/>
    <w:lvl w:ilvl="0">
      <w:lvlJc w:val="left"/>
      <w:lvlText w:val="(%1)"/>
      <w:numFmt w:val="lowerLetter"/>
      <w:start w:val="18"/>
    </w:lvl>
  </w:abstractNum>
  <w:abstractNum w:abstractNumId="146">
    <w:nsid w:val="4252C2DA"/>
    <w:multiLevelType w:val="hybridMultilevel"/>
    <w:lvl w:ilvl="0">
      <w:lvlJc w:val="left"/>
      <w:lvlText w:val="(%1)"/>
      <w:numFmt w:val="lowerLetter"/>
      <w:start w:val="19"/>
    </w:lvl>
  </w:abstractNum>
  <w:abstractNum w:abstractNumId="147">
    <w:nsid w:val="6A92EF4C"/>
    <w:multiLevelType w:val="hybridMultilevel"/>
    <w:lvl w:ilvl="0">
      <w:lvlJc w:val="left"/>
      <w:lvlText w:val="(%1)"/>
      <w:numFmt w:val="lowerLetter"/>
      <w:start w:val="20"/>
    </w:lvl>
    <w:lvl w:ilvl="1">
      <w:lvlJc w:val="left"/>
      <w:lvlText w:val="(%2)"/>
      <w:numFmt w:val="lowerRoman"/>
      <w:start w:val="2"/>
    </w:lvl>
    <w:lvl w:ilvl="2">
      <w:lvlJc w:val="left"/>
      <w:lvlText w:val="(%3)"/>
      <w:numFmt w:val="upperLetter"/>
      <w:start w:val="1"/>
    </w:lvl>
  </w:abstractNum>
  <w:abstractNum w:abstractNumId="148">
    <w:nsid w:val="41ED20D7"/>
    <w:multiLevelType w:val="hybridMultilevel"/>
    <w:lvl w:ilvl="0">
      <w:lvlJc w:val="left"/>
      <w:lvlText w:val="(%1)"/>
      <w:numFmt w:val="lowerRoman"/>
      <w:start w:val="5"/>
    </w:lvl>
  </w:abstractNum>
  <w:abstractNum w:abstractNumId="149">
    <w:nsid w:val="E6B3F6A"/>
    <w:multiLevelType w:val="hybridMultilevel"/>
    <w:lvl w:ilvl="0">
      <w:lvlJc w:val="left"/>
      <w:lvlText w:val="(%1)"/>
      <w:numFmt w:val="lowerLetter"/>
      <w:start w:val="1"/>
    </w:lvl>
  </w:abstractNum>
  <w:abstractNum w:abstractNumId="150">
    <w:nsid w:val="3EB21819"/>
    <w:multiLevelType w:val="hybridMultilevel"/>
    <w:lvl w:ilvl="0">
      <w:lvlJc w:val="left"/>
      <w:lvlText w:val="(%1)"/>
      <w:numFmt w:val="lowerLetter"/>
      <w:start w:val="4"/>
    </w:lvl>
    <w:lvl w:ilvl="1">
      <w:lvlJc w:val="left"/>
      <w:lvlText w:val="(%2)"/>
      <w:numFmt w:val="lowerRoman"/>
      <w:start w:val="1"/>
    </w:lvl>
  </w:abstractNum>
  <w:abstractNum w:abstractNumId="151">
    <w:nsid w:val="41531DED"/>
    <w:multiLevelType w:val="hybridMultilevel"/>
    <w:lvl w:ilvl="0">
      <w:lvlJc w:val="left"/>
      <w:lvlText w:val="(%1)"/>
      <w:numFmt w:val="lowerLetter"/>
      <w:start w:val="5"/>
    </w:lvl>
  </w:abstractNum>
  <w:abstractNum w:abstractNumId="152">
    <w:nsid w:val="6353CD2"/>
    <w:multiLevelType w:val="hybridMultilevel"/>
    <w:lvl w:ilvl="0">
      <w:lvlJc w:val="left"/>
      <w:lvlText w:val="(%1)"/>
      <w:numFmt w:val="lowerRoman"/>
      <w:start w:val="1"/>
    </w:lvl>
  </w:abstractNum>
  <w:abstractNum w:abstractNumId="153">
    <w:nsid w:val="683CAAD3"/>
    <w:multiLevelType w:val="hybridMultilevel"/>
    <w:lvl w:ilvl="0">
      <w:lvlJc w:val="left"/>
      <w:lvlText w:val="(%1)"/>
      <w:numFmt w:val="lowerLetter"/>
      <w:start w:val="6"/>
    </w:lvl>
  </w:abstractNum>
  <w:abstractNum w:abstractNumId="154">
    <w:nsid w:val="313C7C99"/>
    <w:multiLevelType w:val="hybridMultilevel"/>
    <w:lvl w:ilvl="0">
      <w:lvlJc w:val="left"/>
      <w:lvlText w:val="(%1)"/>
      <w:numFmt w:val="lowerLetter"/>
      <w:start w:val="7"/>
    </w:lvl>
  </w:abstractNum>
  <w:abstractNum w:abstractNumId="155">
    <w:nsid w:val="519EB94C"/>
    <w:multiLevelType w:val="hybridMultilevel"/>
    <w:lvl w:ilvl="0">
      <w:lvlJc w:val="left"/>
      <w:lvlText w:val="(%1)"/>
      <w:numFmt w:val="lowerLetter"/>
      <w:start w:val="8"/>
    </w:lvl>
  </w:abstractNum>
  <w:abstractNum w:abstractNumId="156">
    <w:nsid w:val="39DF2579"/>
    <w:multiLevelType w:val="hybridMultilevel"/>
    <w:lvl w:ilvl="0">
      <w:lvlJc w:val="left"/>
      <w:lvlText w:val="(%1)"/>
      <w:numFmt w:val="lowerRoman"/>
      <w:start w:val="1"/>
    </w:lvl>
  </w:abstractNum>
  <w:abstractNum w:abstractNumId="157">
    <w:nsid w:val="126E008B"/>
    <w:multiLevelType w:val="hybridMultilevel"/>
    <w:lvl w:ilvl="0">
      <w:lvlJc w:val="left"/>
      <w:lvlText w:val="(%1)"/>
      <w:numFmt w:val="lowerLetter"/>
      <w:start w:val="10"/>
    </w:lvl>
  </w:abstractNum>
  <w:abstractNum w:abstractNumId="158">
    <w:nsid w:val="34DFBC00"/>
    <w:multiLevelType w:val="hybridMultilevel"/>
    <w:lvl w:ilvl="0">
      <w:lvlJc w:val="left"/>
      <w:lvlText w:val="(%1)"/>
      <w:numFmt w:val="lowerLetter"/>
      <w:start w:val="11"/>
    </w:lvl>
  </w:abstractNum>
  <w:abstractNum w:abstractNumId="159">
    <w:nsid w:val="1F9EC322"/>
    <w:multiLevelType w:val="hybridMultilevel"/>
    <w:lvl w:ilvl="0">
      <w:lvlJc w:val="left"/>
      <w:lvlText w:val="(%1)"/>
      <w:numFmt w:val="lowerLetter"/>
      <w:start w:val="12"/>
    </w:lvl>
  </w:abstractNum>
  <w:abstractNum w:abstractNumId="160">
    <w:nsid w:val="3410ED56"/>
    <w:multiLevelType w:val="hybridMultilevel"/>
    <w:lvl w:ilvl="0">
      <w:lvlJc w:val="left"/>
      <w:lvlText w:val="(%1)"/>
      <w:numFmt w:val="lowerLetter"/>
      <w:start w:val="13"/>
    </w:lvl>
  </w:abstractNum>
  <w:abstractNum w:abstractNumId="161">
    <w:nsid w:val="23C049A"/>
    <w:multiLevelType w:val="hybridMultilevel"/>
    <w:lvl w:ilvl="0">
      <w:lvlJc w:val="left"/>
      <w:lvlText w:val="(%1)"/>
      <w:numFmt w:val="lowerLetter"/>
      <w:start w:val="14"/>
    </w:lvl>
    <w:lvl w:ilvl="1">
      <w:lvlJc w:val="left"/>
      <w:lvlText w:val="(%2)"/>
      <w:numFmt w:val="lowerRoman"/>
      <w:start w:val="1"/>
    </w:lvl>
  </w:abstractNum>
  <w:abstractNum w:abstractNumId="162">
    <w:nsid w:val="5BDA35D4"/>
    <w:multiLevelType w:val="hybridMultilevel"/>
    <w:lvl w:ilvl="0">
      <w:lvlJc w:val="left"/>
      <w:lvlText w:val="(%1)"/>
      <w:numFmt w:val="lowerLetter"/>
      <w:start w:val="15"/>
    </w:lvl>
  </w:abstractNum>
  <w:abstractNum w:abstractNumId="163">
    <w:nsid w:val="496FB218"/>
    <w:multiLevelType w:val="hybridMultilevel"/>
    <w:lvl w:ilvl="0">
      <w:lvlJc w:val="left"/>
      <w:lvlText w:val="(%1)"/>
      <w:numFmt w:val="lowerLetter"/>
      <w:start w:val="16"/>
    </w:lvl>
  </w:abstractNum>
  <w:abstractNum w:abstractNumId="164">
    <w:nsid w:val="680EA5D1"/>
    <w:multiLevelType w:val="hybridMultilevel"/>
    <w:lvl w:ilvl="0">
      <w:lvlJc w:val="left"/>
      <w:lvlText w:val="(%1)"/>
      <w:numFmt w:val="lowerLetter"/>
      <w:start w:val="17"/>
    </w:lvl>
  </w:abstractNum>
  <w:abstractNum w:abstractNumId="165">
    <w:nsid w:val="4A9554FE"/>
    <w:multiLevelType w:val="hybridMultilevel"/>
    <w:lvl w:ilvl="0">
      <w:lvlJc w:val="left"/>
      <w:lvlText w:val="(%1)"/>
      <w:numFmt w:val="lowerLetter"/>
      <w:start w:val="18"/>
    </w:lvl>
  </w:abstractNum>
  <w:abstractNum w:abstractNumId="166">
    <w:nsid w:val="392EDBE4"/>
    <w:multiLevelType w:val="hybridMultilevel"/>
    <w:lvl w:ilvl="0">
      <w:lvlJc w:val="left"/>
      <w:lvlText w:val="(%1)"/>
      <w:numFmt w:val="lowerRoman"/>
      <w:start w:val="2"/>
    </w:lvl>
    <w:lvl w:ilvl="1">
      <w:lvlJc w:val="left"/>
      <w:lvlText w:val="(%2)"/>
      <w:numFmt w:val="upperLetter"/>
      <w:start w:val="1"/>
    </w:lvl>
  </w:abstractNum>
  <w:abstractNum w:abstractNumId="167">
    <w:nsid w:val="3D1A2DD9"/>
    <w:multiLevelType w:val="hybridMultilevel"/>
    <w:lvl w:ilvl="0">
      <w:lvlJc w:val="left"/>
      <w:lvlText w:val="(%1)"/>
      <w:numFmt w:val="lowerLetter"/>
      <w:start w:val="20"/>
    </w:lvl>
  </w:abstractNum>
  <w:abstractNum w:abstractNumId="168">
    <w:nsid w:val="7F618FCD"/>
    <w:multiLevelType w:val="hybridMultilevel"/>
    <w:lvl w:ilvl="0">
      <w:lvlJc w:val="left"/>
      <w:lvlText w:val="(%1)"/>
      <w:numFmt w:val="lowerLetter"/>
      <w:start w:val="21"/>
    </w:lvl>
    <w:lvl w:ilvl="1">
      <w:lvlJc w:val="left"/>
      <w:lvlText w:val="(%2)"/>
      <w:numFmt w:val="lowerRoman"/>
      <w:start w:val="1"/>
    </w:lvl>
  </w:abstractNum>
  <w:abstractNum w:abstractNumId="169">
    <w:nsid w:val="7843E45"/>
    <w:multiLevelType w:val="hybridMultilevel"/>
    <w:lvl w:ilvl="0">
      <w:lvlJc w:val="left"/>
      <w:lvlText w:val="(%1)"/>
      <w:numFmt w:val="lowerRoman"/>
      <w:start w:val="5"/>
    </w:lvl>
  </w:abstractNum>
  <w:abstractNum w:abstractNumId="170">
    <w:nsid w:val="9815DA3"/>
    <w:multiLevelType w:val="hybridMultilevel"/>
    <w:lvl w:ilvl="0">
      <w:lvlJc w:val="left"/>
      <w:lvlText w:val="(%1)"/>
      <w:numFmt w:val="lowerRoman"/>
      <w:start w:val="5"/>
    </w:lvl>
  </w:abstractNum>
  <w:abstractNum w:abstractNumId="171">
    <w:nsid w:val="5204A191"/>
    <w:multiLevelType w:val="hybridMultilevel"/>
    <w:lvl w:ilvl="0">
      <w:lvlJc w:val="left"/>
      <w:lvlText w:val="(%1)"/>
      <w:numFmt w:val="lowerLetter"/>
      <w:start w:val="23"/>
    </w:lvl>
  </w:abstractNum>
  <w:abstractNum w:abstractNumId="172">
    <w:nsid w:val="4C73A9C6"/>
    <w:multiLevelType w:val="hybridMultilevel"/>
    <w:lvl w:ilvl="0">
      <w:lvlJc w:val="left"/>
      <w:lvlText w:val="(%1)"/>
      <w:numFmt w:val="lowerLetter"/>
      <w:start w:val="25"/>
    </w:lvl>
  </w:abstractNum>
  <w:abstractNum w:abstractNumId="173">
    <w:nsid w:val="1C7E3C01"/>
    <w:multiLevelType w:val="hybridMultilevel"/>
    <w:lvl w:ilvl="0">
      <w:lvlJc w:val="left"/>
      <w:lvlText w:val="(%1)"/>
      <w:numFmt w:val="lowerLetter"/>
      <w:start w:val="26"/>
    </w:lvl>
  </w:abstractNum>
  <w:abstractNum w:abstractNumId="174">
    <w:nsid w:val="1C2201FF"/>
    <w:multiLevelType w:val="hybridMultilevel"/>
    <w:lvl w:ilvl="0">
      <w:lvlJc w:val="left"/>
      <w:lvlText w:val="(%1)"/>
      <w:numFmt w:val="lowerLetter"/>
      <w:start w:val="27"/>
    </w:lvl>
  </w:abstractNum>
  <w:abstractNum w:abstractNumId="175">
    <w:nsid w:val="50ABCEC9"/>
    <w:multiLevelType w:val="hybridMultilevel"/>
    <w:lvl w:ilvl="0">
      <w:lvlJc w:val="left"/>
      <w:lvlText w:val="(%1)"/>
      <w:numFmt w:val="lowerLetter"/>
      <w:start w:val="28"/>
    </w:lvl>
  </w:abstractNum>
  <w:abstractNum w:abstractNumId="176">
    <w:nsid w:val="7635AA2A"/>
    <w:multiLevelType w:val="hybridMultilevel"/>
    <w:lvl w:ilvl="0">
      <w:lvlJc w:val="left"/>
      <w:lvlText w:val="(%1)"/>
      <w:numFmt w:val="lowerLetter"/>
      <w:start w:val="29"/>
    </w:lvl>
  </w:abstractNum>
  <w:abstractNum w:abstractNumId="177">
    <w:nsid w:val="5E74C4D9"/>
    <w:multiLevelType w:val="hybridMultilevel"/>
    <w:lvl w:ilvl="0">
      <w:lvlJc w:val="left"/>
      <w:lvlText w:val="(%1)"/>
      <w:numFmt w:val="lowerLetter"/>
      <w:start w:val="31"/>
    </w:lvl>
  </w:abstractNum>
  <w:abstractNum w:abstractNumId="178">
    <w:nsid w:val="3B3EBE15"/>
    <w:multiLevelType w:val="hybridMultilevel"/>
    <w:lvl w:ilvl="0">
      <w:lvlJc w:val="left"/>
      <w:lvlText w:val="(%1)"/>
      <w:numFmt w:val="lowerLetter"/>
      <w:start w:val="32"/>
    </w:lvl>
    <w:lvl w:ilvl="1">
      <w:lvlJc w:val="left"/>
      <w:lvlText w:val="(%2)"/>
      <w:numFmt w:val="lowerRoman"/>
      <w:start w:val="1"/>
    </w:lvl>
  </w:abstractNum>
  <w:abstractNum w:abstractNumId="179">
    <w:nsid w:val="3822CB01"/>
    <w:multiLevelType w:val="hybridMultilevel"/>
    <w:lvl w:ilvl="0">
      <w:lvlJc w:val="left"/>
      <w:lvlText w:val="(%1)"/>
      <w:numFmt w:val="lowerLetter"/>
      <w:start w:val="33"/>
    </w:lvl>
  </w:abstractNum>
  <w:abstractNum w:abstractNumId="180">
    <w:nsid w:val="6CE00443"/>
    <w:multiLevelType w:val="hybridMultilevel"/>
    <w:lvl w:ilvl="0">
      <w:lvlJc w:val="left"/>
      <w:lvlText w:val="(%1)"/>
      <w:numFmt w:val="lowerLetter"/>
      <w:start w:val="34"/>
    </w:lvl>
  </w:abstractNum>
  <w:abstractNum w:abstractNumId="181">
    <w:nsid w:val="79F0D62F"/>
    <w:multiLevelType w:val="hybridMultilevel"/>
    <w:lvl w:ilvl="0">
      <w:lvlJc w:val="left"/>
      <w:lvlText w:val="(%1)"/>
      <w:numFmt w:val="lowerLetter"/>
      <w:start w:val="35"/>
    </w:lvl>
  </w:abstractNum>
  <w:abstractNum w:abstractNumId="182">
    <w:nsid w:val="7975E8EE"/>
    <w:multiLevelType w:val="hybridMultilevel"/>
    <w:lvl w:ilvl="0">
      <w:lvlJc w:val="left"/>
      <w:lvlText w:val="(%1)"/>
      <w:numFmt w:val="lowerLetter"/>
      <w:start w:val="39"/>
    </w:lvl>
    <w:lvl w:ilvl="1">
      <w:lvlJc w:val="left"/>
      <w:lvlText w:val="(%2)"/>
      <w:numFmt w:val="lowerRoman"/>
      <w:start w:val="1"/>
    </w:lvl>
  </w:abstractNum>
  <w:abstractNum w:abstractNumId="183">
    <w:nsid w:val="73154115"/>
    <w:multiLevelType w:val="hybridMultilevel"/>
    <w:lvl w:ilvl="0">
      <w:lvlJc w:val="left"/>
      <w:lvlText w:val="(%1)"/>
      <w:numFmt w:val="lowerRoman"/>
      <w:start w:val="3"/>
    </w:lvl>
  </w:abstractNum>
  <w:abstractNum w:abstractNumId="184">
    <w:nsid w:val="622D8102"/>
    <w:multiLevelType w:val="hybridMultilevel"/>
    <w:lvl w:ilvl="0">
      <w:lvlJc w:val="left"/>
      <w:lvlText w:val="(%1)"/>
      <w:numFmt w:val="lowerLetter"/>
      <w:start w:val="45"/>
    </w:lvl>
  </w:abstractNum>
  <w:abstractNum w:abstractNumId="185">
    <w:nsid w:val="2AB26587"/>
    <w:multiLevelType w:val="hybridMultilevel"/>
    <w:lvl w:ilvl="0">
      <w:lvlJc w:val="left"/>
      <w:lvlText w:val="(%1)"/>
      <w:numFmt w:val="lowerLetter"/>
      <w:start w:val="46"/>
    </w:lvl>
  </w:abstractNum>
  <w:abstractNum w:abstractNumId="186">
    <w:nsid w:val="44B3FA61"/>
    <w:multiLevelType w:val="hybridMultilevel"/>
    <w:lvl w:ilvl="0">
      <w:lvlJc w:val="left"/>
      <w:lvlText w:val="(%1)"/>
      <w:numFmt w:val="lowerLetter"/>
      <w:start w:val="47"/>
    </w:lvl>
  </w:abstractNum>
  <w:abstractNum w:abstractNumId="187">
    <w:nsid w:val="1C0CA67C"/>
    <w:multiLevelType w:val="hybridMultilevel"/>
    <w:lvl w:ilvl="0">
      <w:lvlJc w:val="left"/>
      <w:lvlText w:val="(%1)"/>
      <w:numFmt w:val="lowerLetter"/>
      <w:start w:val="48"/>
    </w:lvl>
  </w:abstractNum>
  <w:abstractNum w:abstractNumId="188">
    <w:nsid w:val="3D206613"/>
    <w:multiLevelType w:val="hybridMultilevel"/>
    <w:lvl w:ilvl="0">
      <w:lvlJc w:val="left"/>
      <w:lvlText w:val="(%1)"/>
      <w:numFmt w:val="lowerLetter"/>
      <w:start w:val="52"/>
    </w:lvl>
  </w:abstractNum>
  <w:abstractNum w:abstractNumId="189">
    <w:nsid w:val="7993B662"/>
    <w:multiLevelType w:val="hybridMultilevel"/>
    <w:lvl w:ilvl="0">
      <w:lvlJc w:val="left"/>
      <w:lvlText w:val="(%1)"/>
      <w:numFmt w:val="lowerLetter"/>
      <w:start w:val="53"/>
    </w:lvl>
  </w:abstractNum>
  <w:abstractNum w:abstractNumId="190">
    <w:nsid w:val="3BAB699E"/>
    <w:multiLevelType w:val="hybridMultilevel"/>
    <w:lvl w:ilvl="0">
      <w:lvlJc w:val="left"/>
      <w:lvlText w:val="(%1)"/>
      <w:numFmt w:val="lowerLetter"/>
      <w:start w:val="59"/>
    </w:lvl>
  </w:abstractNum>
  <w:abstractNum w:abstractNumId="191">
    <w:nsid w:val="71315369"/>
    <w:multiLevelType w:val="hybridMultilevel"/>
    <w:lvl w:ilvl="0">
      <w:lvlJc w:val="left"/>
      <w:lvlText w:val="(%1)"/>
      <w:numFmt w:val="lowerRoman"/>
      <w:start w:val="1"/>
    </w:lvl>
  </w:abstractNum>
  <w:abstractNum w:abstractNumId="192">
    <w:nsid w:val="7BCFBAFC"/>
    <w:multiLevelType w:val="hybridMultilevel"/>
    <w:lvl w:ilvl="0">
      <w:lvlJc w:val="left"/>
      <w:lvlText w:val="(%1)"/>
      <w:numFmt w:val="lowerLetter"/>
      <w:start w:val="62"/>
    </w:lvl>
    <w:lvl w:ilvl="1">
      <w:lvlJc w:val="left"/>
      <w:lvlText w:val="(%2)"/>
      <w:numFmt w:val="lowerRoman"/>
      <w:start w:val="1"/>
    </w:lvl>
  </w:abstractNum>
  <w:abstractNum w:abstractNumId="193">
    <w:nsid w:val="17859F72"/>
    <w:multiLevelType w:val="hybridMultilevel"/>
    <w:lvl w:ilvl="0">
      <w:lvlJc w:val="left"/>
      <w:lvlText w:val="(%1)"/>
      <w:numFmt w:val="lowerLetter"/>
      <w:start w:val="64"/>
    </w:lvl>
  </w:abstractNum>
  <w:abstractNum w:abstractNumId="194">
    <w:nsid w:val="3AA10581"/>
    <w:multiLevelType w:val="hybridMultilevel"/>
    <w:lvl w:ilvl="0">
      <w:lvlJc w:val="left"/>
      <w:lvlText w:val="(%1)"/>
      <w:numFmt w:val="lowerLetter"/>
      <w:start w:val="65"/>
    </w:lvl>
  </w:abstractNum>
  <w:abstractNum w:abstractNumId="195">
    <w:nsid w:val="63DE60CD"/>
    <w:multiLevelType w:val="hybridMultilevel"/>
    <w:lvl w:ilvl="0">
      <w:lvlJc w:val="left"/>
      <w:lvlText w:val="(%1)"/>
      <w:numFmt w:val="lowerLetter"/>
      <w:start w:val="66"/>
    </w:lvl>
  </w:abstractNum>
  <w:abstractNum w:abstractNumId="196">
    <w:nsid w:val="621AF471"/>
    <w:multiLevelType w:val="hybridMultilevel"/>
    <w:lvl w:ilvl="0">
      <w:lvlJc w:val="left"/>
      <w:lvlText w:val="(%1)"/>
      <w:numFmt w:val="lowerLetter"/>
      <w:start w:val="67"/>
    </w:lvl>
  </w:abstractNum>
  <w:abstractNum w:abstractNumId="197">
    <w:nsid w:val="73CFE165"/>
    <w:multiLevelType w:val="hybridMultilevel"/>
    <w:lvl w:ilvl="0">
      <w:lvlJc w:val="left"/>
      <w:lvlText w:val="(%1)"/>
      <w:numFmt w:val="lowerLetter"/>
      <w:start w:val="68"/>
    </w:lvl>
  </w:abstractNum>
  <w:abstractNum w:abstractNumId="198">
    <w:nsid w:val="20F88EA6"/>
    <w:multiLevelType w:val="hybridMultilevel"/>
    <w:lvl w:ilvl="0">
      <w:lvlJc w:val="left"/>
      <w:lvlText w:val="(%1)"/>
      <w:numFmt w:val="lowerLetter"/>
      <w:start w:val="69"/>
    </w:lvl>
  </w:abstractNum>
  <w:abstractNum w:abstractNumId="199">
    <w:nsid w:val="617C843E"/>
    <w:multiLevelType w:val="hybridMultilevel"/>
    <w:lvl w:ilvl="0">
      <w:lvlJc w:val="left"/>
      <w:lvlText w:val="(%1)"/>
      <w:numFmt w:val="lowerLetter"/>
      <w:start w:val="70"/>
    </w:lvl>
  </w:abstractNum>
  <w:abstractNum w:abstractNumId="200">
    <w:nsid w:val="7B541FAB"/>
    <w:multiLevelType w:val="hybridMultilevel"/>
    <w:lvl w:ilvl="0">
      <w:lvlJc w:val="left"/>
      <w:lvlText w:val="(%1)"/>
      <w:numFmt w:val="lowerLetter"/>
      <w:start w:val="71"/>
    </w:lvl>
  </w:abstractNum>
  <w:abstractNum w:abstractNumId="201">
    <w:nsid w:val="2A79EC49"/>
    <w:multiLevelType w:val="hybridMultilevel"/>
    <w:lvl w:ilvl="0">
      <w:lvlJc w:val="left"/>
      <w:lvlText w:val="(%1)"/>
      <w:numFmt w:val="lowerLetter"/>
      <w:start w:val="72"/>
    </w:lvl>
  </w:abstractNum>
  <w:abstractNum w:abstractNumId="202">
    <w:nsid w:val="338125CF"/>
    <w:multiLevelType w:val="hybridMultilevel"/>
    <w:lvl w:ilvl="0">
      <w:lvlJc w:val="left"/>
      <w:lvlText w:val="(%1)"/>
      <w:numFmt w:val="lowerLetter"/>
      <w:start w:val="73"/>
    </w:lvl>
  </w:abstractNum>
  <w:abstractNum w:abstractNumId="203">
    <w:nsid w:val="47C7C971"/>
    <w:multiLevelType w:val="hybridMultilevel"/>
    <w:lvl w:ilvl="0">
      <w:lvlJc w:val="left"/>
      <w:lvlText w:val="(%1)"/>
      <w:numFmt w:val="lowerLetter"/>
      <w:start w:val="74"/>
    </w:lvl>
  </w:abstractNum>
  <w:abstractNum w:abstractNumId="204">
    <w:nsid w:val="46F8284B"/>
    <w:multiLevelType w:val="hybridMultilevel"/>
    <w:lvl w:ilvl="0">
      <w:lvlJc w:val="left"/>
      <w:lvlText w:val="(%1)"/>
      <w:numFmt w:val="lowerLetter"/>
      <w:start w:val="75"/>
    </w:lvl>
  </w:abstractNum>
  <w:abstractNum w:abstractNumId="205">
    <w:nsid w:val="4FA327CE"/>
    <w:multiLevelType w:val="hybridMultilevel"/>
    <w:lvl w:ilvl="0">
      <w:lvlJc w:val="left"/>
      <w:lvlText w:val="(%1)"/>
      <w:numFmt w:val="lowerRoman"/>
      <w:start w:val="30"/>
    </w:lvl>
  </w:abstractNum>
  <w:abstractNum w:abstractNumId="206">
    <w:nsid w:val="1873983A"/>
    <w:multiLevelType w:val="hybridMultilevel"/>
    <w:lvl w:ilvl="0">
      <w:lvlJc w:val="left"/>
      <w:lvlText w:val="(%1)"/>
      <w:numFmt w:val="lowerLetter"/>
      <w:start w:val="77"/>
    </w:lvl>
  </w:abstractNum>
  <w:abstractNum w:abstractNumId="207">
    <w:nsid w:val="3D2DD275"/>
    <w:multiLevelType w:val="hybridMultilevel"/>
    <w:lvl w:ilvl="0">
      <w:lvlJc w:val="left"/>
      <w:lvlText w:val="(%1)"/>
      <w:numFmt w:val="lowerLetter"/>
      <w:start w:val="78"/>
    </w:lvl>
  </w:abstractNum>
  <w:abstractNum w:abstractNumId="208">
    <w:nsid w:val="2E17ECA7"/>
    <w:multiLevelType w:val="hybridMultilevel"/>
    <w:lvl w:ilvl="0">
      <w:lvlJc w:val="left"/>
      <w:lvlText w:val="(%1)"/>
      <w:numFmt w:val="lowerLetter"/>
      <w:start w:val="79"/>
    </w:lvl>
  </w:abstractNum>
  <w:abstractNum w:abstractNumId="209">
    <w:nsid w:val="53B2564F"/>
    <w:multiLevelType w:val="hybridMultilevel"/>
    <w:lvl w:ilvl="0">
      <w:lvlJc w:val="left"/>
      <w:lvlText w:val="(%1)"/>
      <w:numFmt w:val="lowerLetter"/>
      <w:start w:val="82"/>
    </w:lvl>
  </w:abstractNum>
  <w:abstractNum w:abstractNumId="210">
    <w:nsid w:val="75509D76"/>
    <w:multiLevelType w:val="hybridMultilevel"/>
    <w:lvl w:ilvl="0">
      <w:lvlJc w:val="left"/>
      <w:lvlText w:val="(%1)"/>
      <w:numFmt w:val="lowerLetter"/>
      <w:start w:val="84"/>
    </w:lvl>
  </w:abstractNum>
  <w:abstractNum w:abstractNumId="211">
    <w:nsid w:val="1AF7F0EA"/>
    <w:multiLevelType w:val="hybridMultilevel"/>
    <w:lvl w:ilvl="0">
      <w:lvlJc w:val="left"/>
      <w:lvlText w:val="(%1)"/>
      <w:numFmt w:val="lowerLetter"/>
      <w:start w:val="85"/>
    </w:lvl>
  </w:abstractNum>
  <w:abstractNum w:abstractNumId="212">
    <w:nsid w:val="4DA32C7E"/>
    <w:multiLevelType w:val="hybridMultilevel"/>
    <w:lvl w:ilvl="0">
      <w:lvlJc w:val="left"/>
      <w:lvlText w:val="(%1)"/>
      <w:numFmt w:val="lowerLetter"/>
      <w:start w:val="86"/>
    </w:lvl>
  </w:abstractNum>
  <w:abstractNum w:abstractNumId="213">
    <w:nsid w:val="6EC68664"/>
    <w:multiLevelType w:val="hybridMultilevel"/>
    <w:lvl w:ilvl="0">
      <w:lvlJc w:val="left"/>
      <w:lvlText w:val="(%1)"/>
      <w:numFmt w:val="lowerLetter"/>
      <w:start w:val="87"/>
    </w:lvl>
  </w:abstractNum>
  <w:abstractNum w:abstractNumId="214">
    <w:nsid w:val="E0D31FF"/>
    <w:multiLevelType w:val="hybridMultilevel"/>
    <w:lvl w:ilvl="0">
      <w:lvlJc w:val="left"/>
      <w:lvlText w:val="(%1)"/>
      <w:numFmt w:val="lowerLetter"/>
      <w:start w:val="88"/>
    </w:lvl>
  </w:abstractNum>
  <w:abstractNum w:abstractNumId="215">
    <w:nsid w:val="2FD0AD81"/>
    <w:multiLevelType w:val="hybridMultilevel"/>
    <w:lvl w:ilvl="0">
      <w:lvlJc w:val="left"/>
      <w:lvlText w:val="(%1)"/>
      <w:numFmt w:val="lowerLetter"/>
      <w:start w:val="89"/>
    </w:lvl>
    <w:lvl w:ilvl="1">
      <w:lvlJc w:val="left"/>
      <w:lvlText w:val="(%2)"/>
      <w:numFmt w:val="lowerRoman"/>
      <w:start w:val="1"/>
    </w:lvl>
  </w:abstractNum>
  <w:abstractNum w:abstractNumId="216">
    <w:nsid w:val="1978EBEB"/>
    <w:multiLevelType w:val="hybridMultilevel"/>
    <w:lvl w:ilvl="0">
      <w:lvlJc w:val="left"/>
      <w:lvlText w:val="(%1)"/>
      <w:numFmt w:val="lowerLetter"/>
      <w:start w:val="91"/>
    </w:lvl>
  </w:abstractNum>
  <w:abstractNum w:abstractNumId="217">
    <w:nsid w:val="52C12C61"/>
    <w:multiLevelType w:val="hybridMultilevel"/>
    <w:lvl w:ilvl="0">
      <w:lvlJc w:val="left"/>
      <w:lvlText w:val="(%1)"/>
      <w:numFmt w:val="lowerLetter"/>
      <w:start w:val="92"/>
    </w:lvl>
  </w:abstractNum>
  <w:abstractNum w:abstractNumId="218">
    <w:nsid w:val="4BDD53FD"/>
    <w:multiLevelType w:val="hybridMultilevel"/>
    <w:lvl w:ilvl="0">
      <w:lvlJc w:val="left"/>
      <w:lvlText w:val="(%1)"/>
      <w:numFmt w:val="lowerLetter"/>
      <w:start w:val="93"/>
    </w:lvl>
  </w:abstractNum>
  <w:abstractNum w:abstractNumId="219">
    <w:nsid w:val="569951FE"/>
    <w:multiLevelType w:val="hybridMultilevel"/>
    <w:lvl w:ilvl="0">
      <w:lvlJc w:val="left"/>
      <w:lvlText w:val="(%1)"/>
      <w:numFmt w:val="lowerLetter"/>
      <w:start w:val="94"/>
    </w:lvl>
  </w:abstractNum>
  <w:abstractNum w:abstractNumId="220">
    <w:nsid w:val="4C54E2C3"/>
    <w:multiLevelType w:val="hybridMultilevel"/>
    <w:lvl w:ilvl="0">
      <w:lvlJc w:val="left"/>
      <w:lvlText w:val="(%1)"/>
      <w:numFmt w:val="lowerLetter"/>
      <w:start w:val="95"/>
    </w:lvl>
  </w:abstractNum>
  <w:abstractNum w:abstractNumId="221">
    <w:nsid w:val="788BD9B"/>
    <w:multiLevelType w:val="hybridMultilevel"/>
    <w:lvl w:ilvl="0">
      <w:lvlJc w:val="left"/>
      <w:lvlText w:val="(%1)"/>
      <w:numFmt w:val="lowerLetter"/>
      <w:start w:val="96"/>
    </w:lvl>
  </w:abstractNum>
  <w:abstractNum w:abstractNumId="222">
    <w:nsid w:val="47CAA567"/>
    <w:multiLevelType w:val="hybridMultilevel"/>
    <w:lvl w:ilvl="0">
      <w:lvlJc w:val="left"/>
      <w:lvlText w:val="(%1)"/>
      <w:numFmt w:val="lowerLetter"/>
      <w:start w:val="97"/>
    </w:lvl>
  </w:abstractNum>
  <w:abstractNum w:abstractNumId="223">
    <w:nsid w:val="48249DBF"/>
    <w:multiLevelType w:val="hybridMultilevel"/>
    <w:lvl w:ilvl="0">
      <w:lvlJc w:val="left"/>
      <w:lvlText w:val="(%1)"/>
      <w:numFmt w:val="lowerLetter"/>
      <w:start w:val="98"/>
    </w:lvl>
  </w:abstractNum>
  <w:abstractNum w:abstractNumId="224">
    <w:nsid w:val="1F0E5D0D"/>
    <w:multiLevelType w:val="hybridMultilevel"/>
    <w:lvl w:ilvl="0">
      <w:lvlJc w:val="left"/>
      <w:lvlText w:val="(%1)"/>
      <w:numFmt w:val="lowerLetter"/>
      <w:start w:val="99"/>
    </w:lvl>
  </w:abstractNum>
  <w:abstractNum w:abstractNumId="225">
    <w:nsid w:val="26BAAE9"/>
    <w:multiLevelType w:val="hybridMultilevel"/>
    <w:lvl w:ilvl="0">
      <w:lvlJc w:val="left"/>
      <w:lvlText w:val="(%1)"/>
      <w:numFmt w:val="lowerLetter"/>
      <w:start w:val="100"/>
    </w:lvl>
  </w:abstractNum>
  <w:abstractNum w:abstractNumId="226">
    <w:nsid w:val="2C02FE8C"/>
    <w:multiLevelType w:val="hybridMultilevel"/>
    <w:lvl w:ilvl="0">
      <w:lvlJc w:val="left"/>
      <w:lvlText w:val="(%1)"/>
      <w:numFmt w:val="lowerLetter"/>
      <w:start w:val="101"/>
    </w:lvl>
  </w:abstractNum>
  <w:abstractNum w:abstractNumId="227">
    <w:nsid w:val="129517E"/>
    <w:multiLevelType w:val="hybridMultilevel"/>
    <w:lvl w:ilvl="0">
      <w:lvlJc w:val="left"/>
      <w:lvlText w:val="(%1)"/>
      <w:numFmt w:val="lowerLetter"/>
      <w:start w:val="102"/>
    </w:lvl>
    <w:lvl w:ilvl="1">
      <w:lvlJc w:val="left"/>
      <w:lvlText w:val="(%2)"/>
      <w:numFmt w:val="lowerRoman"/>
      <w:start w:val="1"/>
    </w:lvl>
    <w:lvl w:ilvl="2">
      <w:lvlJc w:val="left"/>
      <w:lvlText w:val="(%3)"/>
      <w:numFmt w:val="upperLetter"/>
      <w:start w:val="1"/>
    </w:lvl>
  </w:abstractNum>
  <w:abstractNum w:abstractNumId="228">
    <w:nsid w:val="763B8C4E"/>
    <w:multiLevelType w:val="hybridMultilevel"/>
    <w:lvl w:ilvl="0">
      <w:lvlJc w:val="left"/>
      <w:lvlText w:val="(%1)"/>
      <w:numFmt w:val="lowerLetter"/>
      <w:start w:val="1"/>
    </w:lvl>
  </w:abstractNum>
  <w:abstractNum w:abstractNumId="229">
    <w:nsid w:val="4CFB8D32"/>
    <w:multiLevelType w:val="hybridMultilevel"/>
    <w:lvl w:ilvl="0">
      <w:lvlJc w:val="left"/>
      <w:lvlText w:val="(%1)"/>
      <w:numFmt w:val="lowerLetter"/>
      <w:start w:val="2"/>
    </w:lvl>
  </w:abstractNum>
  <w:abstractNum w:abstractNumId="230">
    <w:nsid w:val="62A5D5BD"/>
    <w:multiLevelType w:val="hybridMultilevel"/>
    <w:lvl w:ilvl="0">
      <w:lvlJc w:val="left"/>
      <w:lvlText w:val="(%1)"/>
      <w:numFmt w:val="lowerLetter"/>
      <w:start w:val="8"/>
    </w:lvl>
    <w:lvl w:ilvl="1">
      <w:lvlJc w:val="left"/>
      <w:lvlText w:val="(%2)"/>
      <w:numFmt w:val="lowerRoman"/>
      <w:start w:val="1"/>
    </w:lvl>
  </w:abstractNum>
  <w:abstractNum w:abstractNumId="231">
    <w:nsid w:val="718FABF9"/>
    <w:multiLevelType w:val="hybridMultilevel"/>
    <w:lvl w:ilvl="0">
      <w:lvlJc w:val="left"/>
      <w:lvlText w:val="(%1)"/>
      <w:numFmt w:val="lowerRoman"/>
      <w:start w:val="2"/>
    </w:lvl>
  </w:abstractNum>
  <w:abstractNum w:abstractNumId="232">
    <w:nsid w:val="7775797C"/>
    <w:multiLevelType w:val="hybridMultilevel"/>
    <w:lvl w:ilvl="0">
      <w:lvlJc w:val="left"/>
      <w:lvlText w:val="(%1)"/>
      <w:numFmt w:val="lowerRoman"/>
      <w:start w:val="1"/>
    </w:lvl>
    <w:lvl w:ilvl="1">
      <w:lvlJc w:val="left"/>
      <w:lvlText w:val="(%2)"/>
      <w:numFmt w:val="lowerRoman"/>
      <w:start w:val="1"/>
    </w:lvl>
  </w:abstractNum>
  <w:abstractNum w:abstractNumId="233">
    <w:nsid w:val="1626FB8C"/>
    <w:multiLevelType w:val="hybridMultilevel"/>
    <w:lvl w:ilvl="0">
      <w:lvlJc w:val="left"/>
      <w:lvlText w:val="(%1)"/>
      <w:numFmt w:val="lowerLetter"/>
      <w:start w:val="10"/>
    </w:lvl>
  </w:abstractNum>
  <w:abstractNum w:abstractNumId="234">
    <w:nsid w:val="3957756A"/>
    <w:multiLevelType w:val="hybridMultilevel"/>
    <w:lvl w:ilvl="0">
      <w:lvlJc w:val="left"/>
      <w:lvlText w:val="(%1)"/>
      <w:numFmt w:val="lowerLetter"/>
      <w:start w:val="11"/>
    </w:lvl>
  </w:abstractNum>
  <w:abstractNum w:abstractNumId="235">
    <w:nsid w:val="3E6DA1C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2"/>
    </w:lvl>
  </w:abstractNum>
  <w:abstractNum w:abstractNumId="236">
    <w:nsid w:val="65CA235B"/>
    <w:multiLevelType w:val="hybridMultilevel"/>
    <w:lvl w:ilvl="0">
      <w:lvlJc w:val="left"/>
      <w:lvlText w:val="(%1)"/>
      <w:numFmt w:val="lowerLetter"/>
      <w:start w:val="1"/>
    </w:lvl>
  </w:abstractNum>
  <w:abstractNum w:abstractNumId="237">
    <w:nsid w:val="51CB0DA4"/>
    <w:multiLevelType w:val="hybridMultilevel"/>
    <w:lvl w:ilvl="0">
      <w:lvlJc w:val="left"/>
      <w:lvlText w:val="(%1)"/>
      <w:numFmt w:val="lowerLetter"/>
      <w:start w:val="1"/>
    </w:lvl>
  </w:abstractNum>
  <w:abstractNum w:abstractNumId="238">
    <w:nsid w:val="7B9B743C"/>
    <w:multiLevelType w:val="hybridMultilevel"/>
    <w:lvl w:ilvl="0">
      <w:lvlJc w:val="left"/>
      <w:lvlText w:val="(%1)"/>
      <w:numFmt w:val="lowerLetter"/>
      <w:start w:val="2"/>
    </w:lvl>
  </w:abstractNum>
  <w:abstractNum w:abstractNumId="239">
    <w:nsid w:val="13E21002"/>
    <w:multiLevelType w:val="hybridMultilevel"/>
    <w:lvl w:ilvl="0">
      <w:lvlJc w:val="left"/>
      <w:lvlText w:val="(%1)"/>
      <w:numFmt w:val="lowerLetter"/>
      <w:start w:val="3"/>
    </w:lvl>
  </w:abstractNum>
  <w:abstractNum w:abstractNumId="240">
    <w:nsid w:val="257D63F4"/>
    <w:multiLevelType w:val="hybridMultilevel"/>
    <w:lvl w:ilvl="0">
      <w:lvlJc w:val="left"/>
      <w:lvlText w:val="(%1)"/>
      <w:numFmt w:val="lowerLetter"/>
      <w:start w:val="4"/>
    </w:lvl>
  </w:abstractNum>
  <w:abstractNum w:abstractNumId="241">
    <w:nsid w:val="70EC11B2"/>
    <w:multiLevelType w:val="hybridMultilevel"/>
    <w:lvl w:ilvl="0">
      <w:lvlJc w:val="left"/>
      <w:lvlText w:val="(%1)"/>
      <w:numFmt w:val="lowerLetter"/>
      <w:start w:val="5"/>
    </w:lvl>
  </w:abstractNum>
  <w:abstractNum w:abstractNumId="242">
    <w:nsid w:val="2EDA00ED"/>
    <w:multiLevelType w:val="hybridMultilevel"/>
    <w:lvl w:ilvl="0">
      <w:lvlJc w:val="left"/>
      <w:lvlText w:val="(%1)"/>
      <w:numFmt w:val="lowerLetter"/>
      <w:start w:val="7"/>
    </w:lvl>
  </w:abstractNum>
  <w:abstractNum w:abstractNumId="243">
    <w:nsid w:val="73209072"/>
    <w:multiLevelType w:val="hybridMultilevel"/>
    <w:lvl w:ilvl="0">
      <w:lvlJc w:val="left"/>
      <w:lvlText w:val="(%1)"/>
      <w:numFmt w:val="lowerLetter"/>
      <w:start w:val="8"/>
    </w:lvl>
  </w:abstractNum>
  <w:abstractNum w:abstractNumId="244">
    <w:nsid w:val="5FB29816"/>
    <w:multiLevelType w:val="hybridMultilevel"/>
    <w:lvl w:ilvl="0">
      <w:lvlJc w:val="left"/>
      <w:lvlText w:val="(%1)"/>
      <w:numFmt w:val="lowerRoman"/>
      <w:start w:val="1"/>
    </w:lvl>
  </w:abstractNum>
  <w:abstractNum w:abstractNumId="245">
    <w:nsid w:val="3CE732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6">
    <w:nsid w:val="22F13DF3"/>
    <w:multiLevelType w:val="hybridMultilevel"/>
    <w:lvl w:ilvl="0">
      <w:lvlJc w:val="left"/>
      <w:lvlText w:val="%1"/>
      <w:numFmt w:val="lowerRoman"/>
      <w:start w:val="1"/>
    </w:lvl>
    <w:lvl w:ilvl="1">
      <w:lvlJc w:val="left"/>
      <w:lvlText w:val="(%2)"/>
      <w:numFmt w:val="upperLetter"/>
      <w:start w:val="4"/>
    </w:lvl>
  </w:abstractNum>
  <w:abstractNum w:abstractNumId="247">
    <w:nsid w:val="792B8401"/>
    <w:multiLevelType w:val="hybridMultilevel"/>
    <w:lvl w:ilvl="0">
      <w:lvlJc w:val="left"/>
      <w:lvlText w:val="(%1)"/>
      <w:numFmt w:val="lowerRoman"/>
      <w:start w:val="3"/>
    </w:lvl>
    <w:lvl w:ilvl="1">
      <w:lvlJc w:val="left"/>
      <w:lvlText w:val="(%2)"/>
      <w:numFmt w:val="upperLetter"/>
      <w:start w:val="1"/>
    </w:lvl>
  </w:abstractNum>
  <w:abstractNum w:abstractNumId="248">
    <w:nsid w:val="FA85F4D"/>
    <w:multiLevelType w:val="hybridMultilevel"/>
    <w:lvl w:ilvl="0">
      <w:lvlJc w:val="left"/>
      <w:lvlText w:val="(%1)"/>
      <w:numFmt w:val="lowerLetter"/>
      <w:start w:val="2"/>
    </w:lvl>
  </w:abstractNum>
  <w:abstractNum w:abstractNumId="249">
    <w:nsid w:val="6ECE91F0"/>
    <w:multiLevelType w:val="hybridMultilevel"/>
    <w:lvl w:ilvl="0">
      <w:lvlJc w:val="left"/>
      <w:lvlText w:val="(%1)"/>
      <w:numFmt w:val="lowerLetter"/>
      <w:start w:val="1"/>
    </w:lvl>
    <w:lvl w:ilvl="1">
      <w:lvlJc w:val="left"/>
      <w:lvlText w:val="(%2)"/>
      <w:numFmt w:val="lowerRoman"/>
      <w:start w:val="1"/>
    </w:lvl>
  </w:abstractNum>
  <w:abstractNum w:abstractNumId="250">
    <w:nsid w:val="4FC4D600"/>
    <w:multiLevelType w:val="hybridMultilevel"/>
    <w:lvl w:ilvl="0">
      <w:lvlJc w:val="left"/>
      <w:lvlText w:val="(%1)"/>
      <w:numFmt w:val="lowerLetter"/>
      <w:start w:val="1"/>
    </w:lvl>
    <w:lvl w:ilvl="1">
      <w:lvlJc w:val="left"/>
      <w:lvlText w:val="(%2)"/>
      <w:numFmt w:val="lowerRoman"/>
      <w:start w:val="1"/>
    </w:lvl>
  </w:abstractNum>
  <w:abstractNum w:abstractNumId="251">
    <w:nsid w:val="5BFD4210"/>
    <w:multiLevelType w:val="hybridMultilevel"/>
    <w:lvl w:ilvl="0">
      <w:lvlJc w:val="left"/>
      <w:lvlText w:val="(%1)"/>
      <w:numFmt w:val="lowerLetter"/>
      <w:start w:val="2"/>
    </w:lvl>
  </w:abstractNum>
  <w:abstractNum w:abstractNumId="252">
    <w:nsid w:val="76574F8B"/>
    <w:multiLevelType w:val="hybridMultilevel"/>
    <w:lvl w:ilvl="0">
      <w:lvlJc w:val="left"/>
      <w:lvlText w:val="(%1)"/>
      <w:numFmt w:val="lowerLetter"/>
      <w:start w:val="3"/>
    </w:lvl>
  </w:abstractNum>
  <w:abstractNum w:abstractNumId="253">
    <w:nsid w:val="178F7B67"/>
    <w:multiLevelType w:val="hybridMultilevel"/>
    <w:lvl w:ilvl="0">
      <w:lvlJc w:val="left"/>
      <w:lvlText w:val="(%1)"/>
      <w:numFmt w:val="lowerLetter"/>
      <w:start w:val="4"/>
    </w:lvl>
  </w:abstractNum>
  <w:abstractNum w:abstractNumId="254">
    <w:nsid w:val="2421DFCF"/>
    <w:multiLevelType w:val="hybridMultilevel"/>
    <w:lvl w:ilvl="0">
      <w:lvlJc w:val="left"/>
      <w:lvlText w:val="(%1)"/>
      <w:numFmt w:val="lowerLetter"/>
      <w:start w:val="5"/>
    </w:lvl>
  </w:abstractNum>
  <w:abstractNum w:abstractNumId="255">
    <w:nsid w:val="1565AC99"/>
    <w:multiLevelType w:val="hybridMultilevel"/>
    <w:lvl w:ilvl="0">
      <w:lvlJc w:val="left"/>
      <w:lvlText w:val="(%1)"/>
      <w:numFmt w:val="lowerLetter"/>
      <w:start w:val="7"/>
    </w:lvl>
  </w:abstractNum>
  <w:abstractNum w:abstractNumId="256">
    <w:nsid w:val="19FB2650"/>
    <w:multiLevelType w:val="hybridMultilevel"/>
    <w:lvl w:ilvl="0">
      <w:lvlJc w:val="left"/>
      <w:lvlText w:val="(%1)"/>
      <w:numFmt w:val="lowerLetter"/>
      <w:start w:val="8"/>
    </w:lvl>
  </w:abstractNum>
  <w:abstractNum w:abstractNumId="257">
    <w:nsid w:val="5024DE5B"/>
    <w:multiLevelType w:val="hybridMultilevel"/>
    <w:lvl w:ilvl="0">
      <w:lvlJc w:val="left"/>
      <w:lvlText w:val="(%1)"/>
      <w:numFmt w:val="lowerLetter"/>
      <w:start w:val="10"/>
    </w:lvl>
  </w:abstractNum>
  <w:abstractNum w:abstractNumId="258">
    <w:nsid w:val="168EFE17"/>
    <w:multiLevelType w:val="hybridMultilevel"/>
    <w:lvl w:ilvl="0">
      <w:lvlJc w:val="left"/>
      <w:lvlText w:val="(%1)"/>
      <w:numFmt w:val="lowerLetter"/>
      <w:start w:val="1"/>
    </w:lvl>
  </w:abstractNum>
  <w:abstractNum w:abstractNumId="259">
    <w:nsid w:val="1036B29F"/>
    <w:multiLevelType w:val="hybridMultilevel"/>
    <w:lvl w:ilvl="0">
      <w:lvlJc w:val="left"/>
      <w:lvlText w:val="(%1)"/>
      <w:numFmt w:val="lowerLetter"/>
      <w:start w:val="1"/>
    </w:lvl>
  </w:abstractNum>
  <w:abstractNum w:abstractNumId="260">
    <w:nsid w:val="1D206B8E"/>
    <w:multiLevelType w:val="hybridMultilevel"/>
    <w:lvl w:ilvl="0">
      <w:lvlJc w:val="left"/>
      <w:lvlText w:val="(%1)"/>
      <w:numFmt w:val="lowerLetter"/>
      <w:start w:val="1"/>
    </w:lvl>
  </w:abstractNum>
  <w:abstractNum w:abstractNumId="261">
    <w:nsid w:val="7934D3D4"/>
    <w:multiLevelType w:val="hybridMultilevel"/>
    <w:lvl w:ilvl="0">
      <w:lvlJc w:val="left"/>
      <w:lvlText w:val="(%1)"/>
      <w:numFmt w:val="lowerLetter"/>
      <w:start w:val="4"/>
    </w:lvl>
  </w:abstractNum>
  <w:abstractNum w:abstractNumId="262">
    <w:nsid w:val="1C65E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3">
    <w:nsid w:val="1495E50A"/>
    <w:multiLevelType w:val="hybridMultilevel"/>
    <w:lvl w:ilvl="0">
      <w:lvlJc w:val="left"/>
      <w:lvlText w:val="%1"/>
      <w:numFmt w:val="lowerLetter"/>
      <w:start w:val="1"/>
    </w:lvl>
    <w:lvl w:ilvl="1">
      <w:lvlJc w:val="left"/>
      <w:lvlText w:val="(%2)"/>
      <w:numFmt w:val="lowerRoman"/>
      <w:start w:val="2"/>
    </w:lvl>
  </w:abstractNum>
  <w:abstractNum w:abstractNumId="264">
    <w:nsid w:val="F5BCF61"/>
    <w:multiLevelType w:val="hybridMultilevel"/>
    <w:lvl w:ilvl="0">
      <w:lvlJc w:val="left"/>
      <w:lvlText w:val="(%1)"/>
      <w:numFmt w:val="lowerLetter"/>
      <w:start w:val="4"/>
    </w:lvl>
    <w:lvl w:ilvl="1">
      <w:lvlJc w:val="left"/>
      <w:lvlText w:val="%2"/>
      <w:numFmt w:val="lowerRoman"/>
      <w:start w:val="1"/>
    </w:lvl>
  </w:abstractNum>
  <w:abstractNum w:abstractNumId="265">
    <w:nsid w:val="3B1DD403"/>
    <w:multiLevelType w:val="hybridMultilevel"/>
    <w:lvl w:ilvl="0">
      <w:lvlJc w:val="left"/>
      <w:lvlText w:val="(%1)"/>
      <w:numFmt w:val="lowerLetter"/>
      <w:start w:val="1"/>
    </w:lvl>
  </w:abstractNum>
  <w:abstractNum w:abstractNumId="266">
    <w:nsid w:val="530386D1"/>
    <w:multiLevelType w:val="hybridMultilevel"/>
    <w:lvl w:ilvl="0">
      <w:lvlJc w:val="left"/>
      <w:lvlText w:val="(%1)"/>
      <w:numFmt w:val="lowerLetter"/>
      <w:start w:val="1"/>
    </w:lvl>
  </w:abstractNum>
  <w:abstractNum w:abstractNumId="267">
    <w:nsid w:val="7525F2BC"/>
    <w:multiLevelType w:val="hybridMultilevel"/>
    <w:lvl w:ilvl="0">
      <w:lvlJc w:val="left"/>
      <w:lvlText w:val="(%1)"/>
      <w:numFmt w:val="lowerLetter"/>
      <w:start w:val="6"/>
    </w:lvl>
  </w:abstractNum>
  <w:abstractNum w:abstractNumId="268">
    <w:nsid w:val="CE8E1A7"/>
    <w:multiLevelType w:val="hybridMultilevel"/>
    <w:lvl w:ilvl="0">
      <w:lvlJc w:val="left"/>
      <w:lvlText w:val="(%1)"/>
      <w:numFmt w:val="lowerLetter"/>
      <w:start w:val="1"/>
    </w:lvl>
  </w:abstractNum>
  <w:abstractNum w:abstractNumId="269">
    <w:nsid w:val="4E9EFB0D"/>
    <w:multiLevelType w:val="hybridMultilevel"/>
    <w:lvl w:ilvl="0">
      <w:lvlJc w:val="left"/>
      <w:lvlText w:val="(%1)"/>
      <w:numFmt w:val="lowerLetter"/>
      <w:start w:val="6"/>
    </w:lvl>
    <w:lvl w:ilvl="1">
      <w:lvlJc w:val="left"/>
      <w:lvlText w:val="(%2)"/>
      <w:numFmt w:val="lowerRoman"/>
      <w:start w:val="1"/>
    </w:lvl>
  </w:abstractNum>
  <w:abstractNum w:abstractNumId="270">
    <w:nsid w:val="90802BE"/>
    <w:multiLevelType w:val="hybridMultilevel"/>
    <w:lvl w:ilvl="0">
      <w:lvlJc w:val="left"/>
      <w:lvlText w:val="%1"/>
      <w:numFmt w:val="lowerLetter"/>
      <w:start w:val="1"/>
    </w:lvl>
    <w:lvl w:ilvl="1">
      <w:lvlJc w:val="left"/>
      <w:lvlText w:val="(%2)"/>
      <w:numFmt w:val="lowerRoman"/>
      <w:start w:val="2"/>
    </w:lvl>
  </w:abstractNum>
  <w:abstractNum w:abstractNumId="271">
    <w:nsid w:val="3266459B"/>
    <w:multiLevelType w:val="hybridMultilevel"/>
    <w:lvl w:ilvl="0">
      <w:lvlJc w:val="left"/>
      <w:lvlText w:val="(%1)"/>
      <w:numFmt w:val="lowerLetter"/>
      <w:start w:val="9"/>
    </w:lvl>
    <w:lvl w:ilvl="1">
      <w:lvlJc w:val="left"/>
      <w:lvlText w:val="%2"/>
      <w:numFmt w:val="lowerRoman"/>
      <w:start w:val="1"/>
    </w:lvl>
  </w:abstractNum>
  <w:abstractNum w:abstractNumId="272">
    <w:nsid w:val="3F8B0CBF"/>
    <w:multiLevelType w:val="hybridMultilevel"/>
    <w:lvl w:ilvl="0">
      <w:lvlJc w:val="left"/>
      <w:lvlText w:val="(%1)"/>
      <w:numFmt w:val="lowerLetter"/>
      <w:start w:val="13"/>
    </w:lvl>
  </w:abstractNum>
  <w:abstractNum w:abstractNumId="273">
    <w:nsid w:val="37E203AB"/>
    <w:multiLevelType w:val="hybridMultilevel"/>
    <w:lvl w:ilvl="0">
      <w:lvlJc w:val="left"/>
      <w:lvlText w:val="(%1)"/>
      <w:numFmt w:val="lowerLetter"/>
      <w:start w:val="1"/>
    </w:lvl>
  </w:abstractNum>
  <w:abstractNum w:abstractNumId="274">
    <w:nsid w:val="2586D60E"/>
    <w:multiLevelType w:val="hybridMultilevel"/>
    <w:lvl w:ilvl="0">
      <w:lvlJc w:val="left"/>
      <w:lvlText w:val="(%1)"/>
      <w:numFmt w:val="lowerLetter"/>
      <w:start w:val="2"/>
    </w:lvl>
    <w:lvl w:ilvl="1">
      <w:lvlJc w:val="left"/>
      <w:lvlText w:val="(%2)"/>
      <w:numFmt w:val="lowerRoman"/>
      <w:start w:val="1"/>
    </w:lvl>
  </w:abstractNum>
  <w:abstractNum w:abstractNumId="275">
    <w:nsid w:val="1F3DA4D5"/>
    <w:multiLevelType w:val="hybridMultilevel"/>
    <w:lvl w:ilvl="0">
      <w:lvlJc w:val="left"/>
      <w:lvlText w:val="(%1)"/>
      <w:numFmt w:val="lowerLetter"/>
      <w:start w:val="1"/>
    </w:lvl>
  </w:abstractNum>
  <w:abstractNum w:abstractNumId="276">
    <w:nsid w:val="74C93698"/>
    <w:multiLevelType w:val="hybridMultilevel"/>
    <w:lvl w:ilvl="0">
      <w:lvlJc w:val="left"/>
      <w:lvlText w:val="(%1)"/>
      <w:numFmt w:val="lowerLetter"/>
      <w:start w:val="1"/>
    </w:lvl>
  </w:abstractNum>
  <w:abstractNum w:abstractNumId="277">
    <w:nsid w:val="48781401"/>
    <w:multiLevelType w:val="hybridMultilevel"/>
    <w:lvl w:ilvl="0">
      <w:lvlJc w:val="left"/>
      <w:lvlText w:val="(%1)"/>
      <w:numFmt w:val="lowerLetter"/>
      <w:start w:val="2"/>
    </w:lvl>
  </w:abstractNum>
  <w:abstractNum w:abstractNumId="278">
    <w:nsid w:val="186928D6"/>
    <w:multiLevelType w:val="hybridMultilevel"/>
    <w:lvl w:ilvl="0">
      <w:lvlJc w:val="left"/>
      <w:lvlText w:val="(%1)"/>
      <w:numFmt w:val="lowerLetter"/>
      <w:start w:val="1"/>
    </w:lvl>
  </w:abstractNum>
  <w:abstractNum w:abstractNumId="279">
    <w:nsid w:val="47195E5"/>
    <w:multiLevelType w:val="hybridMultilevel"/>
    <w:lvl w:ilvl="0">
      <w:lvlJc w:val="left"/>
      <w:lvlText w:val="(%1)"/>
      <w:numFmt w:val="lowerLetter"/>
      <w:start w:val="5"/>
    </w:lvl>
  </w:abstractNum>
  <w:abstractNum w:abstractNumId="280">
    <w:nsid w:val="3746A5F2"/>
    <w:multiLevelType w:val="hybridMultilevel"/>
    <w:lvl w:ilvl="0">
      <w:lvlJc w:val="left"/>
      <w:lvlText w:val="(%1)"/>
      <w:numFmt w:val="lowerLetter"/>
      <w:start w:val="1"/>
    </w:lvl>
    <w:lvl w:ilvl="1">
      <w:lvlJc w:val="left"/>
      <w:lvlText w:val="(%2)"/>
      <w:numFmt w:val="lowerRoman"/>
      <w:start w:val="1"/>
    </w:lvl>
  </w:abstractNum>
  <w:abstractNum w:abstractNumId="281">
    <w:nsid w:val="682DFED6"/>
    <w:multiLevelType w:val="hybridMultilevel"/>
    <w:lvl w:ilvl="0">
      <w:lvlJc w:val="left"/>
      <w:lvlText w:val="%1"/>
      <w:numFmt w:val="lowerLetter"/>
      <w:start w:val="1"/>
    </w:lvl>
    <w:lvl w:ilvl="1">
      <w:lvlJc w:val="left"/>
      <w:lvlText w:val="(%2)"/>
      <w:numFmt w:val="lowerRoman"/>
      <w:start w:val="3"/>
    </w:lvl>
  </w:abstractNum>
  <w:abstractNum w:abstractNumId="282">
    <w:nsid w:val="606ED7F6"/>
    <w:multiLevelType w:val="hybridMultilevel"/>
    <w:lvl w:ilvl="0">
      <w:lvlJc w:val="left"/>
      <w:lvlText w:val="(%1)"/>
      <w:numFmt w:val="lowerLetter"/>
      <w:start w:val="2"/>
    </w:lvl>
    <w:lvl w:ilvl="1">
      <w:lvlJc w:val="left"/>
      <w:lvlText w:val="(%2)"/>
      <w:numFmt w:val="lowerRoman"/>
      <w:start w:val="1"/>
    </w:lvl>
  </w:abstractNum>
  <w:abstractNum w:abstractNumId="283">
    <w:nsid w:val="2D9DF57D"/>
    <w:multiLevelType w:val="hybridMultilevel"/>
    <w:lvl w:ilvl="0">
      <w:lvlJc w:val="left"/>
      <w:lvlText w:val="(%1)"/>
      <w:numFmt w:val="lowerRoman"/>
      <w:start w:val="5"/>
    </w:lvl>
  </w:abstractNum>
  <w:abstractNum w:abstractNumId="284">
    <w:nsid w:val="7FBD7A3E"/>
    <w:multiLevelType w:val="hybridMultilevel"/>
    <w:lvl w:ilvl="0">
      <w:lvlJc w:val="left"/>
      <w:lvlText w:val="(%1)"/>
      <w:numFmt w:val="lowerLetter"/>
      <w:start w:val="1"/>
    </w:lvl>
  </w:abstractNum>
  <w:abstractNum w:abstractNumId="285">
    <w:nsid w:val="490B7C5"/>
    <w:multiLevelType w:val="hybridMultilevel"/>
    <w:lvl w:ilvl="0">
      <w:lvlJc w:val="left"/>
      <w:lvlText w:val="(%1)"/>
      <w:numFmt w:val="lowerLetter"/>
      <w:start w:val="1"/>
    </w:lvl>
  </w:abstractNum>
  <w:abstractNum w:abstractNumId="286">
    <w:nsid w:val="4303A216"/>
    <w:multiLevelType w:val="hybridMultilevel"/>
    <w:lvl w:ilvl="0">
      <w:lvlJc w:val="left"/>
      <w:lvlText w:val="(%1)"/>
      <w:numFmt w:val="lowerLetter"/>
      <w:start w:val="3"/>
    </w:lvl>
  </w:abstractNum>
  <w:abstractNum w:abstractNumId="287">
    <w:nsid w:val="19B8A08E"/>
    <w:multiLevelType w:val="hybridMultilevel"/>
    <w:lvl w:ilvl="0">
      <w:lvlJc w:val="left"/>
      <w:lvlText w:val="(%1)"/>
      <w:numFmt w:val="lowerLetter"/>
      <w:start w:val="6"/>
    </w:lvl>
  </w:abstractNum>
  <w:abstractNum w:abstractNumId="288">
    <w:nsid w:val="54B59621"/>
    <w:multiLevelType w:val="hybridMultilevel"/>
    <w:lvl w:ilvl="0">
      <w:lvlJc w:val="left"/>
      <w:lvlText w:val="(%1)"/>
      <w:numFmt w:val="lowerRoman"/>
      <w:start w:val="2"/>
    </w:lvl>
  </w:abstractNum>
  <w:abstractNum w:abstractNumId="289">
    <w:nsid w:val="5992A02E"/>
    <w:multiLevelType w:val="hybridMultilevel"/>
    <w:lvl w:ilvl="0">
      <w:lvlJc w:val="left"/>
      <w:lvlText w:val="(%1)"/>
      <w:numFmt w:val="lowerLetter"/>
      <w:start w:val="1"/>
    </w:lvl>
  </w:abstractNum>
  <w:abstractNum w:abstractNumId="290">
    <w:nsid w:val="29EF532D"/>
    <w:multiLevelType w:val="hybridMultilevel"/>
    <w:lvl w:ilvl="0">
      <w:lvlJc w:val="left"/>
      <w:lvlText w:val="(%1)"/>
      <w:numFmt w:val="lowerLetter"/>
      <w:start w:val="1"/>
    </w:lvl>
  </w:abstractNum>
  <w:abstractNum w:abstractNumId="291">
    <w:nsid w:val="71D601AF"/>
    <w:multiLevelType w:val="hybridMultilevel"/>
    <w:lvl w:ilvl="0">
      <w:lvlJc w:val="left"/>
      <w:lvlText w:val="(%1)"/>
      <w:numFmt w:val="lowerLetter"/>
      <w:start w:val="5"/>
    </w:lvl>
  </w:abstractNum>
  <w:abstractNum w:abstractNumId="292">
    <w:nsid w:val="52C77402"/>
    <w:multiLevelType w:val="hybridMultilevel"/>
    <w:lvl w:ilvl="0">
      <w:lvlJc w:val="left"/>
      <w:lvlText w:val="%1"/>
      <w:numFmt w:val="lowerLetter"/>
      <w:start w:val="1"/>
    </w:lvl>
    <w:lvl w:ilvl="1">
      <w:lvlJc w:val="left"/>
      <w:lvlText w:val="(%2)"/>
      <w:numFmt w:val="lowerLetter"/>
      <w:start w:val="1"/>
    </w:lvl>
  </w:abstractNum>
  <w:abstractNum w:abstractNumId="293">
    <w:nsid w:val="2BB5B1C6"/>
    <w:multiLevelType w:val="hybridMultilevel"/>
    <w:lvl w:ilvl="0">
      <w:lvlJc w:val="left"/>
      <w:lvlText w:val="(%1)"/>
      <w:numFmt w:val="lowerLetter"/>
      <w:start w:val="35"/>
    </w:lvl>
    <w:lvl w:ilvl="1">
      <w:lvlJc w:val="left"/>
      <w:lvlText w:val="%2"/>
      <w:numFmt w:val="lowerLetter"/>
      <w:start w:val="1"/>
    </w:lvl>
  </w:abstractNum>
  <w:abstractNum w:abstractNumId="294">
    <w:nsid w:val="66BE6B9"/>
    <w:multiLevelType w:val="hybridMultilevel"/>
    <w:lvl w:ilvl="0">
      <w:lvlJc w:val="left"/>
      <w:lvlText w:val="%1"/>
      <w:numFmt w:val="lowerRoman"/>
      <w:start w:val="1"/>
    </w:lvl>
    <w:lvl w:ilvl="1">
      <w:lvlJc w:val="left"/>
      <w:lvlText w:val="(%2)"/>
      <w:numFmt w:val="lowerLetter"/>
      <w:start w:val="2"/>
    </w:lvl>
  </w:abstractNum>
  <w:abstractNum w:abstractNumId="295">
    <w:nsid w:val="62234363"/>
    <w:multiLevelType w:val="hybridMultilevel"/>
    <w:lvl w:ilvl="0">
      <w:lvlJc w:val="left"/>
      <w:lvlText w:val="(%1)"/>
      <w:numFmt w:val="lowerRoman"/>
      <w:start w:val="1"/>
    </w:lvl>
    <w:lvl w:ilvl="1">
      <w:lvlJc w:val="left"/>
      <w:lvlText w:val="(%2)"/>
      <w:numFmt w:val="lowerLetter"/>
      <w:start w:val="3"/>
    </w:lvl>
  </w:abstractNum>
  <w:abstractNum w:abstractNumId="296">
    <w:nsid w:val="66D385C9"/>
    <w:multiLevelType w:val="hybridMultilevel"/>
    <w:lvl w:ilvl="0">
      <w:lvlJc w:val="left"/>
      <w:lvlText w:val="(%1)"/>
      <w:numFmt w:val="lowerRoman"/>
      <w:start w:val="1"/>
    </w:lvl>
  </w:abstractNum>
  <w:abstractNum w:abstractNumId="297">
    <w:nsid w:val="596F6D8A"/>
    <w:multiLevelType w:val="hybridMultilevel"/>
    <w:lvl w:ilvl="0">
      <w:lvlJc w:val="left"/>
      <w:lvlText w:val="(%1)"/>
      <w:numFmt w:val="lowerRoman"/>
      <w:start w:val="2"/>
    </w:lvl>
  </w:abstractNum>
  <w:abstractNum w:abstractNumId="298">
    <w:nsid w:val="5749361F"/>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6"/>
    </w:lvl>
  </w:abstractNum>
  <w:abstractNum w:abstractNumId="299">
    <w:nsid w:val="73BC6770"/>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300">
    <w:nsid w:val="280E6897"/>
    <w:multiLevelType w:val="hybridMultilevel"/>
    <w:lvl w:ilvl="0">
      <w:lvlJc w:val="left"/>
      <w:lvlText w:val="(%1)"/>
      <w:numFmt w:val="lowerRoman"/>
      <w:start w:val="10"/>
    </w:lvl>
    <w:lvl w:ilvl="1">
      <w:lvlJc w:val="left"/>
      <w:lvlText w:val="(%2)"/>
      <w:numFmt w:val="lowerRoman"/>
      <w:start w:val="2"/>
    </w:lvl>
    <w:lvl w:ilvl="2">
      <w:lvlJc w:val="left"/>
      <w:lvlText w:val="%3"/>
      <w:numFmt w:val="lowerLetter"/>
      <w:start w:val="1"/>
    </w:lvl>
  </w:abstractNum>
  <w:abstractNum w:abstractNumId="301">
    <w:nsid w:val="605138DE"/>
    <w:multiLevelType w:val="hybridMultilevel"/>
    <w:lvl w:ilvl="0">
      <w:lvlJc w:val="left"/>
      <w:lvlText w:val="(%1)"/>
      <w:numFmt w:val="lowerRoman"/>
      <w:start w:val="5"/>
    </w:lvl>
  </w:abstractNum>
  <w:abstractNum w:abstractNumId="302">
    <w:nsid w:val="2622AD0C"/>
    <w:multiLevelType w:val="hybridMultilevel"/>
    <w:lvl w:ilvl="0">
      <w:lvlJc w:val="left"/>
      <w:lvlText w:val="%1"/>
      <w:numFmt w:val="lowerLetter"/>
      <w:start w:val="1"/>
    </w:lvl>
    <w:lvl w:ilvl="1">
      <w:lvlJc w:val="left"/>
      <w:lvlText w:val="(%2)"/>
      <w:numFmt w:val="lowerLetter"/>
      <w:start w:val="7"/>
    </w:lvl>
  </w:abstractNum>
  <w:abstractNum w:abstractNumId="303">
    <w:nsid w:val="67997556"/>
    <w:multiLevelType w:val="hybridMultilevel"/>
    <w:lvl w:ilvl="0">
      <w:lvlJc w:val="left"/>
      <w:lvlText w:val="(%1)"/>
      <w:numFmt w:val="lowerLetter"/>
      <w:start w:val="35"/>
    </w:lvl>
    <w:lvl w:ilvl="1">
      <w:lvlJc w:val="left"/>
      <w:lvlText w:val="(%2)"/>
      <w:numFmt w:val="lowerLetter"/>
      <w:start w:val="8"/>
    </w:lvl>
  </w:abstractNum>
  <w:abstractNum w:abstractNumId="304">
    <w:nsid w:val="18333C89"/>
    <w:multiLevelType w:val="hybridMultilevel"/>
    <w:lvl w:ilvl="0">
      <w:lvlJc w:val="left"/>
      <w:lvlText w:val="%1"/>
      <w:numFmt w:val="lowerRoman"/>
      <w:start w:val="1"/>
    </w:lvl>
    <w:lvl w:ilvl="1">
      <w:lvlJc w:val="left"/>
      <w:lvlText w:val="(%2)"/>
      <w:numFmt w:val="lowerLetter"/>
      <w:start w:val="11"/>
    </w:lvl>
  </w:abstractNum>
  <w:abstractNum w:abstractNumId="305">
    <w:nsid w:val="4BA9831A"/>
    <w:multiLevelType w:val="hybridMultilevel"/>
    <w:lvl w:ilvl="0">
      <w:lvlJc w:val="left"/>
      <w:lvlText w:val="(%1)"/>
      <w:numFmt w:val="lowerRoman"/>
      <w:start w:val="1"/>
    </w:lvl>
    <w:lvl w:ilvl="1">
      <w:lvlJc w:val="left"/>
      <w:lvlText w:val="%2"/>
      <w:numFmt w:val="lowerLetter"/>
      <w:start w:val="1"/>
    </w:lvl>
  </w:abstractNum>
  <w:abstractNum w:abstractNumId="306">
    <w:nsid w:val="6D71A2B"/>
    <w:multiLevelType w:val="hybridMultilevel"/>
    <w:lvl w:ilvl="0">
      <w:lvlJc w:val="left"/>
      <w:lvlText w:val="(%1)"/>
      <w:numFmt w:val="lowerRoman"/>
      <w:start w:val="1"/>
    </w:lvl>
    <w:lvl w:ilvl="1">
      <w:lvlJc w:val="left"/>
      <w:lvlText w:val="(%2)"/>
      <w:numFmt w:val="lowerLetter"/>
      <w:start w:val="12"/>
    </w:lvl>
  </w:abstractNum>
  <w:abstractNum w:abstractNumId="307">
    <w:nsid w:val="CFC7321"/>
    <w:multiLevelType w:val="hybridMultilevel"/>
    <w:lvl w:ilvl="0">
      <w:lvlJc w:val="left"/>
      <w:lvlText w:val="(%1)"/>
      <w:numFmt w:val="lowerLetter"/>
      <w:start w:val="1"/>
    </w:lvl>
  </w:abstractNum>
  <w:abstractNum w:abstractNumId="308">
    <w:nsid w:val="1421971B"/>
    <w:multiLevelType w:val="hybridMultilevel"/>
    <w:lvl w:ilvl="0">
      <w:lvlJc w:val="left"/>
      <w:lvlText w:val="(%1)"/>
      <w:numFmt w:val="lowerLetter"/>
      <w:start w:val="2"/>
    </w:lvl>
  </w:abstractNum>
  <w:abstractNum w:abstractNumId="309">
    <w:nsid w:val="1F404301"/>
    <w:multiLevelType w:val="hybridMultilevel"/>
    <w:lvl w:ilvl="0">
      <w:lvlJc w:val="left"/>
      <w:lvlText w:val="(%1)"/>
      <w:numFmt w:val="lowerLetter"/>
      <w:start w:val="4"/>
    </w:lvl>
  </w:abstractNum>
  <w:abstractNum w:abstractNumId="310">
    <w:nsid w:val="116E0907"/>
    <w:multiLevelType w:val="hybridMultilevel"/>
    <w:lvl w:ilvl="0">
      <w:lvlJc w:val="left"/>
      <w:lvlText w:val="(%1)"/>
      <w:numFmt w:val="lowerLetter"/>
      <w:start w:val="6"/>
    </w:lvl>
  </w:abstractNum>
  <w:abstractNum w:abstractNumId="311">
    <w:nsid w:val="4B683D0D"/>
    <w:multiLevelType w:val="hybridMultilevel"/>
    <w:lvl w:ilvl="0">
      <w:lvlJc w:val="left"/>
      <w:lvlText w:val="(%1)"/>
      <w:numFmt w:val="lowerLetter"/>
      <w:start w:val="3"/>
    </w:lvl>
  </w:abstractNum>
  <w:abstractNum w:abstractNumId="312">
    <w:nsid w:val="76E41D8"/>
    <w:multiLevelType w:val="hybridMultilevel"/>
    <w:lvl w:ilvl="0">
      <w:lvlJc w:val="left"/>
      <w:lvlText w:val="%1"/>
      <w:numFmt w:val="lowerLetter"/>
      <w:start w:val="1"/>
    </w:lvl>
    <w:lvl w:ilvl="1">
      <w:lvlJc w:val="left"/>
      <w:lvlText w:val="(%2)"/>
      <w:numFmt w:val="lowerLetter"/>
      <w:start w:val="1"/>
    </w:lvl>
  </w:abstractNum>
  <w:abstractNum w:abstractNumId="313">
    <w:nsid w:val="71DCE0FD"/>
    <w:multiLevelType w:val="hybridMultilevel"/>
    <w:lvl w:ilvl="0">
      <w:lvlJc w:val="left"/>
      <w:lvlText w:val="(%1)"/>
      <w:numFmt w:val="lowerLetter"/>
      <w:start w:val="35"/>
    </w:lvl>
    <w:lvl w:ilvl="1">
      <w:lvlJc w:val="left"/>
      <w:lvlText w:val="%2"/>
      <w:numFmt w:val="lowerLetter"/>
      <w:start w:val="1"/>
    </w:lvl>
  </w:abstractNum>
  <w:abstractNum w:abstractNumId="314">
    <w:nsid w:val="7906328B"/>
    <w:multiLevelType w:val="hybridMultilevel"/>
    <w:lvl w:ilvl="0">
      <w:lvlJc w:val="left"/>
      <w:lvlText w:val="%1"/>
      <w:numFmt w:val="upperLetter"/>
      <w:start w:val="1"/>
    </w:lvl>
    <w:lvl w:ilvl="1">
      <w:lvlJc w:val="left"/>
      <w:lvlText w:val="(%2)"/>
      <w:numFmt w:val="lowerLetter"/>
      <w:start w:val="2"/>
    </w:lvl>
  </w:abstractNum>
  <w:abstractNum w:abstractNumId="315">
    <w:nsid w:val="72BBC16"/>
    <w:multiLevelType w:val="hybridMultilevel"/>
    <w:lvl w:ilvl="0">
      <w:lvlJc w:val="left"/>
      <w:lvlText w:val="(%1)"/>
      <w:numFmt w:val="upperLetter"/>
      <w:start w:val="1"/>
    </w:lvl>
    <w:lvl w:ilvl="1">
      <w:lvlJc w:val="left"/>
      <w:lvlText w:val="%2"/>
      <w:numFmt w:val="lowerLetter"/>
      <w:start w:val="1"/>
    </w:lvl>
  </w:abstractNum>
  <w:abstractNum w:abstractNumId="316">
    <w:nsid w:val="766D98C2"/>
    <w:multiLevelType w:val="hybridMultilevel"/>
    <w:lvl w:ilvl="0">
      <w:lvlJc w:val="left"/>
      <w:lvlText w:val="(%1)"/>
      <w:numFmt w:val="lowerRoman"/>
      <w:start w:val="2"/>
    </w:lvl>
  </w:abstractNum>
  <w:abstractNum w:abstractNumId="317">
    <w:nsid w:val="3C09D4A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Letter"/>
      <w:start w:val="3"/>
    </w:lvl>
  </w:abstractNum>
  <w:abstractNum w:abstractNumId="318">
    <w:nsid w:val="20E45CA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319">
    <w:nsid w:val="4B232EE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lvl w:ilvl="3">
      <w:lvlJc w:val="left"/>
      <w:lvlText w:val="(%4)"/>
      <w:numFmt w:val="lowerLetter"/>
      <w:start w:val="4"/>
    </w:lvl>
  </w:abstractNum>
  <w:abstractNum w:abstractNumId="320">
    <w:nsid w:val="159C74CF"/>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321">
    <w:nsid w:val="4AD3AFD2"/>
    <w:multiLevelType w:val="hybridMultilevel"/>
    <w:lvl w:ilvl="0">
      <w:lvlJc w:val="left"/>
      <w:lvlText w:val="%1"/>
      <w:numFmt w:val="lowerRoman"/>
      <w:start w:val="1"/>
    </w:lvl>
    <w:lvl w:ilvl="1">
      <w:lvlJc w:val="left"/>
      <w:lvlText w:val="(%2)"/>
      <w:numFmt w:val="lowerLetter"/>
      <w:start w:val="1"/>
    </w:lvl>
  </w:abstractNum>
  <w:abstractNum w:abstractNumId="322">
    <w:nsid w:val="3CF93092"/>
    <w:multiLevelType w:val="hybridMultilevel"/>
    <w:lvl w:ilvl="0">
      <w:lvlJc w:val="left"/>
      <w:lvlText w:val="(%1)"/>
      <w:numFmt w:val="lowerRoman"/>
      <w:start w:val="1"/>
    </w:lvl>
    <w:lvl w:ilvl="1">
      <w:lvlJc w:val="left"/>
      <w:lvlText w:val="%2"/>
      <w:numFmt w:val="lowerLetter"/>
      <w:start w:val="1"/>
    </w:lvl>
  </w:abstractNum>
  <w:abstractNum w:abstractNumId="323">
    <w:nsid w:val="6863E8D2"/>
    <w:multiLevelType w:val="hybridMultilevel"/>
    <w:lvl w:ilvl="0">
      <w:lvlJc w:val="left"/>
      <w:lvlText w:val="(%1)"/>
      <w:numFmt w:val="lowerLetter"/>
      <w:start w:val="2"/>
    </w:lvl>
  </w:abstractNum>
  <w:abstractNum w:abstractNumId="324">
    <w:nsid w:val="76896198"/>
    <w:multiLevelType w:val="hybridMultilevel"/>
    <w:lvl w:ilvl="0">
      <w:lvlJc w:val="left"/>
      <w:lvlText w:val="(%1)"/>
      <w:numFmt w:val="lowerRoman"/>
      <w:start w:val="1"/>
    </w:lvl>
    <w:lvl w:ilvl="1">
      <w:lvlJc w:val="left"/>
      <w:lvlText w:val="(%2)"/>
      <w:numFmt w:val="lowerLetter"/>
      <w:start w:val="7"/>
    </w:lvl>
  </w:abstractNum>
  <w:abstractNum w:abstractNumId="325">
    <w:nsid w:val="4365174B"/>
    <w:multiLevelType w:val="hybridMultilevel"/>
    <w:lvl w:ilvl="0">
      <w:lvlJc w:val="left"/>
      <w:lvlText w:val="(%1)"/>
      <w:numFmt w:val="lowerLetter"/>
      <w:start w:val="8"/>
    </w:lvl>
  </w:abstractNum>
  <w:abstractNum w:abstractNumId="326">
    <w:nsid w:val="4A872C35"/>
    <w:multiLevelType w:val="hybridMultilevel"/>
    <w:lvl w:ilvl="0">
      <w:lvlJc w:val="left"/>
      <w:lvlText w:val="(%1)"/>
      <w:numFmt w:val="lowerLetter"/>
      <w:start w:val="35"/>
    </w:lvl>
    <w:lvl w:ilvl="1">
      <w:lvlJc w:val="left"/>
      <w:lvlText w:val="(%2)"/>
      <w:numFmt w:val="lowerLetter"/>
      <w:start w:val="11"/>
    </w:lvl>
  </w:abstractNum>
  <w:abstractNum w:abstractNumId="327">
    <w:nsid w:val="5D5CE761"/>
    <w:multiLevelType w:val="hybridMultilevel"/>
    <w:lvl w:ilvl="0">
      <w:lvlJc w:val="left"/>
      <w:lvlText w:val="(%1)"/>
      <w:numFmt w:val="lowerLetter"/>
      <w:start w:val="1"/>
    </w:lvl>
  </w:abstractNum>
  <w:abstractNum w:abstractNumId="328">
    <w:nsid w:val="1CD484D5"/>
    <w:multiLevelType w:val="hybridMultilevel"/>
    <w:lvl w:ilvl="0">
      <w:lvlJc w:val="left"/>
      <w:lvlText w:val="(%1)"/>
      <w:numFmt w:val="lowerLetter"/>
      <w:start w:val="14"/>
    </w:lvl>
    <w:lvl w:ilvl="1">
      <w:lvlJc w:val="left"/>
      <w:lvlText w:val="(%2)"/>
      <w:numFmt w:val="lowerRoman"/>
      <w:start w:val="1"/>
    </w:lvl>
  </w:abstractNum>
  <w:abstractNum w:abstractNumId="329">
    <w:nsid w:val="21D06255"/>
    <w:multiLevelType w:val="hybridMultilevel"/>
    <w:lvl w:ilvl="0">
      <w:lvlJc w:val="left"/>
      <w:lvlText w:val="(%1)"/>
      <w:numFmt w:val="lowerLetter"/>
      <w:start w:val="29"/>
    </w:lvl>
  </w:abstractNum>
  <w:abstractNum w:abstractNumId="330">
    <w:nsid w:val="51194ED1"/>
    <w:multiLevelType w:val="hybridMultilevel"/>
    <w:lvl w:ilvl="0">
      <w:lvlJc w:val="left"/>
      <w:lvlText w:val="(%1)"/>
      <w:numFmt w:val="lowerLetter"/>
      <w:start w:val="1"/>
    </w:lvl>
  </w:abstractNum>
  <w:abstractNum w:abstractNumId="331">
    <w:nsid w:val="44E2ED6C"/>
    <w:multiLevelType w:val="hybridMultilevel"/>
    <w:lvl w:ilvl="0">
      <w:lvlJc w:val="left"/>
      <w:lvlText w:val="2"/>
      <w:numFmt w:val="bullet"/>
      <w:start w:val="1"/>
    </w:lvl>
  </w:abstractNum>
  <w:abstractNum w:abstractNumId="332">
    <w:nsid w:val="2219B33"/>
    <w:multiLevelType w:val="hybridMultilevel"/>
    <w:lvl w:ilvl="0">
      <w:lvlJc w:val="left"/>
      <w:lvlText w:val="(%1)"/>
      <w:numFmt w:val="lowerLetter"/>
      <w:start w:val="3"/>
    </w:lvl>
  </w:abstractNum>
  <w:abstractNum w:abstractNumId="333">
    <w:nsid w:val="773BFBDD"/>
    <w:multiLevelType w:val="hybridMultilevel"/>
    <w:lvl w:ilvl="0">
      <w:lvlJc w:val="left"/>
      <w:lvlText w:val="(%1)"/>
      <w:numFmt w:val="lowerLetter"/>
      <w:start w:val="1"/>
    </w:lvl>
  </w:abstractNum>
  <w:abstractNum w:abstractNumId="334">
    <w:nsid w:val="2C7C62C2"/>
    <w:multiLevelType w:val="hybridMultilevel"/>
    <w:lvl w:ilvl="0">
      <w:lvlJc w:val="left"/>
      <w:lvlText w:val="(%1)"/>
      <w:numFmt w:val="lowerLetter"/>
      <w:start w:val="1"/>
    </w:lvl>
  </w:abstractNum>
  <w:abstractNum w:abstractNumId="335">
    <w:nsid w:val="1A54D7BC"/>
    <w:multiLevelType w:val="hybridMultilevel"/>
    <w:lvl w:ilvl="0">
      <w:lvlJc w:val="left"/>
      <w:lvlText w:val="(%1)"/>
      <w:numFmt w:val="lowerLetter"/>
      <w:start w:val="1"/>
    </w:lvl>
  </w:abstractNum>
  <w:abstractNum w:abstractNumId="336">
    <w:nsid w:val="42E57EF7"/>
    <w:multiLevelType w:val="hybridMultilevel"/>
    <w:lvl w:ilvl="0">
      <w:lvlJc w:val="left"/>
      <w:lvlText w:val="(%1)"/>
      <w:numFmt w:val="lowerLetter"/>
      <w:start w:val="1"/>
    </w:lvl>
    <w:lvl w:ilvl="1">
      <w:lvlJc w:val="left"/>
      <w:lvlText w:val="(%2)"/>
      <w:numFmt w:val="lowerRoman"/>
      <w:start w:val="1"/>
    </w:lvl>
  </w:abstractNum>
  <w:abstractNum w:abstractNumId="337">
    <w:nsid w:val="33537CED"/>
    <w:multiLevelType w:val="hybridMultilevel"/>
    <w:lvl w:ilvl="0">
      <w:lvlJc w:val="left"/>
      <w:lvlText w:val="3"/>
      <w:numFmt w:val="bullet"/>
      <w:start w:val="1"/>
    </w:lvl>
  </w:abstractNum>
  <w:abstractNum w:abstractNumId="338">
    <w:nsid w:val="27514ADE"/>
    <w:multiLevelType w:val="hybridMultilevel"/>
    <w:lvl w:ilvl="0">
      <w:lvlJc w:val="left"/>
      <w:lvlText w:val="%1"/>
      <w:numFmt w:val="lowerLetter"/>
      <w:start w:val="1"/>
    </w:lvl>
    <w:lvl w:ilvl="1">
      <w:lvlJc w:val="left"/>
      <w:lvlText w:val="(%2)"/>
      <w:numFmt w:val="lowerLetter"/>
      <w:start w:val="22"/>
    </w:lvl>
  </w:abstractNum>
  <w:abstractNum w:abstractNumId="339">
    <w:nsid w:val="57071613"/>
    <w:multiLevelType w:val="hybridMultilevel"/>
    <w:lvl w:ilvl="0">
      <w:lvlJc w:val="left"/>
      <w:lvlText w:val="(%1)"/>
      <w:numFmt w:val="lowerLetter"/>
      <w:start w:val="2"/>
    </w:lvl>
    <w:lvl w:ilvl="1">
      <w:lvlJc w:val="left"/>
      <w:lvlText w:val="(%2)"/>
      <w:numFmt w:val="lowerLetter"/>
      <w:start w:val="9"/>
    </w:lvl>
  </w:abstractNum>
  <w:abstractNum w:abstractNumId="340">
    <w:nsid w:val="5293BFEF"/>
    <w:multiLevelType w:val="hybridMultilevel"/>
    <w:lvl w:ilvl="0">
      <w:lvlJc w:val="left"/>
      <w:lvlText w:val="(%1)"/>
      <w:numFmt w:val="lowerRoman"/>
      <w:start w:val="2"/>
    </w:lvl>
    <w:lvl w:ilvl="1">
      <w:lvlJc w:val="left"/>
      <w:lvlText w:val="(%2)"/>
      <w:numFmt w:val="upperLetter"/>
      <w:start w:val="1"/>
    </w:lvl>
  </w:abstractNum>
  <w:abstractNum w:abstractNumId="341">
    <w:nsid w:val="38BF53E5"/>
    <w:multiLevelType w:val="hybridMultilevel"/>
    <w:lvl w:ilvl="0">
      <w:lvlJc w:val="left"/>
      <w:lvlText w:val="(%1)"/>
      <w:numFmt w:val="lowerRoman"/>
      <w:start w:val="3"/>
    </w:lvl>
  </w:abstractNum>
  <w:abstractNum w:abstractNumId="342">
    <w:nsid w:val="226F5320"/>
    <w:multiLevelType w:val="hybridMultilevel"/>
    <w:lvl w:ilvl="0">
      <w:lvlJc w:val="left"/>
      <w:lvlText w:val="%1"/>
      <w:numFmt w:val="lowerLetter"/>
      <w:start w:val="1"/>
    </w:lvl>
    <w:lvl w:ilvl="1">
      <w:lvlJc w:val="left"/>
      <w:lvlText w:val="(%2)"/>
      <w:numFmt w:val="lowerRoman"/>
      <w:start w:val="4"/>
    </w:lvl>
  </w:abstractNum>
  <w:abstractNum w:abstractNumId="343">
    <w:nsid w:val="5A0201C7"/>
    <w:multiLevelType w:val="hybridMultilevel"/>
    <w:lvl w:ilvl="0">
      <w:lvlJc w:val="left"/>
      <w:lvlText w:val="(%1)"/>
      <w:numFmt w:val="lowerLetter"/>
      <w:start w:val="3"/>
    </w:lvl>
    <w:lvl w:ilvl="1">
      <w:lvlJc w:val="left"/>
      <w:lvlText w:val="(%2)"/>
      <w:numFmt w:val="lowerRoman"/>
      <w:start w:val="1"/>
    </w:lvl>
  </w:abstractNum>
  <w:abstractNum w:abstractNumId="344">
    <w:nsid w:val="2A9C34E2"/>
    <w:multiLevelType w:val="hybridMultilevel"/>
    <w:lvl w:ilvl="0">
      <w:lvlJc w:val="left"/>
      <w:lvlText w:val="(%1)"/>
      <w:numFmt w:val="lowerLetter"/>
      <w:start w:val="5"/>
    </w:lvl>
  </w:abstractNum>
  <w:abstractNum w:abstractNumId="345">
    <w:nsid w:val="1B7585AB"/>
    <w:multiLevelType w:val="hybridMultilevel"/>
    <w:lvl w:ilvl="0">
      <w:lvlJc w:val="left"/>
      <w:lvlText w:val="(%1)"/>
      <w:numFmt w:val="lowerLetter"/>
      <w:start w:val="1"/>
    </w:lvl>
    <w:lvl w:ilvl="1">
      <w:lvlJc w:val="left"/>
      <w:lvlText w:val="(%2)"/>
      <w:numFmt w:val="lowerRoman"/>
      <w:start w:val="1"/>
    </w:lvl>
  </w:abstractNum>
  <w:abstractNum w:abstractNumId="346">
    <w:nsid w:val="612DBDDD"/>
    <w:multiLevelType w:val="hybridMultilevel"/>
    <w:lvl w:ilvl="0">
      <w:lvlJc w:val="left"/>
      <w:lvlText w:val="(%1)"/>
      <w:numFmt w:val="lowerLetter"/>
      <w:start w:val="1"/>
    </w:lvl>
  </w:abstractNum>
  <w:abstractNum w:abstractNumId="347">
    <w:nsid w:val="2109CDA4"/>
    <w:multiLevelType w:val="hybridMultilevel"/>
    <w:lvl w:ilvl="0">
      <w:lvlJc w:val="left"/>
      <w:lvlText w:val="(%1)"/>
      <w:numFmt w:val="lowerLetter"/>
      <w:start w:val="2"/>
    </w:lvl>
  </w:abstractNum>
  <w:abstractNum w:abstractNumId="348">
    <w:nsid w:val="577F5A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9">
    <w:nsid w:val="2121A8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50">
    <w:nsid w:val="6C2CFC88"/>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351">
    <w:nsid w:val="6D1BCF1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52">
    <w:nsid w:val="4CE5CA53"/>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353">
    <w:nsid w:val="29262D1A"/>
    <w:multiLevelType w:val="hybridMultilevel"/>
    <w:lvl w:ilvl="0">
      <w:lvlJc w:val="left"/>
      <w:lvlText w:val="(%1)"/>
      <w:numFmt w:val="lowerRoman"/>
      <w:start w:val="2"/>
    </w:lvl>
    <w:lvl w:ilvl="1">
      <w:lvlJc w:val="left"/>
      <w:lvlText w:val="(%2)"/>
      <w:numFmt w:val="upperLetter"/>
      <w:start w:val="1"/>
    </w:lvl>
  </w:abstractNum>
  <w:abstractNum w:abstractNumId="354">
    <w:nsid w:val="557FB7EE"/>
    <w:multiLevelType w:val="hybridMultilevel"/>
    <w:lvl w:ilvl="0">
      <w:lvlJc w:val="left"/>
      <w:lvlText w:val="%1"/>
      <w:numFmt w:val="lowerRoman"/>
      <w:start w:val="1"/>
    </w:lvl>
    <w:lvl w:ilvl="1">
      <w:lvlJc w:val="left"/>
      <w:lvlText w:val="(%2)"/>
      <w:numFmt w:val="upperLetter"/>
      <w:start w:val="2"/>
    </w:lvl>
  </w:abstractNum>
  <w:abstractNum w:abstractNumId="355">
    <w:nsid w:val="436F2BEB"/>
    <w:multiLevelType w:val="hybridMultilevel"/>
    <w:lvl w:ilvl="0">
      <w:lvlJc w:val="left"/>
      <w:lvlText w:val="(%1)"/>
      <w:numFmt w:val="lowerRoman"/>
      <w:start w:val="3"/>
    </w:lvl>
    <w:lvl w:ilvl="1">
      <w:lvlJc w:val="left"/>
      <w:lvlText w:val="%2"/>
      <w:numFmt w:val="upperLetter"/>
      <w:start w:val="1"/>
    </w:lvl>
  </w:abstractNum>
  <w:abstractNum w:abstractNumId="356">
    <w:nsid w:val="6C8B4466"/>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lvl w:ilvl="3">
      <w:lvlJc w:val="left"/>
      <w:lvlText w:val="(%4)"/>
      <w:numFmt w:val="upperLetter"/>
      <w:start w:val="9"/>
    </w:lvl>
  </w:abstractNum>
  <w:abstractNum w:abstractNumId="357">
    <w:nsid w:val="2006E424"/>
    <w:multiLevelType w:val="hybridMultilevel"/>
    <w:lvl w:ilvl="0">
      <w:lvlJc w:val="left"/>
      <w:lvlText w:val="(%1)"/>
      <w:numFmt w:val="upperLetter"/>
      <w:start w:val="35"/>
    </w:lvl>
  </w:abstractNum>
  <w:abstractNum w:abstractNumId="358">
    <w:nsid w:val="20CC134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59">
    <w:nsid w:val="95FC93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60">
    <w:nsid w:val="41D7467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361">
    <w:nsid w:val="71E5621E"/>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62">
    <w:nsid w:val="4E42B6A8"/>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363">
    <w:nsid w:val="43F8E1AC"/>
    <w:multiLevelType w:val="hybridMultilevel"/>
    <w:lvl w:ilvl="0">
      <w:lvlJc w:val="left"/>
      <w:lvlText w:val="%1"/>
      <w:numFmt w:val="lowerLetter"/>
      <w:start w:val="1"/>
    </w:lvl>
    <w:lvl w:ilvl="1">
      <w:lvlJc w:val="left"/>
      <w:lvlText w:val="(%2)"/>
      <w:numFmt w:val="upperLetter"/>
      <w:start w:val="4"/>
    </w:lvl>
  </w:abstractNum>
  <w:abstractNum w:abstractNumId="364">
    <w:nsid w:val="69215DFB"/>
    <w:multiLevelType w:val="hybridMultilevel"/>
    <w:lvl w:ilvl="0">
      <w:lvlJc w:val="left"/>
      <w:lvlText w:val="(%1)"/>
      <w:numFmt w:val="lowerLetter"/>
      <w:start w:val="11"/>
    </w:lvl>
    <w:lvl w:ilvl="1">
      <w:lvlJc w:val="left"/>
      <w:lvlText w:val="%2"/>
      <w:numFmt w:val="upperLetter"/>
      <w:start w:val="1"/>
    </w:lvl>
  </w:abstractNum>
  <w:abstractNum w:abstractNumId="365">
    <w:nsid w:val="7ABF196A"/>
    <w:multiLevelType w:val="hybridMultilevel"/>
    <w:lvl w:ilvl="0">
      <w:lvlJc w:val="left"/>
      <w:lvlText w:val="(%1)"/>
      <w:numFmt w:val="lowerLetter"/>
      <w:start w:val="1"/>
    </w:lvl>
    <w:lvl w:ilvl="1">
      <w:lvlJc w:val="left"/>
      <w:lvlText w:val="(%2)"/>
      <w:numFmt w:val="lowerRoman"/>
      <w:start w:val="1"/>
    </w:lvl>
  </w:abstractNum>
  <w:abstractNum w:abstractNumId="366">
    <w:nsid w:val="5E4DB968"/>
    <w:multiLevelType w:val="hybridMultilevel"/>
    <w:lvl w:ilvl="0">
      <w:lvlJc w:val="left"/>
      <w:lvlText w:val="(%1)"/>
      <w:numFmt w:val="lowerLetter"/>
      <w:start w:val="2"/>
    </w:lvl>
  </w:abstractNum>
  <w:abstractNum w:abstractNumId="367">
    <w:nsid w:val="2C06DCF3"/>
    <w:multiLevelType w:val="hybridMultilevel"/>
    <w:lvl w:ilvl="0">
      <w:lvlJc w:val="left"/>
      <w:lvlText w:val="(%1)"/>
      <w:numFmt w:val="lowerLetter"/>
      <w:start w:val="3"/>
    </w:lvl>
  </w:abstractNum>
  <w:abstractNum w:abstractNumId="368">
    <w:nsid w:val="2E129658"/>
    <w:multiLevelType w:val="hybridMultilevel"/>
    <w:lvl w:ilvl="0">
      <w:lvlJc w:val="left"/>
      <w:lvlText w:val="(%1)"/>
      <w:numFmt w:val="lowerLetter"/>
      <w:start w:val="1"/>
    </w:lvl>
  </w:abstractNum>
  <w:abstractNum w:abstractNumId="369">
    <w:nsid w:val="59F0446"/>
    <w:multiLevelType w:val="hybridMultilevel"/>
    <w:lvl w:ilvl="0">
      <w:lvlJc w:val="left"/>
      <w:lvlText w:val="*"/>
      <w:numFmt w:val="bullet"/>
      <w:start w:val="1"/>
    </w:lvl>
  </w:abstractNum>
  <w:abstractNum w:abstractNumId="370">
    <w:nsid w:val="30DF306"/>
    <w:multiLevelType w:val="hybridMultilevel"/>
    <w:lvl w:ilvl="0">
      <w:lvlJc w:val="left"/>
      <w:lvlText w:val="**"/>
      <w:numFmt w:val="bullet"/>
      <w:start w:val="1"/>
    </w:lvl>
  </w:abstractNum>
  <w:abstractNum w:abstractNumId="371">
    <w:nsid w:val="A65647"/>
    <w:multiLevelType w:val="hybridMultilevel"/>
    <w:lvl w:ilvl="0">
      <w:lvlJc w:val="left"/>
      <w:lvlText w:val="(%1)"/>
      <w:numFmt w:val="lowerRoman"/>
      <w:start w:val="1"/>
    </w:lvl>
  </w:abstractNum>
  <w:abstractNum w:abstractNumId="372">
    <w:nsid w:val="3E5E582B"/>
    <w:multiLevelType w:val="hybridMultilevel"/>
    <w:lvl w:ilvl="0">
      <w:lvlJc w:val="left"/>
      <w:lvlText w:val="(%1)"/>
      <w:numFmt w:val="lowerRoman"/>
      <w:start w:val="4"/>
    </w:lvl>
  </w:abstractNum>
  <w:abstractNum w:abstractNumId="373">
    <w:nsid w:val="257D4626"/>
    <w:multiLevelType w:val="hybridMultilevel"/>
    <w:lvl w:ilvl="0">
      <w:lvlJc w:val="left"/>
      <w:lvlText w:val="(%1)"/>
      <w:numFmt w:val="decimal"/>
      <w:start w:val="1"/>
    </w:lvl>
  </w:abstractNum>
  <w:abstractNum w:abstractNumId="374">
    <w:nsid w:val="5AA8580E"/>
    <w:multiLevelType w:val="hybridMultilevel"/>
    <w:lvl w:ilvl="0">
      <w:lvlJc w:val="left"/>
      <w:lvlText w:val="(%1)"/>
      <w:numFmt w:val="decimal"/>
      <w:start w:val="1"/>
    </w:lvl>
  </w:abstractNum>
  <w:abstractNum w:abstractNumId="375">
    <w:nsid w:val="68FA8D0D"/>
    <w:multiLevelType w:val="hybridMultilevel"/>
    <w:lvl w:ilvl="0">
      <w:lvlJc w:val="left"/>
      <w:lvlText w:val="(%1)"/>
      <w:numFmt w:val="decimal"/>
      <w:start w:val="1"/>
    </w:lvl>
  </w:abstractNum>
  <w:abstractNum w:abstractNumId="376">
    <w:nsid w:val="40F2CBD2"/>
    <w:multiLevelType w:val="hybridMultilevel"/>
    <w:lvl w:ilvl="0">
      <w:lvlJc w:val="left"/>
      <w:lvlText w:val="(%1)"/>
      <w:numFmt w:val="decimal"/>
      <w:start w:val="1"/>
    </w:lvl>
  </w:abstractNum>
  <w:abstractNum w:abstractNumId="377">
    <w:nsid w:val="3BD615EB"/>
    <w:multiLevelType w:val="hybridMultilevel"/>
    <w:lvl w:ilvl="0">
      <w:lvlJc w:val="left"/>
      <w:lvlText w:val="(%1)"/>
      <w:numFmt w:val="decimal"/>
      <w:start w:val="1"/>
    </w:lvl>
  </w:abstractNum>
  <w:abstractNum w:abstractNumId="378">
    <w:nsid w:val="A045AB2"/>
    <w:multiLevelType w:val="hybridMultilevel"/>
    <w:lvl w:ilvl="0">
      <w:lvlJc w:val="left"/>
      <w:lvlText w:val="1"/>
      <w:numFmt w:val="bullet"/>
      <w:start w:val="1"/>
    </w:lvl>
  </w:abstractNum>
  <w:abstractNum w:abstractNumId="379">
    <w:nsid w:val="1872261F"/>
    <w:multiLevelType w:val="hybridMultilevel"/>
    <w:lvl w:ilvl="0">
      <w:lvlJc w:val="left"/>
      <w:lvlText w:val="2"/>
      <w:numFmt w:val="bullet"/>
      <w:start w:val="1"/>
    </w:lvl>
  </w:abstractNum>
  <w:abstractNum w:abstractNumId="380">
    <w:nsid w:val="3DE8306C"/>
    <w:multiLevelType w:val="hybridMultilevel"/>
    <w:lvl w:ilvl="0">
      <w:lvlJc w:val="left"/>
      <w:lvlText w:val="3"/>
      <w:numFmt w:val="bullet"/>
      <w:start w:val="1"/>
    </w:lvl>
  </w:abstractNum>
  <w:abstractNum w:abstractNumId="381">
    <w:nsid w:val="7631573A"/>
    <w:multiLevelType w:val="hybridMultilevel"/>
    <w:lvl w:ilvl="0">
      <w:lvlJc w:val="left"/>
      <w:lvlText w:val="5"/>
      <w:numFmt w:val="bullet"/>
      <w:start w:val="1"/>
    </w:lvl>
  </w:abstractNum>
  <w:abstractNum w:abstractNumId="382">
    <w:nsid w:val="58DF53B"/>
    <w:multiLevelType w:val="hybridMultilevel"/>
    <w:lvl w:ilvl="0">
      <w:lvlJc w:val="left"/>
      <w:lvlText w:val="6"/>
      <w:numFmt w:val="bullet"/>
      <w:start w:val="1"/>
    </w:lvl>
  </w:abstractNum>
  <w:abstractNum w:abstractNumId="383">
    <w:nsid w:val="ACDFAC0"/>
    <w:multiLevelType w:val="hybridMultilevel"/>
    <w:lvl w:ilvl="0">
      <w:lvlJc w:val="left"/>
      <w:lvlText w:val="7"/>
      <w:numFmt w:val="bullet"/>
      <w:start w:val="1"/>
    </w:lvl>
  </w:abstractNum>
  <w:abstractNum w:abstractNumId="384">
    <w:nsid w:val="1F578454"/>
    <w:multiLevelType w:val="hybridMultilevel"/>
    <w:lvl w:ilvl="0">
      <w:lvlJc w:val="left"/>
      <w:lvlText w:val="•"/>
      <w:numFmt w:val="bullet"/>
      <w:start w:val="1"/>
    </w:lvl>
  </w:abstractNum>
  <w:abstractNum w:abstractNumId="385">
    <w:nsid w:val="5B0DAD2A"/>
    <w:multiLevelType w:val="hybridMultilevel"/>
    <w:lvl w:ilvl="0">
      <w:lvlJc w:val="left"/>
      <w:lvlText w:val="9"/>
      <w:numFmt w:val="bullet"/>
      <w:start w:val="1"/>
    </w:lvl>
  </w:abstractNum>
  <w:abstractNum w:abstractNumId="386">
    <w:nsid w:val="4E3D26AB"/>
    <w:multiLevelType w:val="hybridMultilevel"/>
    <w:lvl w:ilvl="0">
      <w:lvlJc w:val="left"/>
      <w:lvlText w:val="%1"/>
      <w:numFmt w:val="decimal"/>
      <w:start w:val="11"/>
    </w:lvl>
  </w:abstractNum>
  <w:abstractNum w:abstractNumId="387">
    <w:nsid w:val="BE2C8BA"/>
    <w:multiLevelType w:val="hybridMultilevel"/>
    <w:lvl w:ilvl="0">
      <w:lvlJc w:val="left"/>
      <w:lvlText w:val="%1"/>
      <w:numFmt w:val="decimal"/>
      <w:start w:val="12"/>
    </w:lvl>
  </w:abstractNum>
  <w:abstractNum w:abstractNumId="388">
    <w:nsid w:val="7B14914E"/>
    <w:multiLevelType w:val="hybridMultilevel"/>
    <w:lvl w:ilvl="0">
      <w:lvlJc w:val="left"/>
      <w:lvlText w:val="%1"/>
      <w:numFmt w:val="decimal"/>
      <w:start w:val="13"/>
    </w:lvl>
  </w:abstractNum>
  <w:abstractNum w:abstractNumId="389">
    <w:nsid w:val="6F0939F8"/>
    <w:multiLevelType w:val="hybridMultilevel"/>
    <w:lvl w:ilvl="0">
      <w:lvlJc w:val="left"/>
      <w:lvlText w:val="%1"/>
      <w:numFmt w:val="decimal"/>
      <w:start w:val="14"/>
    </w:lvl>
  </w:abstractNum>
  <w:abstractNum w:abstractNumId="390">
    <w:nsid w:val="154291F6"/>
    <w:multiLevelType w:val="hybridMultilevel"/>
    <w:lvl w:ilvl="0">
      <w:lvlJc w:val="left"/>
      <w:lvlText w:val="%1"/>
      <w:numFmt w:val="decimal"/>
      <w:start w:val="15"/>
    </w:lvl>
  </w:abstractNum>
  <w:abstractNum w:abstractNumId="391">
    <w:nsid w:val="3CEBD7C7"/>
    <w:multiLevelType w:val="hybridMultilevel"/>
    <w:lvl w:ilvl="0">
      <w:lvlJc w:val="left"/>
      <w:lvlText w:val="%1"/>
      <w:numFmt w:val="decimal"/>
      <w:start w:val="17"/>
    </w:lvl>
  </w:abstractNum>
  <w:abstractNum w:abstractNumId="392">
    <w:nsid w:val="60EE9C16"/>
    <w:multiLevelType w:val="hybridMultilevel"/>
    <w:lvl w:ilvl="0">
      <w:lvlJc w:val="left"/>
      <w:lvlText w:val="%1"/>
      <w:numFmt w:val="decimal"/>
      <w:start w:val="19"/>
    </w:lvl>
  </w:abstractNum>
  <w:abstractNum w:abstractNumId="393">
    <w:nsid w:val="6385489E"/>
    <w:multiLevelType w:val="hybridMultilevel"/>
    <w:lvl w:ilvl="0">
      <w:lvlJc w:val="left"/>
      <w:lvlText w:val="%1"/>
      <w:numFmt w:val="decimal"/>
      <w:start w:val="21"/>
    </w:lvl>
  </w:abstractNum>
  <w:abstractNum w:abstractNumId="394">
    <w:nsid w:val="E4B973"/>
    <w:multiLevelType w:val="hybridMultilevel"/>
    <w:lvl w:ilvl="0">
      <w:lvlJc w:val="left"/>
      <w:lvlText w:val="%1"/>
      <w:numFmt w:val="decimal"/>
      <w:start w:val="22"/>
    </w:lvl>
  </w:abstractNum>
  <w:abstractNum w:abstractNumId="395">
    <w:nsid w:val="4A0FFA11"/>
    <w:multiLevelType w:val="hybridMultilevel"/>
    <w:lvl w:ilvl="0">
      <w:lvlJc w:val="left"/>
      <w:lvlText w:val="%1"/>
      <w:numFmt w:val="decimal"/>
      <w:start w:val="23"/>
    </w:lvl>
  </w:abstractNum>
  <w:abstractNum w:abstractNumId="396">
    <w:nsid w:val="5E446208"/>
    <w:multiLevelType w:val="hybridMultilevel"/>
    <w:lvl w:ilvl="0">
      <w:lvlJc w:val="left"/>
      <w:lvlText w:val="%1"/>
      <w:numFmt w:val="decimal"/>
      <w:start w:val="24"/>
    </w:lvl>
  </w:abstractNum>
  <w:abstractNum w:abstractNumId="397">
    <w:nsid w:val="5F3272DB"/>
    <w:multiLevelType w:val="hybridMultilevel"/>
    <w:lvl w:ilvl="0">
      <w:lvlJc w:val="left"/>
      <w:lvlText w:val="%1)"/>
      <w:numFmt w:val="lowerRoman"/>
      <w:start w:val="1"/>
    </w:lvl>
  </w:abstractNum>
  <w:abstractNum w:abstractNumId="398">
    <w:nsid w:val="7616D704"/>
    <w:multiLevelType w:val="hybridMultilevel"/>
    <w:lvl w:ilvl="0">
      <w:lvlJc w:val="left"/>
      <w:lvlText w:val="%1."/>
      <w:numFmt w:val="decimal"/>
      <w:start w:val="1"/>
    </w:lvl>
  </w:abstractNum>
  <w:abstractNum w:abstractNumId="399">
    <w:nsid w:val="C56F860"/>
    <w:multiLevelType w:val="hybridMultilevel"/>
    <w:lvl w:ilvl="0">
      <w:lvlJc w:val="left"/>
      <w:lvlText w:val="•"/>
      <w:numFmt w:val="bullet"/>
      <w:start w:val="1"/>
    </w:lvl>
  </w:abstractNum>
  <w:abstractNum w:abstractNumId="400">
    <w:nsid w:val="64D1772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jpeg"/><Relationship Id="rId1107" Type="http://schemas.openxmlformats.org/officeDocument/2006/relationships/image" Target="media/image1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2019-12-08T07:51:56Z</dcterms:created>
  <dcterms:modified xsi:type="dcterms:W3CDTF">2019-12-08T07:51:56Z</dcterms:modified>
</cp:coreProperties>
</file>