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213995</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223520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0"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06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British Columbia, Canada</w:t>
            </w:r>
          </w:p>
        </w:tc>
        <w:tc>
          <w:tcPr>
            <w:tcW w:w="40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1-36246</w:t>
            </w:r>
          </w:p>
        </w:tc>
        <w:tc>
          <w:tcPr>
            <w:tcW w:w="2200" w:type="dxa"/>
            <w:vAlign w:val="bottom"/>
          </w:tcPr>
          <w:p>
            <w:pPr>
              <w:jc w:val="center"/>
              <w:ind w:left="770"/>
              <w:spacing w:after="0"/>
              <w:rPr>
                <w:sz w:val="20"/>
                <w:szCs w:val="20"/>
                <w:color w:val="auto"/>
              </w:rPr>
            </w:pPr>
            <w:r>
              <w:rPr>
                <w:rFonts w:ascii="Arial" w:cs="Arial" w:eastAsia="Arial" w:hAnsi="Arial"/>
                <w:sz w:val="18"/>
                <w:szCs w:val="18"/>
                <w:b w:val="1"/>
                <w:bCs w:val="1"/>
                <w:color w:val="auto"/>
                <w:w w:val="89"/>
              </w:rPr>
              <w:t>98-1253716</w:t>
            </w:r>
          </w:p>
        </w:tc>
      </w:tr>
      <w:tr>
        <w:trPr>
          <w:trHeight w:val="216"/>
        </w:trPr>
        <w:tc>
          <w:tcPr>
            <w:tcW w:w="3060" w:type="dxa"/>
            <w:vAlign w:val="bottom"/>
          </w:tcPr>
          <w:p>
            <w:pPr>
              <w:jc w:val="center"/>
              <w:ind w:right="590"/>
              <w:spacing w:after="0"/>
              <w:rPr>
                <w:sz w:val="20"/>
                <w:szCs w:val="20"/>
                <w:color w:val="auto"/>
              </w:rPr>
            </w:pPr>
            <w:r>
              <w:rPr>
                <w:rFonts w:ascii="Arial" w:cs="Arial" w:eastAsia="Arial" w:hAnsi="Arial"/>
                <w:sz w:val="18"/>
                <w:szCs w:val="18"/>
                <w:color w:val="auto"/>
                <w:w w:val="92"/>
              </w:rPr>
              <w:t>(State or other jurisdiction</w:t>
            </w:r>
          </w:p>
        </w:tc>
        <w:tc>
          <w:tcPr>
            <w:tcW w:w="4020" w:type="dxa"/>
            <w:vAlign w:val="bottom"/>
          </w:tcPr>
          <w:p>
            <w:pPr>
              <w:jc w:val="center"/>
              <w:ind w:right="70"/>
              <w:spacing w:after="0"/>
              <w:rPr>
                <w:sz w:val="20"/>
                <w:szCs w:val="20"/>
                <w:color w:val="auto"/>
              </w:rPr>
            </w:pPr>
            <w:r>
              <w:rPr>
                <w:rFonts w:ascii="Arial" w:cs="Arial" w:eastAsia="Arial" w:hAnsi="Arial"/>
                <w:sz w:val="18"/>
                <w:szCs w:val="18"/>
                <w:color w:val="auto"/>
                <w:w w:val="93"/>
              </w:rPr>
              <w:t>(Commission File</w:t>
            </w:r>
          </w:p>
        </w:tc>
        <w:tc>
          <w:tcPr>
            <w:tcW w:w="2200" w:type="dxa"/>
            <w:vAlign w:val="bottom"/>
          </w:tcPr>
          <w:p>
            <w:pPr>
              <w:jc w:val="center"/>
              <w:ind w:left="770"/>
              <w:spacing w:after="0"/>
              <w:rPr>
                <w:sz w:val="20"/>
                <w:szCs w:val="20"/>
                <w:color w:val="auto"/>
              </w:rPr>
            </w:pPr>
            <w:r>
              <w:rPr>
                <w:rFonts w:ascii="Arial" w:cs="Arial" w:eastAsia="Arial" w:hAnsi="Arial"/>
                <w:sz w:val="18"/>
                <w:szCs w:val="18"/>
                <w:color w:val="auto"/>
                <w:w w:val="92"/>
              </w:rPr>
              <w:t>(I.R.S. Employer</w:t>
            </w:r>
          </w:p>
        </w:tc>
      </w:tr>
      <w:tr>
        <w:trPr>
          <w:trHeight w:val="230"/>
        </w:trPr>
        <w:tc>
          <w:tcPr>
            <w:tcW w:w="3060" w:type="dxa"/>
            <w:vAlign w:val="bottom"/>
          </w:tcPr>
          <w:p>
            <w:pPr>
              <w:jc w:val="center"/>
              <w:ind w:right="610"/>
              <w:spacing w:after="0"/>
              <w:rPr>
                <w:sz w:val="20"/>
                <w:szCs w:val="20"/>
                <w:color w:val="auto"/>
              </w:rPr>
            </w:pPr>
            <w:r>
              <w:rPr>
                <w:rFonts w:ascii="Arial" w:cs="Arial" w:eastAsia="Arial" w:hAnsi="Arial"/>
                <w:sz w:val="18"/>
                <w:szCs w:val="18"/>
                <w:color w:val="auto"/>
                <w:w w:val="92"/>
              </w:rPr>
              <w:t>of incorporation or organization)</w:t>
            </w:r>
          </w:p>
        </w:tc>
        <w:tc>
          <w:tcPr>
            <w:tcW w:w="4020" w:type="dxa"/>
            <w:vAlign w:val="bottom"/>
          </w:tcPr>
          <w:p>
            <w:pPr>
              <w:jc w:val="center"/>
              <w:ind w:right="90"/>
              <w:spacing w:after="0"/>
              <w:rPr>
                <w:sz w:val="20"/>
                <w:szCs w:val="20"/>
                <w:color w:val="auto"/>
              </w:rPr>
            </w:pPr>
            <w:r>
              <w:rPr>
                <w:rFonts w:ascii="Arial" w:cs="Arial" w:eastAsia="Arial" w:hAnsi="Arial"/>
                <w:sz w:val="18"/>
                <w:szCs w:val="18"/>
                <w:color w:val="auto"/>
                <w:w w:val="91"/>
              </w:rPr>
              <w:t>Number)</w:t>
            </w:r>
          </w:p>
        </w:tc>
        <w:tc>
          <w:tcPr>
            <w:tcW w:w="2200" w:type="dxa"/>
            <w:vAlign w:val="bottom"/>
          </w:tcPr>
          <w:p>
            <w:pPr>
              <w:jc w:val="center"/>
              <w:ind w:left="7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060" w:type="dxa"/>
            <w:vAlign w:val="bottom"/>
          </w:tcPr>
          <w:p>
            <w:pPr>
              <w:spacing w:after="0"/>
              <w:rPr>
                <w:sz w:val="24"/>
                <w:szCs w:val="24"/>
                <w:color w:val="auto"/>
              </w:rPr>
            </w:pPr>
          </w:p>
        </w:tc>
        <w:tc>
          <w:tcPr>
            <w:tcW w:w="40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Allen Center</w:t>
            </w:r>
          </w:p>
        </w:tc>
        <w:tc>
          <w:tcPr>
            <w:tcW w:w="220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40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333 Clay Street, Suite 4980</w:t>
            </w:r>
          </w:p>
        </w:tc>
        <w:tc>
          <w:tcPr>
            <w:tcW w:w="2200" w:type="dxa"/>
            <w:vAlign w:val="bottom"/>
          </w:tcPr>
          <w:p>
            <w:pPr>
              <w:spacing w:after="0"/>
              <w:rPr>
                <w:sz w:val="18"/>
                <w:szCs w:val="18"/>
                <w:color w:val="auto"/>
              </w:rPr>
            </w:pPr>
          </w:p>
        </w:tc>
      </w:tr>
      <w:tr>
        <w:trPr>
          <w:trHeight w:val="220"/>
        </w:trPr>
        <w:tc>
          <w:tcPr>
            <w:tcW w:w="3060" w:type="dxa"/>
            <w:vAlign w:val="bottom"/>
          </w:tcPr>
          <w:p>
            <w:pPr>
              <w:spacing w:after="0"/>
              <w:rPr>
                <w:sz w:val="19"/>
                <w:szCs w:val="19"/>
                <w:color w:val="auto"/>
              </w:rPr>
            </w:pPr>
          </w:p>
        </w:tc>
        <w:tc>
          <w:tcPr>
            <w:tcW w:w="40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Houston, Texas 77002</w:t>
            </w:r>
          </w:p>
        </w:tc>
        <w:tc>
          <w:tcPr>
            <w:tcW w:w="2200" w:type="dxa"/>
            <w:vAlign w:val="bottom"/>
          </w:tcPr>
          <w:p>
            <w:pPr>
              <w:spacing w:after="0"/>
              <w:rPr>
                <w:sz w:val="19"/>
                <w:szCs w:val="19"/>
                <w:color w:val="auto"/>
              </w:rPr>
            </w:pPr>
          </w:p>
        </w:tc>
      </w:tr>
      <w:tr>
        <w:trPr>
          <w:trHeight w:val="216"/>
        </w:trPr>
        <w:tc>
          <w:tcPr>
            <w:tcW w:w="3060" w:type="dxa"/>
            <w:vAlign w:val="bottom"/>
          </w:tcPr>
          <w:p>
            <w:pPr>
              <w:spacing w:after="0"/>
              <w:rPr>
                <w:sz w:val="18"/>
                <w:szCs w:val="18"/>
                <w:color w:val="auto"/>
              </w:rPr>
            </w:pPr>
          </w:p>
        </w:tc>
        <w:tc>
          <w:tcPr>
            <w:tcW w:w="4020" w:type="dxa"/>
            <w:vAlign w:val="bottom"/>
          </w:tcPr>
          <w:p>
            <w:pPr>
              <w:jc w:val="center"/>
              <w:ind w:right="90"/>
              <w:spacing w:after="0"/>
              <w:rPr>
                <w:sz w:val="20"/>
                <w:szCs w:val="20"/>
                <w:color w:val="auto"/>
              </w:rPr>
            </w:pPr>
            <w:r>
              <w:rPr>
                <w:rFonts w:ascii="Arial" w:cs="Arial" w:eastAsia="Arial" w:hAnsi="Arial"/>
                <w:sz w:val="18"/>
                <w:szCs w:val="18"/>
                <w:color w:val="auto"/>
                <w:w w:val="91"/>
              </w:rPr>
              <w:t>(Address and zip code of principal</w:t>
            </w:r>
          </w:p>
        </w:tc>
        <w:tc>
          <w:tcPr>
            <w:tcW w:w="220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4020" w:type="dxa"/>
            <w:vAlign w:val="bottom"/>
          </w:tcPr>
          <w:p>
            <w:pPr>
              <w:jc w:val="center"/>
              <w:ind w:right="90"/>
              <w:spacing w:after="0"/>
              <w:rPr>
                <w:sz w:val="20"/>
                <w:szCs w:val="20"/>
                <w:color w:val="auto"/>
              </w:rPr>
            </w:pPr>
            <w:r>
              <w:rPr>
                <w:rFonts w:ascii="Arial" w:cs="Arial" w:eastAsia="Arial" w:hAnsi="Arial"/>
                <w:sz w:val="18"/>
                <w:szCs w:val="18"/>
                <w:color w:val="auto"/>
                <w:w w:val="92"/>
              </w:rPr>
              <w:t>executive offices)</w:t>
            </w:r>
          </w:p>
        </w:tc>
        <w:tc>
          <w:tcPr>
            <w:tcW w:w="2200" w:type="dxa"/>
            <w:vAlign w:val="bottom"/>
          </w:tcPr>
          <w:p>
            <w:pPr>
              <w:spacing w:after="0"/>
              <w:rPr>
                <w:sz w:val="20"/>
                <w:szCs w:val="20"/>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 October 31, 2016, Civeo Corporation (the “Company”) issued a press release announcing its financial condition and results of operations for the quarter ended September 30, 2016. A copy of the press release is furnished as Exhibit 99.1 to this report on Form 8-K, and is incorporated herein by reference.</w:t>
      </w:r>
    </w:p>
    <w:p>
      <w:pPr>
        <w:spacing w:after="0" w:line="181"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100" w:hanging="444"/>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80" w:type="dxa"/>
            <w:vAlign w:val="bottom"/>
          </w:tcPr>
          <w:p>
            <w:pPr>
              <w:spacing w:after="0"/>
              <w:rPr>
                <w:sz w:val="18"/>
                <w:szCs w:val="18"/>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560" w:type="dxa"/>
            <w:vAlign w:val="bottom"/>
          </w:tcPr>
          <w:p>
            <w:pPr>
              <w:spacing w:after="0"/>
              <w:rPr>
                <w:sz w:val="16"/>
                <w:szCs w:val="16"/>
                <w:color w:val="auto"/>
              </w:rPr>
            </w:pPr>
          </w:p>
        </w:tc>
        <w:tc>
          <w:tcPr>
            <w:tcW w:w="10300" w:type="dxa"/>
            <w:vAlign w:val="bottom"/>
            <w:gridSpan w:val="2"/>
          </w:tcPr>
          <w:p>
            <w:pPr>
              <w:spacing w:after="0" w:line="190" w:lineRule="exact"/>
              <w:rPr>
                <w:sz w:val="20"/>
                <w:szCs w:val="20"/>
                <w:color w:val="auto"/>
              </w:rPr>
            </w:pPr>
            <w:r>
              <w:rPr>
                <w:rFonts w:ascii="Arial" w:cs="Arial" w:eastAsia="Arial" w:hAnsi="Arial"/>
                <w:sz w:val="18"/>
                <w:szCs w:val="18"/>
                <w:color w:val="auto"/>
              </w:rPr>
              <w:t>Description of Document</w:t>
            </w:r>
          </w:p>
        </w:tc>
      </w:tr>
      <w:tr>
        <w:trPr>
          <w:trHeight w:val="20"/>
        </w:trPr>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Press Release dated October 31, 2016</w:t>
            </w:r>
          </w:p>
        </w:tc>
      </w:tr>
      <w:tr>
        <w:trPr>
          <w:trHeight w:val="780"/>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61"/>
        </w:trPr>
        <w:tc>
          <w:tcPr>
            <w:tcW w:w="6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84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2016</w:t>
      </w:r>
    </w:p>
    <w:p>
      <w:pPr>
        <w:spacing w:after="0" w:line="200" w:lineRule="exact"/>
        <w:rPr>
          <w:sz w:val="20"/>
          <w:szCs w:val="20"/>
          <w:color w:val="auto"/>
        </w:rPr>
      </w:pPr>
    </w:p>
    <w:p>
      <w:pPr>
        <w:spacing w:after="0" w:line="34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Frank C. Steininger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-130810</wp:posOffset>
            </wp:positionV>
            <wp:extent cx="2512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Vice President, Chief Financial</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560" w:type="dxa"/>
            <w:vAlign w:val="bottom"/>
          </w:tcPr>
          <w:p>
            <w:pPr>
              <w:spacing w:after="0"/>
              <w:rPr>
                <w:sz w:val="16"/>
                <w:szCs w:val="16"/>
                <w:color w:val="auto"/>
              </w:rPr>
            </w:pPr>
          </w:p>
        </w:tc>
        <w:tc>
          <w:tcPr>
            <w:tcW w:w="2720" w:type="dxa"/>
            <w:vAlign w:val="bottom"/>
            <w:gridSpan w:val="2"/>
          </w:tcPr>
          <w:p>
            <w:pPr>
              <w:spacing w:after="0" w:line="190" w:lineRule="exact"/>
              <w:rPr>
                <w:sz w:val="20"/>
                <w:szCs w:val="20"/>
                <w:color w:val="auto"/>
              </w:rPr>
            </w:pPr>
            <w:r>
              <w:rPr>
                <w:rFonts w:ascii="Arial" w:cs="Arial" w:eastAsia="Arial" w:hAnsi="Arial"/>
                <w:sz w:val="18"/>
                <w:szCs w:val="18"/>
                <w:color w:val="auto"/>
              </w:rPr>
              <w:t>Description of Document</w:t>
            </w:r>
          </w:p>
        </w:tc>
      </w:tr>
      <w:tr>
        <w:trPr>
          <w:trHeight w:val="20"/>
        </w:trPr>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86"/>
              </w:rPr>
              <w:t>Press Release dated October 31, 2016</w:t>
            </w:r>
          </w:p>
        </w:tc>
      </w:tr>
    </w:tbl>
    <w:p>
      <w:pPr>
        <w:sectPr>
          <w:pgSz w:w="11900" w:h="16838" w:orient="portrait"/>
          <w:cols w:equalWidth="0" w:num="1">
            <w:col w:w="10219"/>
          </w:cols>
          <w:pgMar w:left="24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132205"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220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 Reports Third Quarter 2016 Results</w:t>
      </w:r>
    </w:p>
    <w:p>
      <w:pPr>
        <w:spacing w:after="0" w:line="2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HOUSTON, October 31, 2016 – Civeo Corporation (NYSE: CVEO) today reported financial and operating results for the third quarter ended September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Highlights include:</w:t>
      </w:r>
    </w:p>
    <w:p>
      <w:pPr>
        <w:spacing w:after="0" w:line="23" w:lineRule="exact"/>
        <w:rPr>
          <w:sz w:val="20"/>
          <w:szCs w:val="20"/>
          <w:color w:val="auto"/>
        </w:rPr>
      </w:pPr>
    </w:p>
    <w:p>
      <w:pPr>
        <w:ind w:left="340" w:hanging="332"/>
        <w:spacing w:after="0" w:line="290"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Financial results for each division and on a consolidated basis exceeded guidance due to the Company’s continued cost control, higher occupancy in Canada after the Ft. McMurray forest fires, and slightly higher than anticipated occupancy and average daily rates in Australia</w:t>
      </w:r>
    </w:p>
    <w:p>
      <w:pPr>
        <w:spacing w:after="0" w:line="161"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generated $13.7 million in operating cash flow and $10.7 million in free cash flow and reduced debt by $15 million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operational execution in the third quarter continued to exceed our expectations despite the persistent macroeconomic headwinds impacting our core end markets. Although the recent stabilization in global crude oil spot prices is encouraging, we remain committed to vigilant cost control, positive free cash flow generation and debt reduction,” said Bradley J. Dodson, President and Chief Executive Officer.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“Additionally, spot met coal prices in Australia have surged in recent weeks in response to domestic coal output reductions in China leading to an increase in Chinese imports. Although the higher prices have yet to noticeably impact mining activity in Australia, improving market fundamentals are an encouraging sign heading into 2017. We continue to believe that the Company remains well positioned in the Australian natural resources market over the long-term.”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2016 RESULTS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third quarter of 2016, the Company generated revenues of $104.2 million and reported a net loss of $42.1 million, or $0.39 per share. The loss included a $39.4 million pre-tax loss ($28.8 million after-tax, or $0.27 per diluted share) resulting from the impairment of fixed assets, a write-down of inventory and severance costs associated with the termination of certain executives. Excluding these charges, adjusted net loss was $13.3 million or $0.12 per diluted share. During the third quarter of 2016, Adjusted EBITDA was $25.4 million and the Company generated operating cash flow of $13.7 million and free cash flow of $10.7 million.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(EBITDA is a non-GAAP financial measure that is defined as net income plus interest, taxes, depreciation and amortization, and Adjusted EBITDA is defined as EBITDA adjusted to exclude impairment charges and certain other costs. Free cash flow is a non-GAAP financial measure that is defined as net cash flows provided by operating activities less capital expenditures plus proceeds from asset sales. Please see reconciliation to GAAP measures at the end of this news release.)</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By comparison, in the third quarter of 2015, the Company generated revenues of $106.5 million and a net loss of $107.7 million, or $1.01 per share. The loss included $113.7 million in pre-tax charges ($92.6 million after-tax or $0.86 per diluted share) related to goodwill and fixed asset impairments and costs incurred in connection with the Company’s migration to Canada. Excluding these charges, adjusted net loss was $15.1 million, or $0.15 per diluted share. During the third quarter of 2015, Adjusted EBITDA was $25.3 million, operating cash flow was $80.6 million and free cash flow was $61.5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t>Revenues decreased $2.3 million, or 2% year over year, in the third quarter of 2016 compared to the third quarter of 2015. The decline was attributable to decreases in the U.S. and Australia due to lower occupancy and activity levels. Selling, general and administrative expense decreased $3.0 million, or 18%, in the third quarter of 2016 compared to the third quarter of 2015. This decrease was primarily due to reduced compensation as a result of workforce reductions, the non-recurrence of 2015 transaction costs related to the Canada migration and lower incentive compensation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noted, the following discussion compares the quarterly results for the third quarter of 2016 to the third quarter of 2015. The results discussed below exclude the fixed asset impairment expense and migration charges noted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Canadian segment generated revenues of $73.5 million, operating loss of $44.7 million, and Adjusted EBITDA of $19.6 million in the third quarter of 2016 compared to revenues of $71.5 million, operating loss of $70.9 million, and Adjusted EBITDA of $19.5 million in the third quarter of 2015. The average exchange rates for the Canadian dollar relative to the U.S. dollar had a negligible impact on the Company’s results in the third quarter of 2016 compared to the third quarter of 2015.</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 constant currency basis, lodge revenues increased nearly 11% year-on-year due to the expansion of lodging capacity and higher occupancy due primarily to the continued room needs for customers’ recovery efforts from the Fort McMurray fires. However, this was partially offset by a decline in the average daily lodging rate from $112 to $100. Mobile, open camp and manufacturing revenues all declined due to overall lower activity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Australian segment generated revenues of $27.7 million, operating loss of $1.9 million, and Adjusted EBITDA of $11.0 million in the third quarter of 2016, compared to revenues of $29.2 million, operating loss of $26.0 million, and Adjusted EBITDA of $11.7 million in the third quarter of 2015. A stronger average exchange rate between the Australian dollar relative to the U.S. dollar in the third quarter of 2016 compared to the third quarter of 2015 increased revenues by $1.2 million. On a constant currency basis, Australian segment revenues declined by 9% year-on-year in the third quarter of 2016 due to lower occupancy levels associated with the continued downturn in the Australian mining industry.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U.S. segment generated revenues of $3.0 million, operating loss of $3.3 million, and negative Adjusted EBITDA of $1.3 million in the third quarter of 2016, compared to revenues of $5.9 million, operating loss of $24.9 million, and negative Adjusted EBITDA of $1.0 million in the third quarter of 2015. Results reflected lower U.S. drilling activity in the Bakken, Rockies and Texas markets.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IMPAIRMENT CHARGES</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During the third quarter of 2016, the Company recorded a pre-tax impairment charge of $37.7 million ($27.5 million after-tax, or $0.26 per diluted share). The non-cash impairment charge resulted from a carrying value assessment of mobile camp assets and certain undeveloped land positions in our Canadian segment. Additional details will be available in our Form 10-Q filing for the third quarter of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The Company recognized an income tax benefit of $11.7 million, which reflected an effective tax rate of 21.8% in the third quarter of 2016. By comparison, during the third quarter of 2015, the Company recognized an income tax benefit of $22.7 million, which resulted in an effective tax rate of 17.5%.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of September 30, 2016, the Company had total available liquidity of approximately $176.6 million, comprising $174.1 million available under its credit facility and $2.5 million of cash on hand. The Company made $15.4 million in debt reduction payments during the third quarter, for a total of $44 million in debt reduction payments during the first nine months of 2016.</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Capital expenditures totaled $5.4 million in the third quarter compared to $19.6 million spent in the same period last year. Year-to-date, capital expenditures totaled $15.2 million, compared with $43.7 million for the first nine months of 2015. Civeo currently expects capital expenditures of approximately $20 million to $25 million for the full year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FOURTH QUARTER AND FULL YEAR 2016 GUIDANCE</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the fourth quarter of 2016, the Company expects revenues of $88 million to $92 million and Adjusted EBITDA of $15 million to $18 million. For the full year 2016, the Company expects revenues of $394 million to $398 million and Adjusted EBITDA of $84 million to $87 million. (Please see reconciliation to GAAP measures at the end of this news release.)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Civeo will host a conference call to discuss its third quarter 2016 financial results today at 11:00 a.m. Eastern time. This call will be webcast and can be accessed at Civeo's website at www.civeo.com. Participants may also join the conference call by dialing (877) 709-8150 in the United States or (201) 689-8354 internationally and asking for the Civeo call. A replay will be available after the call by dialing (877) 660-6853 in the United States or (201) 612-7415 internationally and entering the passcode 13648282#.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ABOUT CIVEO</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solutions and provides catering, facility management, water systems and logistics services. Civeo currently owns a total of 19 lodges and villages in operation in Canada and Australia, with an aggregate of more than 23,000 rooms. Civeo is publicly traded under the symbol CVEO on the New York Stock Exchange. For more information, please visit Civeo's website at www.civeo.com.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 risks associated with the Company’s migration to Canada, including, among other things, risks associated with changes in tax laws or their interpretations, risks associated with the development of new projects, including whether such projects will continue in the future, and other factors discussed in the Company’s annual report on Form 10-K for the year ended December 31, 2015, and other reports the Company may file from time to time with the U.S. Securities and Exchange Commission. Each forward-looking statement contained in this news release speaks only as of the date of this release. Except as required by law, the Company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color w:val="auto"/>
        </w:rPr>
        <w:t>Financial Schedules Follow</w:t>
      </w:r>
    </w:p>
    <w:p>
      <w:pPr>
        <w:sectPr>
          <w:pgSz w:w="11900" w:h="16838" w:orient="portrait"/>
          <w:cols w:equalWidth="0" w:num="1">
            <w:col w:w="9019"/>
          </w:cols>
          <w:pgMar w:left="1440" w:top="5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104,238</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306,309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420,678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Cost of sales and services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67,964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69,751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198,493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262,086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16,691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33,721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36,172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100,444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110,715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Other operating expense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(3,945)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153,196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229,384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387,478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552,779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loss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(48,958)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(122,840)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(81,169)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(132,101)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(6,022)</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(16,941)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Loss before income taxes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(53,666)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(129,915)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(97,214)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(147,660)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(41,969)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(107,170)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(79,997)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(120,209)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Net income attributable to noncontrolling interest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tcPr>
          <w:p>
            <w:pPr>
              <w:spacing w:after="0"/>
              <w:rPr>
                <w:sz w:val="20"/>
                <w:szCs w:val="20"/>
                <w:color w:val="auto"/>
              </w:rPr>
            </w:pPr>
            <w:r>
              <w:rPr>
                <w:rFonts w:ascii="Arial" w:cs="Arial" w:eastAsia="Arial" w:hAnsi="Arial"/>
                <w:sz w:val="18"/>
                <w:szCs w:val="18"/>
                <w:color w:val="auto"/>
              </w:rPr>
              <w:t>Net loss attributable to Civeo Corporation</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(42,131)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(107,685)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(80,439)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(121,162)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2"/>
              </w:rPr>
              <w:t>Net loss per share attributable to Civeo Corporation common stockholders: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Diluted</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(0.39)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(0.75)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106,661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106,661</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106,989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106,583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5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7"/>
              </w:rPr>
              <w:t>SEPTEMBER 30,</w:t>
            </w:r>
          </w:p>
        </w:tc>
        <w:tc>
          <w:tcPr>
            <w:tcW w:w="100" w:type="dxa"/>
            <w:vAlign w:val="bottom"/>
          </w:tcPr>
          <w:p>
            <w:pPr>
              <w:spacing w:after="0"/>
              <w:rPr>
                <w:sz w:val="18"/>
                <w:szCs w:val="18"/>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56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2,530</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7,837</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61,467</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5,631</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15,024</w:t>
            </w:r>
          </w:p>
        </w:tc>
      </w:tr>
      <w:tr>
        <w:trPr>
          <w:trHeight w:val="20"/>
        </w:trPr>
        <w:tc>
          <w:tcPr>
            <w:tcW w:w="564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90,393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89,959</w:t>
            </w:r>
          </w:p>
        </w:tc>
      </w:tr>
      <w:tr>
        <w:trPr>
          <w:trHeight w:val="216"/>
        </w:trPr>
        <w:tc>
          <w:tcPr>
            <w:tcW w:w="56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60"/>
          </w:cols>
          <w:pgMar w:left="240" w:top="580" w:right="199" w:bottom="1440" w:gutter="0" w:footer="0" w:header="0"/>
        </w:sectPr>
      </w:pPr>
    </w:p>
    <w:p>
      <w:pPr>
        <w:spacing w:after="0"/>
        <w:rPr>
          <w:sz w:val="20"/>
          <w:szCs w:val="20"/>
          <w:color w:val="auto"/>
        </w:rPr>
      </w:pPr>
      <w:r>
        <w:rPr>
          <w:rFonts w:ascii="Arial" w:cs="Arial" w:eastAsia="Arial" w:hAnsi="Arial"/>
          <w:sz w:val="16"/>
          <w:szCs w:val="16"/>
          <w:color w:val="auto"/>
        </w:rPr>
        <w:t>Property, plant and equipment,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844,801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931,914</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31,503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35,309</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9,347</w:t>
            </w:r>
          </w:p>
        </w:tc>
      </w:tr>
      <w:tr>
        <w:trPr>
          <w:trHeight w:val="210"/>
        </w:trPr>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978,051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1,066,529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40"/>
          </w:cols>
          <w:pgMar w:left="240" w:top="580"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27,755</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24,609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16,161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15,819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10,265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34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70,268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379,416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32,402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34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502,759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(456,815)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(376,376)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stock</w:t>
            </w:r>
          </w:p>
        </w:tc>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(339,799)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(366,309)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Civeo Corporation shareholders' equity</w:t>
            </w:r>
          </w:p>
        </w:tc>
        <w:tc>
          <w:tcPr>
            <w:tcW w:w="34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513,786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563,245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34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514,754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563,770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3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978,051</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1,066,529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20" w:type="dxa"/>
            <w:vAlign w:val="bottom"/>
            <w:vMerge w:val="restart"/>
          </w:tcPr>
          <w:p>
            <w:pPr>
              <w:jc w:val="right"/>
              <w:ind w:right="2270"/>
              <w:spacing w:after="0"/>
              <w:rPr>
                <w:sz w:val="20"/>
                <w:szCs w:val="20"/>
                <w:color w:val="auto"/>
              </w:rPr>
            </w:pPr>
            <w:r>
              <w:rPr>
                <w:rFonts w:ascii="Arial" w:cs="Arial" w:eastAsia="Arial" w:hAnsi="Arial"/>
                <w:sz w:val="18"/>
                <w:szCs w:val="18"/>
                <w:color w:val="auto"/>
              </w:rPr>
              <w:t>7</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68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type w:val="continuous"/>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loss</w:t>
            </w:r>
          </w:p>
        </w:tc>
        <w:tc>
          <w:tcPr>
            <w:tcW w:w="2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(79,997)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(120,209)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loss to net cash provided by operating activities:</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100,444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121,159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Inventory write-down</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Deferred income tax benefit</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(25,239)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 charge</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Losses (gains) on disposals of assets</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(benefit) for loss on receivables, net of recoveries</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(2,920)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payable</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Other current assets and liabilities, net</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(7,062)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24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174,933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(15,246)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(43,701)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24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borrowings</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Term loan repayments</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(37,107)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Revolver borrowings (repayments), net</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(4,555)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used in financing activities</w:t>
            </w:r>
          </w:p>
        </w:tc>
        <w:tc>
          <w:tcPr>
            <w:tcW w:w="24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(347,347)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(5,307)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(250,679)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263,314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80" w:type="dxa"/>
            <w:vAlign w:val="bottom"/>
            <w:vMerge w:val="restart"/>
          </w:tcPr>
          <w:p>
            <w:pPr>
              <w:jc w:val="right"/>
              <w:ind w:right="2270"/>
              <w:spacing w:after="0"/>
              <w:rPr>
                <w:sz w:val="20"/>
                <w:szCs w:val="20"/>
                <w:color w:val="auto"/>
              </w:rPr>
            </w:pPr>
            <w:r>
              <w:rPr>
                <w:rFonts w:ascii="Arial" w:cs="Arial" w:eastAsia="Arial" w:hAnsi="Arial"/>
                <w:sz w:val="18"/>
                <w:szCs w:val="18"/>
                <w:color w:val="auto"/>
                <w:w w:val="99"/>
              </w:rPr>
              <w:t>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620" w:type="dxa"/>
            <w:vAlign w:val="bottom"/>
            <w:shd w:val="clear" w:color="auto" w:fill="808080"/>
          </w:tcPr>
          <w:p>
            <w:pPr>
              <w:spacing w:after="0"/>
              <w:rPr>
                <w:sz w:val="5"/>
                <w:szCs w:val="5"/>
                <w:color w:val="auto"/>
              </w:rPr>
            </w:pPr>
          </w:p>
        </w:tc>
        <w:tc>
          <w:tcPr>
            <w:tcW w:w="24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Canada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73,539</w:t>
            </w:r>
          </w:p>
        </w:tc>
        <w:tc>
          <w:tcPr>
            <w:tcW w:w="140" w:type="dxa"/>
            <w:vAlign w:val="bottom"/>
          </w:tcPr>
          <w:p>
            <w:pPr>
              <w:spacing w:after="0"/>
              <w:rPr>
                <w:sz w:val="18"/>
                <w:szCs w:val="18"/>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71,500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216,168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29,177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5,867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9,447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104,238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106,544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306,309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Canada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(19,841)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(47,218)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17,950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(21,477)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(15,244)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Total EBITDA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(14,061)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(86,922)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19,891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Adjusted EBITDA (1)</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19,595</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57,627</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Australia</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11,731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32,801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Corporate and eliminations</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(3,869)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(4,900)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(14,586)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(15,568)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Canada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(44,742)</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(70,909)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(53,758)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(25,995)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(24,916)</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(20,662)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Total operating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(48,958)</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(122,840)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(81,169)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(132,101)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Please see Non-GAAP Reconciliation Schedule.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center"/>
        <w:ind w:right="6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NON-GAAP RECONCILIATIONS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2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(14,061)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Adjusted EBITDA (1)</w:t>
            </w:r>
          </w:p>
        </w:tc>
        <w:tc>
          <w:tcPr>
            <w:tcW w:w="2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25,375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25,317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68,998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(2)</w:t>
            </w:r>
          </w:p>
        </w:tc>
        <w:tc>
          <w:tcPr>
            <w:tcW w:w="2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133,487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00" w:firstLine="8"/>
        <w:spacing w:after="0" w:line="270"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term EBITDA is defined as net income plus interest, taxes, depreciation and amortization. The term Adjusted EBITDA is defined as EBITDA adjusted to exclude impairment charges and certain other costs such as those incurred associated with the Company's redomiciliation.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3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a reconciliation of EBITDA and Adjusted EBITDA to net income, which is the most directly comparable measure of financial performance calculated under generally accepted accounting principles (in thousands) (unaudited):</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(42,131)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(107,685)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(80,439)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(11,697)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(22,745)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(17,217)</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100,444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16,941</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17,879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Adjustments to EBITDA</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of intangible asset (a)</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Impairment of assets (b)</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65,061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46,979</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of goodwill (c)</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Migration costs (d)</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assets held for sale (e)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Severance (f)</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857</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60" w:firstLine="8"/>
        <w:spacing w:after="0" w:line="286" w:lineRule="auto"/>
        <w:tabs>
          <w:tab w:leader="none" w:pos="24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Relates to the 2015 impairment of an intangible asset in the U.S. The U.S. intangible impairment resulted from an assessment of the carrying value of our long-lived assets, which evaluation included amortizable intangible assets. The $2.5 million impairment ($1.6 million after-tax, or $0.01 per diluted share), which is related to our U.S. segment, is included in Impairment expense on the unaudited statements of operations.</w:t>
      </w:r>
    </w:p>
    <w:p>
      <w:pPr>
        <w:spacing w:after="0" w:line="219" w:lineRule="exact"/>
        <w:rPr>
          <w:rFonts w:ascii="Arial" w:cs="Arial" w:eastAsia="Arial" w:hAnsi="Arial"/>
          <w:sz w:val="17"/>
          <w:szCs w:val="17"/>
          <w:color w:val="auto"/>
        </w:rPr>
      </w:pPr>
    </w:p>
    <w:p>
      <w:pPr>
        <w:ind w:right="100" w:firstLine="8"/>
        <w:spacing w:after="0" w:line="272"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2016 relates to the impairment of assets in Canada and the United States. During the third quarter 2016, we recorded a pre-tax loss of $38.6 million ($28.2 million after-tax, or $0.26 per diluted share), of which $0.9 million is included in Cost of sales and $37.7 million is included in Impairment expense on the unaudited statements of operations. During the first quarter 2016, we recorded a pre-tax loss of $8.4 million ($8.4 million after-tax, or $0.08 per diluted share), which is included in Impairment expense on the unaudited statements of operations. 2015 relates to the impairment of certain fixed assets which carrying value we have determined to not to be recoverable. The $65.1 million impairment ($45.3 million after-tax, or $0.43 per diluted share) for the quarter ended September 30, 2015 and the $74.5 million impairment ($54.4 million after-tax, or $0.51 per diluted share) for the nine months ended September 30, 2015 is included in Impairment expense on the unaudited statements of operations.</w:t>
      </w:r>
    </w:p>
    <w:p>
      <w:pPr>
        <w:spacing w:after="0" w:line="200" w:lineRule="exact"/>
        <w:rPr>
          <w:sz w:val="20"/>
          <w:szCs w:val="20"/>
          <w:color w:val="auto"/>
        </w:rPr>
      </w:pP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80"/>
          </w:cols>
          <w:pgMar w:left="240" w:top="580" w:right="179" w:bottom="1440" w:gutter="0" w:footer="0" w:header="0"/>
        </w:sectPr>
      </w:pPr>
    </w:p>
    <w:bookmarkStart w:id="14" w:name="page15"/>
    <w:bookmarkEnd w:id="14"/>
    <w:p>
      <w:pPr>
        <w:ind w:right="60" w:firstLine="8"/>
        <w:spacing w:after="0" w:line="277"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Relates to the impairment of goodwill. The $43.2 million impairment ($43.2 million after-tax, or $0.40 per diluted share), which is related to our Canadian segment, is included in Impairment expense on the unaudited statements of operations.</w:t>
      </w:r>
    </w:p>
    <w:p>
      <w:pPr>
        <w:spacing w:after="0" w:line="224" w:lineRule="exact"/>
        <w:rPr>
          <w:rFonts w:ascii="Arial" w:cs="Arial" w:eastAsia="Arial" w:hAnsi="Arial"/>
          <w:sz w:val="18"/>
          <w:szCs w:val="18"/>
          <w:color w:val="auto"/>
        </w:rPr>
      </w:pPr>
    </w:p>
    <w:p>
      <w:pPr>
        <w:jc w:val="both"/>
        <w:ind w:right="60" w:firstLine="8"/>
        <w:spacing w:after="0" w:line="302"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costs incurred associated with the Company's redomiciliation to Canada. For 2016, the $1.3 million in costs ($1.2 million after-tax, or $0.01 per diluted share), which are primarily corporate in nature, are included in Selling, general and administrative costs on the unaudited statements of operations. For 2015, the $1.5 million and $5.1 million in costs ($1.0 million and $3.4 million, respectively, after-tax, or $0.01 and $0.04, respectively, per diluted share, respectively), which are primarily corporate in nature, are included in Selling, general and administrative costs on the unaudited statements of operations.</w:t>
      </w:r>
    </w:p>
    <w:p>
      <w:pPr>
        <w:spacing w:after="0" w:line="208" w:lineRule="exact"/>
        <w:rPr>
          <w:rFonts w:ascii="Arial" w:cs="Arial" w:eastAsia="Arial" w:hAnsi="Arial"/>
          <w:sz w:val="16"/>
          <w:szCs w:val="16"/>
          <w:color w:val="auto"/>
        </w:rPr>
      </w:pPr>
    </w:p>
    <w:p>
      <w:pPr>
        <w:ind w:right="340" w:firstLine="8"/>
        <w:spacing w:after="0" w:line="286" w:lineRule="auto"/>
        <w:tabs>
          <w:tab w:leader="none" w:pos="245" w:val="left"/>
        </w:tabs>
        <w:numPr>
          <w:ilvl w:val="0"/>
          <w:numId w:val="5"/>
        </w:numPr>
        <w:rPr>
          <w:rFonts w:ascii="Arial" w:cs="Arial" w:eastAsia="Arial" w:hAnsi="Arial"/>
          <w:sz w:val="17"/>
          <w:szCs w:val="17"/>
          <w:color w:val="auto"/>
        </w:rPr>
      </w:pPr>
      <w:r>
        <w:rPr>
          <w:rFonts w:ascii="Arial" w:cs="Arial" w:eastAsia="Arial" w:hAnsi="Arial"/>
          <w:sz w:val="17"/>
          <w:szCs w:val="17"/>
          <w:color w:val="auto"/>
        </w:rPr>
        <w:t>Relates to the first quarter 2015 decision to close a manufacturing facility in the United States. As a result, the related assets were written down to their estimated sales proceeds, less costs to sell. We recorded a pre-tax loss of $3.8 million ($2.4 million after-tax, or $0.02 per diluted share), of which $1.1 million is included in Cost of sales and services and $2.7 million is included in Impairment expense on the statements of operations.</w:t>
      </w:r>
    </w:p>
    <w:p>
      <w:pPr>
        <w:spacing w:after="0" w:line="219" w:lineRule="exact"/>
        <w:rPr>
          <w:rFonts w:ascii="Arial" w:cs="Arial" w:eastAsia="Arial" w:hAnsi="Arial"/>
          <w:sz w:val="17"/>
          <w:szCs w:val="17"/>
          <w:color w:val="auto"/>
        </w:rPr>
      </w:pPr>
    </w:p>
    <w:p>
      <w:pPr>
        <w:ind w:right="460" w:firstLine="8"/>
        <w:spacing w:after="0" w:line="342" w:lineRule="auto"/>
        <w:tabs>
          <w:tab w:leader="none" w:pos="22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severance costs associated with the termination of executives. The $0.9 million expense ($0.6 million after-tax, or $0.01 per diluted share), which is related to our Canadian segment, is included in Selling, general and administrative expenses on the unaudited statements of operations.</w:t>
      </w:r>
    </w:p>
    <w:p>
      <w:pPr>
        <w:spacing w:after="0" w:line="178" w:lineRule="exact"/>
        <w:rPr>
          <w:sz w:val="20"/>
          <w:szCs w:val="20"/>
          <w:color w:val="auto"/>
        </w:rPr>
      </w:pPr>
    </w:p>
    <w:p>
      <w:pPr>
        <w:ind w:right="180" w:firstLine="8"/>
        <w:spacing w:after="0" w:line="291"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The Company has included Free Cash Flow as a supplemental disclosure because its management believes that Free Cash Flow provides useful information regarding the cash flow generating ability of its business relative to its capital expenditure and debt service obligations. The Company uses Free Cash Flow to compare and to understand, manage, make operating decisions and evaluate its business. It is also used as a benchmark for the award of incentive compensation under its Free Cash Flow plan.</w:t>
      </w:r>
    </w:p>
    <w:p>
      <w:pPr>
        <w:spacing w:after="0" w:line="2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5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25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13,662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48,790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174,933</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(5,353)</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(19,599)</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(15,246)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(43,701)</w:t>
            </w: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Proceeds from disposition of property, plant and equipment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w:t>
            </w:r>
          </w:p>
        </w:tc>
        <w:tc>
          <w:tcPr>
            <w:tcW w:w="3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Free Cash Flow</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10,669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61,455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38,009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133,487</w:t>
            </w:r>
          </w:p>
        </w:tc>
        <w:tc>
          <w:tcPr>
            <w:tcW w:w="3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669"/>
        </w:trPr>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40" w:type="dxa"/>
            <w:vAlign w:val="bottom"/>
            <w:gridSpan w:val="2"/>
          </w:tcPr>
          <w:p>
            <w:pPr>
              <w:ind w:left="420"/>
              <w:spacing w:after="0"/>
              <w:rPr>
                <w:sz w:val="20"/>
                <w:szCs w:val="20"/>
                <w:color w:val="auto"/>
              </w:rPr>
            </w:pPr>
            <w:r>
              <w:rPr>
                <w:rFonts w:ascii="Arial" w:cs="Arial" w:eastAsia="Arial" w:hAnsi="Arial"/>
                <w:sz w:val="18"/>
                <w:szCs w:val="18"/>
                <w:color w:val="auto"/>
                <w:w w:val="99"/>
              </w:rPr>
              <w:t>11</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4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48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5" w:name="page16"/>
    <w:bookmarkEnd w:id="15"/>
    <w:p>
      <w:pPr>
        <w:jc w:val="center"/>
        <w:ind w:right="6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NON-GAAP RECONCILIATIONS - GUIDANCE</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5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ENDING</w:t>
            </w:r>
          </w:p>
        </w:tc>
        <w:tc>
          <w:tcPr>
            <w:tcW w:w="340" w:type="dxa"/>
            <w:vAlign w:val="bottom"/>
          </w:tcPr>
          <w:p>
            <w:pPr>
              <w:spacing w:after="0"/>
              <w:rPr>
                <w:sz w:val="18"/>
                <w:szCs w:val="18"/>
                <w:color w:val="auto"/>
              </w:rPr>
            </w:pPr>
          </w:p>
        </w:tc>
        <w:tc>
          <w:tcPr>
            <w:tcW w:w="19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YEAR ENDING</w:t>
            </w:r>
          </w:p>
        </w:tc>
        <w:tc>
          <w:tcPr>
            <w:tcW w:w="460" w:type="dxa"/>
            <w:vAlign w:val="bottom"/>
          </w:tcPr>
          <w:p>
            <w:pPr>
              <w:spacing w:after="0"/>
              <w:rPr>
                <w:sz w:val="18"/>
                <w:szCs w:val="18"/>
                <w:color w:val="auto"/>
              </w:rPr>
            </w:pPr>
          </w:p>
        </w:tc>
      </w:tr>
      <w:tr>
        <w:trPr>
          <w:trHeight w:val="234"/>
        </w:trPr>
        <w:tc>
          <w:tcPr>
            <w:tcW w:w="4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2016</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2016</w:t>
            </w:r>
          </w:p>
        </w:tc>
        <w:tc>
          <w:tcPr>
            <w:tcW w:w="460" w:type="dxa"/>
            <w:vAlign w:val="bottom"/>
          </w:tcPr>
          <w:p>
            <w:pPr>
              <w:spacing w:after="0"/>
              <w:rPr>
                <w:sz w:val="20"/>
                <w:szCs w:val="20"/>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EBITDA Range (1)</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8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37.8</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Adjusted EBITDA Range (1)</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8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9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87.0</w:t>
            </w:r>
          </w:p>
        </w:tc>
      </w:tr>
    </w:tbl>
    <w:p>
      <w:pPr>
        <w:spacing w:after="0" w:line="241" w:lineRule="exact"/>
        <w:rPr>
          <w:sz w:val="20"/>
          <w:szCs w:val="20"/>
          <w:color w:val="auto"/>
        </w:rPr>
      </w:pPr>
    </w:p>
    <w:p>
      <w:pPr>
        <w:ind w:right="440" w:firstLine="8"/>
        <w:spacing w:after="0" w:line="308"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following table sets forth a reconciliation of estimated EBITDA and Adjusted EBITDA to estimated net income (loss), which is the most directly comparable measure of financial performance calculated under generally accepted accounting principles (in millions) (unaudited):</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rPr>
              <w:t>THREE MONTHS ENDING</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rPr>
              <w:t>YEAR ENDING</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6"/>
              </w:rPr>
              <w:t>DECEMBER 31, 2016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6"/>
              </w:rPr>
              <w:t>DECEMBER 31, 2016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89"/>
              </w:rPr>
              <w:t>(estimated)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(estimated)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(18.6)</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(102.6)</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7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7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7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Adjustments to EBITDA</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Migration costs (a)</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Impairment of fixed assets (b)</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7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Severance costs (c)</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300"/>
              <w:spacing w:after="0"/>
              <w:rPr>
                <w:sz w:val="20"/>
                <w:szCs w:val="20"/>
                <w:color w:val="auto"/>
              </w:rPr>
            </w:pPr>
            <w:r>
              <w:rPr>
                <w:rFonts w:ascii="Arial" w:cs="Arial" w:eastAsia="Arial" w:hAnsi="Arial"/>
                <w:sz w:val="18"/>
                <w:szCs w:val="18"/>
                <w:color w:val="auto"/>
              </w:rPr>
              <w:t>Adjusted EBITDA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84.0</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8"/>
        <w:spacing w:after="0" w:line="277"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Relates to costs incurred associated with the Company's redomiciliation to Canada. The $1.3 million in costs ($1.2 million, after-tax), which are primarily corporate in nature, are included in Selling, general and administrative costs on the unaudited statements of operations.</w:t>
      </w:r>
    </w:p>
    <w:p>
      <w:pPr>
        <w:spacing w:after="0" w:line="224" w:lineRule="exact"/>
        <w:rPr>
          <w:rFonts w:ascii="Arial" w:cs="Arial" w:eastAsia="Arial" w:hAnsi="Arial"/>
          <w:sz w:val="18"/>
          <w:szCs w:val="18"/>
          <w:color w:val="auto"/>
        </w:rPr>
      </w:pPr>
    </w:p>
    <w:p>
      <w:pPr>
        <w:ind w:right="100" w:firstLine="8"/>
        <w:spacing w:after="0" w:line="259"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2016 relates to the impairment of assets in Canada and the United States. During the third quarter 2016, we recorded a pre-tax loss of $38.6 million ($28.2 million after-tax, or $0.26 per diluted share), of which $0.9 million is included in Cost of sales and $37.7 million is included in Impairment expense on the unaudited statements of operations. During the first quarter 2016, we recorded a pre-tax loss of $8.4 million ($8.4 million after-tax, or $0.08 per diluted share), which is included in Impairment expense on the unaudited statements of operations.</w:t>
      </w:r>
    </w:p>
    <w:p>
      <w:pPr>
        <w:spacing w:after="0" w:line="240" w:lineRule="exact"/>
        <w:rPr>
          <w:rFonts w:ascii="Arial" w:cs="Arial" w:eastAsia="Arial" w:hAnsi="Arial"/>
          <w:sz w:val="18"/>
          <w:szCs w:val="18"/>
          <w:color w:val="auto"/>
        </w:rPr>
      </w:pPr>
    </w:p>
    <w:p>
      <w:pPr>
        <w:ind w:right="460" w:firstLine="8"/>
        <w:spacing w:after="0" w:line="342" w:lineRule="auto"/>
        <w:tabs>
          <w:tab w:leader="none" w:pos="245" w:val="left"/>
        </w:tabs>
        <w:numPr>
          <w:ilvl w:val="0"/>
          <w:numId w:val="8"/>
        </w:numPr>
        <w:rPr>
          <w:rFonts w:ascii="Arial" w:cs="Arial" w:eastAsia="Arial" w:hAnsi="Arial"/>
          <w:sz w:val="16"/>
          <w:szCs w:val="16"/>
          <w:color w:val="auto"/>
        </w:rPr>
      </w:pPr>
      <w:r>
        <w:rPr>
          <w:rFonts w:ascii="Arial" w:cs="Arial" w:eastAsia="Arial" w:hAnsi="Arial"/>
          <w:sz w:val="16"/>
          <w:szCs w:val="16"/>
          <w:color w:val="auto"/>
        </w:rPr>
        <w:t>Relates to severance costs associated with the termination of executives. The $0.9 million expense ($0.6 million after-tax, or $0.01 per diluted share), which is related to our Canadian segment, is included in Selling, general and administrative expenses on the unaudited statements of operations.</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80"/>
          </w:cols>
          <w:pgMar w:left="240" w:top="580" w:right="1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left="260" w:right="2840"/>
        <w:spacing w:after="0" w:line="255" w:lineRule="auto"/>
        <w:rPr>
          <w:sz w:val="20"/>
          <w:szCs w:val="20"/>
          <w:color w:val="auto"/>
        </w:rPr>
      </w:pPr>
      <w:r>
        <w:rPr>
          <w:rFonts w:ascii="Arial" w:cs="Arial" w:eastAsia="Arial" w:hAnsi="Arial"/>
          <w:sz w:val="18"/>
          <w:szCs w:val="18"/>
          <w:b w:val="1"/>
          <w:bCs w:val="1"/>
          <w:color w:val="auto"/>
        </w:rPr>
        <w:t>SUPPLEMENTAL QUARTERLY SEGMENT AND OPERATING DATA (U.S. dollars in thousands, except for room counts and average daily rates) (unaudited)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5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Operating Data - Canadian Segment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Revenues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Lodge revenues (1)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61,712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55,708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182,899</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Mobile, open camp and product revenues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15,792</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33,269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64,576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Canadian revenues</w:t>
            </w:r>
          </w:p>
        </w:tc>
        <w:tc>
          <w:tcPr>
            <w:tcW w:w="9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73,539</w:t>
            </w: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71,500</w:t>
            </w: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216,168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Average available lodge rooms (2)</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14,670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14,647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Rentable rooms (3)</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10,588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10,199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Average daily rates (4)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Occupancy in lodges (5)</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Canadian dollar to U.S. dollar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0.766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0.757</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0.795</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Supplemental Operating Data - Australian Segment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Village revenues (1)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27,679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29,177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80,694</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Average available village rooms (2)</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9,344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9,064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9,317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Rentable rooms (3)</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8,675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8,700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Average daily rates (4)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Occupancy in villages (5)</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Australian dollar to U.S. dollar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0.758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0.725</w:t>
            </w:r>
          </w:p>
        </w:tc>
        <w:tc>
          <w:tcPr>
            <w:tcW w:w="2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0.742</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0.763</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revenue related to rooms as well as the fees associated with catering, laundry and other services including facilities management.</w:t>
      </w:r>
    </w:p>
    <w:p>
      <w:pPr>
        <w:spacing w:after="0" w:line="290" w:lineRule="exact"/>
        <w:rPr>
          <w:rFonts w:ascii="Arial" w:cs="Arial" w:eastAsia="Arial" w:hAnsi="Arial"/>
          <w:sz w:val="17"/>
          <w:szCs w:val="17"/>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available rooms relate to Canadian lodges and Australian villages and includes rooms that are utilized for our personnel.</w:t>
      </w:r>
    </w:p>
    <w:p>
      <w:pPr>
        <w:spacing w:after="0" w:line="279" w:lineRule="exact"/>
        <w:rPr>
          <w:rFonts w:ascii="Arial" w:cs="Arial" w:eastAsia="Arial" w:hAnsi="Arial"/>
          <w:sz w:val="18"/>
          <w:szCs w:val="18"/>
          <w:color w:val="auto"/>
        </w:rPr>
      </w:pPr>
    </w:p>
    <w:p>
      <w:pPr>
        <w:ind w:left="440" w:hanging="432"/>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Rentable rooms relate to Canadian lodges and Australian villages and excludes rooms that are utilized for our personnel and out-of-service rooms.</w:t>
      </w:r>
    </w:p>
    <w:p>
      <w:pPr>
        <w:spacing w:after="0" w:line="302" w:lineRule="exact"/>
        <w:rPr>
          <w:rFonts w:ascii="Arial" w:cs="Arial" w:eastAsia="Arial" w:hAnsi="Arial"/>
          <w:sz w:val="16"/>
          <w:szCs w:val="16"/>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279" w:lineRule="exact"/>
        <w:rPr>
          <w:rFonts w:ascii="Arial" w:cs="Arial" w:eastAsia="Arial" w:hAnsi="Arial"/>
          <w:sz w:val="18"/>
          <w:szCs w:val="18"/>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Frank C. Steininger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 Cunningham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Spittel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FTI Consulting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713-353-5407</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2019-12-08T23:51:08Z</dcterms:created>
  <dcterms:modified xsi:type="dcterms:W3CDTF">2019-12-08T23:51:08Z</dcterms:modified>
</cp:coreProperties>
</file>