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jc w:val="center"/>
              <w:ind w:right="35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7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4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5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0" w:type="dxa"/>
            <w:vAlign w:val="bottom"/>
            <w:vMerge w:val="restart"/>
          </w:tcPr>
          <w:p>
            <w:pPr>
              <w:jc w:val="center"/>
              <w:ind w:right="35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5387340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13970</wp:posOffset>
            </wp:positionV>
            <wp:extent cx="7279640" cy="790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640" cy="7902575"/>
                    </a:xfrm>
                    <a:prstGeom prst="rect">
                      <a:avLst/>
                    </a:prstGeom>
                    <a:noFill/>
                  </pic:spPr>
                </pic:pic>
              </a:graphicData>
            </a:graphic>
          </wp:anchor>
        </w:drawing>
      </w:r>
    </w:p>
    <w:p>
      <w:pPr>
        <w:spacing w:after="0" w:line="90" w:lineRule="exact"/>
        <w:rPr>
          <w:sz w:val="24"/>
          <w:szCs w:val="24"/>
          <w:color w:val="auto"/>
        </w:rPr>
      </w:pPr>
    </w:p>
    <w:p>
      <w:pPr>
        <w:sectPr>
          <w:pgSz w:w="11900" w:h="16886" w:orient="portrait"/>
          <w:cols w:equalWidth="0" w:num="2">
            <w:col w:w="2240" w:space="580"/>
            <w:col w:w="8700"/>
          </w:cols>
          <w:pgMar w:left="240" w:top="220"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Torgerson Lance</w:t>
        </w:r>
      </w:hyperlink>
    </w:p>
    <w:p>
      <w:pPr>
        <w:spacing w:after="0" w:line="30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596 MCCLURE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Civeo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CVEO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12/19/2018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9" w:right="780" w:hanging="9"/>
        <w:spacing w:after="0" w:line="235"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49"/>
        <w:spacing w:after="0"/>
        <w:tabs>
          <w:tab w:leader="none" w:pos="1829" w:val="left"/>
          <w:tab w:leader="none" w:pos="214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58"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9"/>
        <w:spacing w:after="0"/>
        <w:tabs>
          <w:tab w:leader="none" w:pos="214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92" w:lineRule="exact"/>
        <w:rPr>
          <w:sz w:val="24"/>
          <w:szCs w:val="24"/>
          <w:color w:val="auto"/>
        </w:rPr>
      </w:pPr>
    </w:p>
    <w:p>
      <w:pPr>
        <w:sectPr>
          <w:pgSz w:w="11900" w:h="16886" w:orient="portrait"/>
          <w:cols w:equalWidth="0" w:num="3">
            <w:col w:w="3340" w:space="720"/>
            <w:col w:w="3271" w:space="720"/>
            <w:col w:w="3469"/>
          </w:cols>
          <w:pgMar w:left="240" w:top="220" w:right="139" w:bottom="0" w:gutter="0" w:footer="0" w:header="0"/>
          <w:type w:val="continuous"/>
        </w:sectPr>
      </w:pP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gridSpan w:val="10"/>
          </w:tcPr>
          <w:p>
            <w:pPr>
              <w:jc w:val="center"/>
              <w:ind w:right="94"/>
              <w:spacing w:after="0"/>
              <w:rPr>
                <w:sz w:val="20"/>
                <w:szCs w:val="20"/>
                <w:color w:val="auto"/>
              </w:rPr>
            </w:pPr>
            <w:r>
              <w:rPr>
                <w:rFonts w:ascii="Arial" w:cs="Arial" w:eastAsia="Arial" w:hAnsi="Arial"/>
                <w:sz w:val="13"/>
                <w:szCs w:val="13"/>
                <w:color w:val="auto"/>
                <w:w w:val="97"/>
              </w:rPr>
              <w:t>4. If Amendment, Date of Original Filed (Month/Day/Year)</w:t>
            </w:r>
          </w:p>
        </w:tc>
        <w:tc>
          <w:tcPr>
            <w:tcW w:w="3920" w:type="dxa"/>
            <w:vAlign w:val="bottom"/>
            <w:gridSpan w:val="9"/>
          </w:tcPr>
          <w:p>
            <w:pPr>
              <w:ind w:left="4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spacing w:after="0" w:line="183" w:lineRule="exact"/>
              <w:rPr>
                <w:sz w:val="20"/>
                <w:szCs w:val="20"/>
                <w:color w:val="auto"/>
              </w:rPr>
            </w:pPr>
            <w:r>
              <w:rPr>
                <w:rFonts w:ascii="Arial" w:cs="Arial" w:eastAsia="Arial" w:hAnsi="Arial"/>
                <w:sz w:val="17"/>
                <w:szCs w:val="17"/>
                <w:color w:val="0000FF"/>
              </w:rPr>
              <w:t>KELOWNA</w:t>
            </w:r>
          </w:p>
        </w:tc>
        <w:tc>
          <w:tcPr>
            <w:tcW w:w="1160" w:type="dxa"/>
            <w:vAlign w:val="bottom"/>
            <w:gridSpan w:val="3"/>
          </w:tcPr>
          <w:p>
            <w:pPr>
              <w:ind w:left="20"/>
              <w:spacing w:after="0" w:line="183" w:lineRule="exact"/>
              <w:rPr>
                <w:sz w:val="20"/>
                <w:szCs w:val="20"/>
                <w:color w:val="auto"/>
              </w:rPr>
            </w:pPr>
            <w:r>
              <w:rPr>
                <w:rFonts w:ascii="Arial" w:cs="Arial" w:eastAsia="Arial" w:hAnsi="Arial"/>
                <w:sz w:val="17"/>
                <w:szCs w:val="17"/>
                <w:color w:val="0000FF"/>
              </w:rPr>
              <w:t>A1</w:t>
            </w:r>
          </w:p>
        </w:tc>
        <w:tc>
          <w:tcPr>
            <w:tcW w:w="1120" w:type="dxa"/>
            <w:vAlign w:val="bottom"/>
            <w:gridSpan w:val="2"/>
          </w:tcPr>
          <w:p>
            <w:pPr>
              <w:ind w:left="120"/>
              <w:spacing w:after="0" w:line="183" w:lineRule="exact"/>
              <w:rPr>
                <w:sz w:val="20"/>
                <w:szCs w:val="20"/>
                <w:color w:val="auto"/>
              </w:rPr>
            </w:pPr>
            <w:r>
              <w:rPr>
                <w:rFonts w:ascii="Arial" w:cs="Arial" w:eastAsia="Arial" w:hAnsi="Arial"/>
                <w:sz w:val="17"/>
                <w:szCs w:val="17"/>
                <w:color w:val="0000FF"/>
              </w:rPr>
              <w:t>V1W 1H3</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gridSpan w:val="3"/>
          </w:tcPr>
          <w:p>
            <w:pPr>
              <w:ind w:left="160"/>
              <w:spacing w:after="0"/>
              <w:rPr>
                <w:sz w:val="20"/>
                <w:szCs w:val="20"/>
                <w:color w:val="auto"/>
              </w:rPr>
            </w:pPr>
            <w:r>
              <w:rPr>
                <w:rFonts w:ascii="Arial" w:cs="Arial" w:eastAsia="Arial" w:hAnsi="Arial"/>
                <w:sz w:val="13"/>
                <w:szCs w:val="13"/>
                <w:color w:val="auto"/>
                <w:w w:val="97"/>
              </w:rPr>
              <w:t>Form filed by One Reporting Person</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20" w:type="dxa"/>
            <w:vAlign w:val="bottom"/>
            <w:gridSpan w:val="9"/>
          </w:tcPr>
          <w:p>
            <w:pPr>
              <w:ind w:left="660"/>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gridSpan w:val="3"/>
          </w:tcPr>
          <w:p>
            <w:pPr>
              <w:spacing w:after="0"/>
              <w:rPr>
                <w:sz w:val="10"/>
                <w:szCs w:val="10"/>
                <w:color w:val="auto"/>
              </w:rPr>
            </w:pPr>
          </w:p>
        </w:tc>
        <w:tc>
          <w:tcPr>
            <w:tcW w:w="2920" w:type="dxa"/>
            <w:vAlign w:val="bottom"/>
            <w:tcBorders>
              <w:bottom w:val="single" w:sz="8" w:color="2C2C2C"/>
            </w:tcBorders>
            <w:gridSpan w:val="5"/>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66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4"/>
                <w:szCs w:val="14"/>
                <w:color w:val="auto"/>
              </w:rPr>
            </w:pPr>
          </w:p>
        </w:tc>
        <w:tc>
          <w:tcPr>
            <w:tcW w:w="214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1440" w:type="dxa"/>
            <w:vAlign w:val="bottom"/>
            <w:gridSpan w:val="2"/>
          </w:tcPr>
          <w:p>
            <w:pPr>
              <w:ind w:left="48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48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2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Beneficially Owned  (D) or Indirect</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1440" w:type="dxa"/>
            <w:vAlign w:val="bottom"/>
            <w:gridSpan w:val="2"/>
          </w:tcPr>
          <w:p>
            <w:pPr>
              <w:ind w:left="48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20" w:type="dxa"/>
            <w:vAlign w:val="bottom"/>
            <w:gridSpan w:val="4"/>
            <w:vMerge w:val="restart"/>
          </w:tcPr>
          <w:p>
            <w:pPr>
              <w:ind w:left="940"/>
              <w:spacing w:after="0"/>
              <w:rPr>
                <w:sz w:val="20"/>
                <w:szCs w:val="20"/>
                <w:color w:val="auto"/>
              </w:rPr>
            </w:pPr>
            <w:r>
              <w:rPr>
                <w:rFonts w:ascii="Arial" w:cs="Arial" w:eastAsia="Arial" w:hAnsi="Arial"/>
                <w:sz w:val="17"/>
                <w:szCs w:val="17"/>
                <w:color w:val="0000FF"/>
              </w:rPr>
              <w:t>12/19/2018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vMerge w:val="restart"/>
          </w:tcPr>
          <w:p>
            <w:pPr>
              <w:jc w:val="center"/>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420" w:type="dxa"/>
            <w:vAlign w:val="bottom"/>
          </w:tcPr>
          <w:p>
            <w:pPr>
              <w:spacing w:after="0"/>
              <w:rPr>
                <w:sz w:val="21"/>
                <w:szCs w:val="21"/>
                <w:color w:val="auto"/>
              </w:rPr>
            </w:pP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rPr>
              <w:t>2,156,349</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vMerge w:val="restart"/>
          </w:tcPr>
          <w:p>
            <w:pPr>
              <w:ind w:left="100"/>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1.9839</w:t>
            </w:r>
            <w:r>
              <w:rPr>
                <w:rFonts w:ascii="Arial" w:cs="Arial" w:eastAsia="Arial" w:hAnsi="Arial"/>
                <w:sz w:val="21"/>
                <w:szCs w:val="21"/>
                <w:color w:val="008000"/>
                <w:w w:val="83"/>
                <w:vertAlign w:val="superscript"/>
              </w:rPr>
              <w:t>(2)</w:t>
            </w:r>
          </w:p>
        </w:tc>
        <w:tc>
          <w:tcPr>
            <w:tcW w:w="60" w:type="dxa"/>
            <w:vAlign w:val="bottom"/>
          </w:tcPr>
          <w:p>
            <w:pPr>
              <w:spacing w:after="0"/>
              <w:rPr>
                <w:sz w:val="21"/>
                <w:szCs w:val="21"/>
                <w:color w:val="auto"/>
              </w:rPr>
            </w:pPr>
          </w:p>
        </w:tc>
        <w:tc>
          <w:tcPr>
            <w:tcW w:w="16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5,948,213</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60" w:type="dxa"/>
            <w:vAlign w:val="bottom"/>
            <w:gridSpan w:val="16"/>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900" w:type="dxa"/>
            <w:vAlign w:val="bottom"/>
            <w:gridSpan w:val="15"/>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40" w:type="dxa"/>
            <w:vAlign w:val="bottom"/>
            <w:tcBorders>
              <w:bottom w:val="single" w:sz="8" w:color="2C2C2C"/>
            </w:tcBorders>
            <w:gridSpan w:val="7"/>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w:t>
            </w:r>
          </w:p>
        </w:tc>
        <w:tc>
          <w:tcPr>
            <w:tcW w:w="3300" w:type="dxa"/>
            <w:vAlign w:val="bottom"/>
            <w:gridSpan w:val="8"/>
          </w:tcPr>
          <w:p>
            <w:pPr>
              <w:ind w:left="20"/>
              <w:spacing w:after="0"/>
              <w:rPr>
                <w:sz w:val="20"/>
                <w:szCs w:val="20"/>
                <w:color w:val="auto"/>
              </w:rPr>
            </w:pPr>
            <w:r>
              <w:rPr>
                <w:rFonts w:ascii="Arial" w:cs="Arial" w:eastAsia="Arial" w:hAnsi="Arial"/>
                <w:sz w:val="11"/>
                <w:szCs w:val="11"/>
                <w:b w:val="1"/>
                <w:bCs w:val="1"/>
                <w:color w:val="auto"/>
              </w:rPr>
              <w:t>6. Date Exercisable and   7. Title and Amount of</w:t>
            </w:r>
          </w:p>
        </w:tc>
        <w:tc>
          <w:tcPr>
            <w:tcW w:w="76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Conversion  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of</w:t>
            </w:r>
          </w:p>
        </w:tc>
        <w:tc>
          <w:tcPr>
            <w:tcW w:w="11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2140" w:type="dxa"/>
            <w:vAlign w:val="bottom"/>
            <w:gridSpan w:val="4"/>
          </w:tcPr>
          <w:p>
            <w:pPr>
              <w:ind w:left="340"/>
              <w:spacing w:after="0"/>
              <w:rPr>
                <w:sz w:val="20"/>
                <w:szCs w:val="20"/>
                <w:color w:val="auto"/>
              </w:rPr>
            </w:pPr>
            <w:r>
              <w:rPr>
                <w:rFonts w:ascii="Arial" w:cs="Arial" w:eastAsia="Arial" w:hAnsi="Arial"/>
                <w:sz w:val="11"/>
                <w:szCs w:val="11"/>
                <w:b w:val="1"/>
                <w:bCs w:val="1"/>
                <w:color w:val="auto"/>
              </w:rPr>
              <w:t>Securities Underlying</w:t>
            </w:r>
          </w:p>
        </w:tc>
        <w:tc>
          <w:tcPr>
            <w:tcW w:w="7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1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2140" w:type="dxa"/>
            <w:vAlign w:val="bottom"/>
            <w:gridSpan w:val="4"/>
          </w:tcPr>
          <w:p>
            <w:pPr>
              <w:ind w:left="340"/>
              <w:spacing w:after="0"/>
              <w:rPr>
                <w:sz w:val="20"/>
                <w:szCs w:val="20"/>
                <w:color w:val="auto"/>
              </w:rPr>
            </w:pPr>
            <w:r>
              <w:rPr>
                <w:rFonts w:ascii="Arial" w:cs="Arial" w:eastAsia="Arial" w:hAnsi="Arial"/>
                <w:sz w:val="11"/>
                <w:szCs w:val="11"/>
                <w:b w:val="1"/>
                <w:bCs w:val="1"/>
                <w:color w:val="auto"/>
              </w:rPr>
              <w:t>Derivative Security (Instr. 3</w:t>
            </w:r>
          </w:p>
        </w:tc>
        <w:tc>
          <w:tcPr>
            <w:tcW w:w="76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60" w:type="dxa"/>
            <w:vAlign w:val="bottom"/>
          </w:tcPr>
          <w:p>
            <w:pPr>
              <w:spacing w:after="0"/>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ind w:left="340"/>
              <w:spacing w:after="0"/>
              <w:rPr>
                <w:sz w:val="20"/>
                <w:szCs w:val="20"/>
                <w:color w:val="auto"/>
              </w:rPr>
            </w:pPr>
            <w:r>
              <w:rPr>
                <w:rFonts w:ascii="Arial" w:cs="Arial" w:eastAsia="Arial" w:hAnsi="Arial"/>
                <w:sz w:val="11"/>
                <w:szCs w:val="11"/>
                <w:b w:val="1"/>
                <w:bCs w:val="1"/>
                <w:color w:val="auto"/>
              </w:rPr>
              <w:t>and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 Number</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ind w:left="340"/>
              <w:spacing w:after="0"/>
              <w:rPr>
                <w:sz w:val="20"/>
                <w:szCs w:val="20"/>
                <w:color w:val="auto"/>
              </w:rPr>
            </w:pPr>
            <w:r>
              <w:rPr>
                <w:rFonts w:ascii="Arial" w:cs="Arial" w:eastAsia="Arial" w:hAnsi="Arial"/>
                <w:sz w:val="11"/>
                <w:szCs w:val="11"/>
                <w:b w:val="1"/>
                <w:bCs w:val="1"/>
                <w:color w:val="auto"/>
              </w:rPr>
              <w:t>Title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Shares</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A</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Series 1</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3.3</w:t>
            </w:r>
          </w:p>
        </w:tc>
        <w:tc>
          <w:tcPr>
            <w:tcW w:w="116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0000FF"/>
              </w:rPr>
              <w:t>12/19/2018</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line="280"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680" w:type="dxa"/>
            <w:vAlign w:val="bottom"/>
            <w:gridSpan w:val="3"/>
            <w:vMerge w:val="restart"/>
          </w:tcPr>
          <w:p>
            <w:pPr>
              <w:ind w:left="360"/>
              <w:spacing w:after="0"/>
              <w:rPr>
                <w:sz w:val="20"/>
                <w:szCs w:val="20"/>
                <w:color w:val="auto"/>
              </w:rPr>
            </w:pPr>
            <w:r>
              <w:rPr>
                <w:rFonts w:ascii="Arial" w:cs="Arial" w:eastAsia="Arial" w:hAnsi="Arial"/>
                <w:sz w:val="13"/>
                <w:szCs w:val="13"/>
                <w:color w:val="0000FF"/>
              </w:rPr>
              <w:t>637</w:t>
            </w:r>
          </w:p>
        </w:tc>
        <w:tc>
          <w:tcPr>
            <w:tcW w:w="280" w:type="dxa"/>
            <w:vAlign w:val="bottom"/>
          </w:tcPr>
          <w:p>
            <w:pPr>
              <w:spacing w:after="0"/>
              <w:rPr>
                <w:sz w:val="10"/>
                <w:szCs w:val="10"/>
                <w:color w:val="auto"/>
              </w:rPr>
            </w:pPr>
          </w:p>
        </w:tc>
        <w:tc>
          <w:tcPr>
            <w:tcW w:w="460" w:type="dxa"/>
            <w:vAlign w:val="bottom"/>
            <w:gridSpan w:val="2"/>
            <w:vMerge w:val="restart"/>
          </w:tcPr>
          <w:p>
            <w:pPr>
              <w:jc w:val="right"/>
              <w:ind w:right="284"/>
              <w:spacing w:after="0"/>
              <w:rPr>
                <w:sz w:val="20"/>
                <w:szCs w:val="20"/>
                <w:color w:val="auto"/>
              </w:rPr>
            </w:pPr>
            <w:r>
              <w:rPr>
                <w:rFonts w:ascii="Arial" w:cs="Arial" w:eastAsia="Arial" w:hAnsi="Arial"/>
                <w:sz w:val="11"/>
                <w:szCs w:val="11"/>
                <w:color w:val="008000"/>
                <w:w w:val="74"/>
              </w:rPr>
              <w:t>(4)</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008000"/>
              </w:rPr>
              <w:t>(5)</w:t>
            </w:r>
          </w:p>
        </w:tc>
        <w:tc>
          <w:tcPr>
            <w:tcW w:w="860" w:type="dxa"/>
            <w:vAlign w:val="bottom"/>
          </w:tcPr>
          <w:p>
            <w:pPr>
              <w:ind w:left="340"/>
              <w:spacing w:after="0" w:line="124" w:lineRule="exact"/>
              <w:rPr>
                <w:sz w:val="20"/>
                <w:szCs w:val="20"/>
                <w:color w:val="auto"/>
              </w:rPr>
            </w:pPr>
            <w:r>
              <w:rPr>
                <w:rFonts w:ascii="Arial" w:cs="Arial" w:eastAsia="Arial" w:hAnsi="Arial"/>
                <w:sz w:val="13"/>
                <w:szCs w:val="13"/>
                <w:color w:val="0000FF"/>
                <w:w w:val="94"/>
              </w:rPr>
              <w:t>Common</w:t>
            </w:r>
          </w:p>
        </w:tc>
        <w:tc>
          <w:tcPr>
            <w:tcW w:w="1220" w:type="dxa"/>
            <w:vAlign w:val="bottom"/>
            <w:gridSpan w:val="2"/>
            <w:vMerge w:val="restart"/>
          </w:tcPr>
          <w:p>
            <w:pPr>
              <w:ind w:left="80"/>
              <w:spacing w:after="0"/>
              <w:rPr>
                <w:sz w:val="20"/>
                <w:szCs w:val="20"/>
                <w:color w:val="auto"/>
              </w:rPr>
            </w:pPr>
            <w:r>
              <w:rPr>
                <w:rFonts w:ascii="Arial" w:cs="Arial" w:eastAsia="Arial" w:hAnsi="Arial"/>
                <w:sz w:val="17"/>
                <w:szCs w:val="17"/>
                <w:color w:val="0000FF"/>
                <w:w w:val="88"/>
              </w:rPr>
              <w:t>1,930,303.011</w:t>
            </w:r>
            <w:r>
              <w:rPr>
                <w:rFonts w:ascii="Arial" w:cs="Arial" w:eastAsia="Arial" w:hAnsi="Arial"/>
                <w:sz w:val="21"/>
                <w:szCs w:val="21"/>
                <w:color w:val="008000"/>
                <w:w w:val="88"/>
                <w:vertAlign w:val="superscript"/>
              </w:rPr>
              <w:t>(6)</w:t>
            </w:r>
          </w:p>
        </w:tc>
        <w:tc>
          <w:tcPr>
            <w:tcW w:w="6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9,448.33</w:t>
            </w:r>
            <w:r>
              <w:rPr>
                <w:rFonts w:ascii="Arial" w:cs="Arial" w:eastAsia="Arial" w:hAnsi="Arial"/>
                <w:sz w:val="21"/>
                <w:szCs w:val="21"/>
                <w:color w:val="008000"/>
                <w:vertAlign w:val="superscript"/>
              </w:rPr>
              <w:t>(7)</w:t>
            </w:r>
          </w:p>
        </w:tc>
        <w:tc>
          <w:tcPr>
            <w:tcW w:w="840" w:type="dxa"/>
            <w:vAlign w:val="bottom"/>
            <w:vMerge w:val="restart"/>
          </w:tcPr>
          <w:p>
            <w:pPr>
              <w:ind w:left="260"/>
              <w:spacing w:after="0"/>
              <w:rPr>
                <w:sz w:val="20"/>
                <w:szCs w:val="20"/>
                <w:color w:val="auto"/>
              </w:rPr>
            </w:pPr>
            <w:r>
              <w:rPr>
                <w:rFonts w:ascii="Arial" w:cs="Arial" w:eastAsia="Arial" w:hAnsi="Arial"/>
                <w:sz w:val="13"/>
                <w:szCs w:val="13"/>
                <w:color w:val="0000FF"/>
              </w:rPr>
              <w:t>9,042</w:t>
            </w:r>
          </w:p>
        </w:tc>
        <w:tc>
          <w:tcPr>
            <w:tcW w:w="60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68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0000FF"/>
              </w:rPr>
              <w:t>Stock</w:t>
            </w:r>
          </w:p>
        </w:tc>
        <w:tc>
          <w:tcPr>
            <w:tcW w:w="12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ind w:left="80"/>
              <w:spacing w:after="0" w:line="157"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7"/>
          </w:tcPr>
          <w:p>
            <w:pPr>
              <w:ind w:left="60"/>
              <w:spacing w:after="0" w:line="232"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tcPr>
          <w:p>
            <w:pPr>
              <w:spacing w:after="0" w:line="212" w:lineRule="exact"/>
              <w:rPr>
                <w:rFonts w:ascii="Arial" w:cs="Arial" w:eastAsia="Arial" w:hAnsi="Arial"/>
                <w:sz w:val="20"/>
                <w:szCs w:val="20"/>
                <w:color w:val="0000EE"/>
              </w:rPr>
            </w:pPr>
            <w:hyperlink r:id="rId12">
              <w:r>
                <w:rPr>
                  <w:rFonts w:ascii="Arial" w:cs="Arial" w:eastAsia="Arial" w:hAnsi="Arial"/>
                  <w:sz w:val="20"/>
                  <w:szCs w:val="20"/>
                  <w:color w:val="0000EE"/>
                </w:rPr>
                <w:t>Torgerson Lance</w:t>
              </w:r>
            </w:hyperlink>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5"/>
          </w:tcPr>
          <w:p>
            <w:pPr>
              <w:spacing w:after="0"/>
              <w:rPr>
                <w:sz w:val="20"/>
                <w:szCs w:val="20"/>
                <w:color w:val="auto"/>
              </w:rPr>
            </w:pPr>
            <w:r>
              <w:rPr>
                <w:rFonts w:ascii="Arial" w:cs="Arial" w:eastAsia="Arial" w:hAnsi="Arial"/>
                <w:sz w:val="17"/>
                <w:szCs w:val="17"/>
                <w:color w:val="0000FF"/>
              </w:rPr>
              <w:t>596 MCCLURE ROAD</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KELOWNA</w:t>
            </w:r>
          </w:p>
        </w:tc>
        <w:tc>
          <w:tcPr>
            <w:tcW w:w="10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7"/>
                <w:szCs w:val="17"/>
                <w:color w:val="0000FF"/>
              </w:rPr>
              <w:t>A1</w:t>
            </w:r>
          </w:p>
        </w:tc>
        <w:tc>
          <w:tcPr>
            <w:tcW w:w="1920" w:type="dxa"/>
            <w:vAlign w:val="bottom"/>
            <w:gridSpan w:val="4"/>
          </w:tcPr>
          <w:p>
            <w:pPr>
              <w:ind w:left="500"/>
              <w:spacing w:after="0"/>
              <w:rPr>
                <w:sz w:val="20"/>
                <w:szCs w:val="20"/>
                <w:color w:val="auto"/>
              </w:rPr>
            </w:pPr>
            <w:r>
              <w:rPr>
                <w:rFonts w:ascii="Arial" w:cs="Arial" w:eastAsia="Arial" w:hAnsi="Arial"/>
                <w:sz w:val="17"/>
                <w:szCs w:val="17"/>
                <w:color w:val="0000FF"/>
              </w:rPr>
              <w:t>V1W 1H3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gridSpan w:val="2"/>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tcPr>
          <w:p>
            <w:pPr>
              <w:spacing w:after="0" w:line="212" w:lineRule="exact"/>
              <w:rPr>
                <w:rFonts w:ascii="Arial" w:cs="Arial" w:eastAsia="Arial" w:hAnsi="Arial"/>
                <w:sz w:val="20"/>
                <w:szCs w:val="20"/>
                <w:color w:val="0000EE"/>
              </w:rPr>
            </w:pPr>
            <w:hyperlink r:id="rId14">
              <w:r>
                <w:rPr>
                  <w:rFonts w:ascii="Arial" w:cs="Arial" w:eastAsia="Arial" w:hAnsi="Arial"/>
                  <w:sz w:val="20"/>
                  <w:szCs w:val="20"/>
                  <w:color w:val="0000EE"/>
                </w:rPr>
                <w:t>Torgerson Tammy</w:t>
              </w:r>
            </w:hyperlink>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5"/>
          </w:tcPr>
          <w:p>
            <w:pPr>
              <w:spacing w:after="0"/>
              <w:rPr>
                <w:sz w:val="20"/>
                <w:szCs w:val="20"/>
                <w:color w:val="auto"/>
              </w:rPr>
            </w:pPr>
            <w:r>
              <w:rPr>
                <w:rFonts w:ascii="Arial" w:cs="Arial" w:eastAsia="Arial" w:hAnsi="Arial"/>
                <w:sz w:val="17"/>
                <w:szCs w:val="17"/>
                <w:color w:val="0000FF"/>
              </w:rPr>
              <w:t>596 MCCLURE ROAD</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KELOWNA</w:t>
            </w:r>
          </w:p>
        </w:tc>
        <w:tc>
          <w:tcPr>
            <w:tcW w:w="10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7"/>
                <w:szCs w:val="17"/>
                <w:color w:val="0000FF"/>
              </w:rPr>
              <w:t>A1</w:t>
            </w:r>
          </w:p>
        </w:tc>
        <w:tc>
          <w:tcPr>
            <w:tcW w:w="1920" w:type="dxa"/>
            <w:vAlign w:val="bottom"/>
            <w:gridSpan w:val="4"/>
          </w:tcPr>
          <w:p>
            <w:pPr>
              <w:ind w:left="500"/>
              <w:spacing w:after="0"/>
              <w:rPr>
                <w:sz w:val="20"/>
                <w:szCs w:val="20"/>
                <w:color w:val="auto"/>
              </w:rPr>
            </w:pPr>
            <w:r>
              <w:rPr>
                <w:rFonts w:ascii="Arial" w:cs="Arial" w:eastAsia="Arial" w:hAnsi="Arial"/>
                <w:sz w:val="17"/>
                <w:szCs w:val="17"/>
                <w:color w:val="0000FF"/>
              </w:rPr>
              <w:t>V1W 1H3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gridSpan w:val="2"/>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-5026025</wp:posOffset>
            </wp:positionV>
            <wp:extent cx="23495" cy="1934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3495" cy="1934210"/>
                    </a:xfrm>
                    <a:prstGeom prst="rect">
                      <a:avLst/>
                    </a:prstGeom>
                    <a:noFill/>
                  </pic:spPr>
                </pic:pic>
              </a:graphicData>
            </a:graphic>
          </wp:anchor>
        </w:drawing>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14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Forfeiture of shares pursuant to escrow agreement entered into on April 2, 2018 in connection with the acquisition of Noralta Lodge Ltd. by the Issuer. The shares were forfeited in connection with a post-closing purchase price adjustment.</w:t>
      </w:r>
    </w:p>
    <w:p>
      <w:pPr>
        <w:spacing w:after="0" w:line="27" w:lineRule="exact"/>
        <w:rPr>
          <w:rFonts w:ascii="Arial" w:cs="Arial" w:eastAsia="Arial" w:hAnsi="Arial"/>
          <w:sz w:val="13"/>
          <w:szCs w:val="13"/>
          <w:color w:val="008000"/>
        </w:rPr>
      </w:pPr>
    </w:p>
    <w:p>
      <w:pPr>
        <w:ind w:left="40" w:right="2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escrow agreement, the shares were to be valued at CAD$2.6684 for purposes of the purchase price adjustment. $1.9839 represents the the USD equivalent of CAD$2.6684 based on the exchange rate on December 19, 2018.</w:t>
      </w:r>
    </w:p>
    <w:p>
      <w:pPr>
        <w:spacing w:after="0" w:line="27" w:lineRule="exact"/>
        <w:rPr>
          <w:rFonts w:ascii="Arial" w:cs="Arial" w:eastAsia="Arial" w:hAnsi="Arial"/>
          <w:sz w:val="13"/>
          <w:szCs w:val="13"/>
          <w:color w:val="008000"/>
        </w:rPr>
      </w:pPr>
    </w:p>
    <w:p>
      <w:pPr>
        <w:ind w:left="40" w:right="20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owned by 989677 Alberta Ltd., of which Lance Torgerson owns, indirectly, 100% of the voting shares. Tammy Torgerson disclaims beneficial ownership of the shares, which are beneficially owned, indirectly, by Lance Torgerson, her spouse.</w:t>
      </w:r>
    </w:p>
    <w:p>
      <w:pPr>
        <w:spacing w:after="0" w:line="27" w:lineRule="exact"/>
        <w:rPr>
          <w:rFonts w:ascii="Arial" w:cs="Arial" w:eastAsia="Arial" w:hAnsi="Arial"/>
          <w:sz w:val="13"/>
          <w:szCs w:val="13"/>
          <w:color w:val="008000"/>
        </w:rPr>
      </w:pPr>
    </w:p>
    <w:p>
      <w:pPr>
        <w:ind w:left="40" w:right="30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Preferred Shares can be converted by the issuer at any time if the 15-day volume weighted average price of the Common Shares is equal to or exceeds the Conversion Price; the holders of the Preferred Shares will have the right to convert the Preferred Shares into Common Shares at any time after April 2, 2020.</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Preferred Shares mandatorily convert after five years from the date of issuance.</w:t>
      </w:r>
    </w:p>
    <w:p>
      <w:pPr>
        <w:spacing w:after="0" w:line="41" w:lineRule="exact"/>
        <w:rPr>
          <w:rFonts w:ascii="Arial" w:cs="Arial" w:eastAsia="Arial" w:hAnsi="Arial"/>
          <w:sz w:val="13"/>
          <w:szCs w:val="13"/>
          <w:color w:val="008000"/>
        </w:rPr>
      </w:pPr>
    </w:p>
    <w:p>
      <w:pPr>
        <w:ind w:left="40" w:right="24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Preferred Shares are convertible into the number of Common Shares at a rate of 3,030.3030 Common Shares per each $10,000 of Liquidation Preference. The Preferred Shares have an initial Liquidation Preference of $10,000 per share, which amount may be increased in connection with the accrual of dividends or the payment of in-kind dividends.</w:t>
      </w:r>
    </w:p>
    <w:p>
      <w:pPr>
        <w:spacing w:after="0" w:line="27" w:lineRule="exact"/>
        <w:rPr>
          <w:rFonts w:ascii="Arial" w:cs="Arial" w:eastAsia="Arial" w:hAnsi="Arial"/>
          <w:sz w:val="13"/>
          <w:szCs w:val="13"/>
          <w:color w:val="008000"/>
        </w:rPr>
      </w:pPr>
    </w:p>
    <w:p>
      <w:pPr>
        <w:ind w:left="40" w:right="1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escrow agreement, the shares were to be valued at CAD$12,708 for purposes of the purchase price adjustment. $9,448.33 represents the the USD equivalent of CAD$12,708 based on the exchange rate on December 19, 2018.</w:t>
      </w:r>
    </w:p>
    <w:p>
      <w:pPr>
        <w:sectPr>
          <w:pgSz w:w="11900" w:h="16886" w:orient="portrait"/>
          <w:cols w:equalWidth="0" w:num="1">
            <w:col w:w="11520"/>
          </w:cols>
          <w:pgMar w:left="240" w:top="220" w:right="139" w:bottom="0" w:gutter="0" w:footer="0" w:header="0"/>
          <w:type w:val="continuous"/>
        </w:sectPr>
      </w:pPr>
    </w:p>
    <w:bookmarkStart w:id="1" w:name="page2"/>
    <w:bookmarkEnd w:id="1"/>
    <w:p>
      <w:pPr>
        <w:spacing w:after="0" w:line="244"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As trustees of the Torgerson Family Trust. Each of the reporting persons serves as a co-trustee of the trust and is a current or future beneficiary thereof. Each of the reporting persons disclaims beneficial ownership of the reported securities except to the extent of his/her pecuniary interest therein.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0000FF"/>
                <w:w w:val="85"/>
              </w:rPr>
              <w:t>/s/ Lance Torgerson</w:t>
            </w:r>
          </w:p>
        </w:tc>
        <w:tc>
          <w:tcPr>
            <w:tcW w:w="760" w:type="dxa"/>
            <w:vAlign w:val="bottom"/>
            <w:gridSpan w:val="2"/>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03/08/2019</w:t>
            </w:r>
          </w:p>
        </w:tc>
      </w:tr>
      <w:tr>
        <w:trPr>
          <w:trHeight w:val="20"/>
        </w:trPr>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5"/>
        </w:trPr>
        <w:tc>
          <w:tcPr>
            <w:tcW w:w="1420" w:type="dxa"/>
            <w:vAlign w:val="bottom"/>
            <w:gridSpan w:val="2"/>
          </w:tcPr>
          <w:p>
            <w:pPr>
              <w:spacing w:after="0"/>
              <w:rPr>
                <w:sz w:val="20"/>
                <w:szCs w:val="20"/>
                <w:color w:val="auto"/>
              </w:rPr>
            </w:pPr>
            <w:r>
              <w:rPr>
                <w:rFonts w:ascii="Arial" w:cs="Arial" w:eastAsia="Arial" w:hAnsi="Arial"/>
                <w:sz w:val="17"/>
                <w:szCs w:val="17"/>
                <w:color w:val="0000FF"/>
                <w:w w:val="86"/>
              </w:rPr>
              <w:t>/s/ Tammy Torgerson</w:t>
            </w:r>
          </w:p>
        </w:tc>
        <w:tc>
          <w:tcPr>
            <w:tcW w:w="66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03/08/2019</w:t>
            </w:r>
          </w:p>
        </w:tc>
      </w:tr>
      <w:tr>
        <w:trPr>
          <w:trHeight w:val="20"/>
        </w:trPr>
        <w:tc>
          <w:tcPr>
            <w:tcW w:w="14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920"/>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735901" TargetMode="External"/><Relationship Id="rId13" Type="http://schemas.openxmlformats.org/officeDocument/2006/relationships/hyperlink" Target="http://www.sec.gov/cgi-bin/browse-edgar?action=getcompany&amp;CIK=0001590584" TargetMode="External"/><Relationship Id="rId14" Type="http://schemas.openxmlformats.org/officeDocument/2006/relationships/hyperlink" Target="http://www.sec.gov/cgi-bin/browse-edgar?action=getcompany&amp;CIK=00017367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2019-12-23T16:02:42Z</dcterms:created>
  <dcterms:modified xsi:type="dcterms:W3CDTF">2019-12-23T16:02:42Z</dcterms:modified>
</cp:coreProperties>
</file>