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4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4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Report (Date of earliest event Reported): April 27, 2017</w:t>
      </w:r>
    </w:p>
    <w:p>
      <w:pPr>
        <w:spacing w:after="0" w:line="2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Civeo Corporation</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300"/>
          </w:cols>
          <w:pgMar w:left="240" w:top="724" w:right="359" w:bottom="1440" w:gutter="0" w:footer="0" w:header="0"/>
        </w:sectPr>
      </w:pPr>
    </w:p>
    <w:p>
      <w:pPr>
        <w:spacing w:after="0" w:line="205"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British Columbia Canada</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1-36246</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98-1253716</w:t>
      </w:r>
    </w:p>
    <w:p>
      <w:pPr>
        <w:spacing w:after="0" w:line="27" w:lineRule="exact"/>
        <w:rPr>
          <w:sz w:val="24"/>
          <w:szCs w:val="24"/>
          <w:color w:val="auto"/>
        </w:rPr>
      </w:pPr>
    </w:p>
    <w:p>
      <w:pPr>
        <w:jc w:val="center"/>
        <w:ind w:right="28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00" w:space="720"/>
            <w:col w:w="2640" w:space="720"/>
            <w:col w:w="3220"/>
          </w:cols>
          <w:pgMar w:left="240" w:top="724" w:right="35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Three Allen Center</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333 Clay Street, Suite 4980, Houston, Texas 77002</w:t>
      </w:r>
    </w:p>
    <w:p>
      <w:pPr>
        <w:spacing w:after="0" w:line="32"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(713) 510-2400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300"/>
          </w:cols>
          <w:pgMar w:left="240" w:top="724" w:right="359" w:bottom="1440" w:gutter="0" w:footer="0" w:header="0"/>
          <w:type w:val="continuous"/>
        </w:sectPr>
      </w:pPr>
    </w:p>
    <w:p>
      <w:pPr>
        <w:spacing w:after="0" w:line="23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108"/>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400" w:hanging="108"/>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400" w:hanging="108"/>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400" w:hanging="108"/>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11"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724"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20" w:firstLine="225"/>
        <w:spacing w:after="0" w:line="342" w:lineRule="auto"/>
        <w:rPr>
          <w:sz w:val="20"/>
          <w:szCs w:val="20"/>
          <w:color w:val="auto"/>
        </w:rPr>
      </w:pPr>
      <w:r>
        <w:rPr>
          <w:rFonts w:ascii="Arial" w:cs="Arial" w:eastAsia="Arial" w:hAnsi="Arial"/>
          <w:sz w:val="16"/>
          <w:szCs w:val="16"/>
          <w:color w:val="auto"/>
        </w:rPr>
        <w:t>On April 27, 2017, Civeo Corporation (“Civeo”) issued a press release announcing its financial condition and results of operations as of and for the quarter ended March 31, 2017. A copy of the press release is furnished as Exhibit 99.1 to this report on Form 8-K, and is incorporated herein by reference.</w:t>
      </w:r>
    </w:p>
    <w:p>
      <w:pPr>
        <w:spacing w:after="0" w:line="124"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The information contained in this report and the exhibit hereto shall not be deemed to be “filed” for purposes of Section 18 of the Securities Exchange Act of 1934, as amended (the “Exchange Act”), or otherwise subject to the liabilities of that section, and shall not be deemed incorporated by reference into any filings made by Civeo under the Securities Act of 1933, as amended, or the Exchange Act, except as may be expressly set forth by specific reference in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760" w:hanging="527"/>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Exhibit Number</w:t>
            </w:r>
          </w:p>
        </w:tc>
        <w:tc>
          <w:tcPr>
            <w:tcW w:w="9880" w:type="dxa"/>
            <w:vAlign w:val="bottom"/>
            <w:gridSpan w:val="2"/>
          </w:tcPr>
          <w:p>
            <w:pPr>
              <w:spacing w:after="0"/>
              <w:rPr>
                <w:sz w:val="20"/>
                <w:szCs w:val="20"/>
                <w:color w:val="auto"/>
              </w:rPr>
            </w:pPr>
            <w:r>
              <w:rPr>
                <w:rFonts w:ascii="Arial" w:cs="Arial" w:eastAsia="Arial" w:hAnsi="Arial"/>
                <w:sz w:val="18"/>
                <w:szCs w:val="18"/>
                <w:b w:val="1"/>
                <w:bCs w:val="1"/>
                <w:color w:val="auto"/>
              </w:rPr>
              <w:t>Description of Document</w:t>
            </w:r>
          </w:p>
        </w:tc>
      </w:tr>
      <w:tr>
        <w:trPr>
          <w:trHeight w:val="20"/>
        </w:trPr>
        <w:tc>
          <w:tcPr>
            <w:tcW w:w="1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r>
      <w:tr>
        <w:trPr>
          <w:trHeight w:val="453"/>
        </w:trPr>
        <w:tc>
          <w:tcPr>
            <w:tcW w:w="1260" w:type="dxa"/>
            <w:vAlign w:val="bottom"/>
          </w:tcPr>
          <w:p>
            <w:pPr>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Press Release dated April 27, 2017</w:t>
            </w:r>
          </w:p>
        </w:tc>
      </w:tr>
      <w:tr>
        <w:trPr>
          <w:trHeight w:val="226"/>
        </w:trPr>
        <w:tc>
          <w:tcPr>
            <w:tcW w:w="12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920" w:type="dxa"/>
            <w:vAlign w:val="bottom"/>
            <w:tcBorders>
              <w:bottom w:val="single" w:sz="8" w:color="808080"/>
            </w:tcBorders>
          </w:tcPr>
          <w:p>
            <w:pPr>
              <w:spacing w:after="0"/>
              <w:rPr>
                <w:sz w:val="19"/>
                <w:szCs w:val="19"/>
                <w:color w:val="auto"/>
              </w:rPr>
            </w:pPr>
          </w:p>
        </w:tc>
        <w:tc>
          <w:tcPr>
            <w:tcW w:w="79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900" w:type="dxa"/>
            <w:vAlign w:val="bottom"/>
            <w:gridSpan w:val="3"/>
          </w:tcPr>
          <w:p>
            <w:pPr>
              <w:ind w:left="2020"/>
              <w:spacing w:after="0"/>
              <w:rPr>
                <w:sz w:val="20"/>
                <w:szCs w:val="20"/>
                <w:color w:val="auto"/>
              </w:rPr>
            </w:pPr>
            <w:r>
              <w:rPr>
                <w:rFonts w:ascii="Arial" w:cs="Arial" w:eastAsia="Arial" w:hAnsi="Arial"/>
                <w:sz w:val="18"/>
                <w:szCs w:val="18"/>
                <w:b w:val="1"/>
                <w:bCs w:val="1"/>
                <w:color w:val="auto"/>
              </w:rPr>
              <w:t>Civeo Corporation</w:t>
            </w:r>
          </w:p>
        </w:tc>
      </w:tr>
      <w:tr>
        <w:trPr>
          <w:trHeight w:val="608"/>
        </w:trPr>
        <w:tc>
          <w:tcPr>
            <w:tcW w:w="3520" w:type="dxa"/>
            <w:vAlign w:val="bottom"/>
          </w:tcPr>
          <w:p>
            <w:pPr>
              <w:spacing w:after="0"/>
              <w:rPr>
                <w:sz w:val="20"/>
                <w:szCs w:val="20"/>
                <w:color w:val="auto"/>
              </w:rPr>
            </w:pPr>
            <w:r>
              <w:rPr>
                <w:rFonts w:ascii="Arial" w:cs="Arial" w:eastAsia="Arial" w:hAnsi="Arial"/>
                <w:sz w:val="18"/>
                <w:szCs w:val="18"/>
                <w:color w:val="auto"/>
              </w:rPr>
              <w:t>Date: April 27, 2017</w:t>
            </w:r>
          </w:p>
        </w:tc>
        <w:tc>
          <w:tcPr>
            <w:tcW w:w="7900" w:type="dxa"/>
            <w:vAlign w:val="bottom"/>
            <w:gridSpan w:val="3"/>
          </w:tcPr>
          <w:p>
            <w:pPr>
              <w:ind w:left="2020"/>
              <w:spacing w:after="0"/>
              <w:rPr>
                <w:sz w:val="20"/>
                <w:szCs w:val="20"/>
                <w:color w:val="auto"/>
              </w:rPr>
            </w:pPr>
            <w:r>
              <w:rPr>
                <w:rFonts w:ascii="Arial" w:cs="Arial" w:eastAsia="Arial" w:hAnsi="Arial"/>
                <w:sz w:val="18"/>
                <w:szCs w:val="18"/>
                <w:color w:val="auto"/>
              </w:rPr>
              <w:t>By: /s/ Frank C. Steininger</w:t>
            </w:r>
          </w:p>
        </w:tc>
      </w:tr>
      <w:tr>
        <w:trPr>
          <w:trHeight w:val="222"/>
        </w:trPr>
        <w:tc>
          <w:tcPr>
            <w:tcW w:w="35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Frank C. Steininger</w:t>
            </w:r>
          </w:p>
        </w:tc>
        <w:tc>
          <w:tcPr>
            <w:tcW w:w="3520" w:type="dxa"/>
            <w:vAlign w:val="bottom"/>
          </w:tcPr>
          <w:p>
            <w:pPr>
              <w:spacing w:after="0"/>
              <w:rPr>
                <w:sz w:val="19"/>
                <w:szCs w:val="19"/>
                <w:color w:val="auto"/>
              </w:rPr>
            </w:pPr>
          </w:p>
        </w:tc>
      </w:tr>
      <w:tr>
        <w:trPr>
          <w:trHeight w:val="216"/>
        </w:trPr>
        <w:tc>
          <w:tcPr>
            <w:tcW w:w="35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Senior Vice President, Chief Financial</w:t>
            </w:r>
          </w:p>
        </w:tc>
      </w:tr>
      <w:tr>
        <w:trPr>
          <w:trHeight w:val="230"/>
        </w:trPr>
        <w:tc>
          <w:tcPr>
            <w:tcW w:w="35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Officer &amp; Treasurer</w:t>
            </w:r>
          </w:p>
        </w:tc>
      </w:tr>
      <w:tr>
        <w:trPr>
          <w:trHeight w:val="442"/>
        </w:trPr>
        <w:tc>
          <w:tcPr>
            <w:tcW w:w="3520" w:type="dxa"/>
            <w:vAlign w:val="bottom"/>
            <w:tcBorders>
              <w:bottom w:val="single" w:sz="8" w:color="808080"/>
            </w:tcBorders>
          </w:tcPr>
          <w:p>
            <w:pPr>
              <w:spacing w:after="0"/>
              <w:rPr>
                <w:sz w:val="24"/>
                <w:szCs w:val="24"/>
                <w:color w:val="auto"/>
              </w:rPr>
            </w:pPr>
          </w:p>
        </w:tc>
        <w:tc>
          <w:tcPr>
            <w:tcW w:w="2340" w:type="dxa"/>
            <w:vAlign w:val="bottom"/>
            <w:tcBorders>
              <w:bottom w:val="single" w:sz="8" w:color="808080"/>
            </w:tcBorders>
          </w:tcPr>
          <w:p>
            <w:pPr>
              <w:spacing w:after="0"/>
              <w:rPr>
                <w:sz w:val="24"/>
                <w:szCs w:val="24"/>
                <w:color w:val="auto"/>
              </w:rPr>
            </w:pPr>
          </w:p>
        </w:tc>
        <w:tc>
          <w:tcPr>
            <w:tcW w:w="2040" w:type="dxa"/>
            <w:vAlign w:val="bottom"/>
            <w:tcBorders>
              <w:bottom w:val="single" w:sz="8" w:color="808080"/>
            </w:tcBorders>
          </w:tcPr>
          <w:p>
            <w:pPr>
              <w:spacing w:after="0"/>
              <w:rPr>
                <w:sz w:val="24"/>
                <w:szCs w:val="24"/>
                <w:color w:val="auto"/>
              </w:rPr>
            </w:pPr>
          </w:p>
        </w:tc>
        <w:tc>
          <w:tcPr>
            <w:tcW w:w="35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right"/>
        <w:ind w:right="3839"/>
        <w:spacing w:after="0"/>
        <w:rPr>
          <w:sz w:val="20"/>
          <w:szCs w:val="20"/>
          <w:color w:val="auto"/>
        </w:rPr>
      </w:pPr>
      <w:r>
        <w:rPr>
          <w:rFonts w:ascii="Arial" w:cs="Arial" w:eastAsia="Arial" w:hAnsi="Arial"/>
          <w:sz w:val="18"/>
          <w:szCs w:val="18"/>
          <w:b w:val="1"/>
          <w:bCs w:val="1"/>
          <w:color w:val="auto"/>
        </w:rPr>
        <w:t>Index to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40" w:type="dxa"/>
            <w:vAlign w:val="bottom"/>
            <w:gridSpan w:val="3"/>
          </w:tcPr>
          <w:p>
            <w:pPr>
              <w:spacing w:after="0"/>
              <w:rPr>
                <w:sz w:val="20"/>
                <w:szCs w:val="20"/>
                <w:color w:val="auto"/>
              </w:rPr>
            </w:pPr>
            <w:r>
              <w:rPr>
                <w:rFonts w:ascii="Arial" w:cs="Arial" w:eastAsia="Arial" w:hAnsi="Arial"/>
                <w:sz w:val="18"/>
                <w:szCs w:val="18"/>
                <w:b w:val="1"/>
                <w:bCs w:val="1"/>
                <w:color w:val="auto"/>
              </w:rPr>
              <w:t>Exhibit Number</w:t>
            </w:r>
          </w:p>
        </w:tc>
        <w:tc>
          <w:tcPr>
            <w:tcW w:w="2520" w:type="dxa"/>
            <w:vAlign w:val="bottom"/>
            <w:gridSpan w:val="2"/>
          </w:tcPr>
          <w:p>
            <w:pPr>
              <w:spacing w:after="0"/>
              <w:rPr>
                <w:sz w:val="20"/>
                <w:szCs w:val="20"/>
                <w:color w:val="auto"/>
              </w:rPr>
            </w:pPr>
            <w:r>
              <w:rPr>
                <w:rFonts w:ascii="Arial" w:cs="Arial" w:eastAsia="Arial" w:hAnsi="Arial"/>
                <w:sz w:val="18"/>
                <w:szCs w:val="18"/>
                <w:b w:val="1"/>
                <w:bCs w:val="1"/>
                <w:color w:val="auto"/>
              </w:rPr>
              <w:t>Description of Document</w:t>
            </w:r>
          </w:p>
        </w:tc>
      </w:tr>
      <w:tr>
        <w:trPr>
          <w:trHeight w:val="20"/>
        </w:trPr>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12"/>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5">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88"/>
              </w:rPr>
              <w:t>Press Release dated April 27, 2017</w:t>
            </w:r>
          </w:p>
        </w:tc>
      </w:tr>
    </w:tbl>
    <w:p>
      <w:pPr>
        <w:sectPr>
          <w:pgSz w:w="11900" w:h="16838" w:orient="portrait"/>
          <w:cols w:equalWidth="0" w:num="1">
            <w:col w:w="10219"/>
          </w:cols>
          <w:pgMar w:left="240" w:top="33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Civeo Reports First Quarter 2017 Results</w:t>
      </w:r>
    </w:p>
    <w:p>
      <w:pPr>
        <w:spacing w:after="0" w:line="212"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HOUSTON, April 27, 2017 (GLOBE NEWSWIRE) -- Civeo Corporation (NYSE:CVEO) today reported financial and operating results for the first quarter ended March 31, 2017.</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Highlights include:</w:t>
      </w:r>
    </w:p>
    <w:p>
      <w:pPr>
        <w:spacing w:after="0" w:line="206" w:lineRule="exact"/>
        <w:rPr>
          <w:sz w:val="20"/>
          <w:szCs w:val="20"/>
          <w:color w:val="auto"/>
        </w:rPr>
      </w:pPr>
    </w:p>
    <w:p>
      <w:pPr>
        <w:ind w:left="540" w:right="260"/>
        <w:spacing w:after="0" w:line="274" w:lineRule="auto"/>
        <w:rPr>
          <w:sz w:val="20"/>
          <w:szCs w:val="20"/>
          <w:color w:val="auto"/>
        </w:rPr>
      </w:pPr>
      <w:r>
        <w:rPr>
          <w:rFonts w:ascii="Arial" w:cs="Arial" w:eastAsia="Arial" w:hAnsi="Arial"/>
          <w:sz w:val="21"/>
          <w:szCs w:val="21"/>
          <w:color w:val="auto"/>
        </w:rPr>
        <w:t>Completed a public offering in February 2017 of 23 million common shares, raising net proceeds of $64.8 million to repay amounts outstanding under Civeo’s revolving credit facilities and for general corporate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-288290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8" w:lineRule="exact"/>
        <w:rPr>
          <w:sz w:val="20"/>
          <w:szCs w:val="20"/>
          <w:color w:val="auto"/>
        </w:rPr>
      </w:pPr>
    </w:p>
    <w:p>
      <w:pPr>
        <w:ind w:left="540"/>
        <w:spacing w:after="0"/>
        <w:rPr>
          <w:sz w:val="20"/>
          <w:szCs w:val="20"/>
          <w:color w:val="auto"/>
        </w:rPr>
      </w:pPr>
      <w:r>
        <w:rPr>
          <w:rFonts w:ascii="Arial" w:cs="Arial" w:eastAsia="Arial" w:hAnsi="Arial"/>
          <w:sz w:val="22"/>
          <w:szCs w:val="22"/>
          <w:color w:val="auto"/>
        </w:rPr>
        <w:t>Generated $9.8 million in operating cash flow and $6.5 million in 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ind w:left="540" w:right="360"/>
        <w:spacing w:after="0" w:line="328" w:lineRule="auto"/>
        <w:rPr>
          <w:sz w:val="20"/>
          <w:szCs w:val="20"/>
          <w:color w:val="auto"/>
        </w:rPr>
      </w:pPr>
      <w:r>
        <w:rPr>
          <w:rFonts w:ascii="Arial" w:cs="Arial" w:eastAsia="Arial" w:hAnsi="Arial"/>
          <w:sz w:val="19"/>
          <w:szCs w:val="19"/>
          <w:color w:val="auto"/>
        </w:rPr>
        <w:t>Repaid $44 million of debt in the first quarter, reducing total debt outstanding by $41 million (net of $3 million in foreign exchange adjustments) to $316 million in total debt at March 31, 2017, down from $357 million at the end of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-317500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12" w:lineRule="exact"/>
        <w:rPr>
          <w:sz w:val="20"/>
          <w:szCs w:val="20"/>
          <w:color w:val="auto"/>
        </w:rPr>
      </w:pPr>
    </w:p>
    <w:p>
      <w:pPr>
        <w:ind w:left="540" w:right="520"/>
        <w:spacing w:after="0" w:line="251" w:lineRule="auto"/>
        <w:rPr>
          <w:sz w:val="20"/>
          <w:szCs w:val="20"/>
          <w:color w:val="auto"/>
        </w:rPr>
      </w:pPr>
      <w:r>
        <w:rPr>
          <w:rFonts w:ascii="Arial" w:cs="Arial" w:eastAsia="Arial" w:hAnsi="Arial"/>
          <w:sz w:val="22"/>
          <w:szCs w:val="22"/>
          <w:color w:val="auto"/>
        </w:rPr>
        <w:t>Executed a 15-month contract renewal at McClelland Lake Lodge related to the construction of the Fort Hills Oil Sands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22"/>
          <w:szCs w:val="22"/>
          <w:color w:val="auto"/>
        </w:rPr>
        <w:t>Completed third amendment to Civeo’s revolving credit agreement in February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right="220"/>
        <w:spacing w:after="0" w:line="277" w:lineRule="auto"/>
        <w:rPr>
          <w:sz w:val="20"/>
          <w:szCs w:val="20"/>
          <w:color w:val="auto"/>
        </w:rPr>
      </w:pPr>
      <w:r>
        <w:rPr>
          <w:rFonts w:ascii="Arial" w:cs="Arial" w:eastAsia="Arial" w:hAnsi="Arial"/>
          <w:sz w:val="19"/>
          <w:szCs w:val="19"/>
          <w:color w:val="auto"/>
        </w:rPr>
        <w:t>“Our performance during the first quarter was consistent with our strategic objectives to generate free cash flow, reduce debt, win new business and deliver best-in-class services to our customers,” said Bradley J. Dodson, President and Chief Executive Officer. “First quarter revenues were above our expectations due to better occupancy in Canada and Australia. First quarter earnings were modestly below our expectations, due to higher-than-expected stock-based compensation expense as a result of the year-to-date increase in our stock price and higher-than-expected labor costs in Canada. We are encouraged by the broadening stabilization in our core end markets, highlighted by our 15-month contract renewal at McClelland Lake Lodge in Canada and improving performance in our Australian and U.S. segments.”</w:t>
      </w:r>
    </w:p>
    <w:p>
      <w:pPr>
        <w:spacing w:after="0" w:line="153" w:lineRule="exact"/>
        <w:rPr>
          <w:sz w:val="20"/>
          <w:szCs w:val="20"/>
          <w:color w:val="auto"/>
        </w:rPr>
      </w:pPr>
    </w:p>
    <w:p>
      <w:pPr>
        <w:ind w:right="60"/>
        <w:spacing w:after="0" w:line="235" w:lineRule="auto"/>
        <w:rPr>
          <w:sz w:val="20"/>
          <w:szCs w:val="20"/>
          <w:color w:val="auto"/>
        </w:rPr>
      </w:pPr>
      <w:r>
        <w:rPr>
          <w:rFonts w:ascii="Arial" w:cs="Arial" w:eastAsia="Arial" w:hAnsi="Arial"/>
          <w:sz w:val="22"/>
          <w:szCs w:val="22"/>
          <w:color w:val="auto"/>
        </w:rPr>
        <w:t>Mr. Dodson concluded, "The fundamental macro-economic drivers of our business have continued to exhibit some signs of improvement in recent months. Stable oil prices are providing greater visibility to our customers in the U.S. and Canada, while met coal contract prices remain at significantly higher levels than a year ago. Accordingly, we are optimistic that demand for our services will continue to stabilize in 2017 and gradually improve over the medium to long-term. In the interim, we remain focused on executing our strategic mandates of delivering unsurpassed service quality, preserving financial flexibility and pursuing long-term growth initiatives as market conditions improve.”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First Quarter 2017 Results</w:t>
      </w:r>
    </w:p>
    <w:p>
      <w:pPr>
        <w:spacing w:after="0" w:line="206" w:lineRule="exact"/>
        <w:rPr>
          <w:sz w:val="20"/>
          <w:szCs w:val="20"/>
          <w:color w:val="auto"/>
        </w:rPr>
      </w:pPr>
    </w:p>
    <w:p>
      <w:pPr>
        <w:jc w:val="both"/>
        <w:ind w:right="80"/>
        <w:spacing w:after="0"/>
        <w:rPr>
          <w:sz w:val="20"/>
          <w:szCs w:val="20"/>
          <w:color w:val="auto"/>
        </w:rPr>
      </w:pPr>
      <w:r>
        <w:rPr>
          <w:rFonts w:ascii="Arial" w:cs="Arial" w:eastAsia="Arial" w:hAnsi="Arial"/>
          <w:sz w:val="22"/>
          <w:szCs w:val="22"/>
          <w:color w:val="auto"/>
        </w:rPr>
        <w:t>In the first quarter of 2017, Civeo generated revenues of $91.4 million and reported a net loss of $21.0 million, or $0.17 per share. During the first quarter of 2017, Civeo generated operating cash flow of $9.8 million, Adjusted EBITDA of $15.2 million, and free cash flow of $6.5 million.</w:t>
      </w:r>
    </w:p>
    <w:p>
      <w:pPr>
        <w:spacing w:after="0" w:line="186"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(EBITDA is a non-GAAP financial measure that is defined as net income plus interest, taxes, depreciation and amortization, and Adjusted EBITDA is defined as EBITDA adjusted to exclude impairment charges and the costs directly associated with Civeo’s redomiciliation to Canada. Free cash flow is a non-GAAP financial measure that is defined as net cash flows provided by operating activities less capital expenditures plus proceeds from asset sales. Please see the reconciliations to GAAP measures at the end of this news release.)</w:t>
      </w:r>
    </w:p>
    <w:p>
      <w:pPr>
        <w:spacing w:after="0" w:line="188" w:lineRule="exact"/>
        <w:rPr>
          <w:sz w:val="20"/>
          <w:szCs w:val="20"/>
          <w:color w:val="auto"/>
        </w:rPr>
      </w:pPr>
    </w:p>
    <w:p>
      <w:pPr>
        <w:ind w:right="180"/>
        <w:spacing w:after="0" w:line="236" w:lineRule="auto"/>
        <w:rPr>
          <w:sz w:val="20"/>
          <w:szCs w:val="20"/>
          <w:color w:val="auto"/>
        </w:rPr>
      </w:pPr>
      <w:r>
        <w:rPr>
          <w:rFonts w:ascii="Arial" w:cs="Arial" w:eastAsia="Arial" w:hAnsi="Arial"/>
          <w:sz w:val="22"/>
          <w:szCs w:val="22"/>
          <w:color w:val="auto"/>
        </w:rPr>
        <w:t>By comparison, in the first quarter of 2016, Civeo generated revenues of $95.0 million and reported a net loss of $26.8 million, or $0.25 per share. That net loss included the impact of $8.4 million of pre-tax charges, or $0.05 per share after-tax, related to the impairment of our assets in the U.S. Bakken Shale region, and a $1.0 million pre-tax expense, or $0.01 per share, related to our redomiciliation to Canada. During the first quarter of 2016, Civeo generated operating cash flow of $11.3 million, Adjusted EBITDA of $16.8 million and free cash flow of $8.1 million.</w:t>
      </w:r>
    </w:p>
    <w:p>
      <w:pPr>
        <w:spacing w:after="0" w:line="188" w:lineRule="exact"/>
        <w:rPr>
          <w:sz w:val="20"/>
          <w:szCs w:val="20"/>
          <w:color w:val="auto"/>
        </w:rPr>
      </w:pPr>
    </w:p>
    <w:p>
      <w:pPr>
        <w:ind w:right="80"/>
        <w:spacing w:after="0" w:line="238" w:lineRule="auto"/>
        <w:rPr>
          <w:sz w:val="20"/>
          <w:szCs w:val="20"/>
          <w:color w:val="auto"/>
        </w:rPr>
      </w:pPr>
      <w:r>
        <w:rPr>
          <w:rFonts w:ascii="Arial" w:cs="Arial" w:eastAsia="Arial" w:hAnsi="Arial"/>
          <w:sz w:val="22"/>
          <w:szCs w:val="22"/>
          <w:color w:val="auto"/>
        </w:rPr>
        <w:t>Revenues, operating cash flow and Adjusted EBITDA declined in the first quarter of 2017 as compared to the first quarter of 2016, due to lower average daily rates in Canada and decreased mobile camp performance resulting from lower customer activity in the Canadian oil sands mining industry. Adjusted EBITDA was also negatively impacted by higher year-over-year stock-based compensation expense due to the year-to-date increase in Civeo’s stock price.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Business Segment Results</w:t>
      </w:r>
    </w:p>
    <w:p>
      <w:pPr>
        <w:spacing w:after="0" w:line="206" w:lineRule="exact"/>
        <w:rPr>
          <w:sz w:val="20"/>
          <w:szCs w:val="20"/>
          <w:color w:val="auto"/>
        </w:rPr>
      </w:pPr>
    </w:p>
    <w:p>
      <w:pPr>
        <w:ind w:right="260"/>
        <w:spacing w:after="0"/>
        <w:rPr>
          <w:sz w:val="20"/>
          <w:szCs w:val="20"/>
          <w:color w:val="auto"/>
        </w:rPr>
      </w:pPr>
      <w:r>
        <w:rPr>
          <w:rFonts w:ascii="Arial" w:cs="Arial" w:eastAsia="Arial" w:hAnsi="Arial"/>
          <w:sz w:val="22"/>
          <w:szCs w:val="22"/>
          <w:color w:val="auto"/>
        </w:rPr>
        <w:t>(Unless otherwise noted, the following discussion compares the quarterly results for the first quarter of 2017 to the results for the first quarter of 2016. The Adjusted EBITDA amounts discussed below exclude the fixed asset impairment and redomiciliation-related expenses noted above.)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Canada</w:t>
      </w:r>
    </w:p>
    <w:p>
      <w:pPr>
        <w:sectPr>
          <w:pgSz w:w="11900" w:h="16838" w:orient="portrait"/>
          <w:cols w:equalWidth="0" w:num="1">
            <w:col w:w="11420"/>
          </w:cols>
          <w:pgMar w:left="240" w:top="112" w:right="239" w:bottom="236" w:gutter="0" w:footer="0" w:header="0"/>
        </w:sectPr>
      </w:pPr>
    </w:p>
    <w:bookmarkStart w:id="5" w:name="page6"/>
    <w:bookmarkEnd w:id="5"/>
    <w:p>
      <w:pPr>
        <w:spacing w:after="0" w:line="38" w:lineRule="exact"/>
        <w:rPr>
          <w:sz w:val="20"/>
          <w:szCs w:val="20"/>
          <w:color w:val="auto"/>
        </w:rPr>
      </w:pPr>
    </w:p>
    <w:p>
      <w:pPr>
        <w:ind w:right="40"/>
        <w:spacing w:after="0" w:line="282" w:lineRule="auto"/>
        <w:rPr>
          <w:sz w:val="20"/>
          <w:szCs w:val="20"/>
          <w:color w:val="auto"/>
        </w:rPr>
      </w:pPr>
      <w:r>
        <w:rPr>
          <w:rFonts w:ascii="Arial" w:cs="Arial" w:eastAsia="Arial" w:hAnsi="Arial"/>
          <w:sz w:val="19"/>
          <w:szCs w:val="19"/>
          <w:color w:val="auto"/>
        </w:rPr>
        <w:t>During the first quarter of 2017, the Canadian segment generated revenues of $60.5 million, operating loss of $5.0 million and Adjusted EBITDA of $13.2 million, compared to revenues of $65.5 million, operating loss of $9.7 million and Adjusted EBITDA of $14.2 million in the first quarter of 2016. On a constant currency basis, revenues decreased primarily due to lower room rates, as well as a decline in mobile, open camp and product revenues, primarily attributable to lower activity levels. These items were partially offset by increased lodge occupancy related to improving seasonal demand from short-term customers.</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Australia</w:t>
      </w:r>
    </w:p>
    <w:p>
      <w:pPr>
        <w:spacing w:after="0" w:line="206"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The Australian segment generated revenues of $27.0 million, operating loss of $1.2 million and Adjusted EBITDA of $10.6 million in the first quarter of 2017, compared to revenues of $25.5 million, operating loss of $1.6 million and Adjusted EBITDA of $10.8 million in the first quarter of 2016. On a constant currency basis, the revenue increase was primarily due to increased average daily rates related to a termination payment from a customer.</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U.S.</w:t>
      </w:r>
    </w:p>
    <w:p>
      <w:pPr>
        <w:spacing w:after="0" w:line="206" w:lineRule="exact"/>
        <w:rPr>
          <w:sz w:val="20"/>
          <w:szCs w:val="20"/>
          <w:color w:val="auto"/>
        </w:rPr>
      </w:pPr>
    </w:p>
    <w:p>
      <w:pPr>
        <w:ind w:right="80"/>
        <w:spacing w:after="0" w:line="236" w:lineRule="auto"/>
        <w:rPr>
          <w:sz w:val="20"/>
          <w:szCs w:val="20"/>
          <w:color w:val="auto"/>
        </w:rPr>
      </w:pPr>
      <w:r>
        <w:rPr>
          <w:rFonts w:ascii="Arial" w:cs="Arial" w:eastAsia="Arial" w:hAnsi="Arial"/>
          <w:sz w:val="22"/>
          <w:szCs w:val="22"/>
          <w:color w:val="auto"/>
        </w:rPr>
        <w:t>The U.S. segment generated revenues of $3.9 million, operating loss of $2.8 million and an Adjusted EBITDA loss of $1.3 million in the first quarter of 2017, compared to revenues of $4.0 million, operating loss of $13.6 million and an Adjusted EBITDA loss of $3.1 million in the first quarter of 2016. The Adjusted EBITDA increase was primarily due to cost reductions, coupled with increased utilization at our open lodges and well site services business related to the improvement in oil prices and an increase in the U.S. rig count.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McClelland Lake Lodge Contract Renewal</w:t>
      </w:r>
    </w:p>
    <w:p>
      <w:pPr>
        <w:spacing w:after="0" w:line="206" w:lineRule="exact"/>
        <w:rPr>
          <w:sz w:val="20"/>
          <w:szCs w:val="20"/>
          <w:color w:val="auto"/>
        </w:rPr>
      </w:pPr>
    </w:p>
    <w:p>
      <w:pPr>
        <w:ind w:right="500"/>
        <w:spacing w:after="0" w:line="328" w:lineRule="auto"/>
        <w:rPr>
          <w:sz w:val="20"/>
          <w:szCs w:val="20"/>
          <w:color w:val="auto"/>
        </w:rPr>
      </w:pPr>
      <w:r>
        <w:rPr>
          <w:rFonts w:ascii="Arial" w:cs="Arial" w:eastAsia="Arial" w:hAnsi="Arial"/>
          <w:sz w:val="19"/>
          <w:szCs w:val="19"/>
          <w:color w:val="auto"/>
        </w:rPr>
        <w:t>Civeo today announced that it has secured a 15-month contract renewal to support the construction of the Fort Hills Oil Sands project. We are encouraged by the renewal of this contract and believe it is a testament to our best-in-class customer service.</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Income Taxes</w:t>
      </w:r>
    </w:p>
    <w:p>
      <w:pPr>
        <w:spacing w:after="0" w:line="206" w:lineRule="exact"/>
        <w:rPr>
          <w:sz w:val="20"/>
          <w:szCs w:val="20"/>
          <w:color w:val="auto"/>
        </w:rPr>
      </w:pPr>
    </w:p>
    <w:p>
      <w:pPr>
        <w:ind w:right="20"/>
        <w:spacing w:after="0"/>
        <w:rPr>
          <w:sz w:val="20"/>
          <w:szCs w:val="20"/>
          <w:color w:val="auto"/>
        </w:rPr>
      </w:pPr>
      <w:r>
        <w:rPr>
          <w:rFonts w:ascii="Arial" w:cs="Arial" w:eastAsia="Arial" w:hAnsi="Arial"/>
          <w:sz w:val="22"/>
          <w:szCs w:val="22"/>
          <w:color w:val="auto"/>
        </w:rPr>
        <w:t>Civeo recognized an income tax benefit of $2.9 million, which resulted in an effective tax rate of 12.4% in the first quarter of 2017. During the first quarter of 2016, Civeo recognized an income tax benefit of $4.6 million, which resulted in an effective tax rate of 14.6%.</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Financial Condition</w:t>
      </w:r>
    </w:p>
    <w:p>
      <w:pPr>
        <w:spacing w:after="0" w:line="206" w:lineRule="exact"/>
        <w:rPr>
          <w:sz w:val="20"/>
          <w:szCs w:val="20"/>
          <w:color w:val="auto"/>
        </w:rPr>
      </w:pPr>
    </w:p>
    <w:p>
      <w:pPr>
        <w:ind w:right="200"/>
        <w:spacing w:after="0" w:line="251" w:lineRule="auto"/>
        <w:rPr>
          <w:sz w:val="20"/>
          <w:szCs w:val="20"/>
          <w:color w:val="auto"/>
        </w:rPr>
      </w:pPr>
      <w:r>
        <w:rPr>
          <w:rFonts w:ascii="Arial" w:cs="Arial" w:eastAsia="Arial" w:hAnsi="Arial"/>
          <w:sz w:val="22"/>
          <w:szCs w:val="22"/>
          <w:color w:val="auto"/>
        </w:rPr>
        <w:t>As of March 31, 2017, Civeo had total liquidity of approximately $199.8 million, comprised of $172.7 million available under its revolving credit facilities and $27.1 million of cash on hand.</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color w:val="auto"/>
        </w:rPr>
        <w:t>Civeo reduced total debt outstanding to $316.5 million at March 31, 2017, down from $357 million at December 31, 2016.</w:t>
      </w:r>
    </w:p>
    <w:p>
      <w:pPr>
        <w:spacing w:after="0" w:line="218" w:lineRule="exact"/>
        <w:rPr>
          <w:sz w:val="20"/>
          <w:szCs w:val="20"/>
          <w:color w:val="auto"/>
        </w:rPr>
      </w:pPr>
    </w:p>
    <w:p>
      <w:pPr>
        <w:ind w:right="640"/>
        <w:spacing w:after="0" w:line="251" w:lineRule="auto"/>
        <w:rPr>
          <w:sz w:val="20"/>
          <w:szCs w:val="20"/>
          <w:color w:val="auto"/>
        </w:rPr>
      </w:pPr>
      <w:r>
        <w:rPr>
          <w:rFonts w:ascii="Arial" w:cs="Arial" w:eastAsia="Arial" w:hAnsi="Arial"/>
          <w:sz w:val="22"/>
          <w:szCs w:val="22"/>
          <w:color w:val="auto"/>
        </w:rPr>
        <w:t>During the first quarter of 2017, Civeo invested $3.9 million in capital expenditures, down from $4.8 million during the first quarter of 2016. For both periods, such capital expenditures were primarily routine in nature.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Second Quarter and Full Year 2017 Guidance</w:t>
      </w:r>
    </w:p>
    <w:p>
      <w:pPr>
        <w:spacing w:after="0" w:line="206" w:lineRule="exact"/>
        <w:rPr>
          <w:sz w:val="20"/>
          <w:szCs w:val="20"/>
          <w:color w:val="auto"/>
        </w:rPr>
      </w:pPr>
    </w:p>
    <w:p>
      <w:pPr>
        <w:jc w:val="both"/>
        <w:ind w:right="100"/>
        <w:spacing w:after="0" w:line="258" w:lineRule="auto"/>
        <w:rPr>
          <w:sz w:val="20"/>
          <w:szCs w:val="20"/>
          <w:color w:val="auto"/>
        </w:rPr>
      </w:pPr>
      <w:r>
        <w:rPr>
          <w:rFonts w:ascii="Arial" w:cs="Arial" w:eastAsia="Arial" w:hAnsi="Arial"/>
          <w:sz w:val="21"/>
          <w:szCs w:val="21"/>
          <w:color w:val="auto"/>
        </w:rPr>
        <w:t>For the second quarter of 2017, Civeo expects revenues of $82 million to $87 million and EBITDA of $14 million to $17 million. For the full year of 2017, Civeo is reiterating guidance of revenues of $337 million to $353 million and EBITDA of $60 million to $65 million. Civeo expects capital expenditures of approximately $15 to $18 million for the full year 2017.</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Conference Call</w:t>
      </w:r>
    </w:p>
    <w:p>
      <w:pPr>
        <w:spacing w:after="0" w:line="206" w:lineRule="exact"/>
        <w:rPr>
          <w:sz w:val="20"/>
          <w:szCs w:val="20"/>
          <w:color w:val="auto"/>
        </w:rPr>
      </w:pPr>
    </w:p>
    <w:p>
      <w:pPr>
        <w:ind w:right="140"/>
        <w:spacing w:after="0" w:line="276" w:lineRule="auto"/>
        <w:rPr>
          <w:sz w:val="20"/>
          <w:szCs w:val="20"/>
          <w:color w:val="auto"/>
        </w:rPr>
      </w:pPr>
      <w:r>
        <w:rPr>
          <w:rFonts w:ascii="Arial" w:cs="Arial" w:eastAsia="Arial" w:hAnsi="Arial"/>
          <w:sz w:val="19"/>
          <w:szCs w:val="19"/>
          <w:color w:val="auto"/>
        </w:rPr>
        <w:t>Civeo will host a conference call to discuss its first quarter 2017 financial results today at 11:00 a.m. Eastern time. This call is being webcast and can be accessed at Civeo's website at www.civeo.com. Participants may also join the conference call by dialing</w:t>
      </w:r>
    </w:p>
    <w:p>
      <w:pPr>
        <w:spacing w:after="0" w:line="2" w:lineRule="exact"/>
        <w:rPr>
          <w:sz w:val="20"/>
          <w:szCs w:val="20"/>
          <w:color w:val="auto"/>
        </w:rPr>
      </w:pPr>
    </w:p>
    <w:p>
      <w:pPr>
        <w:ind w:right="240" w:firstLine="8"/>
        <w:spacing w:after="0" w:line="234" w:lineRule="auto"/>
        <w:tabs>
          <w:tab w:leader="none" w:pos="522" w:val="left"/>
        </w:tabs>
        <w:numPr>
          <w:ilvl w:val="0"/>
          <w:numId w:val="3"/>
        </w:numPr>
        <w:rPr>
          <w:rFonts w:ascii="Arial" w:cs="Arial" w:eastAsia="Arial" w:hAnsi="Arial"/>
          <w:sz w:val="22"/>
          <w:szCs w:val="22"/>
          <w:color w:val="auto"/>
        </w:rPr>
      </w:pPr>
      <w:r>
        <w:rPr>
          <w:rFonts w:ascii="Arial" w:cs="Arial" w:eastAsia="Arial" w:hAnsi="Arial"/>
          <w:sz w:val="22"/>
          <w:szCs w:val="22"/>
          <w:color w:val="auto"/>
        </w:rPr>
        <w:t>600-4863 in the United States or (913) 312-0979 internationally and using the conference ID 8513690. A replay will be available after the call by dialing (844) 512-2921 in the United States or (412) 317-6671 internationally and using the conference ID 8513690.</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Civeo</w:t>
      </w:r>
    </w:p>
    <w:p>
      <w:pPr>
        <w:spacing w:after="0" w:line="206" w:lineRule="exact"/>
        <w:rPr>
          <w:sz w:val="20"/>
          <w:szCs w:val="20"/>
          <w:color w:val="auto"/>
        </w:rPr>
      </w:pPr>
    </w:p>
    <w:p>
      <w:pPr>
        <w:ind w:right="160"/>
        <w:spacing w:after="0" w:line="248" w:lineRule="auto"/>
        <w:rPr>
          <w:sz w:val="20"/>
          <w:szCs w:val="20"/>
          <w:color w:val="auto"/>
        </w:rPr>
      </w:pPr>
      <w:r>
        <w:rPr>
          <w:rFonts w:ascii="Arial" w:cs="Arial" w:eastAsia="Arial" w:hAnsi="Arial"/>
          <w:sz w:val="21"/>
          <w:szCs w:val="21"/>
          <w:color w:val="auto"/>
        </w:rPr>
        <w:t>Civeo Corporation is a leading provider of workforce accommodations with prominent market positions in the Canadian oil sands and the Australian natural resource regions. Civeo offers comprehensive solutions for housing hundreds or thousands of workers with its long-term and temporary accommodations and provides catering, facility management, water systems and logistics services. Civeo currently owns a total of 19 lodges and villages in operation in Canada and Australia, with an aggregate of more than 23,000 rooms. Civeo is publicly traded under the symbol CVEO on the New York Stock Exchange. For more information, please visit Civeo's website at www.civeo.com.</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Forward Looking Statements</w:t>
      </w:r>
    </w:p>
    <w:p>
      <w:pPr>
        <w:spacing w:after="0" w:line="206" w:lineRule="exact"/>
        <w:rPr>
          <w:sz w:val="20"/>
          <w:szCs w:val="20"/>
          <w:color w:val="auto"/>
        </w:rPr>
      </w:pPr>
    </w:p>
    <w:p>
      <w:pPr>
        <w:ind w:right="180"/>
        <w:spacing w:after="0" w:line="297" w:lineRule="auto"/>
        <w:rPr>
          <w:sz w:val="20"/>
          <w:szCs w:val="20"/>
          <w:color w:val="auto"/>
        </w:rPr>
      </w:pPr>
      <w:r>
        <w:rPr>
          <w:rFonts w:ascii="Arial" w:cs="Arial" w:eastAsia="Arial" w:hAnsi="Arial"/>
          <w:sz w:val="19"/>
          <w:szCs w:val="19"/>
          <w:color w:val="auto"/>
        </w:rPr>
        <w:t>This news release contains forward-looking statements within the meaning of the Securities Act of 1933 and Section 21E of the Securities Exchange Act of 1934. Forward-looking statements are those that do not state historical facts and are, therefore, inherently subject to risks and uncertainties. The forward looking statements in this news release include the statements regarding</w:t>
      </w:r>
    </w:p>
    <w:p>
      <w:pPr>
        <w:sectPr>
          <w:pgSz w:w="11900" w:h="16877" w:orient="portrait"/>
          <w:cols w:equalWidth="0" w:num="1">
            <w:col w:w="11400"/>
          </w:cols>
          <w:pgMar w:left="240" w:top="118" w:right="259" w:bottom="0" w:gutter="0" w:footer="0" w:header="0"/>
        </w:sectPr>
      </w:pPr>
    </w:p>
    <w:bookmarkStart w:id="6" w:name="page7"/>
    <w:bookmarkEnd w:id="6"/>
    <w:p>
      <w:pPr>
        <w:spacing w:after="0" w:line="271" w:lineRule="auto"/>
        <w:rPr>
          <w:sz w:val="20"/>
          <w:szCs w:val="20"/>
          <w:color w:val="auto"/>
        </w:rPr>
      </w:pPr>
      <w:r>
        <w:rPr>
          <w:rFonts w:ascii="Arial" w:cs="Arial" w:eastAsia="Arial" w:hAnsi="Arial"/>
          <w:sz w:val="19"/>
          <w:szCs w:val="19"/>
          <w:color w:val="auto"/>
        </w:rPr>
        <w:t>Civeo’s: views regarding broadening stabilization in its core end markets; improving performance in its Australian and U.S. segments and continued signs of improvement in fundamental macro-economic drivers; optimism about market demand in 2017; and second quarter and full year 2017 guidance. The forward-looking statements included herein are based on then current expectations and entail various risks and uncertainties that could cause actual results to differ materially from those expressed or implied by these forward-looking statements. Such risks and uncertainties include, among other things, risks associated with the general nature of the accommodations industry, risks associated with the level of supply and demand for oil, coal, natural gas, iron ore and other minerals, including the level of activity and developments in the Canadian oil sands, the level of demand for coal and other natural resources from Australia, and fluctuations in the current and future prices of oil, coal, natural gas, iron ore and other minerals, risks associated with currency exchange rates, risks associated with Civeo’s redomiciliation to Canada, including, among other things, risks associated with changes in tax laws or their interpretations, risks associated with the development of new projects, including whether such projects will continue in the future, and other factors discussed in the "Business" and "Risk Factors" sections of Civeo’s annual report on Form 10-K for the year ended December 31, 2016, and other reports the Company may file from time to time with the U.S. Securities and Exchange Commission. Each forward-looking statement contained in this news release speaks only as of the date of this release. Except as required by law, Civeo expressly disclaims any intention or obligation to revise or update any forward-looking statements, whether as a result of new information, future events or otherwise.</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 Financial Schedules Follow -</w:t>
      </w:r>
    </w:p>
    <w:p>
      <w:pPr>
        <w:spacing w:after="0" w:line="200" w:lineRule="exact"/>
        <w:rPr>
          <w:sz w:val="20"/>
          <w:szCs w:val="20"/>
          <w:color w:val="auto"/>
        </w:rPr>
      </w:pPr>
    </w:p>
    <w:p>
      <w:pPr>
        <w:spacing w:after="0" w:line="284" w:lineRule="exact"/>
        <w:rPr>
          <w:sz w:val="20"/>
          <w:szCs w:val="20"/>
          <w:color w:val="auto"/>
        </w:rPr>
      </w:pPr>
    </w:p>
    <w:p>
      <w:pPr>
        <w:jc w:val="center"/>
        <w:ind w:right="3300"/>
        <w:spacing w:after="0"/>
        <w:rPr>
          <w:sz w:val="20"/>
          <w:szCs w:val="20"/>
          <w:color w:val="auto"/>
        </w:rPr>
      </w:pPr>
      <w:r>
        <w:rPr>
          <w:rFonts w:ascii="Arial" w:cs="Arial" w:eastAsia="Arial" w:hAnsi="Arial"/>
          <w:sz w:val="22"/>
          <w:szCs w:val="22"/>
          <w:b w:val="1"/>
          <w:bCs w:val="1"/>
          <w:color w:val="auto"/>
        </w:rPr>
        <w:t>CIVEO CORPORATION</w:t>
      </w:r>
    </w:p>
    <w:p>
      <w:pPr>
        <w:spacing w:after="0" w:line="4" w:lineRule="exact"/>
        <w:rPr>
          <w:sz w:val="20"/>
          <w:szCs w:val="20"/>
          <w:color w:val="auto"/>
        </w:rPr>
      </w:pPr>
    </w:p>
    <w:p>
      <w:pPr>
        <w:jc w:val="center"/>
        <w:ind w:right="3300"/>
        <w:spacing w:after="0"/>
        <w:rPr>
          <w:sz w:val="20"/>
          <w:szCs w:val="20"/>
          <w:color w:val="auto"/>
        </w:rPr>
      </w:pPr>
      <w:r>
        <w:rPr>
          <w:rFonts w:ascii="Arial" w:cs="Arial" w:eastAsia="Arial" w:hAnsi="Arial"/>
          <w:sz w:val="22"/>
          <w:szCs w:val="22"/>
          <w:b w:val="1"/>
          <w:bCs w:val="1"/>
          <w:color w:val="auto"/>
        </w:rPr>
        <w:t>UNAUDITED CONSOLIDATED STATEMENTS OF OPERATIONS</w:t>
      </w:r>
    </w:p>
    <w:p>
      <w:pPr>
        <w:jc w:val="center"/>
        <w:ind w:right="3300"/>
        <w:spacing w:after="0"/>
        <w:rPr>
          <w:sz w:val="20"/>
          <w:szCs w:val="20"/>
          <w:color w:val="auto"/>
        </w:rPr>
      </w:pPr>
      <w:r>
        <w:rPr>
          <w:rFonts w:ascii="Arial" w:cs="Arial" w:eastAsia="Arial" w:hAnsi="Arial"/>
          <w:sz w:val="22"/>
          <w:szCs w:val="22"/>
          <w:b w:val="1"/>
          <w:bCs w:val="1"/>
          <w:color w:val="auto"/>
        </w:rPr>
        <w:t>(in thousands, except per share amounts)</w:t>
      </w:r>
    </w:p>
    <w:p>
      <w:pPr>
        <w:spacing w:after="0" w:line="263" w:lineRule="exact"/>
        <w:rPr>
          <w:sz w:val="20"/>
          <w:szCs w:val="20"/>
          <w:color w:val="auto"/>
        </w:rPr>
      </w:pPr>
    </w:p>
    <w:p>
      <w:pPr>
        <w:jc w:val="center"/>
        <w:ind w:left="2080"/>
        <w:spacing w:after="0"/>
        <w:rPr>
          <w:sz w:val="20"/>
          <w:szCs w:val="20"/>
          <w:color w:val="auto"/>
        </w:rPr>
      </w:pPr>
      <w:r>
        <w:rPr>
          <w:rFonts w:ascii="Arial" w:cs="Arial" w:eastAsia="Arial" w:hAnsi="Arial"/>
          <w:sz w:val="22"/>
          <w:szCs w:val="22"/>
          <w:b w:val="1"/>
          <w:bCs w:val="1"/>
          <w:color w:val="auto"/>
        </w:rPr>
        <w:t>THREE MONTHS ENDED</w:t>
      </w:r>
    </w:p>
    <w:p>
      <w:pPr>
        <w:spacing w:after="0" w:line="14" w:lineRule="exact"/>
        <w:rPr>
          <w:sz w:val="20"/>
          <w:szCs w:val="20"/>
          <w:color w:val="auto"/>
        </w:rPr>
      </w:pPr>
    </w:p>
    <w:p>
      <w:pPr>
        <w:jc w:val="center"/>
        <w:ind w:left="2080"/>
        <w:spacing w:after="0"/>
        <w:rPr>
          <w:sz w:val="20"/>
          <w:szCs w:val="20"/>
          <w:color w:val="auto"/>
        </w:rPr>
      </w:pPr>
      <w:r>
        <w:rPr>
          <w:rFonts w:ascii="Arial" w:cs="Arial" w:eastAsia="Arial" w:hAnsi="Arial"/>
          <w:sz w:val="22"/>
          <w:szCs w:val="22"/>
          <w:b w:val="1"/>
          <w:bCs w:val="1"/>
          <w:color w:val="auto"/>
        </w:rPr>
        <w:t>MARCH 31,</w:t>
      </w: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54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2017</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rPr>
              <w:t>2016</w:t>
            </w:r>
          </w:p>
        </w:tc>
      </w:tr>
      <w:tr>
        <w:trPr>
          <w:trHeight w:val="530"/>
        </w:trPr>
        <w:tc>
          <w:tcPr>
            <w:tcW w:w="5420" w:type="dxa"/>
            <w:vAlign w:val="bottom"/>
          </w:tcPr>
          <w:p>
            <w:pPr>
              <w:spacing w:after="0"/>
              <w:rPr>
                <w:sz w:val="20"/>
                <w:szCs w:val="20"/>
                <w:color w:val="auto"/>
              </w:rPr>
            </w:pPr>
            <w:r>
              <w:rPr>
                <w:rFonts w:ascii="Arial" w:cs="Arial" w:eastAsia="Arial" w:hAnsi="Arial"/>
                <w:sz w:val="22"/>
                <w:szCs w:val="22"/>
                <w:color w:val="auto"/>
              </w:rPr>
              <w:t>Revenues</w:t>
            </w:r>
          </w:p>
        </w:tc>
        <w:tc>
          <w:tcPr>
            <w:tcW w:w="280" w:type="dxa"/>
            <w:vAlign w:val="bottom"/>
          </w:tcPr>
          <w:p>
            <w:pPr>
              <w:jc w:val="right"/>
              <w:ind w:right="32"/>
              <w:spacing w:after="0"/>
              <w:rPr>
                <w:sz w:val="20"/>
                <w:szCs w:val="20"/>
                <w:color w:val="auto"/>
              </w:rPr>
            </w:pPr>
            <w:r>
              <w:rPr>
                <w:rFonts w:ascii="Arial" w:cs="Arial" w:eastAsia="Arial" w:hAnsi="Arial"/>
                <w:sz w:val="22"/>
                <w:szCs w:val="22"/>
                <w:color w:val="auto"/>
                <w:w w:val="97"/>
              </w:rPr>
              <w:t>$</w:t>
            </w: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91,429</w:t>
            </w:r>
          </w:p>
        </w:tc>
        <w:tc>
          <w:tcPr>
            <w:tcW w:w="100" w:type="dxa"/>
            <w:vAlign w:val="bottom"/>
          </w:tcPr>
          <w:p>
            <w:pPr>
              <w:spacing w:after="0"/>
              <w:rPr>
                <w:sz w:val="24"/>
                <w:szCs w:val="24"/>
                <w:color w:val="auto"/>
              </w:rPr>
            </w:pPr>
          </w:p>
        </w:tc>
        <w:tc>
          <w:tcPr>
            <w:tcW w:w="26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980" w:type="dxa"/>
            <w:vAlign w:val="bottom"/>
          </w:tcPr>
          <w:p>
            <w:pPr>
              <w:jc w:val="right"/>
              <w:ind w:right="12"/>
              <w:spacing w:after="0"/>
              <w:rPr>
                <w:sz w:val="20"/>
                <w:szCs w:val="20"/>
                <w:color w:val="auto"/>
              </w:rPr>
            </w:pPr>
            <w:r>
              <w:rPr>
                <w:rFonts w:ascii="Arial" w:cs="Arial" w:eastAsia="Arial" w:hAnsi="Arial"/>
                <w:sz w:val="22"/>
                <w:szCs w:val="22"/>
                <w:color w:val="auto"/>
              </w:rPr>
              <w:t>95,036</w:t>
            </w:r>
          </w:p>
        </w:tc>
      </w:tr>
      <w:tr>
        <w:trPr>
          <w:trHeight w:val="536"/>
        </w:trPr>
        <w:tc>
          <w:tcPr>
            <w:tcW w:w="5420" w:type="dxa"/>
            <w:vAlign w:val="bottom"/>
          </w:tcPr>
          <w:p>
            <w:pPr>
              <w:spacing w:after="0"/>
              <w:rPr>
                <w:sz w:val="20"/>
                <w:szCs w:val="20"/>
                <w:color w:val="auto"/>
              </w:rPr>
            </w:pPr>
            <w:r>
              <w:rPr>
                <w:rFonts w:ascii="Arial" w:cs="Arial" w:eastAsia="Arial" w:hAnsi="Arial"/>
                <w:sz w:val="22"/>
                <w:szCs w:val="22"/>
                <w:color w:val="auto"/>
              </w:rPr>
              <w:t>Costs and expenses: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5420" w:type="dxa"/>
            <w:vAlign w:val="bottom"/>
          </w:tcPr>
          <w:p>
            <w:pPr>
              <w:ind w:left="120"/>
              <w:spacing w:after="0"/>
              <w:rPr>
                <w:sz w:val="20"/>
                <w:szCs w:val="20"/>
                <w:color w:val="auto"/>
              </w:rPr>
            </w:pPr>
            <w:r>
              <w:rPr>
                <w:rFonts w:ascii="Arial" w:cs="Arial" w:eastAsia="Arial" w:hAnsi="Arial"/>
                <w:sz w:val="22"/>
                <w:szCs w:val="22"/>
                <w:color w:val="auto"/>
              </w:rPr>
              <w:t>Cost of sales and services</w:t>
            </w:r>
          </w:p>
        </w:tc>
        <w:tc>
          <w:tcPr>
            <w:tcW w:w="28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61,672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22"/>
                <w:szCs w:val="22"/>
                <w:color w:val="auto"/>
              </w:rPr>
              <w:t>65,943</w:t>
            </w:r>
          </w:p>
        </w:tc>
      </w:tr>
      <w:tr>
        <w:trPr>
          <w:trHeight w:val="270"/>
        </w:trPr>
        <w:tc>
          <w:tcPr>
            <w:tcW w:w="5420" w:type="dxa"/>
            <w:vAlign w:val="bottom"/>
          </w:tcPr>
          <w:p>
            <w:pPr>
              <w:ind w:left="120"/>
              <w:spacing w:after="0"/>
              <w:rPr>
                <w:sz w:val="20"/>
                <w:szCs w:val="20"/>
                <w:color w:val="auto"/>
              </w:rPr>
            </w:pPr>
            <w:r>
              <w:rPr>
                <w:rFonts w:ascii="Arial" w:cs="Arial" w:eastAsia="Arial" w:hAnsi="Arial"/>
                <w:sz w:val="22"/>
                <w:szCs w:val="22"/>
                <w:color w:val="auto"/>
              </w:rPr>
              <w:t>Selling, general and administrative expenses</w:t>
            </w:r>
          </w:p>
        </w:tc>
        <w:tc>
          <w:tcPr>
            <w:tcW w:w="28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14,210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22"/>
                <w:szCs w:val="22"/>
                <w:color w:val="auto"/>
              </w:rPr>
              <w:t>13,117</w:t>
            </w:r>
          </w:p>
        </w:tc>
      </w:tr>
      <w:tr>
        <w:trPr>
          <w:trHeight w:val="270"/>
        </w:trPr>
        <w:tc>
          <w:tcPr>
            <w:tcW w:w="5420" w:type="dxa"/>
            <w:vAlign w:val="bottom"/>
          </w:tcPr>
          <w:p>
            <w:pPr>
              <w:ind w:left="120"/>
              <w:spacing w:after="0"/>
              <w:rPr>
                <w:sz w:val="20"/>
                <w:szCs w:val="20"/>
                <w:color w:val="auto"/>
              </w:rPr>
            </w:pPr>
            <w:r>
              <w:rPr>
                <w:rFonts w:ascii="Arial" w:cs="Arial" w:eastAsia="Arial" w:hAnsi="Arial"/>
                <w:sz w:val="22"/>
                <w:szCs w:val="22"/>
                <w:color w:val="auto"/>
              </w:rPr>
              <w:t>Depreciation and amortization expense</w:t>
            </w:r>
          </w:p>
        </w:tc>
        <w:tc>
          <w:tcPr>
            <w:tcW w:w="28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32,829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22"/>
                <w:szCs w:val="22"/>
                <w:color w:val="auto"/>
              </w:rPr>
              <w:t>33,555</w:t>
            </w:r>
          </w:p>
        </w:tc>
      </w:tr>
      <w:tr>
        <w:trPr>
          <w:trHeight w:val="270"/>
        </w:trPr>
        <w:tc>
          <w:tcPr>
            <w:tcW w:w="5420" w:type="dxa"/>
            <w:vAlign w:val="bottom"/>
          </w:tcPr>
          <w:p>
            <w:pPr>
              <w:ind w:left="120"/>
              <w:spacing w:after="0"/>
              <w:rPr>
                <w:sz w:val="20"/>
                <w:szCs w:val="20"/>
                <w:color w:val="auto"/>
              </w:rPr>
            </w:pPr>
            <w:r>
              <w:rPr>
                <w:rFonts w:ascii="Arial" w:cs="Arial" w:eastAsia="Arial" w:hAnsi="Arial"/>
                <w:sz w:val="22"/>
                <w:szCs w:val="22"/>
                <w:color w:val="auto"/>
              </w:rPr>
              <w:t>Impairment expense</w:t>
            </w:r>
          </w:p>
        </w:tc>
        <w:tc>
          <w:tcPr>
            <w:tcW w:w="280" w:type="dxa"/>
            <w:vAlign w:val="bottom"/>
          </w:tcPr>
          <w:p>
            <w:pPr>
              <w:spacing w:after="0"/>
              <w:rPr>
                <w:sz w:val="23"/>
                <w:szCs w:val="23"/>
                <w:color w:val="auto"/>
              </w:rPr>
            </w:pPr>
          </w:p>
        </w:tc>
        <w:tc>
          <w:tcPr>
            <w:tcW w:w="100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22"/>
                <w:szCs w:val="22"/>
                <w:color w:val="auto"/>
              </w:rPr>
              <w:t>8,400</w:t>
            </w:r>
          </w:p>
        </w:tc>
      </w:tr>
      <w:tr>
        <w:trPr>
          <w:trHeight w:val="276"/>
        </w:trPr>
        <w:tc>
          <w:tcPr>
            <w:tcW w:w="5420" w:type="dxa"/>
            <w:vAlign w:val="bottom"/>
          </w:tcPr>
          <w:p>
            <w:pPr>
              <w:ind w:left="120"/>
              <w:spacing w:after="0"/>
              <w:rPr>
                <w:sz w:val="20"/>
                <w:szCs w:val="20"/>
                <w:color w:val="auto"/>
              </w:rPr>
            </w:pPr>
            <w:r>
              <w:rPr>
                <w:rFonts w:ascii="Arial" w:cs="Arial" w:eastAsia="Arial" w:hAnsi="Arial"/>
                <w:sz w:val="22"/>
                <w:szCs w:val="22"/>
                <w:color w:val="auto"/>
              </w:rPr>
              <w:t>Other operating expense</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450</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218</w:t>
            </w:r>
          </w:p>
        </w:tc>
      </w:tr>
      <w:tr>
        <w:trPr>
          <w:trHeight w:val="265"/>
        </w:trPr>
        <w:tc>
          <w:tcPr>
            <w:tcW w:w="54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109,161</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121,233</w:t>
            </w:r>
          </w:p>
        </w:tc>
      </w:tr>
      <w:tr>
        <w:trPr>
          <w:trHeight w:val="268"/>
        </w:trPr>
        <w:tc>
          <w:tcPr>
            <w:tcW w:w="5420" w:type="dxa"/>
            <w:vAlign w:val="bottom"/>
          </w:tcPr>
          <w:p>
            <w:pPr>
              <w:spacing w:after="0"/>
              <w:rPr>
                <w:sz w:val="20"/>
                <w:szCs w:val="20"/>
                <w:color w:val="auto"/>
              </w:rPr>
            </w:pPr>
            <w:r>
              <w:rPr>
                <w:rFonts w:ascii="Arial" w:cs="Arial" w:eastAsia="Arial" w:hAnsi="Arial"/>
                <w:sz w:val="22"/>
                <w:szCs w:val="22"/>
                <w:color w:val="auto"/>
              </w:rPr>
              <w:t>Operating loss</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(17,732)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(26,197)</w:t>
            </w:r>
          </w:p>
        </w:tc>
      </w:tr>
      <w:tr>
        <w:trPr>
          <w:trHeight w:val="528"/>
        </w:trPr>
        <w:tc>
          <w:tcPr>
            <w:tcW w:w="5420" w:type="dxa"/>
            <w:vAlign w:val="bottom"/>
          </w:tcPr>
          <w:p>
            <w:pPr>
              <w:spacing w:after="0"/>
              <w:rPr>
                <w:sz w:val="20"/>
                <w:szCs w:val="20"/>
                <w:color w:val="auto"/>
              </w:rPr>
            </w:pPr>
            <w:r>
              <w:rPr>
                <w:rFonts w:ascii="Arial" w:cs="Arial" w:eastAsia="Arial" w:hAnsi="Arial"/>
                <w:sz w:val="22"/>
                <w:szCs w:val="22"/>
                <w:color w:val="auto"/>
                <w:w w:val="95"/>
              </w:rPr>
              <w:t>Interest expense to third parties, net of capitalized interest</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(5,504)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(4,944)</w:t>
            </w:r>
          </w:p>
        </w:tc>
      </w:tr>
      <w:tr>
        <w:trPr>
          <w:trHeight w:val="270"/>
        </w:trPr>
        <w:tc>
          <w:tcPr>
            <w:tcW w:w="5420" w:type="dxa"/>
            <w:vAlign w:val="bottom"/>
          </w:tcPr>
          <w:p>
            <w:pPr>
              <w:spacing w:after="0"/>
              <w:rPr>
                <w:sz w:val="20"/>
                <w:szCs w:val="20"/>
                <w:color w:val="auto"/>
              </w:rPr>
            </w:pPr>
            <w:r>
              <w:rPr>
                <w:rFonts w:ascii="Arial" w:cs="Arial" w:eastAsia="Arial" w:hAnsi="Arial"/>
                <w:sz w:val="22"/>
                <w:szCs w:val="22"/>
                <w:color w:val="auto"/>
              </w:rPr>
              <w:t>Loss on extinguishment of debt</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(842)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(302)</w:t>
            </w:r>
          </w:p>
        </w:tc>
      </w:tr>
      <w:tr>
        <w:trPr>
          <w:trHeight w:val="270"/>
        </w:trPr>
        <w:tc>
          <w:tcPr>
            <w:tcW w:w="5420" w:type="dxa"/>
            <w:vAlign w:val="bottom"/>
          </w:tcPr>
          <w:p>
            <w:pPr>
              <w:spacing w:after="0"/>
              <w:rPr>
                <w:sz w:val="20"/>
                <w:szCs w:val="20"/>
                <w:color w:val="auto"/>
              </w:rPr>
            </w:pPr>
            <w:r>
              <w:rPr>
                <w:rFonts w:ascii="Arial" w:cs="Arial" w:eastAsia="Arial" w:hAnsi="Arial"/>
                <w:sz w:val="22"/>
                <w:szCs w:val="22"/>
                <w:color w:val="auto"/>
              </w:rPr>
              <w:t>Interest income</w:t>
            </w:r>
          </w:p>
        </w:tc>
        <w:tc>
          <w:tcPr>
            <w:tcW w:w="28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10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22"/>
                <w:szCs w:val="22"/>
                <w:color w:val="auto"/>
              </w:rPr>
              <w:t>86</w:t>
            </w:r>
          </w:p>
        </w:tc>
      </w:tr>
      <w:tr>
        <w:trPr>
          <w:trHeight w:val="275"/>
        </w:trPr>
        <w:tc>
          <w:tcPr>
            <w:tcW w:w="5420" w:type="dxa"/>
            <w:vAlign w:val="bottom"/>
          </w:tcPr>
          <w:p>
            <w:pPr>
              <w:spacing w:after="0"/>
              <w:rPr>
                <w:sz w:val="20"/>
                <w:szCs w:val="20"/>
                <w:color w:val="auto"/>
              </w:rPr>
            </w:pPr>
            <w:r>
              <w:rPr>
                <w:rFonts w:ascii="Arial" w:cs="Arial" w:eastAsia="Arial" w:hAnsi="Arial"/>
                <w:sz w:val="22"/>
                <w:szCs w:val="22"/>
                <w:color w:val="auto"/>
              </w:rPr>
              <w:t>Other income</w:t>
            </w: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254</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112</w:t>
            </w:r>
          </w:p>
        </w:tc>
      </w:tr>
      <w:tr>
        <w:trPr>
          <w:trHeight w:val="259"/>
        </w:trPr>
        <w:tc>
          <w:tcPr>
            <w:tcW w:w="5420" w:type="dxa"/>
            <w:vAlign w:val="bottom"/>
          </w:tcPr>
          <w:p>
            <w:pPr>
              <w:ind w:left="120"/>
              <w:spacing w:after="0"/>
              <w:rPr>
                <w:sz w:val="20"/>
                <w:szCs w:val="20"/>
                <w:color w:val="auto"/>
              </w:rPr>
            </w:pPr>
            <w:r>
              <w:rPr>
                <w:rFonts w:ascii="Arial" w:cs="Arial" w:eastAsia="Arial" w:hAnsi="Arial"/>
                <w:sz w:val="22"/>
                <w:szCs w:val="22"/>
                <w:color w:val="auto"/>
              </w:rPr>
              <w:t>Loss before income taxes</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(23,814)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(31,245)</w:t>
            </w:r>
          </w:p>
        </w:tc>
      </w:tr>
      <w:tr>
        <w:trPr>
          <w:trHeight w:val="275"/>
        </w:trPr>
        <w:tc>
          <w:tcPr>
            <w:tcW w:w="5420" w:type="dxa"/>
            <w:vAlign w:val="bottom"/>
          </w:tcPr>
          <w:p>
            <w:pPr>
              <w:spacing w:after="0"/>
              <w:rPr>
                <w:sz w:val="20"/>
                <w:szCs w:val="20"/>
                <w:color w:val="auto"/>
              </w:rPr>
            </w:pPr>
            <w:r>
              <w:rPr>
                <w:rFonts w:ascii="Arial" w:cs="Arial" w:eastAsia="Arial" w:hAnsi="Arial"/>
                <w:sz w:val="22"/>
                <w:szCs w:val="22"/>
                <w:color w:val="auto"/>
              </w:rPr>
              <w:t>Income tax benefit</w:t>
            </w: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2,948</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4,571</w:t>
            </w:r>
          </w:p>
        </w:tc>
      </w:tr>
      <w:tr>
        <w:trPr>
          <w:trHeight w:val="259"/>
        </w:trPr>
        <w:tc>
          <w:tcPr>
            <w:tcW w:w="5420" w:type="dxa"/>
            <w:vAlign w:val="bottom"/>
          </w:tcPr>
          <w:p>
            <w:pPr>
              <w:spacing w:after="0"/>
              <w:rPr>
                <w:sz w:val="20"/>
                <w:szCs w:val="20"/>
                <w:color w:val="auto"/>
              </w:rPr>
            </w:pPr>
            <w:r>
              <w:rPr>
                <w:rFonts w:ascii="Arial" w:cs="Arial" w:eastAsia="Arial" w:hAnsi="Arial"/>
                <w:sz w:val="22"/>
                <w:szCs w:val="22"/>
                <w:color w:val="auto"/>
              </w:rPr>
              <w:t>Net loss</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(20,866)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(26,674)</w:t>
            </w:r>
          </w:p>
        </w:tc>
      </w:tr>
      <w:tr>
        <w:trPr>
          <w:trHeight w:val="276"/>
        </w:trPr>
        <w:tc>
          <w:tcPr>
            <w:tcW w:w="5420" w:type="dxa"/>
            <w:vAlign w:val="bottom"/>
          </w:tcPr>
          <w:p>
            <w:pPr>
              <w:ind w:left="120"/>
              <w:spacing w:after="0"/>
              <w:rPr>
                <w:sz w:val="20"/>
                <w:szCs w:val="20"/>
                <w:color w:val="auto"/>
              </w:rPr>
            </w:pPr>
            <w:r>
              <w:rPr>
                <w:rFonts w:ascii="Arial" w:cs="Arial" w:eastAsia="Arial" w:hAnsi="Arial"/>
                <w:sz w:val="22"/>
                <w:szCs w:val="22"/>
                <w:color w:val="auto"/>
                <w:w w:val="99"/>
              </w:rPr>
              <w:t>Less: Net income attributable to noncontrolling interest</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121</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148</w:t>
            </w:r>
          </w:p>
        </w:tc>
      </w:tr>
      <w:tr>
        <w:trPr>
          <w:trHeight w:val="265"/>
        </w:trPr>
        <w:tc>
          <w:tcPr>
            <w:tcW w:w="5420" w:type="dxa"/>
            <w:vAlign w:val="bottom"/>
          </w:tcPr>
          <w:p>
            <w:pPr>
              <w:spacing w:after="0"/>
              <w:rPr>
                <w:sz w:val="20"/>
                <w:szCs w:val="20"/>
                <w:color w:val="auto"/>
              </w:rPr>
            </w:pPr>
            <w:r>
              <w:rPr>
                <w:rFonts w:ascii="Arial" w:cs="Arial" w:eastAsia="Arial" w:hAnsi="Arial"/>
                <w:sz w:val="22"/>
                <w:szCs w:val="22"/>
                <w:color w:val="auto"/>
              </w:rPr>
              <w:t>Net loss attributable to Civeo Corporation</w:t>
            </w:r>
          </w:p>
        </w:tc>
        <w:tc>
          <w:tcPr>
            <w:tcW w:w="28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w w:val="97"/>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(20,987)</w:t>
            </w: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w w:val="8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(26,822)</w:t>
            </w:r>
          </w:p>
        </w:tc>
      </w:tr>
      <w:tr>
        <w:trPr>
          <w:trHeight w:val="21"/>
        </w:trPr>
        <w:tc>
          <w:tcPr>
            <w:tcW w:w="542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526"/>
        </w:trPr>
        <w:tc>
          <w:tcPr>
            <w:tcW w:w="6800" w:type="dxa"/>
            <w:vAlign w:val="bottom"/>
            <w:gridSpan w:val="4"/>
          </w:tcPr>
          <w:p>
            <w:pPr>
              <w:spacing w:after="0"/>
              <w:rPr>
                <w:sz w:val="20"/>
                <w:szCs w:val="20"/>
                <w:color w:val="auto"/>
              </w:rPr>
            </w:pPr>
            <w:r>
              <w:rPr>
                <w:rFonts w:ascii="Arial" w:cs="Arial" w:eastAsia="Arial" w:hAnsi="Arial"/>
                <w:sz w:val="22"/>
                <w:szCs w:val="22"/>
                <w:color w:val="auto"/>
                <w:w w:val="92"/>
              </w:rPr>
              <w:t>Net loss per share attributable to Civeo Corporation common shareholders: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5420" w:type="dxa"/>
            <w:vAlign w:val="bottom"/>
          </w:tcPr>
          <w:p>
            <w:pPr>
              <w:ind w:left="120"/>
              <w:spacing w:after="0"/>
              <w:rPr>
                <w:sz w:val="20"/>
                <w:szCs w:val="20"/>
                <w:color w:val="auto"/>
              </w:rPr>
            </w:pPr>
            <w:r>
              <w:rPr>
                <w:rFonts w:ascii="Arial" w:cs="Arial" w:eastAsia="Arial" w:hAnsi="Arial"/>
                <w:sz w:val="22"/>
                <w:szCs w:val="22"/>
                <w:color w:val="auto"/>
              </w:rPr>
              <w:t>Basic</w:t>
            </w:r>
          </w:p>
        </w:tc>
        <w:tc>
          <w:tcPr>
            <w:tcW w:w="280" w:type="dxa"/>
            <w:vAlign w:val="bottom"/>
          </w:tcPr>
          <w:p>
            <w:pPr>
              <w:jc w:val="right"/>
              <w:ind w:right="32"/>
              <w:spacing w:after="0"/>
              <w:rPr>
                <w:sz w:val="20"/>
                <w:szCs w:val="20"/>
                <w:color w:val="auto"/>
              </w:rPr>
            </w:pPr>
            <w:r>
              <w:rPr>
                <w:rFonts w:ascii="Arial" w:cs="Arial" w:eastAsia="Arial" w:hAnsi="Arial"/>
                <w:sz w:val="22"/>
                <w:szCs w:val="22"/>
                <w:color w:val="auto"/>
                <w:w w:val="97"/>
              </w:rPr>
              <w:t>$</w:t>
            </w:r>
          </w:p>
        </w:tc>
        <w:tc>
          <w:tcPr>
            <w:tcW w:w="1000" w:type="dxa"/>
            <w:vAlign w:val="bottom"/>
          </w:tcPr>
          <w:p>
            <w:pPr>
              <w:jc w:val="right"/>
              <w:spacing w:after="0"/>
              <w:rPr>
                <w:sz w:val="20"/>
                <w:szCs w:val="20"/>
                <w:color w:val="auto"/>
              </w:rPr>
            </w:pPr>
            <w:r>
              <w:rPr>
                <w:rFonts w:ascii="Arial" w:cs="Arial" w:eastAsia="Arial" w:hAnsi="Arial"/>
                <w:sz w:val="22"/>
                <w:szCs w:val="22"/>
                <w:color w:val="auto"/>
              </w:rPr>
              <w:t>(0.17)</w:t>
            </w:r>
          </w:p>
        </w:tc>
        <w:tc>
          <w:tcPr>
            <w:tcW w:w="100" w:type="dxa"/>
            <w:vAlign w:val="bottom"/>
          </w:tcPr>
          <w:p>
            <w:pPr>
              <w:spacing w:after="0"/>
              <w:rPr>
                <w:sz w:val="23"/>
                <w:szCs w:val="23"/>
                <w:color w:val="auto"/>
              </w:rPr>
            </w:pPr>
          </w:p>
        </w:tc>
        <w:tc>
          <w:tcPr>
            <w:tcW w:w="26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980" w:type="dxa"/>
            <w:vAlign w:val="bottom"/>
          </w:tcPr>
          <w:p>
            <w:pPr>
              <w:jc w:val="right"/>
              <w:spacing w:after="0"/>
              <w:rPr>
                <w:sz w:val="20"/>
                <w:szCs w:val="20"/>
                <w:color w:val="auto"/>
              </w:rPr>
            </w:pPr>
            <w:r>
              <w:rPr>
                <w:rFonts w:ascii="Arial" w:cs="Arial" w:eastAsia="Arial" w:hAnsi="Arial"/>
                <w:sz w:val="22"/>
                <w:szCs w:val="22"/>
                <w:color w:val="auto"/>
              </w:rPr>
              <w:t>(0.25)</w:t>
            </w:r>
          </w:p>
        </w:tc>
      </w:tr>
      <w:tr>
        <w:trPr>
          <w:trHeight w:val="275"/>
        </w:trPr>
        <w:tc>
          <w:tcPr>
            <w:tcW w:w="5420" w:type="dxa"/>
            <w:vAlign w:val="bottom"/>
          </w:tcPr>
          <w:p>
            <w:pPr>
              <w:ind w:left="120"/>
              <w:spacing w:after="0"/>
              <w:rPr>
                <w:sz w:val="20"/>
                <w:szCs w:val="20"/>
                <w:color w:val="auto"/>
              </w:rPr>
            </w:pPr>
            <w:r>
              <w:rPr>
                <w:rFonts w:ascii="Arial" w:cs="Arial" w:eastAsia="Arial" w:hAnsi="Arial"/>
                <w:sz w:val="22"/>
                <w:szCs w:val="22"/>
                <w:color w:val="auto"/>
              </w:rPr>
              <w:t>Diluted</w:t>
            </w:r>
          </w:p>
        </w:tc>
        <w:tc>
          <w:tcPr>
            <w:tcW w:w="280" w:type="dxa"/>
            <w:vAlign w:val="bottom"/>
          </w:tcPr>
          <w:p>
            <w:pPr>
              <w:jc w:val="right"/>
              <w:ind w:right="32"/>
              <w:spacing w:after="0"/>
              <w:rPr>
                <w:sz w:val="20"/>
                <w:szCs w:val="20"/>
                <w:color w:val="auto"/>
              </w:rPr>
            </w:pPr>
            <w:r>
              <w:rPr>
                <w:rFonts w:ascii="Arial" w:cs="Arial" w:eastAsia="Arial" w:hAnsi="Arial"/>
                <w:sz w:val="22"/>
                <w:szCs w:val="22"/>
                <w:color w:val="auto"/>
                <w:w w:val="97"/>
              </w:rPr>
              <w:t>$</w:t>
            </w:r>
          </w:p>
        </w:tc>
        <w:tc>
          <w:tcPr>
            <w:tcW w:w="1000" w:type="dxa"/>
            <w:vAlign w:val="bottom"/>
          </w:tcPr>
          <w:p>
            <w:pPr>
              <w:jc w:val="right"/>
              <w:spacing w:after="0"/>
              <w:rPr>
                <w:sz w:val="20"/>
                <w:szCs w:val="20"/>
                <w:color w:val="auto"/>
              </w:rPr>
            </w:pPr>
            <w:r>
              <w:rPr>
                <w:rFonts w:ascii="Arial" w:cs="Arial" w:eastAsia="Arial" w:hAnsi="Arial"/>
                <w:sz w:val="22"/>
                <w:szCs w:val="22"/>
                <w:color w:val="auto"/>
              </w:rPr>
              <w:t>(0.17)</w:t>
            </w:r>
          </w:p>
        </w:tc>
        <w:tc>
          <w:tcPr>
            <w:tcW w:w="100" w:type="dxa"/>
            <w:vAlign w:val="bottom"/>
          </w:tcPr>
          <w:p>
            <w:pPr>
              <w:spacing w:after="0"/>
              <w:rPr>
                <w:sz w:val="23"/>
                <w:szCs w:val="23"/>
                <w:color w:val="auto"/>
              </w:rPr>
            </w:pPr>
          </w:p>
        </w:tc>
        <w:tc>
          <w:tcPr>
            <w:tcW w:w="26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980" w:type="dxa"/>
            <w:vAlign w:val="bottom"/>
          </w:tcPr>
          <w:p>
            <w:pPr>
              <w:jc w:val="right"/>
              <w:spacing w:after="0"/>
              <w:rPr>
                <w:sz w:val="20"/>
                <w:szCs w:val="20"/>
                <w:color w:val="auto"/>
              </w:rPr>
            </w:pPr>
            <w:r>
              <w:rPr>
                <w:rFonts w:ascii="Arial" w:cs="Arial" w:eastAsia="Arial" w:hAnsi="Arial"/>
                <w:sz w:val="22"/>
                <w:szCs w:val="22"/>
                <w:color w:val="auto"/>
              </w:rPr>
              <w:t>(0.25)</w:t>
            </w:r>
          </w:p>
        </w:tc>
      </w:tr>
      <w:tr>
        <w:trPr>
          <w:trHeight w:val="536"/>
        </w:trPr>
        <w:tc>
          <w:tcPr>
            <w:tcW w:w="5420" w:type="dxa"/>
            <w:vAlign w:val="bottom"/>
          </w:tcPr>
          <w:p>
            <w:pPr>
              <w:spacing w:after="0"/>
              <w:rPr>
                <w:sz w:val="20"/>
                <w:szCs w:val="20"/>
                <w:color w:val="auto"/>
              </w:rPr>
            </w:pPr>
            <w:r>
              <w:rPr>
                <w:rFonts w:ascii="Arial" w:cs="Arial" w:eastAsia="Arial" w:hAnsi="Arial"/>
                <w:sz w:val="22"/>
                <w:szCs w:val="22"/>
                <w:color w:val="auto"/>
                <w:w w:val="94"/>
              </w:rPr>
              <w:t>Weighted average number of common shares outstanding:</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5420" w:type="dxa"/>
            <w:vAlign w:val="bottom"/>
          </w:tcPr>
          <w:p>
            <w:pPr>
              <w:ind w:left="120"/>
              <w:spacing w:after="0"/>
              <w:rPr>
                <w:sz w:val="20"/>
                <w:szCs w:val="20"/>
                <w:color w:val="auto"/>
              </w:rPr>
            </w:pPr>
            <w:r>
              <w:rPr>
                <w:rFonts w:ascii="Arial" w:cs="Arial" w:eastAsia="Arial" w:hAnsi="Arial"/>
                <w:sz w:val="22"/>
                <w:szCs w:val="22"/>
                <w:color w:val="auto"/>
              </w:rPr>
              <w:t>Basic</w:t>
            </w:r>
          </w:p>
        </w:tc>
        <w:tc>
          <w:tcPr>
            <w:tcW w:w="28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120,846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22"/>
                <w:szCs w:val="22"/>
                <w:color w:val="auto"/>
              </w:rPr>
              <w:t>106,814</w:t>
            </w:r>
          </w:p>
        </w:tc>
      </w:tr>
      <w:tr>
        <w:trPr>
          <w:trHeight w:val="275"/>
        </w:trPr>
        <w:tc>
          <w:tcPr>
            <w:tcW w:w="5420" w:type="dxa"/>
            <w:vAlign w:val="bottom"/>
          </w:tcPr>
          <w:p>
            <w:pPr>
              <w:ind w:left="120"/>
              <w:spacing w:after="0"/>
              <w:rPr>
                <w:sz w:val="20"/>
                <w:szCs w:val="20"/>
                <w:color w:val="auto"/>
              </w:rPr>
            </w:pPr>
            <w:r>
              <w:rPr>
                <w:rFonts w:ascii="Arial" w:cs="Arial" w:eastAsia="Arial" w:hAnsi="Arial"/>
                <w:sz w:val="22"/>
                <w:szCs w:val="22"/>
                <w:color w:val="auto"/>
              </w:rPr>
              <w:t>Diluted</w:t>
            </w:r>
          </w:p>
        </w:tc>
        <w:tc>
          <w:tcPr>
            <w:tcW w:w="28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120,846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22"/>
                <w:szCs w:val="22"/>
                <w:color w:val="auto"/>
              </w:rPr>
              <w:t>106,814</w:t>
            </w:r>
          </w:p>
        </w:tc>
      </w:tr>
    </w:tbl>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780"/>
        <w:spacing w:after="0"/>
        <w:rPr>
          <w:sz w:val="20"/>
          <w:szCs w:val="20"/>
          <w:color w:val="auto"/>
        </w:rPr>
      </w:pPr>
      <w:r>
        <w:rPr>
          <w:rFonts w:ascii="Arial" w:cs="Arial" w:eastAsia="Arial" w:hAnsi="Arial"/>
          <w:sz w:val="22"/>
          <w:szCs w:val="22"/>
          <w:b w:val="1"/>
          <w:bCs w:val="1"/>
          <w:color w:val="auto"/>
        </w:rPr>
        <w:t>CIVEO CORPORATION</w:t>
      </w:r>
    </w:p>
    <w:p>
      <w:pPr>
        <w:spacing w:after="0" w:line="14" w:lineRule="exact"/>
        <w:rPr>
          <w:sz w:val="20"/>
          <w:szCs w:val="20"/>
          <w:color w:val="auto"/>
        </w:rPr>
      </w:pPr>
    </w:p>
    <w:p>
      <w:pPr>
        <w:jc w:val="center"/>
        <w:ind w:right="3780"/>
        <w:spacing w:after="0"/>
        <w:rPr>
          <w:sz w:val="20"/>
          <w:szCs w:val="20"/>
          <w:color w:val="auto"/>
        </w:rPr>
      </w:pPr>
      <w:r>
        <w:rPr>
          <w:rFonts w:ascii="Arial" w:cs="Arial" w:eastAsia="Arial" w:hAnsi="Arial"/>
          <w:sz w:val="22"/>
          <w:szCs w:val="22"/>
          <w:b w:val="1"/>
          <w:bCs w:val="1"/>
          <w:color w:val="auto"/>
        </w:rPr>
        <w:t>CONSOLIDATED BALANCE SHEETS</w:t>
      </w:r>
    </w:p>
    <w:p>
      <w:pPr>
        <w:spacing w:after="0" w:line="4" w:lineRule="exact"/>
        <w:rPr>
          <w:sz w:val="20"/>
          <w:szCs w:val="20"/>
          <w:color w:val="auto"/>
        </w:rPr>
      </w:pPr>
    </w:p>
    <w:p>
      <w:pPr>
        <w:ind w:left="3140"/>
        <w:spacing w:after="0"/>
        <w:rPr>
          <w:sz w:val="20"/>
          <w:szCs w:val="20"/>
          <w:color w:val="auto"/>
        </w:rPr>
      </w:pPr>
      <w:r>
        <w:rPr>
          <w:rFonts w:ascii="Arial" w:cs="Arial" w:eastAsia="Arial" w:hAnsi="Arial"/>
          <w:sz w:val="22"/>
          <w:szCs w:val="22"/>
          <w:b w:val="1"/>
          <w:bCs w:val="1"/>
          <w:color w:val="auto"/>
        </w:rPr>
        <w:t>(in thousands)</w:t>
      </w:r>
    </w:p>
    <w:p>
      <w:pPr>
        <w:spacing w:after="0" w:line="277" w:lineRule="exact"/>
        <w:rPr>
          <w:sz w:val="20"/>
          <w:szCs w:val="20"/>
          <w:color w:val="auto"/>
        </w:rPr>
      </w:pPr>
    </w:p>
    <w:p>
      <w:pPr>
        <w:ind w:left="4560"/>
        <w:spacing w:after="0"/>
        <w:tabs>
          <w:tab w:leader="none" w:pos="5960" w:val="left"/>
        </w:tabs>
        <w:rPr>
          <w:sz w:val="20"/>
          <w:szCs w:val="20"/>
          <w:color w:val="auto"/>
        </w:rPr>
      </w:pPr>
      <w:r>
        <w:rPr>
          <w:rFonts w:ascii="Arial" w:cs="Arial" w:eastAsia="Arial" w:hAnsi="Arial"/>
          <w:sz w:val="22"/>
          <w:szCs w:val="22"/>
          <w:b w:val="1"/>
          <w:bCs w:val="1"/>
          <w:color w:val="auto"/>
        </w:rPr>
        <w:t>MARCH 31,</w:t>
      </w:r>
      <w:r>
        <w:rPr>
          <w:sz w:val="20"/>
          <w:szCs w:val="20"/>
          <w:color w:val="auto"/>
        </w:rPr>
        <w:tab/>
      </w:r>
      <w:r>
        <w:rPr>
          <w:rFonts w:ascii="Arial" w:cs="Arial" w:eastAsia="Arial" w:hAnsi="Arial"/>
          <w:sz w:val="21"/>
          <w:szCs w:val="21"/>
          <w:b w:val="1"/>
          <w:bCs w:val="1"/>
          <w:color w:val="auto"/>
        </w:rPr>
        <w:t>DECEMBER 31,</w:t>
      </w:r>
    </w:p>
    <w:p>
      <w:pPr>
        <w:sectPr>
          <w:pgSz w:w="11900" w:h="16838" w:orient="portrait"/>
          <w:cols w:equalWidth="0" w:num="1">
            <w:col w:w="11360"/>
          </w:cols>
          <w:pgMar w:left="240" w:top="118" w:right="299" w:bottom="0" w:gutter="0" w:footer="0" w:header="0"/>
        </w:sectPr>
      </w:pPr>
    </w:p>
    <w:bookmarkStart w:id="7" w:name="page8"/>
    <w:bookmarkEnd w:id="7"/>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3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92"/>
              <w:spacing w:after="0"/>
              <w:rPr>
                <w:sz w:val="20"/>
                <w:szCs w:val="20"/>
                <w:color w:val="auto"/>
              </w:rPr>
            </w:pPr>
            <w:r>
              <w:rPr>
                <w:rFonts w:ascii="Arial" w:cs="Arial" w:eastAsia="Arial" w:hAnsi="Arial"/>
                <w:sz w:val="22"/>
                <w:szCs w:val="22"/>
                <w:b w:val="1"/>
                <w:bCs w:val="1"/>
                <w:color w:val="auto"/>
              </w:rPr>
              <w:t>2017</w:t>
            </w:r>
          </w:p>
        </w:tc>
        <w:tc>
          <w:tcPr>
            <w:tcW w:w="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52"/>
              <w:spacing w:after="0"/>
              <w:rPr>
                <w:sz w:val="20"/>
                <w:szCs w:val="20"/>
                <w:color w:val="auto"/>
              </w:rPr>
            </w:pPr>
            <w:r>
              <w:rPr>
                <w:rFonts w:ascii="Arial" w:cs="Arial" w:eastAsia="Arial" w:hAnsi="Arial"/>
                <w:sz w:val="22"/>
                <w:szCs w:val="22"/>
                <w:b w:val="1"/>
                <w:bCs w:val="1"/>
                <w:color w:val="auto"/>
              </w:rPr>
              <w:t>2016</w:t>
            </w:r>
          </w:p>
        </w:tc>
        <w:tc>
          <w:tcPr>
            <w:tcW w:w="0" w:type="dxa"/>
            <w:vAlign w:val="bottom"/>
          </w:tcPr>
          <w:p>
            <w:pPr>
              <w:spacing w:after="0"/>
              <w:rPr>
                <w:sz w:val="1"/>
                <w:szCs w:val="1"/>
                <w:color w:val="auto"/>
              </w:rPr>
            </w:pPr>
          </w:p>
        </w:tc>
      </w:tr>
      <w:tr>
        <w:trPr>
          <w:trHeight w:val="278"/>
        </w:trPr>
        <w:tc>
          <w:tcPr>
            <w:tcW w:w="4380" w:type="dxa"/>
            <w:vAlign w:val="bottom"/>
            <w:vMerge w:val="restart"/>
          </w:tcPr>
          <w:p>
            <w:pPr>
              <w:spacing w:after="0"/>
              <w:rPr>
                <w:sz w:val="20"/>
                <w:szCs w:val="20"/>
                <w:color w:val="auto"/>
              </w:rPr>
            </w:pPr>
            <w:r>
              <w:rPr>
                <w:rFonts w:ascii="Arial" w:cs="Arial" w:eastAsia="Arial" w:hAnsi="Arial"/>
                <w:sz w:val="22"/>
                <w:szCs w:val="22"/>
                <w:color w:val="auto"/>
              </w:rPr>
              <w:t>Current assets:</w:t>
            </w:r>
          </w:p>
        </w:tc>
        <w:tc>
          <w:tcPr>
            <w:tcW w:w="1480" w:type="dxa"/>
            <w:vAlign w:val="bottom"/>
            <w:gridSpan w:val="2"/>
          </w:tcPr>
          <w:p>
            <w:pPr>
              <w:ind w:left="20"/>
              <w:spacing w:after="0"/>
              <w:rPr>
                <w:sz w:val="20"/>
                <w:szCs w:val="20"/>
                <w:color w:val="auto"/>
              </w:rPr>
            </w:pPr>
            <w:r>
              <w:rPr>
                <w:rFonts w:ascii="Arial" w:cs="Arial" w:eastAsia="Arial" w:hAnsi="Arial"/>
                <w:sz w:val="22"/>
                <w:szCs w:val="22"/>
                <w:b w:val="1"/>
                <w:bCs w:val="1"/>
                <w:color w:val="auto"/>
                <w:w w:val="99"/>
              </w:rPr>
              <w:t>(UNAUDITED)</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438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380" w:type="dxa"/>
            <w:vAlign w:val="bottom"/>
          </w:tcPr>
          <w:p>
            <w:pPr>
              <w:ind w:left="120"/>
              <w:spacing w:after="0"/>
              <w:rPr>
                <w:sz w:val="20"/>
                <w:szCs w:val="20"/>
                <w:color w:val="auto"/>
              </w:rPr>
            </w:pPr>
            <w:r>
              <w:rPr>
                <w:rFonts w:ascii="Arial" w:cs="Arial" w:eastAsia="Arial" w:hAnsi="Arial"/>
                <w:sz w:val="22"/>
                <w:szCs w:val="22"/>
                <w:color w:val="auto"/>
              </w:rPr>
              <w:t>Cash and cash equivalents</w:t>
            </w:r>
          </w:p>
        </w:tc>
        <w:tc>
          <w:tcPr>
            <w:tcW w:w="320" w:type="dxa"/>
            <w:vAlign w:val="bottom"/>
          </w:tcPr>
          <w:p>
            <w:pPr>
              <w:ind w:left="40"/>
              <w:spacing w:after="0"/>
              <w:rPr>
                <w:sz w:val="20"/>
                <w:szCs w:val="20"/>
                <w:color w:val="auto"/>
              </w:rPr>
            </w:pPr>
            <w:r>
              <w:rPr>
                <w:rFonts w:ascii="Arial" w:cs="Arial" w:eastAsia="Arial" w:hAnsi="Arial"/>
                <w:sz w:val="22"/>
                <w:szCs w:val="22"/>
                <w:color w:val="auto"/>
              </w:rPr>
              <w:t>$</w:t>
            </w:r>
          </w:p>
        </w:tc>
        <w:tc>
          <w:tcPr>
            <w:tcW w:w="1160" w:type="dxa"/>
            <w:vAlign w:val="bottom"/>
          </w:tcPr>
          <w:p>
            <w:pPr>
              <w:jc w:val="right"/>
              <w:ind w:right="12"/>
              <w:spacing w:after="0"/>
              <w:rPr>
                <w:sz w:val="20"/>
                <w:szCs w:val="20"/>
                <w:color w:val="auto"/>
              </w:rPr>
            </w:pPr>
            <w:r>
              <w:rPr>
                <w:rFonts w:ascii="Arial" w:cs="Arial" w:eastAsia="Arial" w:hAnsi="Arial"/>
                <w:sz w:val="22"/>
                <w:szCs w:val="22"/>
                <w:color w:val="auto"/>
              </w:rPr>
              <w:t>27,136</w:t>
            </w:r>
          </w:p>
        </w:tc>
        <w:tc>
          <w:tcPr>
            <w:tcW w:w="80" w:type="dxa"/>
            <w:vAlign w:val="bottom"/>
          </w:tcPr>
          <w:p>
            <w:pPr>
              <w:spacing w:after="0"/>
              <w:rPr>
                <w:sz w:val="23"/>
                <w:szCs w:val="23"/>
                <w:color w:val="auto"/>
              </w:rPr>
            </w:pPr>
          </w:p>
        </w:tc>
        <w:tc>
          <w:tcPr>
            <w:tcW w:w="40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1,785</w:t>
            </w:r>
          </w:p>
        </w:tc>
        <w:tc>
          <w:tcPr>
            <w:tcW w:w="0" w:type="dxa"/>
            <w:vAlign w:val="bottom"/>
          </w:tcPr>
          <w:p>
            <w:pPr>
              <w:spacing w:after="0"/>
              <w:rPr>
                <w:sz w:val="1"/>
                <w:szCs w:val="1"/>
                <w:color w:val="auto"/>
              </w:rPr>
            </w:pPr>
          </w:p>
        </w:tc>
      </w:tr>
      <w:tr>
        <w:trPr>
          <w:trHeight w:val="270"/>
        </w:trPr>
        <w:tc>
          <w:tcPr>
            <w:tcW w:w="4380" w:type="dxa"/>
            <w:vAlign w:val="bottom"/>
          </w:tcPr>
          <w:p>
            <w:pPr>
              <w:ind w:left="120"/>
              <w:spacing w:after="0"/>
              <w:rPr>
                <w:sz w:val="20"/>
                <w:szCs w:val="20"/>
                <w:color w:val="auto"/>
              </w:rPr>
            </w:pPr>
            <w:r>
              <w:rPr>
                <w:rFonts w:ascii="Arial" w:cs="Arial" w:eastAsia="Arial" w:hAnsi="Arial"/>
                <w:sz w:val="22"/>
                <w:szCs w:val="22"/>
                <w:color w:val="auto"/>
              </w:rPr>
              <w:t>Accounts receivable, net</w:t>
            </w:r>
          </w:p>
        </w:tc>
        <w:tc>
          <w:tcPr>
            <w:tcW w:w="32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22"/>
                <w:szCs w:val="22"/>
                <w:color w:val="auto"/>
              </w:rPr>
              <w:t>54,034</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56,302</w:t>
            </w:r>
          </w:p>
        </w:tc>
        <w:tc>
          <w:tcPr>
            <w:tcW w:w="0" w:type="dxa"/>
            <w:vAlign w:val="bottom"/>
          </w:tcPr>
          <w:p>
            <w:pPr>
              <w:spacing w:after="0"/>
              <w:rPr>
                <w:sz w:val="1"/>
                <w:szCs w:val="1"/>
                <w:color w:val="auto"/>
              </w:rPr>
            </w:pPr>
          </w:p>
        </w:tc>
      </w:tr>
      <w:tr>
        <w:trPr>
          <w:trHeight w:val="270"/>
        </w:trPr>
        <w:tc>
          <w:tcPr>
            <w:tcW w:w="4380" w:type="dxa"/>
            <w:vAlign w:val="bottom"/>
          </w:tcPr>
          <w:p>
            <w:pPr>
              <w:ind w:left="120"/>
              <w:spacing w:after="0"/>
              <w:rPr>
                <w:sz w:val="20"/>
                <w:szCs w:val="20"/>
                <w:color w:val="auto"/>
              </w:rPr>
            </w:pPr>
            <w:r>
              <w:rPr>
                <w:rFonts w:ascii="Arial" w:cs="Arial" w:eastAsia="Arial" w:hAnsi="Arial"/>
                <w:sz w:val="22"/>
                <w:szCs w:val="22"/>
                <w:color w:val="auto"/>
              </w:rPr>
              <w:t>Inventories</w:t>
            </w:r>
          </w:p>
        </w:tc>
        <w:tc>
          <w:tcPr>
            <w:tcW w:w="32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22"/>
                <w:szCs w:val="22"/>
                <w:color w:val="auto"/>
              </w:rPr>
              <w:t>3,604</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3,112</w:t>
            </w:r>
          </w:p>
        </w:tc>
        <w:tc>
          <w:tcPr>
            <w:tcW w:w="0" w:type="dxa"/>
            <w:vAlign w:val="bottom"/>
          </w:tcPr>
          <w:p>
            <w:pPr>
              <w:spacing w:after="0"/>
              <w:rPr>
                <w:sz w:val="1"/>
                <w:szCs w:val="1"/>
                <w:color w:val="auto"/>
              </w:rPr>
            </w:pPr>
          </w:p>
        </w:tc>
      </w:tr>
      <w:tr>
        <w:trPr>
          <w:trHeight w:val="275"/>
        </w:trPr>
        <w:tc>
          <w:tcPr>
            <w:tcW w:w="4380" w:type="dxa"/>
            <w:vAlign w:val="bottom"/>
          </w:tcPr>
          <w:p>
            <w:pPr>
              <w:ind w:left="120"/>
              <w:spacing w:after="0"/>
              <w:rPr>
                <w:sz w:val="20"/>
                <w:szCs w:val="20"/>
                <w:color w:val="auto"/>
              </w:rPr>
            </w:pPr>
            <w:r>
              <w:rPr>
                <w:rFonts w:ascii="Arial" w:cs="Arial" w:eastAsia="Arial" w:hAnsi="Arial"/>
                <w:sz w:val="22"/>
                <w:szCs w:val="22"/>
                <w:color w:val="auto"/>
              </w:rPr>
              <w:t>Prepaid expenses and other current assets</w:t>
            </w: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20,495</w:t>
            </w:r>
          </w:p>
        </w:tc>
        <w:tc>
          <w:tcPr>
            <w:tcW w:w="8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21,369</w:t>
            </w:r>
          </w:p>
        </w:tc>
        <w:tc>
          <w:tcPr>
            <w:tcW w:w="0" w:type="dxa"/>
            <w:vAlign w:val="bottom"/>
          </w:tcPr>
          <w:p>
            <w:pPr>
              <w:spacing w:after="0"/>
              <w:rPr>
                <w:sz w:val="1"/>
                <w:szCs w:val="1"/>
                <w:color w:val="auto"/>
              </w:rPr>
            </w:pPr>
          </w:p>
        </w:tc>
      </w:tr>
      <w:tr>
        <w:trPr>
          <w:trHeight w:val="272"/>
        </w:trPr>
        <w:tc>
          <w:tcPr>
            <w:tcW w:w="4380" w:type="dxa"/>
            <w:vAlign w:val="bottom"/>
          </w:tcPr>
          <w:p>
            <w:pPr>
              <w:ind w:left="260"/>
              <w:spacing w:after="0"/>
              <w:rPr>
                <w:sz w:val="20"/>
                <w:szCs w:val="20"/>
                <w:color w:val="auto"/>
              </w:rPr>
            </w:pPr>
            <w:r>
              <w:rPr>
                <w:rFonts w:ascii="Arial" w:cs="Arial" w:eastAsia="Arial" w:hAnsi="Arial"/>
                <w:sz w:val="22"/>
                <w:szCs w:val="22"/>
                <w:color w:val="auto"/>
              </w:rPr>
              <w:t>Total current assets</w:t>
            </w:r>
          </w:p>
        </w:tc>
        <w:tc>
          <w:tcPr>
            <w:tcW w:w="32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22"/>
                <w:szCs w:val="22"/>
                <w:color w:val="auto"/>
              </w:rPr>
              <w:t>105,269</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82,568</w:t>
            </w:r>
          </w:p>
        </w:tc>
        <w:tc>
          <w:tcPr>
            <w:tcW w:w="0" w:type="dxa"/>
            <w:vAlign w:val="bottom"/>
          </w:tcPr>
          <w:p>
            <w:pPr>
              <w:spacing w:after="0"/>
              <w:rPr>
                <w:sz w:val="1"/>
                <w:szCs w:val="1"/>
                <w:color w:val="auto"/>
              </w:rPr>
            </w:pPr>
          </w:p>
        </w:tc>
      </w:tr>
      <w:tr>
        <w:trPr>
          <w:trHeight w:val="528"/>
        </w:trPr>
        <w:tc>
          <w:tcPr>
            <w:tcW w:w="4380" w:type="dxa"/>
            <w:vAlign w:val="bottom"/>
          </w:tcPr>
          <w:p>
            <w:pPr>
              <w:spacing w:after="0"/>
              <w:rPr>
                <w:sz w:val="20"/>
                <w:szCs w:val="20"/>
                <w:color w:val="auto"/>
              </w:rPr>
            </w:pPr>
            <w:r>
              <w:rPr>
                <w:rFonts w:ascii="Arial" w:cs="Arial" w:eastAsia="Arial" w:hAnsi="Arial"/>
                <w:sz w:val="22"/>
                <w:szCs w:val="22"/>
                <w:color w:val="auto"/>
              </w:rPr>
              <w:t>Property, plant and equipment, net</w:t>
            </w:r>
          </w:p>
        </w:tc>
        <w:tc>
          <w:tcPr>
            <w:tcW w:w="32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Arial" w:cs="Arial" w:eastAsia="Arial" w:hAnsi="Arial"/>
                <w:sz w:val="22"/>
                <w:szCs w:val="22"/>
                <w:color w:val="auto"/>
              </w:rPr>
              <w:t>782,143</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789,710</w:t>
            </w:r>
          </w:p>
        </w:tc>
        <w:tc>
          <w:tcPr>
            <w:tcW w:w="0" w:type="dxa"/>
            <w:vAlign w:val="bottom"/>
          </w:tcPr>
          <w:p>
            <w:pPr>
              <w:spacing w:after="0"/>
              <w:rPr>
                <w:sz w:val="1"/>
                <w:szCs w:val="1"/>
                <w:color w:val="auto"/>
              </w:rPr>
            </w:pPr>
          </w:p>
        </w:tc>
      </w:tr>
      <w:tr>
        <w:trPr>
          <w:trHeight w:val="270"/>
        </w:trPr>
        <w:tc>
          <w:tcPr>
            <w:tcW w:w="4380" w:type="dxa"/>
            <w:vAlign w:val="bottom"/>
          </w:tcPr>
          <w:p>
            <w:pPr>
              <w:spacing w:after="0"/>
              <w:rPr>
                <w:sz w:val="20"/>
                <w:szCs w:val="20"/>
                <w:color w:val="auto"/>
              </w:rPr>
            </w:pPr>
            <w:r>
              <w:rPr>
                <w:rFonts w:ascii="Arial" w:cs="Arial" w:eastAsia="Arial" w:hAnsi="Arial"/>
                <w:sz w:val="22"/>
                <w:szCs w:val="22"/>
                <w:color w:val="auto"/>
              </w:rPr>
              <w:t>Other intangible assets, net</w:t>
            </w:r>
          </w:p>
        </w:tc>
        <w:tc>
          <w:tcPr>
            <w:tcW w:w="32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22"/>
                <w:szCs w:val="22"/>
                <w:color w:val="auto"/>
              </w:rPr>
              <w:t>27,738</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28,039</w:t>
            </w:r>
          </w:p>
        </w:tc>
        <w:tc>
          <w:tcPr>
            <w:tcW w:w="0" w:type="dxa"/>
            <w:vAlign w:val="bottom"/>
          </w:tcPr>
          <w:p>
            <w:pPr>
              <w:spacing w:after="0"/>
              <w:rPr>
                <w:sz w:val="1"/>
                <w:szCs w:val="1"/>
                <w:color w:val="auto"/>
              </w:rPr>
            </w:pPr>
          </w:p>
        </w:tc>
      </w:tr>
      <w:tr>
        <w:trPr>
          <w:trHeight w:val="276"/>
        </w:trPr>
        <w:tc>
          <w:tcPr>
            <w:tcW w:w="4380" w:type="dxa"/>
            <w:vAlign w:val="bottom"/>
          </w:tcPr>
          <w:p>
            <w:pPr>
              <w:spacing w:after="0"/>
              <w:rPr>
                <w:sz w:val="20"/>
                <w:szCs w:val="20"/>
                <w:color w:val="auto"/>
              </w:rPr>
            </w:pPr>
            <w:r>
              <w:rPr>
                <w:rFonts w:ascii="Arial" w:cs="Arial" w:eastAsia="Arial" w:hAnsi="Arial"/>
                <w:sz w:val="22"/>
                <w:szCs w:val="22"/>
                <w:color w:val="auto"/>
              </w:rPr>
              <w:t>Other noncurrent assets</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9,876</w:t>
            </w:r>
          </w:p>
        </w:tc>
        <w:tc>
          <w:tcPr>
            <w:tcW w:w="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10,129</w:t>
            </w:r>
          </w:p>
        </w:tc>
        <w:tc>
          <w:tcPr>
            <w:tcW w:w="0" w:type="dxa"/>
            <w:vAlign w:val="bottom"/>
          </w:tcPr>
          <w:p>
            <w:pPr>
              <w:spacing w:after="0"/>
              <w:rPr>
                <w:sz w:val="1"/>
                <w:szCs w:val="1"/>
                <w:color w:val="auto"/>
              </w:rPr>
            </w:pPr>
          </w:p>
        </w:tc>
      </w:tr>
      <w:tr>
        <w:trPr>
          <w:trHeight w:val="265"/>
        </w:trPr>
        <w:tc>
          <w:tcPr>
            <w:tcW w:w="4380" w:type="dxa"/>
            <w:vAlign w:val="bottom"/>
          </w:tcPr>
          <w:p>
            <w:pPr>
              <w:ind w:left="260"/>
              <w:spacing w:after="0"/>
              <w:rPr>
                <w:sz w:val="20"/>
                <w:szCs w:val="20"/>
                <w:color w:val="auto"/>
              </w:rPr>
            </w:pPr>
            <w:r>
              <w:rPr>
                <w:rFonts w:ascii="Arial" w:cs="Arial" w:eastAsia="Arial" w:hAnsi="Arial"/>
                <w:sz w:val="22"/>
                <w:szCs w:val="22"/>
                <w:color w:val="auto"/>
              </w:rPr>
              <w:t>Total assets</w:t>
            </w:r>
          </w:p>
        </w:tc>
        <w:tc>
          <w:tcPr>
            <w:tcW w:w="3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925,026</w:t>
            </w:r>
          </w:p>
        </w:tc>
        <w:tc>
          <w:tcPr>
            <w:tcW w:w="80" w:type="dxa"/>
            <w:vAlign w:val="bottom"/>
          </w:tcPr>
          <w:p>
            <w:pPr>
              <w:spacing w:after="0"/>
              <w:rPr>
                <w:sz w:val="23"/>
                <w:szCs w:val="23"/>
                <w:color w:val="auto"/>
              </w:rPr>
            </w:pPr>
          </w:p>
        </w:tc>
        <w:tc>
          <w:tcPr>
            <w:tcW w:w="40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w:t>
            </w: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910,446</w:t>
            </w:r>
          </w:p>
        </w:tc>
        <w:tc>
          <w:tcPr>
            <w:tcW w:w="0" w:type="dxa"/>
            <w:vAlign w:val="bottom"/>
          </w:tcPr>
          <w:p>
            <w:pPr>
              <w:spacing w:after="0"/>
              <w:rPr>
                <w:sz w:val="1"/>
                <w:szCs w:val="1"/>
                <w:color w:val="auto"/>
              </w:rPr>
            </w:pPr>
          </w:p>
        </w:tc>
      </w:tr>
      <w:tr>
        <w:trPr>
          <w:trHeight w:val="21"/>
        </w:trPr>
        <w:tc>
          <w:tcPr>
            <w:tcW w:w="4380" w:type="dxa"/>
            <w:vAlign w:val="bottom"/>
            <w:vMerge w:val="restart"/>
          </w:tcPr>
          <w:p>
            <w:pPr>
              <w:spacing w:after="0"/>
              <w:rPr>
                <w:sz w:val="20"/>
                <w:szCs w:val="20"/>
                <w:color w:val="auto"/>
              </w:rPr>
            </w:pPr>
            <w:r>
              <w:rPr>
                <w:rFonts w:ascii="Arial" w:cs="Arial" w:eastAsia="Arial" w:hAnsi="Arial"/>
                <w:sz w:val="22"/>
                <w:szCs w:val="22"/>
                <w:color w:val="auto"/>
              </w:rPr>
              <w:t>Current liabilities:</w:t>
            </w: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43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380" w:type="dxa"/>
            <w:vAlign w:val="bottom"/>
          </w:tcPr>
          <w:p>
            <w:pPr>
              <w:ind w:left="120"/>
              <w:spacing w:after="0"/>
              <w:rPr>
                <w:sz w:val="20"/>
                <w:szCs w:val="20"/>
                <w:color w:val="auto"/>
              </w:rPr>
            </w:pPr>
            <w:r>
              <w:rPr>
                <w:rFonts w:ascii="Arial" w:cs="Arial" w:eastAsia="Arial" w:hAnsi="Arial"/>
                <w:sz w:val="22"/>
                <w:szCs w:val="22"/>
                <w:color w:val="auto"/>
              </w:rPr>
              <w:t>Accounts payable</w:t>
            </w:r>
          </w:p>
        </w:tc>
        <w:tc>
          <w:tcPr>
            <w:tcW w:w="320" w:type="dxa"/>
            <w:vAlign w:val="bottom"/>
          </w:tcPr>
          <w:p>
            <w:pPr>
              <w:ind w:left="40"/>
              <w:spacing w:after="0"/>
              <w:rPr>
                <w:sz w:val="20"/>
                <w:szCs w:val="20"/>
                <w:color w:val="auto"/>
              </w:rPr>
            </w:pPr>
            <w:r>
              <w:rPr>
                <w:rFonts w:ascii="Arial" w:cs="Arial" w:eastAsia="Arial" w:hAnsi="Arial"/>
                <w:sz w:val="22"/>
                <w:szCs w:val="22"/>
                <w:color w:val="auto"/>
              </w:rPr>
              <w:t>$</w:t>
            </w:r>
          </w:p>
        </w:tc>
        <w:tc>
          <w:tcPr>
            <w:tcW w:w="1160" w:type="dxa"/>
            <w:vAlign w:val="bottom"/>
          </w:tcPr>
          <w:p>
            <w:pPr>
              <w:jc w:val="right"/>
              <w:ind w:right="12"/>
              <w:spacing w:after="0"/>
              <w:rPr>
                <w:sz w:val="20"/>
                <w:szCs w:val="20"/>
                <w:color w:val="auto"/>
              </w:rPr>
            </w:pPr>
            <w:r>
              <w:rPr>
                <w:rFonts w:ascii="Arial" w:cs="Arial" w:eastAsia="Arial" w:hAnsi="Arial"/>
                <w:sz w:val="22"/>
                <w:szCs w:val="22"/>
                <w:color w:val="auto"/>
              </w:rPr>
              <w:t>21,239</w:t>
            </w:r>
          </w:p>
        </w:tc>
        <w:tc>
          <w:tcPr>
            <w:tcW w:w="80" w:type="dxa"/>
            <w:vAlign w:val="bottom"/>
          </w:tcPr>
          <w:p>
            <w:pPr>
              <w:spacing w:after="0"/>
              <w:rPr>
                <w:sz w:val="23"/>
                <w:szCs w:val="23"/>
                <w:color w:val="auto"/>
              </w:rPr>
            </w:pPr>
          </w:p>
        </w:tc>
        <w:tc>
          <w:tcPr>
            <w:tcW w:w="40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21,119</w:t>
            </w:r>
          </w:p>
        </w:tc>
        <w:tc>
          <w:tcPr>
            <w:tcW w:w="0" w:type="dxa"/>
            <w:vAlign w:val="bottom"/>
          </w:tcPr>
          <w:p>
            <w:pPr>
              <w:spacing w:after="0"/>
              <w:rPr>
                <w:sz w:val="1"/>
                <w:szCs w:val="1"/>
                <w:color w:val="auto"/>
              </w:rPr>
            </w:pPr>
          </w:p>
        </w:tc>
      </w:tr>
      <w:tr>
        <w:trPr>
          <w:trHeight w:val="270"/>
        </w:trPr>
        <w:tc>
          <w:tcPr>
            <w:tcW w:w="4380" w:type="dxa"/>
            <w:vAlign w:val="bottom"/>
          </w:tcPr>
          <w:p>
            <w:pPr>
              <w:ind w:left="120"/>
              <w:spacing w:after="0"/>
              <w:rPr>
                <w:sz w:val="20"/>
                <w:szCs w:val="20"/>
                <w:color w:val="auto"/>
              </w:rPr>
            </w:pPr>
            <w:r>
              <w:rPr>
                <w:rFonts w:ascii="Arial" w:cs="Arial" w:eastAsia="Arial" w:hAnsi="Arial"/>
                <w:sz w:val="22"/>
                <w:szCs w:val="22"/>
                <w:color w:val="auto"/>
              </w:rPr>
              <w:t>Accrued liabilities</w:t>
            </w:r>
          </w:p>
        </w:tc>
        <w:tc>
          <w:tcPr>
            <w:tcW w:w="32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22"/>
                <w:szCs w:val="22"/>
                <w:color w:val="auto"/>
              </w:rPr>
              <w:t>10,363</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14,378</w:t>
            </w:r>
          </w:p>
        </w:tc>
        <w:tc>
          <w:tcPr>
            <w:tcW w:w="0" w:type="dxa"/>
            <w:vAlign w:val="bottom"/>
          </w:tcPr>
          <w:p>
            <w:pPr>
              <w:spacing w:after="0"/>
              <w:rPr>
                <w:sz w:val="1"/>
                <w:szCs w:val="1"/>
                <w:color w:val="auto"/>
              </w:rPr>
            </w:pPr>
          </w:p>
        </w:tc>
      </w:tr>
      <w:tr>
        <w:trPr>
          <w:trHeight w:val="270"/>
        </w:trPr>
        <w:tc>
          <w:tcPr>
            <w:tcW w:w="4380" w:type="dxa"/>
            <w:vAlign w:val="bottom"/>
          </w:tcPr>
          <w:p>
            <w:pPr>
              <w:ind w:left="120"/>
              <w:spacing w:after="0"/>
              <w:rPr>
                <w:sz w:val="20"/>
                <w:szCs w:val="20"/>
                <w:color w:val="auto"/>
              </w:rPr>
            </w:pPr>
            <w:r>
              <w:rPr>
                <w:rFonts w:ascii="Arial" w:cs="Arial" w:eastAsia="Arial" w:hAnsi="Arial"/>
                <w:sz w:val="22"/>
                <w:szCs w:val="22"/>
                <w:color w:val="auto"/>
              </w:rPr>
              <w:t>Income taxes</w:t>
            </w:r>
          </w:p>
        </w:tc>
        <w:tc>
          <w:tcPr>
            <w:tcW w:w="32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22"/>
                <w:szCs w:val="22"/>
                <w:color w:val="auto"/>
              </w:rPr>
              <w:t>491</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111</w:t>
            </w:r>
          </w:p>
        </w:tc>
        <w:tc>
          <w:tcPr>
            <w:tcW w:w="0" w:type="dxa"/>
            <w:vAlign w:val="bottom"/>
          </w:tcPr>
          <w:p>
            <w:pPr>
              <w:spacing w:after="0"/>
              <w:rPr>
                <w:sz w:val="1"/>
                <w:szCs w:val="1"/>
                <w:color w:val="auto"/>
              </w:rPr>
            </w:pPr>
          </w:p>
        </w:tc>
      </w:tr>
      <w:tr>
        <w:trPr>
          <w:trHeight w:val="270"/>
        </w:trPr>
        <w:tc>
          <w:tcPr>
            <w:tcW w:w="4380" w:type="dxa"/>
            <w:vAlign w:val="bottom"/>
          </w:tcPr>
          <w:p>
            <w:pPr>
              <w:ind w:left="120"/>
              <w:spacing w:after="0"/>
              <w:rPr>
                <w:sz w:val="20"/>
                <w:szCs w:val="20"/>
                <w:color w:val="auto"/>
              </w:rPr>
            </w:pPr>
            <w:r>
              <w:rPr>
                <w:rFonts w:ascii="Arial" w:cs="Arial" w:eastAsia="Arial" w:hAnsi="Arial"/>
                <w:sz w:val="22"/>
                <w:szCs w:val="22"/>
                <w:color w:val="auto"/>
              </w:rPr>
              <w:t>Current portion of long-term debt</w:t>
            </w:r>
          </w:p>
        </w:tc>
        <w:tc>
          <w:tcPr>
            <w:tcW w:w="32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22"/>
                <w:szCs w:val="22"/>
                <w:color w:val="auto"/>
              </w:rPr>
              <w:t>15,566</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15,471</w:t>
            </w:r>
          </w:p>
        </w:tc>
        <w:tc>
          <w:tcPr>
            <w:tcW w:w="0" w:type="dxa"/>
            <w:vAlign w:val="bottom"/>
          </w:tcPr>
          <w:p>
            <w:pPr>
              <w:spacing w:after="0"/>
              <w:rPr>
                <w:sz w:val="1"/>
                <w:szCs w:val="1"/>
                <w:color w:val="auto"/>
              </w:rPr>
            </w:pPr>
          </w:p>
        </w:tc>
      </w:tr>
      <w:tr>
        <w:trPr>
          <w:trHeight w:val="270"/>
        </w:trPr>
        <w:tc>
          <w:tcPr>
            <w:tcW w:w="4380" w:type="dxa"/>
            <w:vAlign w:val="bottom"/>
          </w:tcPr>
          <w:p>
            <w:pPr>
              <w:ind w:left="120"/>
              <w:spacing w:after="0"/>
              <w:rPr>
                <w:sz w:val="20"/>
                <w:szCs w:val="20"/>
                <w:color w:val="auto"/>
              </w:rPr>
            </w:pPr>
            <w:r>
              <w:rPr>
                <w:rFonts w:ascii="Arial" w:cs="Arial" w:eastAsia="Arial" w:hAnsi="Arial"/>
                <w:sz w:val="22"/>
                <w:szCs w:val="22"/>
                <w:color w:val="auto"/>
              </w:rPr>
              <w:t>Deferred revenue</w:t>
            </w:r>
          </w:p>
        </w:tc>
        <w:tc>
          <w:tcPr>
            <w:tcW w:w="32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22"/>
                <w:szCs w:val="22"/>
                <w:color w:val="auto"/>
              </w:rPr>
              <w:t>5,053</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6,792</w:t>
            </w:r>
          </w:p>
        </w:tc>
        <w:tc>
          <w:tcPr>
            <w:tcW w:w="0" w:type="dxa"/>
            <w:vAlign w:val="bottom"/>
          </w:tcPr>
          <w:p>
            <w:pPr>
              <w:spacing w:after="0"/>
              <w:rPr>
                <w:sz w:val="1"/>
                <w:szCs w:val="1"/>
                <w:color w:val="auto"/>
              </w:rPr>
            </w:pPr>
          </w:p>
        </w:tc>
      </w:tr>
      <w:tr>
        <w:trPr>
          <w:trHeight w:val="275"/>
        </w:trPr>
        <w:tc>
          <w:tcPr>
            <w:tcW w:w="4380" w:type="dxa"/>
            <w:vAlign w:val="bottom"/>
          </w:tcPr>
          <w:p>
            <w:pPr>
              <w:ind w:left="120"/>
              <w:spacing w:after="0"/>
              <w:rPr>
                <w:sz w:val="20"/>
                <w:szCs w:val="20"/>
                <w:color w:val="auto"/>
              </w:rPr>
            </w:pPr>
            <w:r>
              <w:rPr>
                <w:rFonts w:ascii="Arial" w:cs="Arial" w:eastAsia="Arial" w:hAnsi="Arial"/>
                <w:sz w:val="22"/>
                <w:szCs w:val="22"/>
                <w:color w:val="auto"/>
              </w:rPr>
              <w:t>Other current liabilities</w:t>
            </w: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1,952</w:t>
            </w:r>
          </w:p>
        </w:tc>
        <w:tc>
          <w:tcPr>
            <w:tcW w:w="8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2,572</w:t>
            </w:r>
          </w:p>
        </w:tc>
        <w:tc>
          <w:tcPr>
            <w:tcW w:w="0" w:type="dxa"/>
            <w:vAlign w:val="bottom"/>
          </w:tcPr>
          <w:p>
            <w:pPr>
              <w:spacing w:after="0"/>
              <w:rPr>
                <w:sz w:val="1"/>
                <w:szCs w:val="1"/>
                <w:color w:val="auto"/>
              </w:rPr>
            </w:pPr>
          </w:p>
        </w:tc>
      </w:tr>
      <w:tr>
        <w:trPr>
          <w:trHeight w:val="272"/>
        </w:trPr>
        <w:tc>
          <w:tcPr>
            <w:tcW w:w="4380" w:type="dxa"/>
            <w:vAlign w:val="bottom"/>
          </w:tcPr>
          <w:p>
            <w:pPr>
              <w:ind w:left="260"/>
              <w:spacing w:after="0"/>
              <w:rPr>
                <w:sz w:val="20"/>
                <w:szCs w:val="20"/>
                <w:color w:val="auto"/>
              </w:rPr>
            </w:pPr>
            <w:r>
              <w:rPr>
                <w:rFonts w:ascii="Arial" w:cs="Arial" w:eastAsia="Arial" w:hAnsi="Arial"/>
                <w:sz w:val="22"/>
                <w:szCs w:val="22"/>
                <w:color w:val="auto"/>
              </w:rPr>
              <w:t>Total current liabilities</w:t>
            </w:r>
          </w:p>
        </w:tc>
        <w:tc>
          <w:tcPr>
            <w:tcW w:w="32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22"/>
                <w:szCs w:val="22"/>
                <w:color w:val="auto"/>
              </w:rPr>
              <w:t>54,664</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60,443</w:t>
            </w:r>
          </w:p>
        </w:tc>
        <w:tc>
          <w:tcPr>
            <w:tcW w:w="0" w:type="dxa"/>
            <w:vAlign w:val="bottom"/>
          </w:tcPr>
          <w:p>
            <w:pPr>
              <w:spacing w:after="0"/>
              <w:rPr>
                <w:sz w:val="1"/>
                <w:szCs w:val="1"/>
                <w:color w:val="auto"/>
              </w:rPr>
            </w:pPr>
          </w:p>
        </w:tc>
      </w:tr>
      <w:tr>
        <w:trPr>
          <w:trHeight w:val="528"/>
        </w:trPr>
        <w:tc>
          <w:tcPr>
            <w:tcW w:w="4380" w:type="dxa"/>
            <w:vAlign w:val="bottom"/>
          </w:tcPr>
          <w:p>
            <w:pPr>
              <w:spacing w:after="0"/>
              <w:rPr>
                <w:sz w:val="20"/>
                <w:szCs w:val="20"/>
                <w:color w:val="auto"/>
              </w:rPr>
            </w:pPr>
            <w:r>
              <w:rPr>
                <w:rFonts w:ascii="Arial" w:cs="Arial" w:eastAsia="Arial" w:hAnsi="Arial"/>
                <w:sz w:val="22"/>
                <w:szCs w:val="22"/>
                <w:color w:val="auto"/>
              </w:rPr>
              <w:t>Long-term debt to third-parties</w:t>
            </w:r>
          </w:p>
        </w:tc>
        <w:tc>
          <w:tcPr>
            <w:tcW w:w="32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Arial" w:cs="Arial" w:eastAsia="Arial" w:hAnsi="Arial"/>
                <w:sz w:val="22"/>
                <w:szCs w:val="22"/>
                <w:color w:val="auto"/>
              </w:rPr>
              <w:t>296,438</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337,800</w:t>
            </w:r>
          </w:p>
        </w:tc>
        <w:tc>
          <w:tcPr>
            <w:tcW w:w="0" w:type="dxa"/>
            <w:vAlign w:val="bottom"/>
          </w:tcPr>
          <w:p>
            <w:pPr>
              <w:spacing w:after="0"/>
              <w:rPr>
                <w:sz w:val="1"/>
                <w:szCs w:val="1"/>
                <w:color w:val="auto"/>
              </w:rPr>
            </w:pPr>
          </w:p>
        </w:tc>
      </w:tr>
      <w:tr>
        <w:trPr>
          <w:trHeight w:val="270"/>
        </w:trPr>
        <w:tc>
          <w:tcPr>
            <w:tcW w:w="4380" w:type="dxa"/>
            <w:vAlign w:val="bottom"/>
          </w:tcPr>
          <w:p>
            <w:pPr>
              <w:spacing w:after="0"/>
              <w:rPr>
                <w:sz w:val="20"/>
                <w:szCs w:val="20"/>
                <w:color w:val="auto"/>
              </w:rPr>
            </w:pPr>
            <w:r>
              <w:rPr>
                <w:rFonts w:ascii="Arial" w:cs="Arial" w:eastAsia="Arial" w:hAnsi="Arial"/>
                <w:sz w:val="22"/>
                <w:szCs w:val="22"/>
                <w:color w:val="auto"/>
              </w:rPr>
              <w:t>Deferred income taxes</w:t>
            </w:r>
          </w:p>
        </w:tc>
        <w:tc>
          <w:tcPr>
            <w:tcW w:w="32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22"/>
                <w:szCs w:val="22"/>
                <w:color w:val="auto"/>
              </w:rPr>
              <w:t>6,556</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9,194</w:t>
            </w:r>
          </w:p>
        </w:tc>
        <w:tc>
          <w:tcPr>
            <w:tcW w:w="0" w:type="dxa"/>
            <w:vAlign w:val="bottom"/>
          </w:tcPr>
          <w:p>
            <w:pPr>
              <w:spacing w:after="0"/>
              <w:rPr>
                <w:sz w:val="1"/>
                <w:szCs w:val="1"/>
                <w:color w:val="auto"/>
              </w:rPr>
            </w:pPr>
          </w:p>
        </w:tc>
      </w:tr>
      <w:tr>
        <w:trPr>
          <w:trHeight w:val="275"/>
        </w:trPr>
        <w:tc>
          <w:tcPr>
            <w:tcW w:w="4380" w:type="dxa"/>
            <w:vAlign w:val="bottom"/>
          </w:tcPr>
          <w:p>
            <w:pPr>
              <w:spacing w:after="0"/>
              <w:rPr>
                <w:sz w:val="20"/>
                <w:szCs w:val="20"/>
                <w:color w:val="auto"/>
              </w:rPr>
            </w:pPr>
            <w:r>
              <w:rPr>
                <w:rFonts w:ascii="Arial" w:cs="Arial" w:eastAsia="Arial" w:hAnsi="Arial"/>
                <w:sz w:val="22"/>
                <w:szCs w:val="22"/>
                <w:color w:val="auto"/>
              </w:rPr>
              <w:t>Other noncurrent liabilities</w:t>
            </w: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28,642</w:t>
            </w:r>
          </w:p>
        </w:tc>
        <w:tc>
          <w:tcPr>
            <w:tcW w:w="8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27,019</w:t>
            </w:r>
          </w:p>
        </w:tc>
        <w:tc>
          <w:tcPr>
            <w:tcW w:w="0" w:type="dxa"/>
            <w:vAlign w:val="bottom"/>
          </w:tcPr>
          <w:p>
            <w:pPr>
              <w:spacing w:after="0"/>
              <w:rPr>
                <w:sz w:val="1"/>
                <w:szCs w:val="1"/>
                <w:color w:val="auto"/>
              </w:rPr>
            </w:pPr>
          </w:p>
        </w:tc>
      </w:tr>
      <w:tr>
        <w:trPr>
          <w:trHeight w:val="272"/>
        </w:trPr>
        <w:tc>
          <w:tcPr>
            <w:tcW w:w="4380" w:type="dxa"/>
            <w:vAlign w:val="bottom"/>
          </w:tcPr>
          <w:p>
            <w:pPr>
              <w:ind w:left="260"/>
              <w:spacing w:after="0"/>
              <w:rPr>
                <w:sz w:val="20"/>
                <w:szCs w:val="20"/>
                <w:color w:val="auto"/>
              </w:rPr>
            </w:pPr>
            <w:r>
              <w:rPr>
                <w:rFonts w:ascii="Arial" w:cs="Arial" w:eastAsia="Arial" w:hAnsi="Arial"/>
                <w:sz w:val="22"/>
                <w:szCs w:val="22"/>
                <w:color w:val="auto"/>
              </w:rPr>
              <w:t>Total liabilities</w:t>
            </w:r>
          </w:p>
        </w:tc>
        <w:tc>
          <w:tcPr>
            <w:tcW w:w="32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22"/>
                <w:szCs w:val="22"/>
                <w:color w:val="auto"/>
              </w:rPr>
              <w:t>386,300</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434,456</w:t>
            </w:r>
          </w:p>
        </w:tc>
        <w:tc>
          <w:tcPr>
            <w:tcW w:w="0" w:type="dxa"/>
            <w:vAlign w:val="bottom"/>
          </w:tcPr>
          <w:p>
            <w:pPr>
              <w:spacing w:after="0"/>
              <w:rPr>
                <w:sz w:val="1"/>
                <w:szCs w:val="1"/>
                <w:color w:val="auto"/>
              </w:rPr>
            </w:pPr>
          </w:p>
        </w:tc>
      </w:tr>
      <w:tr>
        <w:trPr>
          <w:trHeight w:val="528"/>
        </w:trPr>
        <w:tc>
          <w:tcPr>
            <w:tcW w:w="4380" w:type="dxa"/>
            <w:vAlign w:val="bottom"/>
          </w:tcPr>
          <w:p>
            <w:pPr>
              <w:spacing w:after="0"/>
              <w:rPr>
                <w:sz w:val="20"/>
                <w:szCs w:val="20"/>
                <w:color w:val="auto"/>
              </w:rPr>
            </w:pPr>
            <w:r>
              <w:rPr>
                <w:rFonts w:ascii="Arial" w:cs="Arial" w:eastAsia="Arial" w:hAnsi="Arial"/>
                <w:sz w:val="22"/>
                <w:szCs w:val="22"/>
                <w:color w:val="auto"/>
              </w:rPr>
              <w:t>Shareholders' equity:</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380" w:type="dxa"/>
            <w:vAlign w:val="bottom"/>
          </w:tcPr>
          <w:p>
            <w:pPr>
              <w:ind w:left="260"/>
              <w:spacing w:after="0"/>
              <w:rPr>
                <w:sz w:val="20"/>
                <w:szCs w:val="20"/>
                <w:color w:val="auto"/>
              </w:rPr>
            </w:pPr>
            <w:r>
              <w:rPr>
                <w:rFonts w:ascii="Arial" w:cs="Arial" w:eastAsia="Arial" w:hAnsi="Arial"/>
                <w:sz w:val="22"/>
                <w:szCs w:val="22"/>
                <w:color w:val="auto"/>
              </w:rPr>
              <w:t>Common shares</w:t>
            </w:r>
          </w:p>
        </w:tc>
        <w:tc>
          <w:tcPr>
            <w:tcW w:w="320" w:type="dxa"/>
            <w:vAlign w:val="bottom"/>
          </w:tcPr>
          <w:p>
            <w:pPr>
              <w:spacing w:after="0"/>
              <w:rPr>
                <w:sz w:val="23"/>
                <w:szCs w:val="23"/>
                <w:color w:val="auto"/>
              </w:rPr>
            </w:pPr>
          </w:p>
        </w:tc>
        <w:tc>
          <w:tcPr>
            <w:tcW w:w="116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4380" w:type="dxa"/>
            <w:vAlign w:val="bottom"/>
          </w:tcPr>
          <w:p>
            <w:pPr>
              <w:ind w:left="260"/>
              <w:spacing w:after="0"/>
              <w:rPr>
                <w:sz w:val="20"/>
                <w:szCs w:val="20"/>
                <w:color w:val="auto"/>
              </w:rPr>
            </w:pPr>
            <w:r>
              <w:rPr>
                <w:rFonts w:ascii="Arial" w:cs="Arial" w:eastAsia="Arial" w:hAnsi="Arial"/>
                <w:sz w:val="22"/>
                <w:szCs w:val="22"/>
                <w:color w:val="auto"/>
              </w:rPr>
              <w:t>Additional paid-in capital</w:t>
            </w:r>
          </w:p>
        </w:tc>
        <w:tc>
          <w:tcPr>
            <w:tcW w:w="32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22"/>
                <w:szCs w:val="22"/>
                <w:color w:val="auto"/>
              </w:rPr>
              <w:t>1,378,576</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1,311,226</w:t>
            </w:r>
          </w:p>
        </w:tc>
        <w:tc>
          <w:tcPr>
            <w:tcW w:w="0" w:type="dxa"/>
            <w:vAlign w:val="bottom"/>
          </w:tcPr>
          <w:p>
            <w:pPr>
              <w:spacing w:after="0"/>
              <w:rPr>
                <w:sz w:val="1"/>
                <w:szCs w:val="1"/>
                <w:color w:val="auto"/>
              </w:rPr>
            </w:pPr>
          </w:p>
        </w:tc>
      </w:tr>
      <w:tr>
        <w:trPr>
          <w:trHeight w:val="270"/>
        </w:trPr>
        <w:tc>
          <w:tcPr>
            <w:tcW w:w="4380" w:type="dxa"/>
            <w:vAlign w:val="bottom"/>
          </w:tcPr>
          <w:p>
            <w:pPr>
              <w:ind w:left="260"/>
              <w:spacing w:after="0"/>
              <w:rPr>
                <w:sz w:val="20"/>
                <w:szCs w:val="20"/>
                <w:color w:val="auto"/>
              </w:rPr>
            </w:pPr>
            <w:r>
              <w:rPr>
                <w:rFonts w:ascii="Arial" w:cs="Arial" w:eastAsia="Arial" w:hAnsi="Arial"/>
                <w:sz w:val="22"/>
                <w:szCs w:val="22"/>
                <w:color w:val="auto"/>
              </w:rPr>
              <w:t>Accumulated deficit</w:t>
            </w: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(494,387)</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(472,764)</w:t>
            </w:r>
          </w:p>
        </w:tc>
        <w:tc>
          <w:tcPr>
            <w:tcW w:w="0" w:type="dxa"/>
            <w:vAlign w:val="bottom"/>
          </w:tcPr>
          <w:p>
            <w:pPr>
              <w:spacing w:after="0"/>
              <w:rPr>
                <w:sz w:val="1"/>
                <w:szCs w:val="1"/>
                <w:color w:val="auto"/>
              </w:rPr>
            </w:pPr>
          </w:p>
        </w:tc>
      </w:tr>
      <w:tr>
        <w:trPr>
          <w:trHeight w:val="270"/>
        </w:trPr>
        <w:tc>
          <w:tcPr>
            <w:tcW w:w="4380" w:type="dxa"/>
            <w:vAlign w:val="bottom"/>
          </w:tcPr>
          <w:p>
            <w:pPr>
              <w:ind w:left="260"/>
              <w:spacing w:after="0"/>
              <w:rPr>
                <w:sz w:val="20"/>
                <w:szCs w:val="20"/>
                <w:color w:val="auto"/>
              </w:rPr>
            </w:pPr>
            <w:r>
              <w:rPr>
                <w:rFonts w:ascii="Arial" w:cs="Arial" w:eastAsia="Arial" w:hAnsi="Arial"/>
                <w:sz w:val="22"/>
                <w:szCs w:val="22"/>
                <w:color w:val="auto"/>
              </w:rPr>
              <w:t>Treasury stock</w:t>
            </w: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(344)</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(65)</w:t>
            </w:r>
          </w:p>
        </w:tc>
        <w:tc>
          <w:tcPr>
            <w:tcW w:w="0" w:type="dxa"/>
            <w:vAlign w:val="bottom"/>
          </w:tcPr>
          <w:p>
            <w:pPr>
              <w:spacing w:after="0"/>
              <w:rPr>
                <w:sz w:val="1"/>
                <w:szCs w:val="1"/>
                <w:color w:val="auto"/>
              </w:rPr>
            </w:pPr>
          </w:p>
        </w:tc>
      </w:tr>
      <w:tr>
        <w:trPr>
          <w:trHeight w:val="275"/>
        </w:trPr>
        <w:tc>
          <w:tcPr>
            <w:tcW w:w="4380" w:type="dxa"/>
            <w:vAlign w:val="bottom"/>
          </w:tcPr>
          <w:p>
            <w:pPr>
              <w:ind w:left="260"/>
              <w:spacing w:after="0"/>
              <w:rPr>
                <w:sz w:val="20"/>
                <w:szCs w:val="20"/>
                <w:color w:val="auto"/>
              </w:rPr>
            </w:pPr>
            <w:r>
              <w:rPr>
                <w:rFonts w:ascii="Arial" w:cs="Arial" w:eastAsia="Arial" w:hAnsi="Arial"/>
                <w:sz w:val="22"/>
                <w:szCs w:val="22"/>
                <w:color w:val="auto"/>
              </w:rPr>
              <w:t>Accumulated other comprehensive loss</w:t>
            </w: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(345,243)</w:t>
            </w:r>
          </w:p>
        </w:tc>
        <w:tc>
          <w:tcPr>
            <w:tcW w:w="8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(362,930)</w:t>
            </w:r>
          </w:p>
        </w:tc>
        <w:tc>
          <w:tcPr>
            <w:tcW w:w="0" w:type="dxa"/>
            <w:vAlign w:val="bottom"/>
          </w:tcPr>
          <w:p>
            <w:pPr>
              <w:spacing w:after="0"/>
              <w:rPr>
                <w:sz w:val="1"/>
                <w:szCs w:val="1"/>
                <w:color w:val="auto"/>
              </w:rPr>
            </w:pPr>
          </w:p>
        </w:tc>
      </w:tr>
      <w:tr>
        <w:trPr>
          <w:trHeight w:val="267"/>
        </w:trPr>
        <w:tc>
          <w:tcPr>
            <w:tcW w:w="4380" w:type="dxa"/>
            <w:vAlign w:val="bottom"/>
          </w:tcPr>
          <w:p>
            <w:pPr>
              <w:ind w:left="400"/>
              <w:spacing w:after="0"/>
              <w:rPr>
                <w:sz w:val="20"/>
                <w:szCs w:val="20"/>
                <w:color w:val="auto"/>
              </w:rPr>
            </w:pPr>
            <w:r>
              <w:rPr>
                <w:rFonts w:ascii="Arial" w:cs="Arial" w:eastAsia="Arial" w:hAnsi="Arial"/>
                <w:sz w:val="22"/>
                <w:szCs w:val="22"/>
                <w:color w:val="auto"/>
                <w:w w:val="91"/>
              </w:rPr>
              <w:t>Total Civeo Corporation shareholders' equity</w:t>
            </w: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538,602</w:t>
            </w:r>
          </w:p>
        </w:tc>
        <w:tc>
          <w:tcPr>
            <w:tcW w:w="8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475,467</w:t>
            </w:r>
          </w:p>
        </w:tc>
        <w:tc>
          <w:tcPr>
            <w:tcW w:w="0" w:type="dxa"/>
            <w:vAlign w:val="bottom"/>
          </w:tcPr>
          <w:p>
            <w:pPr>
              <w:spacing w:after="0"/>
              <w:rPr>
                <w:sz w:val="1"/>
                <w:szCs w:val="1"/>
                <w:color w:val="auto"/>
              </w:rPr>
            </w:pPr>
          </w:p>
        </w:tc>
      </w:tr>
      <w:tr>
        <w:trPr>
          <w:trHeight w:val="264"/>
        </w:trPr>
        <w:tc>
          <w:tcPr>
            <w:tcW w:w="4380" w:type="dxa"/>
            <w:vAlign w:val="bottom"/>
          </w:tcPr>
          <w:p>
            <w:pPr>
              <w:spacing w:after="0"/>
              <w:rPr>
                <w:sz w:val="20"/>
                <w:szCs w:val="20"/>
                <w:color w:val="auto"/>
              </w:rPr>
            </w:pPr>
            <w:r>
              <w:rPr>
                <w:rFonts w:ascii="Arial" w:cs="Arial" w:eastAsia="Arial" w:hAnsi="Arial"/>
                <w:sz w:val="22"/>
                <w:szCs w:val="22"/>
                <w:color w:val="auto"/>
              </w:rPr>
              <w:t>Noncontrolling interest</w:t>
            </w: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124</w:t>
            </w:r>
          </w:p>
        </w:tc>
        <w:tc>
          <w:tcPr>
            <w:tcW w:w="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523</w:t>
            </w:r>
          </w:p>
        </w:tc>
        <w:tc>
          <w:tcPr>
            <w:tcW w:w="0" w:type="dxa"/>
            <w:vAlign w:val="bottom"/>
          </w:tcPr>
          <w:p>
            <w:pPr>
              <w:spacing w:after="0"/>
              <w:rPr>
                <w:sz w:val="1"/>
                <w:szCs w:val="1"/>
                <w:color w:val="auto"/>
              </w:rPr>
            </w:pPr>
          </w:p>
        </w:tc>
      </w:tr>
      <w:tr>
        <w:trPr>
          <w:trHeight w:val="264"/>
        </w:trPr>
        <w:tc>
          <w:tcPr>
            <w:tcW w:w="4380" w:type="dxa"/>
            <w:vAlign w:val="bottom"/>
          </w:tcPr>
          <w:p>
            <w:pPr>
              <w:ind w:left="120"/>
              <w:spacing w:after="0"/>
              <w:rPr>
                <w:sz w:val="20"/>
                <w:szCs w:val="20"/>
                <w:color w:val="auto"/>
              </w:rPr>
            </w:pPr>
            <w:r>
              <w:rPr>
                <w:rFonts w:ascii="Arial" w:cs="Arial" w:eastAsia="Arial" w:hAnsi="Arial"/>
                <w:sz w:val="22"/>
                <w:szCs w:val="22"/>
                <w:color w:val="auto"/>
              </w:rPr>
              <w:t>Total shareholders' equity</w:t>
            </w: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538,726</w:t>
            </w:r>
          </w:p>
        </w:tc>
        <w:tc>
          <w:tcPr>
            <w:tcW w:w="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475,990</w:t>
            </w:r>
          </w:p>
        </w:tc>
        <w:tc>
          <w:tcPr>
            <w:tcW w:w="0" w:type="dxa"/>
            <w:vAlign w:val="bottom"/>
          </w:tcPr>
          <w:p>
            <w:pPr>
              <w:spacing w:after="0"/>
              <w:rPr>
                <w:sz w:val="1"/>
                <w:szCs w:val="1"/>
                <w:color w:val="auto"/>
              </w:rPr>
            </w:pPr>
          </w:p>
        </w:tc>
      </w:tr>
      <w:tr>
        <w:trPr>
          <w:trHeight w:val="264"/>
        </w:trPr>
        <w:tc>
          <w:tcPr>
            <w:tcW w:w="4380" w:type="dxa"/>
            <w:vAlign w:val="bottom"/>
          </w:tcPr>
          <w:p>
            <w:pPr>
              <w:ind w:left="260"/>
              <w:spacing w:after="0"/>
              <w:rPr>
                <w:sz w:val="20"/>
                <w:szCs w:val="20"/>
                <w:color w:val="auto"/>
              </w:rPr>
            </w:pPr>
            <w:r>
              <w:rPr>
                <w:rFonts w:ascii="Arial" w:cs="Arial" w:eastAsia="Arial" w:hAnsi="Arial"/>
                <w:sz w:val="22"/>
                <w:szCs w:val="22"/>
                <w:color w:val="auto"/>
              </w:rPr>
              <w:t>Total liabilities and shareholders' equity</w:t>
            </w:r>
          </w:p>
        </w:tc>
        <w:tc>
          <w:tcPr>
            <w:tcW w:w="3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925,026</w:t>
            </w:r>
          </w:p>
        </w:tc>
        <w:tc>
          <w:tcPr>
            <w:tcW w:w="80" w:type="dxa"/>
            <w:vAlign w:val="bottom"/>
          </w:tcPr>
          <w:p>
            <w:pPr>
              <w:spacing w:after="0"/>
              <w:rPr>
                <w:sz w:val="22"/>
                <w:szCs w:val="22"/>
                <w:color w:val="auto"/>
              </w:rPr>
            </w:pPr>
          </w:p>
        </w:tc>
        <w:tc>
          <w:tcPr>
            <w:tcW w:w="40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w:t>
            </w: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910,446</w:t>
            </w:r>
          </w:p>
        </w:tc>
        <w:tc>
          <w:tcPr>
            <w:tcW w:w="0" w:type="dxa"/>
            <w:vAlign w:val="bottom"/>
          </w:tcPr>
          <w:p>
            <w:pPr>
              <w:spacing w:after="0"/>
              <w:rPr>
                <w:sz w:val="1"/>
                <w:szCs w:val="1"/>
                <w:color w:val="auto"/>
              </w:rPr>
            </w:pPr>
          </w:p>
        </w:tc>
      </w:tr>
      <w:tr>
        <w:trPr>
          <w:trHeight w:val="21"/>
        </w:trPr>
        <w:tc>
          <w:tcPr>
            <w:tcW w:w="4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779"/>
        <w:spacing w:after="0"/>
        <w:rPr>
          <w:sz w:val="20"/>
          <w:szCs w:val="20"/>
          <w:color w:val="auto"/>
        </w:rPr>
      </w:pPr>
      <w:r>
        <w:rPr>
          <w:rFonts w:ascii="Arial" w:cs="Arial" w:eastAsia="Arial" w:hAnsi="Arial"/>
          <w:sz w:val="22"/>
          <w:szCs w:val="22"/>
          <w:b w:val="1"/>
          <w:bCs w:val="1"/>
          <w:color w:val="auto"/>
        </w:rPr>
        <w:t>CIVEO CORPORATION</w:t>
      </w:r>
    </w:p>
    <w:p>
      <w:pPr>
        <w:spacing w:after="0" w:line="14" w:lineRule="exact"/>
        <w:rPr>
          <w:sz w:val="20"/>
          <w:szCs w:val="20"/>
          <w:color w:val="auto"/>
        </w:rPr>
      </w:pPr>
    </w:p>
    <w:p>
      <w:pPr>
        <w:jc w:val="center"/>
        <w:ind w:right="779"/>
        <w:spacing w:after="0"/>
        <w:rPr>
          <w:sz w:val="20"/>
          <w:szCs w:val="20"/>
          <w:color w:val="auto"/>
        </w:rPr>
      </w:pPr>
      <w:r>
        <w:rPr>
          <w:rFonts w:ascii="Arial" w:cs="Arial" w:eastAsia="Arial" w:hAnsi="Arial"/>
          <w:sz w:val="22"/>
          <w:szCs w:val="22"/>
          <w:b w:val="1"/>
          <w:bCs w:val="1"/>
          <w:color w:val="auto"/>
        </w:rPr>
        <w:t>UNAUDITED CONSOLIDATED STATEMENTS OF CASH FLOWS</w:t>
      </w:r>
    </w:p>
    <w:p>
      <w:pPr>
        <w:spacing w:after="0" w:line="4" w:lineRule="exact"/>
        <w:rPr>
          <w:sz w:val="20"/>
          <w:szCs w:val="20"/>
          <w:color w:val="auto"/>
        </w:rPr>
      </w:pPr>
    </w:p>
    <w:p>
      <w:pPr>
        <w:ind w:left="4060"/>
        <w:spacing w:after="0"/>
        <w:rPr>
          <w:sz w:val="20"/>
          <w:szCs w:val="20"/>
          <w:color w:val="auto"/>
        </w:rPr>
      </w:pPr>
      <w:r>
        <w:rPr>
          <w:rFonts w:ascii="Arial" w:cs="Arial" w:eastAsia="Arial" w:hAnsi="Arial"/>
          <w:sz w:val="22"/>
          <w:szCs w:val="22"/>
          <w:b w:val="1"/>
          <w:bCs w:val="1"/>
          <w:color w:val="auto"/>
        </w:rPr>
        <w:t>(in thousands)</w:t>
      </w:r>
    </w:p>
    <w:p>
      <w:pPr>
        <w:spacing w:after="0" w:line="277" w:lineRule="exact"/>
        <w:rPr>
          <w:sz w:val="20"/>
          <w:szCs w:val="20"/>
          <w:color w:val="auto"/>
        </w:rPr>
      </w:pPr>
    </w:p>
    <w:p>
      <w:pPr>
        <w:jc w:val="center"/>
        <w:ind w:left="4860"/>
        <w:spacing w:after="0"/>
        <w:rPr>
          <w:sz w:val="20"/>
          <w:szCs w:val="20"/>
          <w:color w:val="auto"/>
        </w:rPr>
      </w:pPr>
      <w:r>
        <w:rPr>
          <w:rFonts w:ascii="Arial" w:cs="Arial" w:eastAsia="Arial" w:hAnsi="Arial"/>
          <w:sz w:val="22"/>
          <w:szCs w:val="22"/>
          <w:b w:val="1"/>
          <w:bCs w:val="1"/>
          <w:color w:val="auto"/>
        </w:rPr>
        <w:t>THREE MONTHS ENDED</w:t>
      </w:r>
    </w:p>
    <w:p>
      <w:pPr>
        <w:spacing w:after="0" w:line="14" w:lineRule="exact"/>
        <w:rPr>
          <w:sz w:val="20"/>
          <w:szCs w:val="20"/>
          <w:color w:val="auto"/>
        </w:rPr>
      </w:pPr>
    </w:p>
    <w:p>
      <w:pPr>
        <w:jc w:val="center"/>
        <w:ind w:left="4860"/>
        <w:spacing w:after="0"/>
        <w:rPr>
          <w:sz w:val="20"/>
          <w:szCs w:val="20"/>
          <w:color w:val="auto"/>
        </w:rPr>
      </w:pPr>
      <w:r>
        <w:rPr>
          <w:rFonts w:ascii="Arial" w:cs="Arial" w:eastAsia="Arial" w:hAnsi="Arial"/>
          <w:sz w:val="22"/>
          <w:szCs w:val="22"/>
          <w:b w:val="1"/>
          <w:bCs w:val="1"/>
          <w:color w:val="auto"/>
        </w:rPr>
        <w:t>MARCH 31,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68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rPr>
              <w:t>2017</w:t>
            </w: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2016</w:t>
            </w:r>
          </w:p>
        </w:tc>
      </w:tr>
      <w:tr>
        <w:trPr>
          <w:trHeight w:val="526"/>
        </w:trPr>
        <w:tc>
          <w:tcPr>
            <w:tcW w:w="6800" w:type="dxa"/>
            <w:vAlign w:val="bottom"/>
          </w:tcPr>
          <w:p>
            <w:pPr>
              <w:spacing w:after="0"/>
              <w:rPr>
                <w:sz w:val="20"/>
                <w:szCs w:val="20"/>
                <w:color w:val="auto"/>
              </w:rPr>
            </w:pPr>
            <w:r>
              <w:rPr>
                <w:rFonts w:ascii="Arial" w:cs="Arial" w:eastAsia="Arial" w:hAnsi="Arial"/>
                <w:sz w:val="22"/>
                <w:szCs w:val="22"/>
                <w:color w:val="auto"/>
              </w:rPr>
              <w:t>Cash flows from operating activities: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6800" w:type="dxa"/>
            <w:vAlign w:val="bottom"/>
          </w:tcPr>
          <w:p>
            <w:pPr>
              <w:spacing w:after="0"/>
              <w:rPr>
                <w:sz w:val="20"/>
                <w:szCs w:val="20"/>
                <w:color w:val="auto"/>
              </w:rPr>
            </w:pPr>
            <w:r>
              <w:rPr>
                <w:rFonts w:ascii="Arial" w:cs="Arial" w:eastAsia="Arial" w:hAnsi="Arial"/>
                <w:sz w:val="22"/>
                <w:szCs w:val="22"/>
                <w:color w:val="auto"/>
              </w:rPr>
              <w:t>Net loss</w:t>
            </w:r>
          </w:p>
        </w:tc>
        <w:tc>
          <w:tcPr>
            <w:tcW w:w="30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960" w:type="dxa"/>
            <w:vAlign w:val="bottom"/>
          </w:tcPr>
          <w:p>
            <w:pPr>
              <w:jc w:val="right"/>
              <w:spacing w:after="0"/>
              <w:rPr>
                <w:sz w:val="20"/>
                <w:szCs w:val="20"/>
                <w:color w:val="auto"/>
              </w:rPr>
            </w:pPr>
            <w:r>
              <w:rPr>
                <w:rFonts w:ascii="Arial" w:cs="Arial" w:eastAsia="Arial" w:hAnsi="Arial"/>
                <w:sz w:val="22"/>
                <w:szCs w:val="22"/>
                <w:color w:val="auto"/>
              </w:rPr>
              <w:t>(20,866)</w:t>
            </w:r>
          </w:p>
        </w:tc>
        <w:tc>
          <w:tcPr>
            <w:tcW w:w="80" w:type="dxa"/>
            <w:vAlign w:val="bottom"/>
          </w:tcPr>
          <w:p>
            <w:pPr>
              <w:spacing w:after="0"/>
              <w:rPr>
                <w:sz w:val="23"/>
                <w:szCs w:val="23"/>
                <w:color w:val="auto"/>
              </w:rPr>
            </w:pPr>
          </w:p>
        </w:tc>
        <w:tc>
          <w:tcPr>
            <w:tcW w:w="30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980" w:type="dxa"/>
            <w:vAlign w:val="bottom"/>
          </w:tcPr>
          <w:p>
            <w:pPr>
              <w:jc w:val="right"/>
              <w:spacing w:after="0"/>
              <w:rPr>
                <w:sz w:val="20"/>
                <w:szCs w:val="20"/>
                <w:color w:val="auto"/>
              </w:rPr>
            </w:pPr>
            <w:r>
              <w:rPr>
                <w:rFonts w:ascii="Arial" w:cs="Arial" w:eastAsia="Arial" w:hAnsi="Arial"/>
                <w:sz w:val="22"/>
                <w:szCs w:val="22"/>
                <w:color w:val="auto"/>
              </w:rPr>
              <w:t>(26,674)</w:t>
            </w:r>
          </w:p>
        </w:tc>
      </w:tr>
      <w:tr>
        <w:trPr>
          <w:trHeight w:val="270"/>
        </w:trPr>
        <w:tc>
          <w:tcPr>
            <w:tcW w:w="6800" w:type="dxa"/>
            <w:vAlign w:val="bottom"/>
          </w:tcPr>
          <w:p>
            <w:pPr>
              <w:spacing w:after="0"/>
              <w:rPr>
                <w:sz w:val="20"/>
                <w:szCs w:val="20"/>
                <w:color w:val="auto"/>
              </w:rPr>
            </w:pPr>
            <w:r>
              <w:rPr>
                <w:rFonts w:ascii="Arial" w:cs="Arial" w:eastAsia="Arial" w:hAnsi="Arial"/>
                <w:sz w:val="22"/>
                <w:szCs w:val="22"/>
                <w:color w:val="auto"/>
                <w:w w:val="90"/>
              </w:rPr>
              <w:t>Adjustments to reconcile net loss to net cash provided by operating activities:</w:t>
            </w: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0"/>
        </w:trPr>
        <w:tc>
          <w:tcPr>
            <w:tcW w:w="6800" w:type="dxa"/>
            <w:vAlign w:val="bottom"/>
          </w:tcPr>
          <w:p>
            <w:pPr>
              <w:ind w:left="120"/>
              <w:spacing w:after="0"/>
              <w:rPr>
                <w:sz w:val="20"/>
                <w:szCs w:val="20"/>
                <w:color w:val="auto"/>
              </w:rPr>
            </w:pPr>
            <w:r>
              <w:rPr>
                <w:rFonts w:ascii="Arial" w:cs="Arial" w:eastAsia="Arial" w:hAnsi="Arial"/>
                <w:sz w:val="22"/>
                <w:szCs w:val="22"/>
                <w:color w:val="auto"/>
              </w:rPr>
              <w:t>Depreciation and amortization</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22"/>
                <w:szCs w:val="22"/>
                <w:color w:val="auto"/>
              </w:rPr>
              <w:t>32,829</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22"/>
                <w:szCs w:val="22"/>
                <w:color w:val="auto"/>
              </w:rPr>
              <w:t>33,555</w:t>
            </w:r>
          </w:p>
        </w:tc>
      </w:tr>
      <w:tr>
        <w:trPr>
          <w:trHeight w:val="270"/>
        </w:trPr>
        <w:tc>
          <w:tcPr>
            <w:tcW w:w="6800" w:type="dxa"/>
            <w:vAlign w:val="bottom"/>
          </w:tcPr>
          <w:p>
            <w:pPr>
              <w:ind w:left="120"/>
              <w:spacing w:after="0"/>
              <w:rPr>
                <w:sz w:val="20"/>
                <w:szCs w:val="20"/>
                <w:color w:val="auto"/>
              </w:rPr>
            </w:pPr>
            <w:r>
              <w:rPr>
                <w:rFonts w:ascii="Arial" w:cs="Arial" w:eastAsia="Arial" w:hAnsi="Arial"/>
                <w:sz w:val="22"/>
                <w:szCs w:val="22"/>
                <w:color w:val="auto"/>
              </w:rPr>
              <w:t>Impairment charges</w:t>
            </w:r>
          </w:p>
        </w:tc>
        <w:tc>
          <w:tcPr>
            <w:tcW w:w="300" w:type="dxa"/>
            <w:vAlign w:val="bottom"/>
          </w:tcPr>
          <w:p>
            <w:pPr>
              <w:spacing w:after="0"/>
              <w:rPr>
                <w:sz w:val="23"/>
                <w:szCs w:val="23"/>
                <w:color w:val="auto"/>
              </w:rPr>
            </w:pPr>
          </w:p>
        </w:tc>
        <w:tc>
          <w:tcPr>
            <w:tcW w:w="96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22"/>
                <w:szCs w:val="22"/>
                <w:color w:val="auto"/>
              </w:rPr>
              <w:t>8,400</w:t>
            </w:r>
          </w:p>
        </w:tc>
      </w:tr>
      <w:tr>
        <w:trPr>
          <w:trHeight w:val="270"/>
        </w:trPr>
        <w:tc>
          <w:tcPr>
            <w:tcW w:w="6800" w:type="dxa"/>
            <w:vAlign w:val="bottom"/>
          </w:tcPr>
          <w:p>
            <w:pPr>
              <w:ind w:left="120"/>
              <w:spacing w:after="0"/>
              <w:rPr>
                <w:sz w:val="20"/>
                <w:szCs w:val="20"/>
                <w:color w:val="auto"/>
              </w:rPr>
            </w:pPr>
            <w:r>
              <w:rPr>
                <w:rFonts w:ascii="Arial" w:cs="Arial" w:eastAsia="Arial" w:hAnsi="Arial"/>
                <w:sz w:val="22"/>
                <w:szCs w:val="22"/>
                <w:color w:val="auto"/>
              </w:rPr>
              <w:t>Loss on extinguishment of debt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22"/>
                <w:szCs w:val="22"/>
                <w:color w:val="auto"/>
              </w:rPr>
              <w:t>842</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22"/>
                <w:szCs w:val="22"/>
                <w:color w:val="auto"/>
              </w:rPr>
              <w:t>302</w:t>
            </w:r>
          </w:p>
        </w:tc>
      </w:tr>
      <w:tr>
        <w:trPr>
          <w:trHeight w:val="270"/>
        </w:trPr>
        <w:tc>
          <w:tcPr>
            <w:tcW w:w="6800" w:type="dxa"/>
            <w:vAlign w:val="bottom"/>
          </w:tcPr>
          <w:p>
            <w:pPr>
              <w:ind w:left="120"/>
              <w:spacing w:after="0"/>
              <w:rPr>
                <w:sz w:val="20"/>
                <w:szCs w:val="20"/>
                <w:color w:val="auto"/>
              </w:rPr>
            </w:pPr>
            <w:r>
              <w:rPr>
                <w:rFonts w:ascii="Arial" w:cs="Arial" w:eastAsia="Arial" w:hAnsi="Arial"/>
                <w:sz w:val="22"/>
                <w:szCs w:val="22"/>
                <w:color w:val="auto"/>
              </w:rPr>
              <w:t>Deferred income tax benefit</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(3,120)</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(7,592)</w:t>
            </w:r>
          </w:p>
        </w:tc>
      </w:tr>
      <w:tr>
        <w:trPr>
          <w:trHeight w:val="270"/>
        </w:trPr>
        <w:tc>
          <w:tcPr>
            <w:tcW w:w="6800" w:type="dxa"/>
            <w:vAlign w:val="bottom"/>
          </w:tcPr>
          <w:p>
            <w:pPr>
              <w:ind w:left="120"/>
              <w:spacing w:after="0"/>
              <w:rPr>
                <w:sz w:val="20"/>
                <w:szCs w:val="20"/>
                <w:color w:val="auto"/>
              </w:rPr>
            </w:pPr>
            <w:r>
              <w:rPr>
                <w:rFonts w:ascii="Arial" w:cs="Arial" w:eastAsia="Arial" w:hAnsi="Arial"/>
                <w:sz w:val="22"/>
                <w:szCs w:val="22"/>
                <w:color w:val="auto"/>
              </w:rPr>
              <w:t>Non-cash compensation charge</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22"/>
                <w:szCs w:val="22"/>
                <w:color w:val="auto"/>
              </w:rPr>
              <w:t>1,867</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22"/>
                <w:szCs w:val="22"/>
                <w:color w:val="auto"/>
              </w:rPr>
              <w:t>1,115</w:t>
            </w:r>
          </w:p>
        </w:tc>
      </w:tr>
      <w:tr>
        <w:trPr>
          <w:trHeight w:val="270"/>
        </w:trPr>
        <w:tc>
          <w:tcPr>
            <w:tcW w:w="6800" w:type="dxa"/>
            <w:vAlign w:val="bottom"/>
          </w:tcPr>
          <w:p>
            <w:pPr>
              <w:ind w:left="120"/>
              <w:spacing w:after="0"/>
              <w:rPr>
                <w:sz w:val="20"/>
                <w:szCs w:val="20"/>
                <w:color w:val="auto"/>
              </w:rPr>
            </w:pPr>
            <w:r>
              <w:rPr>
                <w:rFonts w:ascii="Arial" w:cs="Arial" w:eastAsia="Arial" w:hAnsi="Arial"/>
                <w:sz w:val="22"/>
                <w:szCs w:val="22"/>
                <w:color w:val="auto"/>
              </w:rPr>
              <w:t>Losses (gains) on disposals of assets</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(416)</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270"/>
        </w:trPr>
        <w:tc>
          <w:tcPr>
            <w:tcW w:w="6800" w:type="dxa"/>
            <w:vAlign w:val="bottom"/>
          </w:tcPr>
          <w:p>
            <w:pPr>
              <w:ind w:left="120"/>
              <w:spacing w:after="0"/>
              <w:rPr>
                <w:sz w:val="20"/>
                <w:szCs w:val="20"/>
                <w:color w:val="auto"/>
              </w:rPr>
            </w:pPr>
            <w:r>
              <w:rPr>
                <w:rFonts w:ascii="Arial" w:cs="Arial" w:eastAsia="Arial" w:hAnsi="Arial"/>
                <w:sz w:val="22"/>
                <w:szCs w:val="22"/>
                <w:color w:val="auto"/>
              </w:rPr>
              <w:t>Provision (benefit) for loss on receivables, net of recoveries</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(60)</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(135)</w:t>
            </w:r>
          </w:p>
        </w:tc>
      </w:tr>
      <w:tr>
        <w:trPr>
          <w:trHeight w:val="275"/>
        </w:trPr>
        <w:tc>
          <w:tcPr>
            <w:tcW w:w="6800" w:type="dxa"/>
            <w:vAlign w:val="bottom"/>
          </w:tcPr>
          <w:p>
            <w:pPr>
              <w:ind w:left="120"/>
              <w:spacing w:after="0"/>
              <w:rPr>
                <w:sz w:val="20"/>
                <w:szCs w:val="20"/>
                <w:color w:val="auto"/>
              </w:rPr>
            </w:pPr>
            <w:r>
              <w:rPr>
                <w:rFonts w:ascii="Arial" w:cs="Arial" w:eastAsia="Arial" w:hAnsi="Arial"/>
                <w:sz w:val="22"/>
                <w:szCs w:val="22"/>
                <w:color w:val="auto"/>
              </w:rPr>
              <w:t>Other, net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22"/>
                <w:szCs w:val="22"/>
                <w:color w:val="auto"/>
              </w:rPr>
              <w:t>795</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22"/>
                <w:szCs w:val="22"/>
                <w:color w:val="auto"/>
              </w:rPr>
              <w:t>1,082</w:t>
            </w:r>
          </w:p>
        </w:tc>
      </w:tr>
    </w:tbl>
    <w:p>
      <w:pPr>
        <w:sectPr>
          <w:pgSz w:w="11900" w:h="16853" w:orient="portrait"/>
          <w:cols w:equalWidth="0" w:num="1">
            <w:col w:w="10199"/>
          </w:cols>
          <w:pgMar w:left="260" w:top="111" w:right="1440" w:bottom="0" w:gutter="0" w:footer="0" w:header="0"/>
        </w:sectPr>
      </w:pPr>
    </w:p>
    <w:bookmarkStart w:id="8" w:name="page9"/>
    <w:bookmarkEnd w:id="8"/>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3860" w:type="dxa"/>
            <w:vAlign w:val="bottom"/>
            <w:gridSpan w:val="2"/>
          </w:tcPr>
          <w:p>
            <w:pPr>
              <w:ind w:left="120"/>
              <w:spacing w:after="0"/>
              <w:rPr>
                <w:sz w:val="20"/>
                <w:szCs w:val="20"/>
                <w:color w:val="auto"/>
              </w:rPr>
            </w:pPr>
            <w:r>
              <w:rPr>
                <w:rFonts w:ascii="Arial" w:cs="Arial" w:eastAsia="Arial" w:hAnsi="Arial"/>
                <w:sz w:val="22"/>
                <w:szCs w:val="22"/>
                <w:color w:val="auto"/>
                <w:w w:val="89"/>
              </w:rPr>
              <w:t>Changes in operating assets and liabilities:</w:t>
            </w: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40" w:type="dxa"/>
            <w:vAlign w:val="bottom"/>
          </w:tcPr>
          <w:p>
            <w:pPr>
              <w:ind w:left="260"/>
              <w:spacing w:after="0"/>
              <w:rPr>
                <w:sz w:val="20"/>
                <w:szCs w:val="20"/>
                <w:color w:val="auto"/>
              </w:rPr>
            </w:pPr>
            <w:r>
              <w:rPr>
                <w:rFonts w:ascii="Arial" w:cs="Arial" w:eastAsia="Arial" w:hAnsi="Arial"/>
                <w:sz w:val="22"/>
                <w:szCs w:val="22"/>
                <w:color w:val="auto"/>
              </w:rPr>
              <w:t>Accounts receivable</w:t>
            </w:r>
          </w:p>
        </w:tc>
        <w:tc>
          <w:tcPr>
            <w:tcW w:w="6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22"/>
                <w:szCs w:val="22"/>
                <w:color w:val="auto"/>
              </w:rPr>
              <w:t>3,258</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22"/>
                <w:szCs w:val="22"/>
                <w:color w:val="auto"/>
              </w:rPr>
              <w:t>4,353</w:t>
            </w:r>
          </w:p>
        </w:tc>
        <w:tc>
          <w:tcPr>
            <w:tcW w:w="0" w:type="dxa"/>
            <w:vAlign w:val="bottom"/>
          </w:tcPr>
          <w:p>
            <w:pPr>
              <w:spacing w:after="0"/>
              <w:rPr>
                <w:sz w:val="1"/>
                <w:szCs w:val="1"/>
                <w:color w:val="auto"/>
              </w:rPr>
            </w:pPr>
          </w:p>
        </w:tc>
      </w:tr>
      <w:tr>
        <w:trPr>
          <w:trHeight w:val="270"/>
        </w:trPr>
        <w:tc>
          <w:tcPr>
            <w:tcW w:w="3240" w:type="dxa"/>
            <w:vAlign w:val="bottom"/>
          </w:tcPr>
          <w:p>
            <w:pPr>
              <w:ind w:left="260"/>
              <w:spacing w:after="0"/>
              <w:rPr>
                <w:sz w:val="20"/>
                <w:szCs w:val="20"/>
                <w:color w:val="auto"/>
              </w:rPr>
            </w:pPr>
            <w:r>
              <w:rPr>
                <w:rFonts w:ascii="Arial" w:cs="Arial" w:eastAsia="Arial" w:hAnsi="Arial"/>
                <w:sz w:val="22"/>
                <w:szCs w:val="22"/>
                <w:color w:val="auto"/>
              </w:rPr>
              <w:t>Inventories</w:t>
            </w:r>
          </w:p>
        </w:tc>
        <w:tc>
          <w:tcPr>
            <w:tcW w:w="6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(440)</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22"/>
                <w:szCs w:val="22"/>
                <w:color w:val="auto"/>
              </w:rPr>
              <w:t>792</w:t>
            </w:r>
          </w:p>
        </w:tc>
        <w:tc>
          <w:tcPr>
            <w:tcW w:w="0" w:type="dxa"/>
            <w:vAlign w:val="bottom"/>
          </w:tcPr>
          <w:p>
            <w:pPr>
              <w:spacing w:after="0"/>
              <w:rPr>
                <w:sz w:val="1"/>
                <w:szCs w:val="1"/>
                <w:color w:val="auto"/>
              </w:rPr>
            </w:pPr>
          </w:p>
        </w:tc>
      </w:tr>
      <w:tr>
        <w:trPr>
          <w:trHeight w:val="270"/>
        </w:trPr>
        <w:tc>
          <w:tcPr>
            <w:tcW w:w="3860" w:type="dxa"/>
            <w:vAlign w:val="bottom"/>
            <w:gridSpan w:val="2"/>
          </w:tcPr>
          <w:p>
            <w:pPr>
              <w:ind w:left="260"/>
              <w:spacing w:after="0"/>
              <w:rPr>
                <w:sz w:val="20"/>
                <w:szCs w:val="20"/>
                <w:color w:val="auto"/>
              </w:rPr>
            </w:pPr>
            <w:r>
              <w:rPr>
                <w:rFonts w:ascii="Arial" w:cs="Arial" w:eastAsia="Arial" w:hAnsi="Arial"/>
                <w:sz w:val="22"/>
                <w:szCs w:val="22"/>
                <w:color w:val="auto"/>
                <w:w w:val="91"/>
              </w:rPr>
              <w:t>Accounts payable and accrued liabilities</w:t>
            </w: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(4,521)</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(250)</w:t>
            </w:r>
          </w:p>
        </w:tc>
        <w:tc>
          <w:tcPr>
            <w:tcW w:w="0" w:type="dxa"/>
            <w:vAlign w:val="bottom"/>
          </w:tcPr>
          <w:p>
            <w:pPr>
              <w:spacing w:after="0"/>
              <w:rPr>
                <w:sz w:val="1"/>
                <w:szCs w:val="1"/>
                <w:color w:val="auto"/>
              </w:rPr>
            </w:pPr>
          </w:p>
        </w:tc>
      </w:tr>
      <w:tr>
        <w:trPr>
          <w:trHeight w:val="270"/>
        </w:trPr>
        <w:tc>
          <w:tcPr>
            <w:tcW w:w="3240" w:type="dxa"/>
            <w:vAlign w:val="bottom"/>
          </w:tcPr>
          <w:p>
            <w:pPr>
              <w:ind w:left="260"/>
              <w:spacing w:after="0"/>
              <w:rPr>
                <w:sz w:val="20"/>
                <w:szCs w:val="20"/>
                <w:color w:val="auto"/>
              </w:rPr>
            </w:pPr>
            <w:r>
              <w:rPr>
                <w:rFonts w:ascii="Arial" w:cs="Arial" w:eastAsia="Arial" w:hAnsi="Arial"/>
                <w:sz w:val="22"/>
                <w:szCs w:val="22"/>
                <w:color w:val="auto"/>
              </w:rPr>
              <w:t>Taxes payable</w:t>
            </w:r>
          </w:p>
        </w:tc>
        <w:tc>
          <w:tcPr>
            <w:tcW w:w="6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22"/>
                <w:szCs w:val="22"/>
                <w:color w:val="auto"/>
              </w:rPr>
              <w:t>320</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(2,395)</w:t>
            </w:r>
          </w:p>
        </w:tc>
        <w:tc>
          <w:tcPr>
            <w:tcW w:w="0" w:type="dxa"/>
            <w:vAlign w:val="bottom"/>
          </w:tcPr>
          <w:p>
            <w:pPr>
              <w:spacing w:after="0"/>
              <w:rPr>
                <w:sz w:val="1"/>
                <w:szCs w:val="1"/>
                <w:color w:val="auto"/>
              </w:rPr>
            </w:pPr>
          </w:p>
        </w:tc>
      </w:tr>
      <w:tr>
        <w:trPr>
          <w:trHeight w:val="275"/>
        </w:trPr>
        <w:tc>
          <w:tcPr>
            <w:tcW w:w="3860" w:type="dxa"/>
            <w:vAlign w:val="bottom"/>
            <w:gridSpan w:val="2"/>
          </w:tcPr>
          <w:p>
            <w:pPr>
              <w:ind w:left="260"/>
              <w:spacing w:after="0"/>
              <w:rPr>
                <w:sz w:val="20"/>
                <w:szCs w:val="20"/>
                <w:color w:val="auto"/>
              </w:rPr>
            </w:pPr>
            <w:r>
              <w:rPr>
                <w:rFonts w:ascii="Arial" w:cs="Arial" w:eastAsia="Arial" w:hAnsi="Arial"/>
                <w:sz w:val="22"/>
                <w:szCs w:val="22"/>
                <w:color w:val="auto"/>
                <w:w w:val="95"/>
              </w:rPr>
              <w:t>Other current assets and liabilities, net</w:t>
            </w: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(640)</w:t>
            </w:r>
          </w:p>
        </w:tc>
        <w:tc>
          <w:tcPr>
            <w:tcW w:w="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(1,184)</w:t>
            </w:r>
          </w:p>
        </w:tc>
        <w:tc>
          <w:tcPr>
            <w:tcW w:w="0" w:type="dxa"/>
            <w:vAlign w:val="bottom"/>
          </w:tcPr>
          <w:p>
            <w:pPr>
              <w:spacing w:after="0"/>
              <w:rPr>
                <w:sz w:val="1"/>
                <w:szCs w:val="1"/>
                <w:color w:val="auto"/>
              </w:rPr>
            </w:pPr>
          </w:p>
        </w:tc>
      </w:tr>
      <w:tr>
        <w:trPr>
          <w:trHeight w:val="272"/>
        </w:trPr>
        <w:tc>
          <w:tcPr>
            <w:tcW w:w="4720" w:type="dxa"/>
            <w:vAlign w:val="bottom"/>
            <w:gridSpan w:val="4"/>
          </w:tcPr>
          <w:p>
            <w:pPr>
              <w:ind w:left="400"/>
              <w:spacing w:after="0"/>
              <w:rPr>
                <w:sz w:val="20"/>
                <w:szCs w:val="20"/>
                <w:color w:val="auto"/>
              </w:rPr>
            </w:pPr>
            <w:r>
              <w:rPr>
                <w:rFonts w:ascii="Arial" w:cs="Arial" w:eastAsia="Arial" w:hAnsi="Arial"/>
                <w:sz w:val="22"/>
                <w:szCs w:val="22"/>
                <w:color w:val="auto"/>
                <w:w w:val="95"/>
              </w:rPr>
              <w:t>Net cash flows provided by operating activities</w:t>
            </w: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22"/>
                <w:szCs w:val="22"/>
                <w:color w:val="auto"/>
              </w:rPr>
              <w:t>9,848</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22"/>
                <w:szCs w:val="22"/>
                <w:color w:val="auto"/>
              </w:rPr>
              <w:t>11,330</w:t>
            </w:r>
          </w:p>
        </w:tc>
        <w:tc>
          <w:tcPr>
            <w:tcW w:w="0" w:type="dxa"/>
            <w:vAlign w:val="bottom"/>
          </w:tcPr>
          <w:p>
            <w:pPr>
              <w:spacing w:after="0"/>
              <w:rPr>
                <w:sz w:val="1"/>
                <w:szCs w:val="1"/>
                <w:color w:val="auto"/>
              </w:rPr>
            </w:pPr>
          </w:p>
        </w:tc>
      </w:tr>
      <w:tr>
        <w:trPr>
          <w:trHeight w:val="528"/>
        </w:trPr>
        <w:tc>
          <w:tcPr>
            <w:tcW w:w="3240" w:type="dxa"/>
            <w:vAlign w:val="bottom"/>
          </w:tcPr>
          <w:p>
            <w:pPr>
              <w:spacing w:after="0"/>
              <w:rPr>
                <w:sz w:val="20"/>
                <w:szCs w:val="20"/>
                <w:color w:val="auto"/>
              </w:rPr>
            </w:pPr>
            <w:r>
              <w:rPr>
                <w:rFonts w:ascii="Arial" w:cs="Arial" w:eastAsia="Arial" w:hAnsi="Arial"/>
                <w:sz w:val="22"/>
                <w:szCs w:val="22"/>
                <w:color w:val="auto"/>
                <w:w w:val="92"/>
              </w:rPr>
              <w:t>Cash flows from investing activities:</w:t>
            </w: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20" w:type="dxa"/>
            <w:vAlign w:val="bottom"/>
            <w:gridSpan w:val="4"/>
          </w:tcPr>
          <w:p>
            <w:pPr>
              <w:ind w:left="120"/>
              <w:spacing w:after="0"/>
              <w:rPr>
                <w:sz w:val="20"/>
                <w:szCs w:val="20"/>
                <w:color w:val="auto"/>
              </w:rPr>
            </w:pPr>
            <w:r>
              <w:rPr>
                <w:rFonts w:ascii="Arial" w:cs="Arial" w:eastAsia="Arial" w:hAnsi="Arial"/>
                <w:sz w:val="22"/>
                <w:szCs w:val="22"/>
                <w:color w:val="auto"/>
                <w:w w:val="93"/>
              </w:rPr>
              <w:t>Capital expenditures, including capitalized interest</w:t>
            </w: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(3,883)</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(4,761)</w:t>
            </w:r>
          </w:p>
        </w:tc>
        <w:tc>
          <w:tcPr>
            <w:tcW w:w="0" w:type="dxa"/>
            <w:vAlign w:val="bottom"/>
          </w:tcPr>
          <w:p>
            <w:pPr>
              <w:spacing w:after="0"/>
              <w:rPr>
                <w:sz w:val="1"/>
                <w:szCs w:val="1"/>
                <w:color w:val="auto"/>
              </w:rPr>
            </w:pPr>
          </w:p>
        </w:tc>
      </w:tr>
      <w:tr>
        <w:trPr>
          <w:trHeight w:val="270"/>
        </w:trPr>
        <w:tc>
          <w:tcPr>
            <w:tcW w:w="7120" w:type="dxa"/>
            <w:vAlign w:val="bottom"/>
            <w:gridSpan w:val="8"/>
          </w:tcPr>
          <w:p>
            <w:pPr>
              <w:ind w:left="120"/>
              <w:spacing w:after="0"/>
              <w:rPr>
                <w:sz w:val="20"/>
                <w:szCs w:val="20"/>
                <w:color w:val="auto"/>
              </w:rPr>
            </w:pPr>
            <w:r>
              <w:rPr>
                <w:rFonts w:ascii="Arial" w:cs="Arial" w:eastAsia="Arial" w:hAnsi="Arial"/>
                <w:sz w:val="22"/>
                <w:szCs w:val="22"/>
                <w:color w:val="auto"/>
              </w:rPr>
              <w:t>Proceeds from disposition of property, plant and equipment</w:t>
            </w:r>
          </w:p>
        </w:tc>
        <w:tc>
          <w:tcPr>
            <w:tcW w:w="940" w:type="dxa"/>
            <w:vAlign w:val="bottom"/>
          </w:tcPr>
          <w:p>
            <w:pPr>
              <w:jc w:val="right"/>
              <w:ind w:right="12"/>
              <w:spacing w:after="0"/>
              <w:rPr>
                <w:sz w:val="20"/>
                <w:szCs w:val="20"/>
                <w:color w:val="auto"/>
              </w:rPr>
            </w:pPr>
            <w:r>
              <w:rPr>
                <w:rFonts w:ascii="Arial" w:cs="Arial" w:eastAsia="Arial" w:hAnsi="Arial"/>
                <w:sz w:val="22"/>
                <w:szCs w:val="22"/>
                <w:color w:val="auto"/>
              </w:rPr>
              <w:t>578</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22"/>
                <w:szCs w:val="22"/>
                <w:color w:val="auto"/>
              </w:rPr>
              <w:t>1,599</w:t>
            </w:r>
          </w:p>
        </w:tc>
        <w:tc>
          <w:tcPr>
            <w:tcW w:w="0" w:type="dxa"/>
            <w:vAlign w:val="bottom"/>
          </w:tcPr>
          <w:p>
            <w:pPr>
              <w:spacing w:after="0"/>
              <w:rPr>
                <w:sz w:val="1"/>
                <w:szCs w:val="1"/>
                <w:color w:val="auto"/>
              </w:rPr>
            </w:pPr>
          </w:p>
        </w:tc>
      </w:tr>
      <w:tr>
        <w:trPr>
          <w:trHeight w:val="275"/>
        </w:trPr>
        <w:tc>
          <w:tcPr>
            <w:tcW w:w="3240" w:type="dxa"/>
            <w:vAlign w:val="bottom"/>
          </w:tcPr>
          <w:p>
            <w:pPr>
              <w:ind w:left="120"/>
              <w:spacing w:after="0"/>
              <w:rPr>
                <w:sz w:val="20"/>
                <w:szCs w:val="20"/>
                <w:color w:val="auto"/>
              </w:rPr>
            </w:pPr>
            <w:r>
              <w:rPr>
                <w:rFonts w:ascii="Arial" w:cs="Arial" w:eastAsia="Arial" w:hAnsi="Arial"/>
                <w:sz w:val="22"/>
                <w:szCs w:val="22"/>
                <w:color w:val="auto"/>
              </w:rPr>
              <w:t>Other, net</w:t>
            </w:r>
          </w:p>
        </w:tc>
        <w:tc>
          <w:tcPr>
            <w:tcW w:w="6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(302)</w:t>
            </w:r>
          </w:p>
        </w:tc>
        <w:tc>
          <w:tcPr>
            <w:tcW w:w="0" w:type="dxa"/>
            <w:vAlign w:val="bottom"/>
          </w:tcPr>
          <w:p>
            <w:pPr>
              <w:spacing w:after="0"/>
              <w:rPr>
                <w:sz w:val="1"/>
                <w:szCs w:val="1"/>
                <w:color w:val="auto"/>
              </w:rPr>
            </w:pPr>
          </w:p>
        </w:tc>
      </w:tr>
      <w:tr>
        <w:trPr>
          <w:trHeight w:val="272"/>
        </w:trPr>
        <w:tc>
          <w:tcPr>
            <w:tcW w:w="4720" w:type="dxa"/>
            <w:vAlign w:val="bottom"/>
            <w:gridSpan w:val="4"/>
          </w:tcPr>
          <w:p>
            <w:pPr>
              <w:ind w:left="400"/>
              <w:spacing w:after="0"/>
              <w:rPr>
                <w:sz w:val="20"/>
                <w:szCs w:val="20"/>
                <w:color w:val="auto"/>
              </w:rPr>
            </w:pPr>
            <w:r>
              <w:rPr>
                <w:rFonts w:ascii="Arial" w:cs="Arial" w:eastAsia="Arial" w:hAnsi="Arial"/>
                <w:sz w:val="22"/>
                <w:szCs w:val="22"/>
                <w:color w:val="auto"/>
              </w:rPr>
              <w:t>Net cash flows used in investing activities</w:t>
            </w: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(3,305)</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(3,464)</w:t>
            </w:r>
          </w:p>
        </w:tc>
        <w:tc>
          <w:tcPr>
            <w:tcW w:w="0" w:type="dxa"/>
            <w:vAlign w:val="bottom"/>
          </w:tcPr>
          <w:p>
            <w:pPr>
              <w:spacing w:after="0"/>
              <w:rPr>
                <w:sz w:val="1"/>
                <w:szCs w:val="1"/>
                <w:color w:val="auto"/>
              </w:rPr>
            </w:pPr>
          </w:p>
        </w:tc>
      </w:tr>
      <w:tr>
        <w:trPr>
          <w:trHeight w:val="528"/>
        </w:trPr>
        <w:tc>
          <w:tcPr>
            <w:tcW w:w="3240" w:type="dxa"/>
            <w:vAlign w:val="bottom"/>
          </w:tcPr>
          <w:p>
            <w:pPr>
              <w:spacing w:after="0"/>
              <w:rPr>
                <w:sz w:val="20"/>
                <w:szCs w:val="20"/>
                <w:color w:val="auto"/>
              </w:rPr>
            </w:pPr>
            <w:r>
              <w:rPr>
                <w:rFonts w:ascii="Arial" w:cs="Arial" w:eastAsia="Arial" w:hAnsi="Arial"/>
                <w:sz w:val="22"/>
                <w:szCs w:val="22"/>
                <w:color w:val="auto"/>
                <w:w w:val="92"/>
              </w:rPr>
              <w:t>Cash flows from financing activities:</w:t>
            </w: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60" w:type="dxa"/>
            <w:vAlign w:val="bottom"/>
            <w:gridSpan w:val="2"/>
          </w:tcPr>
          <w:p>
            <w:pPr>
              <w:ind w:left="120"/>
              <w:spacing w:after="0"/>
              <w:rPr>
                <w:sz w:val="20"/>
                <w:szCs w:val="20"/>
                <w:color w:val="auto"/>
              </w:rPr>
            </w:pPr>
            <w:r>
              <w:rPr>
                <w:rFonts w:ascii="Arial" w:cs="Arial" w:eastAsia="Arial" w:hAnsi="Arial"/>
                <w:sz w:val="22"/>
                <w:szCs w:val="22"/>
                <w:color w:val="auto"/>
                <w:w w:val="91"/>
              </w:rPr>
              <w:t>Proceeds from issuance of common stock</w:t>
            </w: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22"/>
                <w:szCs w:val="22"/>
                <w:color w:val="auto"/>
              </w:rPr>
              <w:t>64,847</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3240" w:type="dxa"/>
            <w:vAlign w:val="bottom"/>
          </w:tcPr>
          <w:p>
            <w:pPr>
              <w:ind w:left="120"/>
              <w:spacing w:after="0"/>
              <w:rPr>
                <w:sz w:val="20"/>
                <w:szCs w:val="20"/>
                <w:color w:val="auto"/>
              </w:rPr>
            </w:pPr>
            <w:r>
              <w:rPr>
                <w:rFonts w:ascii="Arial" w:cs="Arial" w:eastAsia="Arial" w:hAnsi="Arial"/>
                <w:sz w:val="22"/>
                <w:szCs w:val="22"/>
                <w:color w:val="auto"/>
              </w:rPr>
              <w:t>Term loan repayments</w:t>
            </w:r>
          </w:p>
        </w:tc>
        <w:tc>
          <w:tcPr>
            <w:tcW w:w="6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(3,947)</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(29,055)</w:t>
            </w:r>
          </w:p>
        </w:tc>
        <w:tc>
          <w:tcPr>
            <w:tcW w:w="0" w:type="dxa"/>
            <w:vAlign w:val="bottom"/>
          </w:tcPr>
          <w:p>
            <w:pPr>
              <w:spacing w:after="0"/>
              <w:rPr>
                <w:sz w:val="1"/>
                <w:szCs w:val="1"/>
                <w:color w:val="auto"/>
              </w:rPr>
            </w:pPr>
          </w:p>
        </w:tc>
      </w:tr>
      <w:tr>
        <w:trPr>
          <w:trHeight w:val="270"/>
        </w:trPr>
        <w:tc>
          <w:tcPr>
            <w:tcW w:w="4720" w:type="dxa"/>
            <w:vAlign w:val="bottom"/>
            <w:gridSpan w:val="4"/>
          </w:tcPr>
          <w:p>
            <w:pPr>
              <w:ind w:left="120"/>
              <w:spacing w:after="0"/>
              <w:rPr>
                <w:sz w:val="20"/>
                <w:szCs w:val="20"/>
                <w:color w:val="auto"/>
              </w:rPr>
            </w:pPr>
            <w:r>
              <w:rPr>
                <w:rFonts w:ascii="Arial" w:cs="Arial" w:eastAsia="Arial" w:hAnsi="Arial"/>
                <w:sz w:val="22"/>
                <w:szCs w:val="22"/>
                <w:color w:val="auto"/>
              </w:rPr>
              <w:t>Revolving credit borrowings (repayments), net</w:t>
            </w: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(39,964)</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22"/>
                <w:szCs w:val="22"/>
                <w:color w:val="auto"/>
              </w:rPr>
              <w:t>18,085</w:t>
            </w:r>
          </w:p>
        </w:tc>
        <w:tc>
          <w:tcPr>
            <w:tcW w:w="0" w:type="dxa"/>
            <w:vAlign w:val="bottom"/>
          </w:tcPr>
          <w:p>
            <w:pPr>
              <w:spacing w:after="0"/>
              <w:rPr>
                <w:sz w:val="1"/>
                <w:szCs w:val="1"/>
                <w:color w:val="auto"/>
              </w:rPr>
            </w:pPr>
          </w:p>
        </w:tc>
      </w:tr>
      <w:tr>
        <w:trPr>
          <w:trHeight w:val="270"/>
        </w:trPr>
        <w:tc>
          <w:tcPr>
            <w:tcW w:w="3240" w:type="dxa"/>
            <w:vAlign w:val="bottom"/>
          </w:tcPr>
          <w:p>
            <w:pPr>
              <w:ind w:left="120"/>
              <w:spacing w:after="0"/>
              <w:rPr>
                <w:sz w:val="20"/>
                <w:szCs w:val="20"/>
                <w:color w:val="auto"/>
              </w:rPr>
            </w:pPr>
            <w:r>
              <w:rPr>
                <w:rFonts w:ascii="Arial" w:cs="Arial" w:eastAsia="Arial" w:hAnsi="Arial"/>
                <w:sz w:val="22"/>
                <w:szCs w:val="22"/>
                <w:color w:val="auto"/>
              </w:rPr>
              <w:t>Debt issuance costs</w:t>
            </w:r>
          </w:p>
        </w:tc>
        <w:tc>
          <w:tcPr>
            <w:tcW w:w="6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(1,772)</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(2,035)</w:t>
            </w:r>
          </w:p>
        </w:tc>
        <w:tc>
          <w:tcPr>
            <w:tcW w:w="0" w:type="dxa"/>
            <w:vAlign w:val="bottom"/>
          </w:tcPr>
          <w:p>
            <w:pPr>
              <w:spacing w:after="0"/>
              <w:rPr>
                <w:sz w:val="1"/>
                <w:szCs w:val="1"/>
                <w:color w:val="auto"/>
              </w:rPr>
            </w:pPr>
          </w:p>
        </w:tc>
      </w:tr>
      <w:tr>
        <w:trPr>
          <w:trHeight w:val="276"/>
        </w:trPr>
        <w:tc>
          <w:tcPr>
            <w:tcW w:w="3240" w:type="dxa"/>
            <w:vAlign w:val="bottom"/>
          </w:tcPr>
          <w:p>
            <w:pPr>
              <w:ind w:left="120"/>
              <w:spacing w:after="0"/>
              <w:rPr>
                <w:sz w:val="20"/>
                <w:szCs w:val="20"/>
                <w:color w:val="auto"/>
              </w:rPr>
            </w:pPr>
            <w:r>
              <w:rPr>
                <w:rFonts w:ascii="Arial" w:cs="Arial" w:eastAsia="Arial" w:hAnsi="Arial"/>
                <w:sz w:val="22"/>
                <w:szCs w:val="22"/>
                <w:color w:val="auto"/>
              </w:rPr>
              <w:t>Other</w:t>
            </w: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(279)</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(52)</w:t>
            </w:r>
          </w:p>
        </w:tc>
        <w:tc>
          <w:tcPr>
            <w:tcW w:w="0" w:type="dxa"/>
            <w:vAlign w:val="bottom"/>
          </w:tcPr>
          <w:p>
            <w:pPr>
              <w:spacing w:after="0"/>
              <w:rPr>
                <w:sz w:val="1"/>
                <w:szCs w:val="1"/>
                <w:color w:val="auto"/>
              </w:rPr>
            </w:pPr>
          </w:p>
        </w:tc>
      </w:tr>
      <w:tr>
        <w:trPr>
          <w:trHeight w:val="270"/>
        </w:trPr>
        <w:tc>
          <w:tcPr>
            <w:tcW w:w="6800" w:type="dxa"/>
            <w:vAlign w:val="bottom"/>
            <w:gridSpan w:val="7"/>
          </w:tcPr>
          <w:p>
            <w:pPr>
              <w:ind w:left="400"/>
              <w:spacing w:after="0"/>
              <w:rPr>
                <w:sz w:val="20"/>
                <w:szCs w:val="20"/>
                <w:color w:val="auto"/>
              </w:rPr>
            </w:pPr>
            <w:r>
              <w:rPr>
                <w:rFonts w:ascii="Arial" w:cs="Arial" w:eastAsia="Arial" w:hAnsi="Arial"/>
                <w:sz w:val="22"/>
                <w:szCs w:val="22"/>
                <w:color w:val="auto"/>
              </w:rPr>
              <w:t>Net cash flows provided by (used in) financing activities</w:t>
            </w:r>
          </w:p>
        </w:tc>
        <w:tc>
          <w:tcPr>
            <w:tcW w:w="32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22"/>
                <w:szCs w:val="22"/>
                <w:color w:val="auto"/>
              </w:rPr>
              <w:t>18,885</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(13,057)</w:t>
            </w:r>
          </w:p>
        </w:tc>
        <w:tc>
          <w:tcPr>
            <w:tcW w:w="0" w:type="dxa"/>
            <w:vAlign w:val="bottom"/>
          </w:tcPr>
          <w:p>
            <w:pPr>
              <w:spacing w:after="0"/>
              <w:rPr>
                <w:sz w:val="1"/>
                <w:szCs w:val="1"/>
                <w:color w:val="auto"/>
              </w:rPr>
            </w:pPr>
          </w:p>
        </w:tc>
      </w:tr>
      <w:tr>
        <w:trPr>
          <w:trHeight w:val="532"/>
        </w:trPr>
        <w:tc>
          <w:tcPr>
            <w:tcW w:w="3860" w:type="dxa"/>
            <w:vAlign w:val="bottom"/>
            <w:gridSpan w:val="2"/>
          </w:tcPr>
          <w:p>
            <w:pPr>
              <w:spacing w:after="0"/>
              <w:rPr>
                <w:sz w:val="20"/>
                <w:szCs w:val="20"/>
                <w:color w:val="auto"/>
              </w:rPr>
            </w:pPr>
            <w:r>
              <w:rPr>
                <w:rFonts w:ascii="Arial" w:cs="Arial" w:eastAsia="Arial" w:hAnsi="Arial"/>
                <w:sz w:val="22"/>
                <w:szCs w:val="22"/>
                <w:color w:val="auto"/>
                <w:w w:val="96"/>
              </w:rPr>
              <w:t>Effect of exchange rate changes on cash</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(77)</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322</w:t>
            </w:r>
          </w:p>
        </w:tc>
        <w:tc>
          <w:tcPr>
            <w:tcW w:w="0" w:type="dxa"/>
            <w:vAlign w:val="bottom"/>
          </w:tcPr>
          <w:p>
            <w:pPr>
              <w:spacing w:after="0"/>
              <w:rPr>
                <w:sz w:val="1"/>
                <w:szCs w:val="1"/>
                <w:color w:val="auto"/>
              </w:rPr>
            </w:pPr>
          </w:p>
        </w:tc>
      </w:tr>
      <w:tr>
        <w:trPr>
          <w:trHeight w:val="272"/>
        </w:trPr>
        <w:tc>
          <w:tcPr>
            <w:tcW w:w="3860" w:type="dxa"/>
            <w:vAlign w:val="bottom"/>
            <w:gridSpan w:val="2"/>
          </w:tcPr>
          <w:p>
            <w:pPr>
              <w:spacing w:after="0"/>
              <w:rPr>
                <w:sz w:val="20"/>
                <w:szCs w:val="20"/>
                <w:color w:val="auto"/>
              </w:rPr>
            </w:pPr>
            <w:r>
              <w:rPr>
                <w:rFonts w:ascii="Arial" w:cs="Arial" w:eastAsia="Arial" w:hAnsi="Arial"/>
                <w:sz w:val="22"/>
                <w:szCs w:val="22"/>
                <w:color w:val="auto"/>
                <w:w w:val="95"/>
              </w:rPr>
              <w:t>Net change in cash and cash equivalents</w:t>
            </w: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22"/>
                <w:szCs w:val="22"/>
                <w:color w:val="auto"/>
              </w:rPr>
              <w:t>25,351</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(4,869)</w:t>
            </w:r>
          </w:p>
        </w:tc>
        <w:tc>
          <w:tcPr>
            <w:tcW w:w="0" w:type="dxa"/>
            <w:vAlign w:val="bottom"/>
          </w:tcPr>
          <w:p>
            <w:pPr>
              <w:spacing w:after="0"/>
              <w:rPr>
                <w:sz w:val="1"/>
                <w:szCs w:val="1"/>
                <w:color w:val="auto"/>
              </w:rPr>
            </w:pPr>
          </w:p>
        </w:tc>
      </w:tr>
      <w:tr>
        <w:trPr>
          <w:trHeight w:val="532"/>
        </w:trPr>
        <w:tc>
          <w:tcPr>
            <w:tcW w:w="4720" w:type="dxa"/>
            <w:vAlign w:val="bottom"/>
            <w:gridSpan w:val="4"/>
          </w:tcPr>
          <w:p>
            <w:pPr>
              <w:spacing w:after="0"/>
              <w:rPr>
                <w:sz w:val="20"/>
                <w:szCs w:val="20"/>
                <w:color w:val="auto"/>
              </w:rPr>
            </w:pPr>
            <w:r>
              <w:rPr>
                <w:rFonts w:ascii="Arial" w:cs="Arial" w:eastAsia="Arial" w:hAnsi="Arial"/>
                <w:sz w:val="22"/>
                <w:szCs w:val="22"/>
                <w:color w:val="auto"/>
              </w:rPr>
              <w:t>Cash and cash equivalents, beginning of period</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Arial" w:cs="Arial" w:eastAsia="Arial" w:hAnsi="Arial"/>
                <w:sz w:val="22"/>
                <w:szCs w:val="22"/>
                <w:color w:val="auto"/>
              </w:rPr>
              <w:t>1,785</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ind w:right="12"/>
              <w:spacing w:after="0"/>
              <w:rPr>
                <w:sz w:val="20"/>
                <w:szCs w:val="20"/>
                <w:color w:val="auto"/>
              </w:rPr>
            </w:pPr>
            <w:r>
              <w:rPr>
                <w:rFonts w:ascii="Arial" w:cs="Arial" w:eastAsia="Arial" w:hAnsi="Arial"/>
                <w:sz w:val="22"/>
                <w:szCs w:val="22"/>
                <w:color w:val="auto"/>
              </w:rPr>
              <w:t>7,837</w:t>
            </w:r>
          </w:p>
        </w:tc>
        <w:tc>
          <w:tcPr>
            <w:tcW w:w="0" w:type="dxa"/>
            <w:vAlign w:val="bottom"/>
          </w:tcPr>
          <w:p>
            <w:pPr>
              <w:spacing w:after="0"/>
              <w:rPr>
                <w:sz w:val="1"/>
                <w:szCs w:val="1"/>
                <w:color w:val="auto"/>
              </w:rPr>
            </w:pPr>
          </w:p>
        </w:tc>
      </w:tr>
      <w:tr>
        <w:trPr>
          <w:trHeight w:val="274"/>
        </w:trPr>
        <w:tc>
          <w:tcPr>
            <w:tcW w:w="3860" w:type="dxa"/>
            <w:vAlign w:val="bottom"/>
            <w:gridSpan w:val="2"/>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60" w:type="dxa"/>
            <w:vAlign w:val="bottom"/>
            <w:gridSpan w:val="2"/>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860" w:type="dxa"/>
            <w:vAlign w:val="bottom"/>
            <w:gridSpan w:val="2"/>
          </w:tcPr>
          <w:p>
            <w:pPr>
              <w:spacing w:after="0"/>
              <w:rPr>
                <w:sz w:val="20"/>
                <w:szCs w:val="20"/>
                <w:color w:val="auto"/>
              </w:rPr>
            </w:pPr>
            <w:r>
              <w:rPr>
                <w:rFonts w:ascii="Arial" w:cs="Arial" w:eastAsia="Arial" w:hAnsi="Arial"/>
                <w:sz w:val="22"/>
                <w:szCs w:val="22"/>
                <w:color w:val="auto"/>
                <w:w w:val="94"/>
              </w:rPr>
              <w:t>Cash and cash equivalents, end of period</w:t>
            </w: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22"/>
                <w:szCs w:val="22"/>
                <w:color w:val="auto"/>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22"/>
                <w:szCs w:val="22"/>
                <w:color w:val="auto"/>
              </w:rPr>
              <w:t>27,136</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22"/>
                <w:szCs w:val="22"/>
                <w:color w:val="auto"/>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22"/>
                <w:szCs w:val="22"/>
                <w:color w:val="auto"/>
              </w:rPr>
              <w:t>2,968</w:t>
            </w:r>
          </w:p>
        </w:tc>
        <w:tc>
          <w:tcPr>
            <w:tcW w:w="0" w:type="dxa"/>
            <w:vAlign w:val="bottom"/>
          </w:tcPr>
          <w:p>
            <w:pPr>
              <w:spacing w:after="0"/>
              <w:rPr>
                <w:sz w:val="1"/>
                <w:szCs w:val="1"/>
                <w:color w:val="auto"/>
              </w:rPr>
            </w:pPr>
          </w:p>
        </w:tc>
      </w:tr>
      <w:tr>
        <w:trPr>
          <w:trHeight w:val="21"/>
        </w:trPr>
        <w:tc>
          <w:tcPr>
            <w:tcW w:w="4720" w:type="dxa"/>
            <w:vAlign w:val="bottom"/>
            <w:gridSpan w:val="4"/>
            <w:vMerge w:val="restart"/>
          </w:tcPr>
          <w:p>
            <w:pPr>
              <w:jc w:val="center"/>
              <w:ind w:left="1012"/>
              <w:spacing w:after="0"/>
              <w:rPr>
                <w:sz w:val="20"/>
                <w:szCs w:val="20"/>
                <w:color w:val="auto"/>
              </w:rPr>
            </w:pPr>
            <w:r>
              <w:rPr>
                <w:rFonts w:ascii="Arial" w:cs="Arial" w:eastAsia="Arial" w:hAnsi="Arial"/>
                <w:sz w:val="22"/>
                <w:szCs w:val="22"/>
                <w:b w:val="1"/>
                <w:bCs w:val="1"/>
                <w:color w:val="auto"/>
              </w:rPr>
              <w:t>CIVEO CORPORATION</w:t>
            </w: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720" w:type="dxa"/>
            <w:vAlign w:val="bottom"/>
            <w:gridSpan w:val="4"/>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860" w:type="dxa"/>
            <w:vAlign w:val="bottom"/>
            <w:gridSpan w:val="2"/>
          </w:tcPr>
          <w:p>
            <w:pPr>
              <w:jc w:val="center"/>
              <w:ind w:left="1872"/>
              <w:spacing w:after="0" w:line="243" w:lineRule="exact"/>
              <w:rPr>
                <w:sz w:val="20"/>
                <w:szCs w:val="20"/>
                <w:color w:val="auto"/>
              </w:rPr>
            </w:pPr>
            <w:r>
              <w:rPr>
                <w:rFonts w:ascii="Arial" w:cs="Arial" w:eastAsia="Arial" w:hAnsi="Arial"/>
                <w:sz w:val="22"/>
                <w:szCs w:val="22"/>
                <w:b w:val="1"/>
                <w:bCs w:val="1"/>
                <w:color w:val="auto"/>
                <w:w w:val="97"/>
              </w:rPr>
              <w:t>SEGMENT DATA</w:t>
            </w: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gridSpan w:val="2"/>
          </w:tcPr>
          <w:p>
            <w:pPr>
              <w:jc w:val="center"/>
              <w:ind w:left="1872"/>
              <w:spacing w:after="0" w:line="243" w:lineRule="exact"/>
              <w:rPr>
                <w:sz w:val="20"/>
                <w:szCs w:val="20"/>
                <w:color w:val="auto"/>
              </w:rPr>
            </w:pPr>
            <w:r>
              <w:rPr>
                <w:rFonts w:ascii="Arial" w:cs="Arial" w:eastAsia="Arial" w:hAnsi="Arial"/>
                <w:sz w:val="22"/>
                <w:szCs w:val="22"/>
                <w:b w:val="1"/>
                <w:bCs w:val="1"/>
                <w:color w:val="auto"/>
                <w:w w:val="87"/>
              </w:rPr>
              <w:t>(in thousands)</w:t>
            </w: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3860" w:type="dxa"/>
            <w:vAlign w:val="bottom"/>
            <w:gridSpan w:val="2"/>
          </w:tcPr>
          <w:p>
            <w:pPr>
              <w:jc w:val="center"/>
              <w:ind w:left="1872"/>
              <w:spacing w:after="0"/>
              <w:rPr>
                <w:sz w:val="20"/>
                <w:szCs w:val="20"/>
                <w:color w:val="auto"/>
              </w:rPr>
            </w:pPr>
            <w:r>
              <w:rPr>
                <w:rFonts w:ascii="Arial" w:cs="Arial" w:eastAsia="Arial" w:hAnsi="Arial"/>
                <w:sz w:val="22"/>
                <w:szCs w:val="22"/>
                <w:b w:val="1"/>
                <w:bCs w:val="1"/>
                <w:color w:val="auto"/>
                <w:w w:val="90"/>
              </w:rPr>
              <w:t>(unaudited)</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3240" w:type="dxa"/>
            <w:vAlign w:val="bottom"/>
          </w:tcPr>
          <w:p>
            <w:pPr>
              <w:spacing w:after="0"/>
              <w:rPr>
                <w:sz w:val="24"/>
                <w:szCs w:val="24"/>
                <w:color w:val="auto"/>
              </w:rPr>
            </w:pPr>
          </w:p>
        </w:tc>
        <w:tc>
          <w:tcPr>
            <w:tcW w:w="3880" w:type="dxa"/>
            <w:vAlign w:val="bottom"/>
            <w:gridSpan w:val="7"/>
          </w:tcPr>
          <w:p>
            <w:pPr>
              <w:jc w:val="center"/>
              <w:ind w:right="1152"/>
              <w:spacing w:after="0"/>
              <w:rPr>
                <w:sz w:val="20"/>
                <w:szCs w:val="20"/>
                <w:color w:val="auto"/>
              </w:rPr>
            </w:pPr>
            <w:r>
              <w:rPr>
                <w:rFonts w:ascii="Arial" w:cs="Arial" w:eastAsia="Arial" w:hAnsi="Arial"/>
                <w:sz w:val="22"/>
                <w:szCs w:val="22"/>
                <w:b w:val="1"/>
                <w:bCs w:val="1"/>
                <w:color w:val="auto"/>
                <w:w w:val="99"/>
              </w:rPr>
              <w:t>THREE MONTHS ENDED</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60" w:type="dxa"/>
            <w:vAlign w:val="bottom"/>
            <w:gridSpan w:val="6"/>
          </w:tcPr>
          <w:p>
            <w:pPr>
              <w:jc w:val="center"/>
              <w:ind w:right="1752"/>
              <w:spacing w:after="0"/>
              <w:rPr>
                <w:sz w:val="20"/>
                <w:szCs w:val="20"/>
                <w:color w:val="auto"/>
              </w:rPr>
            </w:pPr>
            <w:r>
              <w:rPr>
                <w:rFonts w:ascii="Arial" w:cs="Arial" w:eastAsia="Arial" w:hAnsi="Arial"/>
                <w:sz w:val="22"/>
                <w:szCs w:val="22"/>
                <w:b w:val="1"/>
                <w:bCs w:val="1"/>
                <w:color w:val="auto"/>
                <w:w w:val="97"/>
              </w:rPr>
              <w:t>MARCH 31,</w:t>
            </w: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3240" w:type="dxa"/>
            <w:vAlign w:val="bottom"/>
          </w:tcPr>
          <w:p>
            <w:pPr>
              <w:spacing w:after="0"/>
              <w:rPr>
                <w:sz w:val="24"/>
                <w:szCs w:val="24"/>
                <w:color w:val="auto"/>
              </w:rPr>
            </w:pPr>
          </w:p>
        </w:tc>
        <w:tc>
          <w:tcPr>
            <w:tcW w:w="1400" w:type="dxa"/>
            <w:vAlign w:val="bottom"/>
            <w:tcBorders>
              <w:bottom w:val="single" w:sz="8" w:color="auto"/>
            </w:tcBorders>
            <w:gridSpan w:val="2"/>
          </w:tcPr>
          <w:p>
            <w:pPr>
              <w:jc w:val="right"/>
              <w:ind w:right="352"/>
              <w:spacing w:after="0"/>
              <w:rPr>
                <w:sz w:val="20"/>
                <w:szCs w:val="20"/>
                <w:color w:val="auto"/>
              </w:rPr>
            </w:pPr>
            <w:r>
              <w:rPr>
                <w:rFonts w:ascii="Arial" w:cs="Arial" w:eastAsia="Arial" w:hAnsi="Arial"/>
                <w:sz w:val="22"/>
                <w:szCs w:val="22"/>
                <w:b w:val="1"/>
                <w:bCs w:val="1"/>
                <w:color w:val="auto"/>
              </w:rPr>
              <w:t>2017</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2016</w:t>
            </w: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3240" w:type="dxa"/>
            <w:vAlign w:val="bottom"/>
          </w:tcPr>
          <w:p>
            <w:pPr>
              <w:spacing w:after="0"/>
              <w:rPr>
                <w:sz w:val="20"/>
                <w:szCs w:val="20"/>
                <w:color w:val="auto"/>
              </w:rPr>
            </w:pPr>
            <w:r>
              <w:rPr>
                <w:rFonts w:ascii="Arial" w:cs="Arial" w:eastAsia="Arial" w:hAnsi="Arial"/>
                <w:sz w:val="22"/>
                <w:szCs w:val="22"/>
                <w:color w:val="auto"/>
              </w:rPr>
              <w:t>Revenues</w:t>
            </w:r>
          </w:p>
        </w:tc>
        <w:tc>
          <w:tcPr>
            <w:tcW w:w="6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240" w:type="dxa"/>
            <w:vAlign w:val="bottom"/>
          </w:tcPr>
          <w:p>
            <w:pPr>
              <w:ind w:left="120"/>
              <w:spacing w:after="0"/>
              <w:rPr>
                <w:sz w:val="20"/>
                <w:szCs w:val="20"/>
                <w:color w:val="auto"/>
              </w:rPr>
            </w:pPr>
            <w:r>
              <w:rPr>
                <w:rFonts w:ascii="Arial" w:cs="Arial" w:eastAsia="Arial" w:hAnsi="Arial"/>
                <w:sz w:val="22"/>
                <w:szCs w:val="22"/>
                <w:color w:val="auto"/>
              </w:rPr>
              <w:t>Canada</w:t>
            </w:r>
          </w:p>
        </w:tc>
        <w:tc>
          <w:tcPr>
            <w:tcW w:w="62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780" w:type="dxa"/>
            <w:vAlign w:val="bottom"/>
          </w:tcPr>
          <w:p>
            <w:pPr>
              <w:jc w:val="right"/>
              <w:ind w:right="12"/>
              <w:spacing w:after="0"/>
              <w:rPr>
                <w:sz w:val="20"/>
                <w:szCs w:val="20"/>
                <w:color w:val="auto"/>
              </w:rPr>
            </w:pPr>
            <w:r>
              <w:rPr>
                <w:rFonts w:ascii="Arial" w:cs="Arial" w:eastAsia="Arial" w:hAnsi="Arial"/>
                <w:sz w:val="22"/>
                <w:szCs w:val="22"/>
                <w:color w:val="auto"/>
                <w:w w:val="95"/>
              </w:rPr>
              <w:t>60,506</w:t>
            </w:r>
          </w:p>
        </w:tc>
        <w:tc>
          <w:tcPr>
            <w:tcW w:w="80" w:type="dxa"/>
            <w:vAlign w:val="bottom"/>
          </w:tcPr>
          <w:p>
            <w:pPr>
              <w:spacing w:after="0"/>
              <w:rPr>
                <w:sz w:val="23"/>
                <w:szCs w:val="23"/>
                <w:color w:val="auto"/>
              </w:rPr>
            </w:pPr>
          </w:p>
        </w:tc>
        <w:tc>
          <w:tcPr>
            <w:tcW w:w="260" w:type="dxa"/>
            <w:vAlign w:val="bottom"/>
          </w:tcPr>
          <w:p>
            <w:pPr>
              <w:jc w:val="right"/>
              <w:ind w:right="12"/>
              <w:spacing w:after="0"/>
              <w:rPr>
                <w:sz w:val="20"/>
                <w:szCs w:val="20"/>
                <w:color w:val="auto"/>
              </w:rPr>
            </w:pPr>
            <w:r>
              <w:rPr>
                <w:rFonts w:ascii="Arial" w:cs="Arial" w:eastAsia="Arial" w:hAnsi="Arial"/>
                <w:sz w:val="22"/>
                <w:szCs w:val="22"/>
                <w:color w:val="auto"/>
                <w:w w:val="97"/>
              </w:rPr>
              <w:t>$</w:t>
            </w:r>
          </w:p>
        </w:tc>
        <w:tc>
          <w:tcPr>
            <w:tcW w:w="880" w:type="dxa"/>
            <w:vAlign w:val="bottom"/>
          </w:tcPr>
          <w:p>
            <w:pPr>
              <w:jc w:val="right"/>
              <w:spacing w:after="0"/>
              <w:rPr>
                <w:sz w:val="20"/>
                <w:szCs w:val="20"/>
                <w:color w:val="auto"/>
              </w:rPr>
            </w:pPr>
            <w:r>
              <w:rPr>
                <w:rFonts w:ascii="Arial" w:cs="Arial" w:eastAsia="Arial" w:hAnsi="Arial"/>
                <w:sz w:val="22"/>
                <w:szCs w:val="22"/>
                <w:color w:val="auto"/>
              </w:rPr>
              <w:t>65,522</w:t>
            </w: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40" w:type="dxa"/>
            <w:vAlign w:val="bottom"/>
          </w:tcPr>
          <w:p>
            <w:pPr>
              <w:ind w:left="120"/>
              <w:spacing w:after="0"/>
              <w:rPr>
                <w:sz w:val="20"/>
                <w:szCs w:val="20"/>
                <w:color w:val="auto"/>
              </w:rPr>
            </w:pPr>
            <w:r>
              <w:rPr>
                <w:rFonts w:ascii="Arial" w:cs="Arial" w:eastAsia="Arial" w:hAnsi="Arial"/>
                <w:sz w:val="22"/>
                <w:szCs w:val="22"/>
                <w:color w:val="auto"/>
              </w:rPr>
              <w:t>Australia</w:t>
            </w:r>
          </w:p>
        </w:tc>
        <w:tc>
          <w:tcPr>
            <w:tcW w:w="62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22"/>
                <w:szCs w:val="22"/>
                <w:color w:val="auto"/>
                <w:w w:val="95"/>
              </w:rPr>
              <w:t>27,016</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rPr>
              <w:t>25,510</w:t>
            </w: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3240" w:type="dxa"/>
            <w:vAlign w:val="bottom"/>
          </w:tcPr>
          <w:p>
            <w:pPr>
              <w:ind w:left="120"/>
              <w:spacing w:after="0"/>
              <w:rPr>
                <w:sz w:val="20"/>
                <w:szCs w:val="20"/>
                <w:color w:val="auto"/>
              </w:rPr>
            </w:pPr>
            <w:r>
              <w:rPr>
                <w:rFonts w:ascii="Arial" w:cs="Arial" w:eastAsia="Arial" w:hAnsi="Arial"/>
                <w:sz w:val="22"/>
                <w:szCs w:val="22"/>
                <w:color w:val="auto"/>
              </w:rPr>
              <w:t>United States</w:t>
            </w:r>
          </w:p>
        </w:tc>
        <w:tc>
          <w:tcPr>
            <w:tcW w:w="6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3,907</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4,004</w:t>
            </w: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3240" w:type="dxa"/>
            <w:vAlign w:val="bottom"/>
          </w:tcPr>
          <w:p>
            <w:pPr>
              <w:ind w:left="260"/>
              <w:spacing w:after="0"/>
              <w:rPr>
                <w:sz w:val="20"/>
                <w:szCs w:val="20"/>
                <w:color w:val="auto"/>
              </w:rPr>
            </w:pPr>
            <w:r>
              <w:rPr>
                <w:rFonts w:ascii="Arial" w:cs="Arial" w:eastAsia="Arial" w:hAnsi="Arial"/>
                <w:sz w:val="22"/>
                <w:szCs w:val="22"/>
                <w:color w:val="auto"/>
              </w:rPr>
              <w:t>Total revenues</w:t>
            </w:r>
          </w:p>
        </w:tc>
        <w:tc>
          <w:tcPr>
            <w:tcW w:w="62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color w:val="auto"/>
              </w:rPr>
              <w:t>$</w:t>
            </w: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w w:val="95"/>
              </w:rPr>
              <w:t>91,429</w:t>
            </w:r>
          </w:p>
        </w:tc>
        <w:tc>
          <w:tcPr>
            <w:tcW w:w="80" w:type="dxa"/>
            <w:vAlign w:val="bottom"/>
          </w:tcPr>
          <w:p>
            <w:pPr>
              <w:spacing w:after="0"/>
              <w:rPr>
                <w:sz w:val="23"/>
                <w:szCs w:val="23"/>
                <w:color w:val="auto"/>
              </w:rPr>
            </w:pPr>
          </w:p>
        </w:tc>
        <w:tc>
          <w:tcPr>
            <w:tcW w:w="2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w w:val="97"/>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95,036</w:t>
            </w: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3240" w:type="dxa"/>
            <w:vAlign w:val="bottom"/>
            <w:vMerge w:val="restart"/>
          </w:tcPr>
          <w:p>
            <w:pPr>
              <w:spacing w:after="0"/>
              <w:rPr>
                <w:sz w:val="20"/>
                <w:szCs w:val="20"/>
                <w:color w:val="auto"/>
              </w:rPr>
            </w:pPr>
            <w:r>
              <w:rPr>
                <w:rFonts w:ascii="Arial" w:cs="Arial" w:eastAsia="Arial" w:hAnsi="Arial"/>
                <w:sz w:val="22"/>
                <w:szCs w:val="22"/>
                <w:color w:val="auto"/>
              </w:rPr>
              <w:t>EBITDA (1)</w:t>
            </w: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32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40" w:type="dxa"/>
            <w:vAlign w:val="bottom"/>
          </w:tcPr>
          <w:p>
            <w:pPr>
              <w:ind w:left="120"/>
              <w:spacing w:after="0"/>
              <w:rPr>
                <w:sz w:val="20"/>
                <w:szCs w:val="20"/>
                <w:color w:val="auto"/>
              </w:rPr>
            </w:pPr>
            <w:r>
              <w:rPr>
                <w:rFonts w:ascii="Arial" w:cs="Arial" w:eastAsia="Arial" w:hAnsi="Arial"/>
                <w:sz w:val="22"/>
                <w:szCs w:val="22"/>
                <w:color w:val="auto"/>
              </w:rPr>
              <w:t>Canada</w:t>
            </w:r>
          </w:p>
        </w:tc>
        <w:tc>
          <w:tcPr>
            <w:tcW w:w="62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780" w:type="dxa"/>
            <w:vAlign w:val="bottom"/>
          </w:tcPr>
          <w:p>
            <w:pPr>
              <w:jc w:val="right"/>
              <w:ind w:right="12"/>
              <w:spacing w:after="0"/>
              <w:rPr>
                <w:sz w:val="20"/>
                <w:szCs w:val="20"/>
                <w:color w:val="auto"/>
              </w:rPr>
            </w:pPr>
            <w:r>
              <w:rPr>
                <w:rFonts w:ascii="Arial" w:cs="Arial" w:eastAsia="Arial" w:hAnsi="Arial"/>
                <w:sz w:val="22"/>
                <w:szCs w:val="22"/>
                <w:color w:val="auto"/>
                <w:w w:val="95"/>
              </w:rPr>
              <w:t>13,189</w:t>
            </w:r>
          </w:p>
        </w:tc>
        <w:tc>
          <w:tcPr>
            <w:tcW w:w="80" w:type="dxa"/>
            <w:vAlign w:val="bottom"/>
          </w:tcPr>
          <w:p>
            <w:pPr>
              <w:spacing w:after="0"/>
              <w:rPr>
                <w:sz w:val="23"/>
                <w:szCs w:val="23"/>
                <w:color w:val="auto"/>
              </w:rPr>
            </w:pPr>
          </w:p>
        </w:tc>
        <w:tc>
          <w:tcPr>
            <w:tcW w:w="260" w:type="dxa"/>
            <w:vAlign w:val="bottom"/>
          </w:tcPr>
          <w:p>
            <w:pPr>
              <w:jc w:val="right"/>
              <w:ind w:right="12"/>
              <w:spacing w:after="0"/>
              <w:rPr>
                <w:sz w:val="20"/>
                <w:szCs w:val="20"/>
                <w:color w:val="auto"/>
              </w:rPr>
            </w:pPr>
            <w:r>
              <w:rPr>
                <w:rFonts w:ascii="Arial" w:cs="Arial" w:eastAsia="Arial" w:hAnsi="Arial"/>
                <w:sz w:val="22"/>
                <w:szCs w:val="22"/>
                <w:color w:val="auto"/>
                <w:w w:val="97"/>
              </w:rPr>
              <w:t>$</w:t>
            </w:r>
          </w:p>
        </w:tc>
        <w:tc>
          <w:tcPr>
            <w:tcW w:w="880" w:type="dxa"/>
            <w:vAlign w:val="bottom"/>
          </w:tcPr>
          <w:p>
            <w:pPr>
              <w:jc w:val="right"/>
              <w:spacing w:after="0"/>
              <w:rPr>
                <w:sz w:val="20"/>
                <w:szCs w:val="20"/>
                <w:color w:val="auto"/>
              </w:rPr>
            </w:pPr>
            <w:r>
              <w:rPr>
                <w:rFonts w:ascii="Arial" w:cs="Arial" w:eastAsia="Arial" w:hAnsi="Arial"/>
                <w:sz w:val="22"/>
                <w:szCs w:val="22"/>
                <w:color w:val="auto"/>
              </w:rPr>
              <w:t>14,048</w:t>
            </w: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40" w:type="dxa"/>
            <w:vAlign w:val="bottom"/>
          </w:tcPr>
          <w:p>
            <w:pPr>
              <w:ind w:left="120"/>
              <w:spacing w:after="0"/>
              <w:rPr>
                <w:sz w:val="20"/>
                <w:szCs w:val="20"/>
                <w:color w:val="auto"/>
              </w:rPr>
            </w:pPr>
            <w:r>
              <w:rPr>
                <w:rFonts w:ascii="Arial" w:cs="Arial" w:eastAsia="Arial" w:hAnsi="Arial"/>
                <w:sz w:val="22"/>
                <w:szCs w:val="22"/>
                <w:color w:val="auto"/>
              </w:rPr>
              <w:t>Australia</w:t>
            </w:r>
          </w:p>
        </w:tc>
        <w:tc>
          <w:tcPr>
            <w:tcW w:w="62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22"/>
                <w:szCs w:val="22"/>
                <w:color w:val="auto"/>
                <w:w w:val="95"/>
              </w:rPr>
              <w:t>10,621</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rPr>
              <w:t>10,743</w:t>
            </w: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40" w:type="dxa"/>
            <w:vAlign w:val="bottom"/>
          </w:tcPr>
          <w:p>
            <w:pPr>
              <w:ind w:left="120"/>
              <w:spacing w:after="0"/>
              <w:rPr>
                <w:sz w:val="20"/>
                <w:szCs w:val="20"/>
                <w:color w:val="auto"/>
              </w:rPr>
            </w:pPr>
            <w:r>
              <w:rPr>
                <w:rFonts w:ascii="Arial" w:cs="Arial" w:eastAsia="Arial" w:hAnsi="Arial"/>
                <w:sz w:val="22"/>
                <w:szCs w:val="22"/>
                <w:color w:val="auto"/>
              </w:rPr>
              <w:t>United States</w:t>
            </w:r>
          </w:p>
        </w:tc>
        <w:tc>
          <w:tcPr>
            <w:tcW w:w="6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22"/>
                <w:szCs w:val="22"/>
                <w:color w:val="auto"/>
              </w:rPr>
              <w:t>(1,262)</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rPr>
              <w:t>(11,470)</w:t>
            </w: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3240" w:type="dxa"/>
            <w:vAlign w:val="bottom"/>
          </w:tcPr>
          <w:p>
            <w:pPr>
              <w:ind w:left="120"/>
              <w:spacing w:after="0"/>
              <w:rPr>
                <w:sz w:val="20"/>
                <w:szCs w:val="20"/>
                <w:color w:val="auto"/>
              </w:rPr>
            </w:pPr>
            <w:r>
              <w:rPr>
                <w:rFonts w:ascii="Arial" w:cs="Arial" w:eastAsia="Arial" w:hAnsi="Arial"/>
                <w:sz w:val="22"/>
                <w:szCs w:val="22"/>
                <w:color w:val="auto"/>
              </w:rPr>
              <w:t>Corporate and eliminations</w:t>
            </w:r>
          </w:p>
        </w:tc>
        <w:tc>
          <w:tcPr>
            <w:tcW w:w="6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(7,318)</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(5,999)</w:t>
            </w: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3240" w:type="dxa"/>
            <w:vAlign w:val="bottom"/>
          </w:tcPr>
          <w:p>
            <w:pPr>
              <w:ind w:left="260"/>
              <w:spacing w:after="0"/>
              <w:rPr>
                <w:sz w:val="20"/>
                <w:szCs w:val="20"/>
                <w:color w:val="auto"/>
              </w:rPr>
            </w:pPr>
            <w:r>
              <w:rPr>
                <w:rFonts w:ascii="Arial" w:cs="Arial" w:eastAsia="Arial" w:hAnsi="Arial"/>
                <w:sz w:val="22"/>
                <w:szCs w:val="22"/>
                <w:color w:val="auto"/>
              </w:rPr>
              <w:t>Total EBITDA</w:t>
            </w:r>
          </w:p>
        </w:tc>
        <w:tc>
          <w:tcPr>
            <w:tcW w:w="62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color w:val="auto"/>
              </w:rPr>
              <w:t>$</w:t>
            </w: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w w:val="95"/>
              </w:rPr>
              <w:t>15,230</w:t>
            </w:r>
          </w:p>
        </w:tc>
        <w:tc>
          <w:tcPr>
            <w:tcW w:w="80" w:type="dxa"/>
            <w:vAlign w:val="bottom"/>
          </w:tcPr>
          <w:p>
            <w:pPr>
              <w:spacing w:after="0"/>
              <w:rPr>
                <w:sz w:val="23"/>
                <w:szCs w:val="23"/>
                <w:color w:val="auto"/>
              </w:rPr>
            </w:pPr>
          </w:p>
        </w:tc>
        <w:tc>
          <w:tcPr>
            <w:tcW w:w="2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w w:val="97"/>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7,322</w:t>
            </w: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3240" w:type="dxa"/>
            <w:vAlign w:val="bottom"/>
            <w:vMerge w:val="restart"/>
          </w:tcPr>
          <w:p>
            <w:pPr>
              <w:spacing w:after="0"/>
              <w:rPr>
                <w:sz w:val="20"/>
                <w:szCs w:val="20"/>
                <w:color w:val="auto"/>
              </w:rPr>
            </w:pPr>
            <w:r>
              <w:rPr>
                <w:rFonts w:ascii="Arial" w:cs="Arial" w:eastAsia="Arial" w:hAnsi="Arial"/>
                <w:sz w:val="22"/>
                <w:szCs w:val="22"/>
                <w:color w:val="auto"/>
              </w:rPr>
              <w:t>Adjusted EBITDA (1)</w:t>
            </w: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32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40" w:type="dxa"/>
            <w:vAlign w:val="bottom"/>
          </w:tcPr>
          <w:p>
            <w:pPr>
              <w:ind w:left="120"/>
              <w:spacing w:after="0"/>
              <w:rPr>
                <w:sz w:val="20"/>
                <w:szCs w:val="20"/>
                <w:color w:val="auto"/>
              </w:rPr>
            </w:pPr>
            <w:r>
              <w:rPr>
                <w:rFonts w:ascii="Arial" w:cs="Arial" w:eastAsia="Arial" w:hAnsi="Arial"/>
                <w:sz w:val="22"/>
                <w:szCs w:val="22"/>
                <w:color w:val="auto"/>
              </w:rPr>
              <w:t>Canada</w:t>
            </w:r>
          </w:p>
        </w:tc>
        <w:tc>
          <w:tcPr>
            <w:tcW w:w="62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780" w:type="dxa"/>
            <w:vAlign w:val="bottom"/>
          </w:tcPr>
          <w:p>
            <w:pPr>
              <w:jc w:val="right"/>
              <w:ind w:right="12"/>
              <w:spacing w:after="0"/>
              <w:rPr>
                <w:sz w:val="20"/>
                <w:szCs w:val="20"/>
                <w:color w:val="auto"/>
              </w:rPr>
            </w:pPr>
            <w:r>
              <w:rPr>
                <w:rFonts w:ascii="Arial" w:cs="Arial" w:eastAsia="Arial" w:hAnsi="Arial"/>
                <w:sz w:val="22"/>
                <w:szCs w:val="22"/>
                <w:color w:val="auto"/>
                <w:w w:val="95"/>
              </w:rPr>
              <w:t>13,189</w:t>
            </w:r>
          </w:p>
        </w:tc>
        <w:tc>
          <w:tcPr>
            <w:tcW w:w="80" w:type="dxa"/>
            <w:vAlign w:val="bottom"/>
          </w:tcPr>
          <w:p>
            <w:pPr>
              <w:spacing w:after="0"/>
              <w:rPr>
                <w:sz w:val="23"/>
                <w:szCs w:val="23"/>
                <w:color w:val="auto"/>
              </w:rPr>
            </w:pPr>
          </w:p>
        </w:tc>
        <w:tc>
          <w:tcPr>
            <w:tcW w:w="260" w:type="dxa"/>
            <w:vAlign w:val="bottom"/>
          </w:tcPr>
          <w:p>
            <w:pPr>
              <w:jc w:val="right"/>
              <w:ind w:right="12"/>
              <w:spacing w:after="0"/>
              <w:rPr>
                <w:sz w:val="20"/>
                <w:szCs w:val="20"/>
                <w:color w:val="auto"/>
              </w:rPr>
            </w:pPr>
            <w:r>
              <w:rPr>
                <w:rFonts w:ascii="Arial" w:cs="Arial" w:eastAsia="Arial" w:hAnsi="Arial"/>
                <w:sz w:val="22"/>
                <w:szCs w:val="22"/>
                <w:color w:val="auto"/>
                <w:w w:val="97"/>
              </w:rPr>
              <w:t>$</w:t>
            </w:r>
          </w:p>
        </w:tc>
        <w:tc>
          <w:tcPr>
            <w:tcW w:w="880" w:type="dxa"/>
            <w:vAlign w:val="bottom"/>
          </w:tcPr>
          <w:p>
            <w:pPr>
              <w:jc w:val="right"/>
              <w:spacing w:after="0"/>
              <w:rPr>
                <w:sz w:val="20"/>
                <w:szCs w:val="20"/>
                <w:color w:val="auto"/>
              </w:rPr>
            </w:pPr>
            <w:r>
              <w:rPr>
                <w:rFonts w:ascii="Arial" w:cs="Arial" w:eastAsia="Arial" w:hAnsi="Arial"/>
                <w:sz w:val="22"/>
                <w:szCs w:val="22"/>
                <w:color w:val="auto"/>
              </w:rPr>
              <w:t>14,171</w:t>
            </w: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40" w:type="dxa"/>
            <w:vAlign w:val="bottom"/>
          </w:tcPr>
          <w:p>
            <w:pPr>
              <w:ind w:left="120"/>
              <w:spacing w:after="0"/>
              <w:rPr>
                <w:sz w:val="20"/>
                <w:szCs w:val="20"/>
                <w:color w:val="auto"/>
              </w:rPr>
            </w:pPr>
            <w:r>
              <w:rPr>
                <w:rFonts w:ascii="Arial" w:cs="Arial" w:eastAsia="Arial" w:hAnsi="Arial"/>
                <w:sz w:val="22"/>
                <w:szCs w:val="22"/>
                <w:color w:val="auto"/>
              </w:rPr>
              <w:t>Australia</w:t>
            </w:r>
          </w:p>
        </w:tc>
        <w:tc>
          <w:tcPr>
            <w:tcW w:w="62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22"/>
                <w:szCs w:val="22"/>
                <w:color w:val="auto"/>
                <w:w w:val="95"/>
              </w:rPr>
              <w:t>10,621</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rPr>
              <w:t>10,763</w:t>
            </w: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40" w:type="dxa"/>
            <w:vAlign w:val="bottom"/>
          </w:tcPr>
          <w:p>
            <w:pPr>
              <w:ind w:left="120"/>
              <w:spacing w:after="0"/>
              <w:rPr>
                <w:sz w:val="20"/>
                <w:szCs w:val="20"/>
                <w:color w:val="auto"/>
              </w:rPr>
            </w:pPr>
            <w:r>
              <w:rPr>
                <w:rFonts w:ascii="Arial" w:cs="Arial" w:eastAsia="Arial" w:hAnsi="Arial"/>
                <w:sz w:val="22"/>
                <w:szCs w:val="22"/>
                <w:color w:val="auto"/>
              </w:rPr>
              <w:t>United States</w:t>
            </w:r>
          </w:p>
        </w:tc>
        <w:tc>
          <w:tcPr>
            <w:tcW w:w="6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22"/>
                <w:szCs w:val="22"/>
                <w:color w:val="auto"/>
              </w:rPr>
              <w:t>(1,262)</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rPr>
              <w:t>(3,070)</w:t>
            </w: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3240" w:type="dxa"/>
            <w:vAlign w:val="bottom"/>
          </w:tcPr>
          <w:p>
            <w:pPr>
              <w:ind w:left="120"/>
              <w:spacing w:after="0"/>
              <w:rPr>
                <w:sz w:val="20"/>
                <w:szCs w:val="20"/>
                <w:color w:val="auto"/>
              </w:rPr>
            </w:pPr>
            <w:r>
              <w:rPr>
                <w:rFonts w:ascii="Arial" w:cs="Arial" w:eastAsia="Arial" w:hAnsi="Arial"/>
                <w:sz w:val="22"/>
                <w:szCs w:val="22"/>
                <w:color w:val="auto"/>
              </w:rPr>
              <w:t>Corporate and eliminations</w:t>
            </w:r>
          </w:p>
        </w:tc>
        <w:tc>
          <w:tcPr>
            <w:tcW w:w="6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(7,318)</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(5,107)</w:t>
            </w: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3240" w:type="dxa"/>
            <w:vAlign w:val="bottom"/>
          </w:tcPr>
          <w:p>
            <w:pPr>
              <w:ind w:left="260"/>
              <w:spacing w:after="0"/>
              <w:rPr>
                <w:sz w:val="20"/>
                <w:szCs w:val="20"/>
                <w:color w:val="auto"/>
              </w:rPr>
            </w:pPr>
            <w:r>
              <w:rPr>
                <w:rFonts w:ascii="Arial" w:cs="Arial" w:eastAsia="Arial" w:hAnsi="Arial"/>
                <w:sz w:val="22"/>
                <w:szCs w:val="22"/>
                <w:color w:val="auto"/>
              </w:rPr>
              <w:t>Total adjusted EBITDA</w:t>
            </w:r>
          </w:p>
        </w:tc>
        <w:tc>
          <w:tcPr>
            <w:tcW w:w="62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color w:val="auto"/>
              </w:rPr>
              <w:t>$</w:t>
            </w: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w w:val="95"/>
              </w:rPr>
              <w:t>15,230</w:t>
            </w:r>
          </w:p>
        </w:tc>
        <w:tc>
          <w:tcPr>
            <w:tcW w:w="80" w:type="dxa"/>
            <w:vAlign w:val="bottom"/>
          </w:tcPr>
          <w:p>
            <w:pPr>
              <w:spacing w:after="0"/>
              <w:rPr>
                <w:sz w:val="23"/>
                <w:szCs w:val="23"/>
                <w:color w:val="auto"/>
              </w:rPr>
            </w:pPr>
          </w:p>
        </w:tc>
        <w:tc>
          <w:tcPr>
            <w:tcW w:w="2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w w:val="97"/>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16,757</w:t>
            </w: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3240" w:type="dxa"/>
            <w:vAlign w:val="bottom"/>
            <w:vMerge w:val="restart"/>
          </w:tcPr>
          <w:p>
            <w:pPr>
              <w:spacing w:after="0"/>
              <w:rPr>
                <w:sz w:val="20"/>
                <w:szCs w:val="20"/>
                <w:color w:val="auto"/>
              </w:rPr>
            </w:pPr>
            <w:r>
              <w:rPr>
                <w:rFonts w:ascii="Arial" w:cs="Arial" w:eastAsia="Arial" w:hAnsi="Arial"/>
                <w:sz w:val="22"/>
                <w:szCs w:val="22"/>
                <w:color w:val="auto"/>
              </w:rPr>
              <w:t>Operating income (loss)</w:t>
            </w: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32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240" w:type="dxa"/>
            <w:vAlign w:val="bottom"/>
          </w:tcPr>
          <w:p>
            <w:pPr>
              <w:ind w:left="120"/>
              <w:spacing w:after="0"/>
              <w:rPr>
                <w:sz w:val="20"/>
                <w:szCs w:val="20"/>
                <w:color w:val="auto"/>
              </w:rPr>
            </w:pPr>
            <w:r>
              <w:rPr>
                <w:rFonts w:ascii="Arial" w:cs="Arial" w:eastAsia="Arial" w:hAnsi="Arial"/>
                <w:sz w:val="22"/>
                <w:szCs w:val="22"/>
                <w:color w:val="auto"/>
              </w:rPr>
              <w:t>Canada</w:t>
            </w:r>
          </w:p>
        </w:tc>
        <w:tc>
          <w:tcPr>
            <w:tcW w:w="62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780" w:type="dxa"/>
            <w:vAlign w:val="bottom"/>
          </w:tcPr>
          <w:p>
            <w:pPr>
              <w:jc w:val="right"/>
              <w:spacing w:after="0"/>
              <w:rPr>
                <w:sz w:val="20"/>
                <w:szCs w:val="20"/>
                <w:color w:val="auto"/>
              </w:rPr>
            </w:pPr>
            <w:r>
              <w:rPr>
                <w:rFonts w:ascii="Arial" w:cs="Arial" w:eastAsia="Arial" w:hAnsi="Arial"/>
                <w:sz w:val="22"/>
                <w:szCs w:val="22"/>
                <w:color w:val="auto"/>
              </w:rPr>
              <w:t>(5,006)</w:t>
            </w:r>
          </w:p>
        </w:tc>
        <w:tc>
          <w:tcPr>
            <w:tcW w:w="80" w:type="dxa"/>
            <w:vAlign w:val="bottom"/>
          </w:tcPr>
          <w:p>
            <w:pPr>
              <w:spacing w:after="0"/>
              <w:rPr>
                <w:sz w:val="23"/>
                <w:szCs w:val="23"/>
                <w:color w:val="auto"/>
              </w:rPr>
            </w:pPr>
          </w:p>
        </w:tc>
        <w:tc>
          <w:tcPr>
            <w:tcW w:w="260" w:type="dxa"/>
            <w:vAlign w:val="bottom"/>
          </w:tcPr>
          <w:p>
            <w:pPr>
              <w:jc w:val="right"/>
              <w:ind w:right="12"/>
              <w:spacing w:after="0"/>
              <w:rPr>
                <w:sz w:val="20"/>
                <w:szCs w:val="20"/>
                <w:color w:val="auto"/>
              </w:rPr>
            </w:pPr>
            <w:r>
              <w:rPr>
                <w:rFonts w:ascii="Arial" w:cs="Arial" w:eastAsia="Arial" w:hAnsi="Arial"/>
                <w:sz w:val="22"/>
                <w:szCs w:val="22"/>
                <w:color w:val="auto"/>
                <w:w w:val="97"/>
              </w:rPr>
              <w:t>$</w:t>
            </w:r>
          </w:p>
        </w:tc>
        <w:tc>
          <w:tcPr>
            <w:tcW w:w="880" w:type="dxa"/>
            <w:vAlign w:val="bottom"/>
          </w:tcPr>
          <w:p>
            <w:pPr>
              <w:jc w:val="right"/>
              <w:spacing w:after="0"/>
              <w:rPr>
                <w:sz w:val="20"/>
                <w:szCs w:val="20"/>
                <w:color w:val="auto"/>
              </w:rPr>
            </w:pPr>
            <w:r>
              <w:rPr>
                <w:rFonts w:ascii="Arial" w:cs="Arial" w:eastAsia="Arial" w:hAnsi="Arial"/>
                <w:sz w:val="22"/>
                <w:szCs w:val="22"/>
                <w:color w:val="auto"/>
              </w:rPr>
              <w:t>(9,699)</w:t>
            </w: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94" w:orient="portrait"/>
          <w:cols w:equalWidth="0" w:num="1">
            <w:col w:w="10199"/>
          </w:cols>
          <w:pgMar w:left="260" w:top="118" w:right="1440" w:bottom="0" w:gutter="0" w:footer="0" w:header="0"/>
        </w:sectPr>
      </w:pPr>
    </w:p>
    <w:bookmarkStart w:id="9" w:name="page10"/>
    <w:bookmarkEnd w:id="9"/>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71"/>
        </w:trPr>
        <w:tc>
          <w:tcPr>
            <w:tcW w:w="3120" w:type="dxa"/>
            <w:vAlign w:val="bottom"/>
          </w:tcPr>
          <w:p>
            <w:pPr>
              <w:spacing w:after="0"/>
              <w:rPr>
                <w:sz w:val="20"/>
                <w:szCs w:val="20"/>
                <w:color w:val="auto"/>
              </w:rPr>
            </w:pPr>
            <w:r>
              <w:rPr>
                <w:rFonts w:ascii="Arial" w:cs="Arial" w:eastAsia="Arial" w:hAnsi="Arial"/>
                <w:sz w:val="22"/>
                <w:szCs w:val="22"/>
                <w:color w:val="auto"/>
              </w:rPr>
              <w:t>Australia</w:t>
            </w:r>
          </w:p>
        </w:tc>
        <w:tc>
          <w:tcPr>
            <w:tcW w:w="3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(1,201)</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rPr>
              <w:t>(1,622)</w:t>
            </w:r>
          </w:p>
        </w:tc>
      </w:tr>
      <w:tr>
        <w:trPr>
          <w:trHeight w:val="270"/>
        </w:trPr>
        <w:tc>
          <w:tcPr>
            <w:tcW w:w="3120" w:type="dxa"/>
            <w:vAlign w:val="bottom"/>
          </w:tcPr>
          <w:p>
            <w:pPr>
              <w:spacing w:after="0"/>
              <w:rPr>
                <w:sz w:val="20"/>
                <w:szCs w:val="20"/>
                <w:color w:val="auto"/>
              </w:rPr>
            </w:pPr>
            <w:r>
              <w:rPr>
                <w:rFonts w:ascii="Arial" w:cs="Arial" w:eastAsia="Arial" w:hAnsi="Arial"/>
                <w:sz w:val="22"/>
                <w:szCs w:val="22"/>
                <w:color w:val="auto"/>
              </w:rPr>
              <w:t>United States</w:t>
            </w:r>
          </w:p>
        </w:tc>
        <w:tc>
          <w:tcPr>
            <w:tcW w:w="3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(2,802)</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rPr>
              <w:t>(13,599)</w:t>
            </w:r>
          </w:p>
        </w:tc>
      </w:tr>
      <w:tr>
        <w:trPr>
          <w:trHeight w:val="276"/>
        </w:trPr>
        <w:tc>
          <w:tcPr>
            <w:tcW w:w="3120" w:type="dxa"/>
            <w:vAlign w:val="bottom"/>
          </w:tcPr>
          <w:p>
            <w:pPr>
              <w:spacing w:after="0"/>
              <w:rPr>
                <w:sz w:val="20"/>
                <w:szCs w:val="20"/>
                <w:color w:val="auto"/>
              </w:rPr>
            </w:pPr>
            <w:r>
              <w:rPr>
                <w:rFonts w:ascii="Arial" w:cs="Arial" w:eastAsia="Arial" w:hAnsi="Arial"/>
                <w:sz w:val="22"/>
                <w:szCs w:val="22"/>
                <w:color w:val="auto"/>
              </w:rPr>
              <w:t>Corporate and eliminations</w:t>
            </w: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(8,723)</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(1,277)</w:t>
            </w:r>
          </w:p>
        </w:tc>
      </w:tr>
      <w:tr>
        <w:trPr>
          <w:trHeight w:val="265"/>
        </w:trPr>
        <w:tc>
          <w:tcPr>
            <w:tcW w:w="3120" w:type="dxa"/>
            <w:vAlign w:val="bottom"/>
          </w:tcPr>
          <w:p>
            <w:pPr>
              <w:ind w:left="140"/>
              <w:spacing w:after="0"/>
              <w:rPr>
                <w:sz w:val="20"/>
                <w:szCs w:val="20"/>
                <w:color w:val="auto"/>
              </w:rPr>
            </w:pPr>
            <w:r>
              <w:rPr>
                <w:rFonts w:ascii="Arial" w:cs="Arial" w:eastAsia="Arial" w:hAnsi="Arial"/>
                <w:sz w:val="22"/>
                <w:szCs w:val="22"/>
                <w:color w:val="auto"/>
              </w:rPr>
              <w:t>Total operating loss</w:t>
            </w:r>
          </w:p>
        </w:tc>
        <w:tc>
          <w:tcPr>
            <w:tcW w:w="38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(17,732)</w:t>
            </w:r>
          </w:p>
        </w:tc>
        <w:tc>
          <w:tcPr>
            <w:tcW w:w="80" w:type="dxa"/>
            <w:vAlign w:val="bottom"/>
          </w:tcPr>
          <w:p>
            <w:pPr>
              <w:spacing w:after="0"/>
              <w:rPr>
                <w:sz w:val="23"/>
                <w:szCs w:val="23"/>
                <w:color w:val="auto"/>
              </w:rPr>
            </w:pPr>
          </w:p>
        </w:tc>
        <w:tc>
          <w:tcPr>
            <w:tcW w:w="2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w w:val="97"/>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(26,197)</w:t>
            </w:r>
          </w:p>
        </w:tc>
      </w:tr>
      <w:tr>
        <w:trPr>
          <w:trHeight w:val="21"/>
        </w:trPr>
        <w:tc>
          <w:tcPr>
            <w:tcW w:w="3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auto"/>
        </w:rPr>
        <w:t>(1) Please see Non-GAAP Reconciliation Schedule.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CIVEO CORPORATION</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NON-GAAP RECONCILIATIONS</w:t>
      </w:r>
    </w:p>
    <w:p>
      <w:pPr>
        <w:jc w:val="center"/>
        <w:ind w:right="20"/>
        <w:spacing w:after="0" w:line="230" w:lineRule="auto"/>
        <w:rPr>
          <w:sz w:val="20"/>
          <w:szCs w:val="20"/>
          <w:color w:val="auto"/>
        </w:rPr>
      </w:pPr>
      <w:r>
        <w:rPr>
          <w:rFonts w:ascii="Arial" w:cs="Arial" w:eastAsia="Arial" w:hAnsi="Arial"/>
          <w:sz w:val="22"/>
          <w:szCs w:val="22"/>
          <w:b w:val="1"/>
          <w:bCs w:val="1"/>
          <w:color w:val="auto"/>
        </w:rPr>
        <w:t>(in thousands)</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(unaudited)</w:t>
      </w:r>
    </w:p>
    <w:p>
      <w:pPr>
        <w:spacing w:after="0" w:line="263" w:lineRule="exact"/>
        <w:rPr>
          <w:sz w:val="20"/>
          <w:szCs w:val="20"/>
          <w:color w:val="auto"/>
        </w:rPr>
      </w:pPr>
    </w:p>
    <w:p>
      <w:pPr>
        <w:jc w:val="center"/>
        <w:ind w:left="7640"/>
        <w:spacing w:after="0"/>
        <w:rPr>
          <w:sz w:val="20"/>
          <w:szCs w:val="20"/>
          <w:color w:val="auto"/>
        </w:rPr>
      </w:pPr>
      <w:r>
        <w:rPr>
          <w:rFonts w:ascii="Arial" w:cs="Arial" w:eastAsia="Arial" w:hAnsi="Arial"/>
          <w:sz w:val="22"/>
          <w:szCs w:val="22"/>
          <w:b w:val="1"/>
          <w:bCs w:val="1"/>
          <w:color w:val="auto"/>
        </w:rPr>
        <w:t>THREE MONTHS ENDED</w:t>
      </w:r>
    </w:p>
    <w:p>
      <w:pPr>
        <w:spacing w:after="0" w:line="14" w:lineRule="exact"/>
        <w:rPr>
          <w:sz w:val="20"/>
          <w:szCs w:val="20"/>
          <w:color w:val="auto"/>
        </w:rPr>
      </w:pPr>
    </w:p>
    <w:p>
      <w:pPr>
        <w:jc w:val="center"/>
        <w:ind w:left="7640"/>
        <w:spacing w:after="0"/>
        <w:rPr>
          <w:sz w:val="20"/>
          <w:szCs w:val="20"/>
          <w:color w:val="auto"/>
        </w:rPr>
      </w:pPr>
      <w:r>
        <w:rPr>
          <w:rFonts w:ascii="Arial" w:cs="Arial" w:eastAsia="Arial" w:hAnsi="Arial"/>
          <w:sz w:val="22"/>
          <w:szCs w:val="22"/>
          <w:b w:val="1"/>
          <w:bCs w:val="1"/>
          <w:color w:val="auto"/>
        </w:rPr>
        <w:t>MARCH 31,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77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492"/>
              <w:spacing w:after="0"/>
              <w:rPr>
                <w:sz w:val="20"/>
                <w:szCs w:val="20"/>
                <w:color w:val="auto"/>
              </w:rPr>
            </w:pPr>
            <w:r>
              <w:rPr>
                <w:rFonts w:ascii="Arial" w:cs="Arial" w:eastAsia="Arial" w:hAnsi="Arial"/>
                <w:sz w:val="22"/>
                <w:szCs w:val="22"/>
                <w:b w:val="1"/>
                <w:bCs w:val="1"/>
                <w:color w:val="auto"/>
              </w:rPr>
              <w:t>2017</w:t>
            </w:r>
          </w:p>
        </w:tc>
        <w:tc>
          <w:tcPr>
            <w:tcW w:w="12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22"/>
                <w:szCs w:val="22"/>
                <w:b w:val="1"/>
                <w:bCs w:val="1"/>
                <w:color w:val="auto"/>
              </w:rPr>
              <w:t>2016</w:t>
            </w:r>
          </w:p>
        </w:tc>
      </w:tr>
      <w:tr>
        <w:trPr>
          <w:trHeight w:val="526"/>
        </w:trPr>
        <w:tc>
          <w:tcPr>
            <w:tcW w:w="7700" w:type="dxa"/>
            <w:vAlign w:val="bottom"/>
          </w:tcPr>
          <w:p>
            <w:pPr>
              <w:spacing w:after="0"/>
              <w:rPr>
                <w:sz w:val="20"/>
                <w:szCs w:val="20"/>
                <w:color w:val="auto"/>
              </w:rPr>
            </w:pPr>
            <w:r>
              <w:rPr>
                <w:rFonts w:ascii="Arial" w:cs="Arial" w:eastAsia="Arial" w:hAnsi="Arial"/>
                <w:sz w:val="22"/>
                <w:szCs w:val="22"/>
                <w:color w:val="auto"/>
              </w:rPr>
              <w:t>EBITDA (1)</w:t>
            </w:r>
          </w:p>
        </w:tc>
        <w:tc>
          <w:tcPr>
            <w:tcW w:w="42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1260" w:type="dxa"/>
            <w:vAlign w:val="bottom"/>
          </w:tcPr>
          <w:p>
            <w:pPr>
              <w:jc w:val="right"/>
              <w:ind w:right="12"/>
              <w:spacing w:after="0"/>
              <w:rPr>
                <w:sz w:val="20"/>
                <w:szCs w:val="20"/>
                <w:color w:val="auto"/>
              </w:rPr>
            </w:pPr>
            <w:r>
              <w:rPr>
                <w:rFonts w:ascii="Arial" w:cs="Arial" w:eastAsia="Arial" w:hAnsi="Arial"/>
                <w:sz w:val="22"/>
                <w:szCs w:val="22"/>
                <w:color w:val="auto"/>
              </w:rPr>
              <w:t>15,230</w:t>
            </w:r>
          </w:p>
        </w:tc>
        <w:tc>
          <w:tcPr>
            <w:tcW w:w="120" w:type="dxa"/>
            <w:vAlign w:val="bottom"/>
          </w:tcPr>
          <w:p>
            <w:pPr>
              <w:spacing w:after="0"/>
              <w:rPr>
                <w:sz w:val="24"/>
                <w:szCs w:val="24"/>
                <w:color w:val="auto"/>
              </w:rPr>
            </w:pPr>
          </w:p>
        </w:tc>
        <w:tc>
          <w:tcPr>
            <w:tcW w:w="46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1360" w:type="dxa"/>
            <w:vAlign w:val="bottom"/>
          </w:tcPr>
          <w:p>
            <w:pPr>
              <w:jc w:val="right"/>
              <w:ind w:right="92"/>
              <w:spacing w:after="0"/>
              <w:rPr>
                <w:sz w:val="20"/>
                <w:szCs w:val="20"/>
                <w:color w:val="auto"/>
              </w:rPr>
            </w:pPr>
            <w:r>
              <w:rPr>
                <w:rFonts w:ascii="Arial" w:cs="Arial" w:eastAsia="Arial" w:hAnsi="Arial"/>
                <w:sz w:val="22"/>
                <w:szCs w:val="22"/>
                <w:color w:val="auto"/>
              </w:rPr>
              <w:t>7,322</w:t>
            </w:r>
          </w:p>
        </w:tc>
      </w:tr>
      <w:tr>
        <w:trPr>
          <w:trHeight w:val="270"/>
        </w:trPr>
        <w:tc>
          <w:tcPr>
            <w:tcW w:w="7700" w:type="dxa"/>
            <w:vAlign w:val="bottom"/>
          </w:tcPr>
          <w:p>
            <w:pPr>
              <w:spacing w:after="0"/>
              <w:rPr>
                <w:sz w:val="20"/>
                <w:szCs w:val="20"/>
                <w:color w:val="auto"/>
              </w:rPr>
            </w:pPr>
            <w:r>
              <w:rPr>
                <w:rFonts w:ascii="Arial" w:cs="Arial" w:eastAsia="Arial" w:hAnsi="Arial"/>
                <w:sz w:val="22"/>
                <w:szCs w:val="22"/>
                <w:color w:val="auto"/>
              </w:rPr>
              <w:t>Adjusted EBITDA (1)</w:t>
            </w:r>
          </w:p>
        </w:tc>
        <w:tc>
          <w:tcPr>
            <w:tcW w:w="42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1260" w:type="dxa"/>
            <w:vAlign w:val="bottom"/>
          </w:tcPr>
          <w:p>
            <w:pPr>
              <w:jc w:val="right"/>
              <w:ind w:right="12"/>
              <w:spacing w:after="0"/>
              <w:rPr>
                <w:sz w:val="20"/>
                <w:szCs w:val="20"/>
                <w:color w:val="auto"/>
              </w:rPr>
            </w:pPr>
            <w:r>
              <w:rPr>
                <w:rFonts w:ascii="Arial" w:cs="Arial" w:eastAsia="Arial" w:hAnsi="Arial"/>
                <w:sz w:val="22"/>
                <w:szCs w:val="22"/>
                <w:color w:val="auto"/>
              </w:rPr>
              <w:t>15,230</w:t>
            </w:r>
          </w:p>
        </w:tc>
        <w:tc>
          <w:tcPr>
            <w:tcW w:w="120" w:type="dxa"/>
            <w:vAlign w:val="bottom"/>
          </w:tcPr>
          <w:p>
            <w:pPr>
              <w:spacing w:after="0"/>
              <w:rPr>
                <w:sz w:val="23"/>
                <w:szCs w:val="23"/>
                <w:color w:val="auto"/>
              </w:rPr>
            </w:pPr>
          </w:p>
        </w:tc>
        <w:tc>
          <w:tcPr>
            <w:tcW w:w="46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1360" w:type="dxa"/>
            <w:vAlign w:val="bottom"/>
          </w:tcPr>
          <w:p>
            <w:pPr>
              <w:jc w:val="right"/>
              <w:ind w:right="92"/>
              <w:spacing w:after="0"/>
              <w:rPr>
                <w:sz w:val="20"/>
                <w:szCs w:val="20"/>
                <w:color w:val="auto"/>
              </w:rPr>
            </w:pPr>
            <w:r>
              <w:rPr>
                <w:rFonts w:ascii="Arial" w:cs="Arial" w:eastAsia="Arial" w:hAnsi="Arial"/>
                <w:sz w:val="22"/>
                <w:szCs w:val="22"/>
                <w:color w:val="auto"/>
              </w:rPr>
              <w:t>16,757</w:t>
            </w:r>
          </w:p>
        </w:tc>
      </w:tr>
      <w:tr>
        <w:trPr>
          <w:trHeight w:val="275"/>
        </w:trPr>
        <w:tc>
          <w:tcPr>
            <w:tcW w:w="7700" w:type="dxa"/>
            <w:vAlign w:val="bottom"/>
          </w:tcPr>
          <w:p>
            <w:pPr>
              <w:spacing w:after="0"/>
              <w:rPr>
                <w:sz w:val="20"/>
                <w:szCs w:val="20"/>
                <w:color w:val="auto"/>
              </w:rPr>
            </w:pPr>
            <w:r>
              <w:rPr>
                <w:rFonts w:ascii="Arial" w:cs="Arial" w:eastAsia="Arial" w:hAnsi="Arial"/>
                <w:sz w:val="22"/>
                <w:szCs w:val="22"/>
                <w:color w:val="auto"/>
              </w:rPr>
              <w:t>Free Cash Flow (2)</w:t>
            </w:r>
          </w:p>
        </w:tc>
        <w:tc>
          <w:tcPr>
            <w:tcW w:w="42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1260" w:type="dxa"/>
            <w:vAlign w:val="bottom"/>
          </w:tcPr>
          <w:p>
            <w:pPr>
              <w:jc w:val="right"/>
              <w:ind w:right="12"/>
              <w:spacing w:after="0"/>
              <w:rPr>
                <w:sz w:val="20"/>
                <w:szCs w:val="20"/>
                <w:color w:val="auto"/>
              </w:rPr>
            </w:pPr>
            <w:r>
              <w:rPr>
                <w:rFonts w:ascii="Arial" w:cs="Arial" w:eastAsia="Arial" w:hAnsi="Arial"/>
                <w:sz w:val="22"/>
                <w:szCs w:val="22"/>
                <w:color w:val="auto"/>
              </w:rPr>
              <w:t>6,543</w:t>
            </w:r>
          </w:p>
        </w:tc>
        <w:tc>
          <w:tcPr>
            <w:tcW w:w="120" w:type="dxa"/>
            <w:vAlign w:val="bottom"/>
          </w:tcPr>
          <w:p>
            <w:pPr>
              <w:spacing w:after="0"/>
              <w:rPr>
                <w:sz w:val="23"/>
                <w:szCs w:val="23"/>
                <w:color w:val="auto"/>
              </w:rPr>
            </w:pPr>
          </w:p>
        </w:tc>
        <w:tc>
          <w:tcPr>
            <w:tcW w:w="46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1360" w:type="dxa"/>
            <w:vAlign w:val="bottom"/>
          </w:tcPr>
          <w:p>
            <w:pPr>
              <w:jc w:val="right"/>
              <w:ind w:right="92"/>
              <w:spacing w:after="0"/>
              <w:rPr>
                <w:sz w:val="20"/>
                <w:szCs w:val="20"/>
                <w:color w:val="auto"/>
              </w:rPr>
            </w:pPr>
            <w:r>
              <w:rPr>
                <w:rFonts w:ascii="Arial" w:cs="Arial" w:eastAsia="Arial" w:hAnsi="Arial"/>
                <w:sz w:val="22"/>
                <w:szCs w:val="22"/>
                <w:color w:val="auto"/>
              </w:rPr>
              <w:t>8,168</w:t>
            </w:r>
          </w:p>
        </w:tc>
      </w:tr>
    </w:tbl>
    <w:p>
      <w:pPr>
        <w:spacing w:after="0" w:line="266" w:lineRule="exact"/>
        <w:rPr>
          <w:sz w:val="20"/>
          <w:szCs w:val="20"/>
          <w:color w:val="auto"/>
        </w:rPr>
      </w:pPr>
    </w:p>
    <w:p>
      <w:pPr>
        <w:ind w:right="20" w:firstLine="2"/>
        <w:spacing w:after="0" w:line="244" w:lineRule="auto"/>
        <w:tabs>
          <w:tab w:leader="none" w:pos="306" w:val="left"/>
        </w:tabs>
        <w:numPr>
          <w:ilvl w:val="0"/>
          <w:numId w:val="4"/>
        </w:numPr>
        <w:rPr>
          <w:rFonts w:ascii="Arial" w:cs="Arial" w:eastAsia="Arial" w:hAnsi="Arial"/>
          <w:sz w:val="21"/>
          <w:szCs w:val="21"/>
          <w:color w:val="auto"/>
        </w:rPr>
      </w:pPr>
      <w:r>
        <w:rPr>
          <w:rFonts w:ascii="Arial" w:cs="Arial" w:eastAsia="Arial" w:hAnsi="Arial"/>
          <w:sz w:val="21"/>
          <w:szCs w:val="21"/>
          <w:color w:val="auto"/>
        </w:rPr>
        <w:t>The term EBITDA is defined as net income (loss) plus interest, taxes, depreciation and amortization. The term Adjusted EBITDA is defined as EBITDA adjusted to exclude impairment charges and certain costs associated with Civeo's redomiciliation. EBITDA and Adjusted EBITDA are not measures of financial performance under generally accepted accounting principles and should not be considered in isolation from or as a substitute for net income or cash flow measures prepared in accordance with generally accepted accounting principles or as a measure of profitability or liquidity. Additionally, EBITDA and Adjusted EBITDA may not be comparable to other similarly titled measures of other companies. Civeo has included EBITDA and Adjusted EBITDA as supplemental disclosures because its management believes that EBITDA and Adjusted EBITDA provide useful information regarding its ability to service debt and to fund capital expenditures and provide investors a helpful measure for comparing the Civeo's operating performance with the performance of other companies that have different financing and capital structures or tax rates. Civeo uses EBITDA and Adjusted EBITDA to compare and to monitor the performance of its business segments to other comparable public companies and as a benchmark for the award of incentive compensation under its annual incentive compensation plan.</w:t>
      </w:r>
    </w:p>
    <w:p>
      <w:pPr>
        <w:spacing w:after="0" w:line="200" w:lineRule="exact"/>
        <w:rPr>
          <w:sz w:val="20"/>
          <w:szCs w:val="20"/>
          <w:color w:val="auto"/>
        </w:rPr>
      </w:pPr>
    </w:p>
    <w:p>
      <w:pPr>
        <w:spacing w:after="0" w:line="338" w:lineRule="exact"/>
        <w:rPr>
          <w:sz w:val="20"/>
          <w:szCs w:val="20"/>
          <w:color w:val="auto"/>
        </w:rPr>
      </w:pPr>
    </w:p>
    <w:p>
      <w:pPr>
        <w:jc w:val="both"/>
        <w:ind w:right="980"/>
        <w:spacing w:after="0"/>
        <w:rPr>
          <w:sz w:val="20"/>
          <w:szCs w:val="20"/>
          <w:color w:val="auto"/>
        </w:rPr>
      </w:pPr>
      <w:r>
        <w:rPr>
          <w:rFonts w:ascii="Arial" w:cs="Arial" w:eastAsia="Arial" w:hAnsi="Arial"/>
          <w:sz w:val="22"/>
          <w:szCs w:val="22"/>
          <w:color w:val="auto"/>
        </w:rPr>
        <w:t>The following table sets forth a reconciliation of EBITDA and Adjusted EBITDA to net loss, which is the most directly comparable measure of financial performance calculated under generally accepted accounting principles (in thousands) (unaudited):</w:t>
      </w:r>
    </w:p>
    <w:p>
      <w:pPr>
        <w:spacing w:after="0" w:line="261" w:lineRule="exact"/>
        <w:rPr>
          <w:sz w:val="20"/>
          <w:szCs w:val="20"/>
          <w:color w:val="auto"/>
        </w:rPr>
      </w:pPr>
    </w:p>
    <w:p>
      <w:pPr>
        <w:jc w:val="center"/>
        <w:ind w:left="7640"/>
        <w:spacing w:after="0"/>
        <w:rPr>
          <w:sz w:val="20"/>
          <w:szCs w:val="20"/>
          <w:color w:val="auto"/>
        </w:rPr>
      </w:pPr>
      <w:r>
        <w:rPr>
          <w:rFonts w:ascii="Arial" w:cs="Arial" w:eastAsia="Arial" w:hAnsi="Arial"/>
          <w:sz w:val="22"/>
          <w:szCs w:val="22"/>
          <w:b w:val="1"/>
          <w:bCs w:val="1"/>
          <w:color w:val="auto"/>
        </w:rPr>
        <w:t>THREE MONTHS ENDED</w:t>
      </w:r>
    </w:p>
    <w:p>
      <w:pPr>
        <w:spacing w:after="0" w:line="14" w:lineRule="exact"/>
        <w:rPr>
          <w:sz w:val="20"/>
          <w:szCs w:val="20"/>
          <w:color w:val="auto"/>
        </w:rPr>
      </w:pPr>
    </w:p>
    <w:p>
      <w:pPr>
        <w:jc w:val="center"/>
        <w:ind w:left="7640"/>
        <w:spacing w:after="0"/>
        <w:rPr>
          <w:sz w:val="20"/>
          <w:szCs w:val="20"/>
          <w:color w:val="auto"/>
        </w:rPr>
      </w:pPr>
      <w:r>
        <w:rPr>
          <w:rFonts w:ascii="Arial" w:cs="Arial" w:eastAsia="Arial" w:hAnsi="Arial"/>
          <w:sz w:val="22"/>
          <w:szCs w:val="22"/>
          <w:b w:val="1"/>
          <w:bCs w:val="1"/>
          <w:color w:val="auto"/>
        </w:rPr>
        <w:t>MARCH 31,</w:t>
      </w:r>
    </w:p>
    <w:p>
      <w:pPr>
        <w:spacing w:after="0" w:line="4"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758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492"/>
              <w:spacing w:after="0"/>
              <w:rPr>
                <w:sz w:val="20"/>
                <w:szCs w:val="20"/>
                <w:color w:val="auto"/>
              </w:rPr>
            </w:pPr>
            <w:r>
              <w:rPr>
                <w:rFonts w:ascii="Arial" w:cs="Arial" w:eastAsia="Arial" w:hAnsi="Arial"/>
                <w:sz w:val="22"/>
                <w:szCs w:val="22"/>
                <w:b w:val="1"/>
                <w:bCs w:val="1"/>
                <w:color w:val="auto"/>
              </w:rPr>
              <w:t>2017</w:t>
            </w:r>
          </w:p>
        </w:tc>
        <w:tc>
          <w:tcPr>
            <w:tcW w:w="12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22"/>
                <w:szCs w:val="22"/>
                <w:b w:val="1"/>
                <w:bCs w:val="1"/>
                <w:color w:val="auto"/>
              </w:rPr>
              <w:t>2016</w:t>
            </w:r>
          </w:p>
        </w:tc>
      </w:tr>
      <w:tr>
        <w:trPr>
          <w:trHeight w:val="526"/>
        </w:trPr>
        <w:tc>
          <w:tcPr>
            <w:tcW w:w="7580" w:type="dxa"/>
            <w:vAlign w:val="bottom"/>
          </w:tcPr>
          <w:p>
            <w:pPr>
              <w:spacing w:after="0"/>
              <w:rPr>
                <w:sz w:val="20"/>
                <w:szCs w:val="20"/>
                <w:color w:val="auto"/>
              </w:rPr>
            </w:pPr>
            <w:r>
              <w:rPr>
                <w:rFonts w:ascii="Arial" w:cs="Arial" w:eastAsia="Arial" w:hAnsi="Arial"/>
                <w:sz w:val="22"/>
                <w:szCs w:val="22"/>
                <w:color w:val="auto"/>
              </w:rPr>
              <w:t>Net loss</w:t>
            </w:r>
          </w:p>
        </w:tc>
        <w:tc>
          <w:tcPr>
            <w:tcW w:w="42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1260" w:type="dxa"/>
            <w:vAlign w:val="bottom"/>
          </w:tcPr>
          <w:p>
            <w:pPr>
              <w:jc w:val="right"/>
              <w:spacing w:after="0"/>
              <w:rPr>
                <w:sz w:val="20"/>
                <w:szCs w:val="20"/>
                <w:color w:val="auto"/>
              </w:rPr>
            </w:pPr>
            <w:r>
              <w:rPr>
                <w:rFonts w:ascii="Arial" w:cs="Arial" w:eastAsia="Arial" w:hAnsi="Arial"/>
                <w:sz w:val="22"/>
                <w:szCs w:val="22"/>
                <w:color w:val="auto"/>
              </w:rPr>
              <w:t>(20,987)</w:t>
            </w:r>
          </w:p>
        </w:tc>
        <w:tc>
          <w:tcPr>
            <w:tcW w:w="120" w:type="dxa"/>
            <w:vAlign w:val="bottom"/>
          </w:tcPr>
          <w:p>
            <w:pPr>
              <w:spacing w:after="0"/>
              <w:rPr>
                <w:sz w:val="24"/>
                <w:szCs w:val="24"/>
                <w:color w:val="auto"/>
              </w:rPr>
            </w:pPr>
          </w:p>
        </w:tc>
        <w:tc>
          <w:tcPr>
            <w:tcW w:w="46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1360" w:type="dxa"/>
            <w:vAlign w:val="bottom"/>
          </w:tcPr>
          <w:p>
            <w:pPr>
              <w:jc w:val="right"/>
              <w:ind w:right="32"/>
              <w:spacing w:after="0"/>
              <w:rPr>
                <w:sz w:val="20"/>
                <w:szCs w:val="20"/>
                <w:color w:val="auto"/>
              </w:rPr>
            </w:pPr>
            <w:r>
              <w:rPr>
                <w:rFonts w:ascii="Arial" w:cs="Arial" w:eastAsia="Arial" w:hAnsi="Arial"/>
                <w:sz w:val="22"/>
                <w:szCs w:val="22"/>
                <w:color w:val="auto"/>
              </w:rPr>
              <w:t>(26,822)</w:t>
            </w:r>
          </w:p>
        </w:tc>
      </w:tr>
      <w:tr>
        <w:trPr>
          <w:trHeight w:val="270"/>
        </w:trPr>
        <w:tc>
          <w:tcPr>
            <w:tcW w:w="7580" w:type="dxa"/>
            <w:vAlign w:val="bottom"/>
          </w:tcPr>
          <w:p>
            <w:pPr>
              <w:spacing w:after="0"/>
              <w:rPr>
                <w:sz w:val="20"/>
                <w:szCs w:val="20"/>
                <w:color w:val="auto"/>
              </w:rPr>
            </w:pPr>
            <w:r>
              <w:rPr>
                <w:rFonts w:ascii="Arial" w:cs="Arial" w:eastAsia="Arial" w:hAnsi="Arial"/>
                <w:sz w:val="22"/>
                <w:szCs w:val="22"/>
                <w:color w:val="auto"/>
              </w:rPr>
              <w:t>Income tax provision (benefit)</w:t>
            </w:r>
          </w:p>
        </w:tc>
        <w:tc>
          <w:tcPr>
            <w:tcW w:w="4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(2,948)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60" w:type="dxa"/>
            <w:vAlign w:val="bottom"/>
          </w:tcPr>
          <w:p>
            <w:pPr>
              <w:jc w:val="right"/>
              <w:ind w:right="32"/>
              <w:spacing w:after="0"/>
              <w:rPr>
                <w:sz w:val="20"/>
                <w:szCs w:val="20"/>
                <w:color w:val="auto"/>
              </w:rPr>
            </w:pPr>
            <w:r>
              <w:rPr>
                <w:rFonts w:ascii="Arial" w:cs="Arial" w:eastAsia="Arial" w:hAnsi="Arial"/>
                <w:sz w:val="22"/>
                <w:szCs w:val="22"/>
                <w:color w:val="auto"/>
              </w:rPr>
              <w:t>(4,571)</w:t>
            </w:r>
          </w:p>
        </w:tc>
      </w:tr>
      <w:tr>
        <w:trPr>
          <w:trHeight w:val="270"/>
        </w:trPr>
        <w:tc>
          <w:tcPr>
            <w:tcW w:w="7580" w:type="dxa"/>
            <w:vAlign w:val="bottom"/>
          </w:tcPr>
          <w:p>
            <w:pPr>
              <w:spacing w:after="0"/>
              <w:rPr>
                <w:sz w:val="20"/>
                <w:szCs w:val="20"/>
                <w:color w:val="auto"/>
              </w:rPr>
            </w:pPr>
            <w:r>
              <w:rPr>
                <w:rFonts w:ascii="Arial" w:cs="Arial" w:eastAsia="Arial" w:hAnsi="Arial"/>
                <w:sz w:val="22"/>
                <w:szCs w:val="22"/>
                <w:color w:val="auto"/>
              </w:rPr>
              <w:t>Depreciation and amortization</w:t>
            </w:r>
          </w:p>
        </w:tc>
        <w:tc>
          <w:tcPr>
            <w:tcW w:w="42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22"/>
                <w:szCs w:val="22"/>
                <w:color w:val="auto"/>
              </w:rPr>
              <w:t>32,829</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60" w:type="dxa"/>
            <w:vAlign w:val="bottom"/>
          </w:tcPr>
          <w:p>
            <w:pPr>
              <w:jc w:val="right"/>
              <w:ind w:right="92"/>
              <w:spacing w:after="0"/>
              <w:rPr>
                <w:sz w:val="20"/>
                <w:szCs w:val="20"/>
                <w:color w:val="auto"/>
              </w:rPr>
            </w:pPr>
            <w:r>
              <w:rPr>
                <w:rFonts w:ascii="Arial" w:cs="Arial" w:eastAsia="Arial" w:hAnsi="Arial"/>
                <w:sz w:val="22"/>
                <w:szCs w:val="22"/>
                <w:color w:val="auto"/>
              </w:rPr>
              <w:t>33,555</w:t>
            </w:r>
          </w:p>
        </w:tc>
      </w:tr>
      <w:tr>
        <w:trPr>
          <w:trHeight w:val="270"/>
        </w:trPr>
        <w:tc>
          <w:tcPr>
            <w:tcW w:w="7580" w:type="dxa"/>
            <w:vAlign w:val="bottom"/>
          </w:tcPr>
          <w:p>
            <w:pPr>
              <w:spacing w:after="0"/>
              <w:rPr>
                <w:sz w:val="20"/>
                <w:szCs w:val="20"/>
                <w:color w:val="auto"/>
              </w:rPr>
            </w:pPr>
            <w:r>
              <w:rPr>
                <w:rFonts w:ascii="Arial" w:cs="Arial" w:eastAsia="Arial" w:hAnsi="Arial"/>
                <w:sz w:val="22"/>
                <w:szCs w:val="22"/>
                <w:color w:val="auto"/>
              </w:rPr>
              <w:t>Interest income</w:t>
            </w:r>
          </w:p>
        </w:tc>
        <w:tc>
          <w:tcPr>
            <w:tcW w:w="4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(10)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60" w:type="dxa"/>
            <w:vAlign w:val="bottom"/>
          </w:tcPr>
          <w:p>
            <w:pPr>
              <w:jc w:val="right"/>
              <w:ind w:right="32"/>
              <w:spacing w:after="0"/>
              <w:rPr>
                <w:sz w:val="20"/>
                <w:szCs w:val="20"/>
                <w:color w:val="auto"/>
              </w:rPr>
            </w:pPr>
            <w:r>
              <w:rPr>
                <w:rFonts w:ascii="Arial" w:cs="Arial" w:eastAsia="Arial" w:hAnsi="Arial"/>
                <w:sz w:val="22"/>
                <w:szCs w:val="22"/>
                <w:color w:val="auto"/>
              </w:rPr>
              <w:t>(86)</w:t>
            </w:r>
          </w:p>
        </w:tc>
      </w:tr>
      <w:tr>
        <w:trPr>
          <w:trHeight w:val="270"/>
        </w:trPr>
        <w:tc>
          <w:tcPr>
            <w:tcW w:w="7580" w:type="dxa"/>
            <w:vAlign w:val="bottom"/>
          </w:tcPr>
          <w:p>
            <w:pPr>
              <w:spacing w:after="0"/>
              <w:rPr>
                <w:sz w:val="20"/>
                <w:szCs w:val="20"/>
                <w:color w:val="auto"/>
              </w:rPr>
            </w:pPr>
            <w:r>
              <w:rPr>
                <w:rFonts w:ascii="Arial" w:cs="Arial" w:eastAsia="Arial" w:hAnsi="Arial"/>
                <w:sz w:val="22"/>
                <w:szCs w:val="22"/>
                <w:color w:val="auto"/>
              </w:rPr>
              <w:t>Loss on extinguishment of debt</w:t>
            </w:r>
          </w:p>
        </w:tc>
        <w:tc>
          <w:tcPr>
            <w:tcW w:w="42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22"/>
                <w:szCs w:val="22"/>
                <w:color w:val="auto"/>
              </w:rPr>
              <w:t>842</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60" w:type="dxa"/>
            <w:vAlign w:val="bottom"/>
          </w:tcPr>
          <w:p>
            <w:pPr>
              <w:jc w:val="right"/>
              <w:ind w:right="92"/>
              <w:spacing w:after="0"/>
              <w:rPr>
                <w:sz w:val="20"/>
                <w:szCs w:val="20"/>
                <w:color w:val="auto"/>
              </w:rPr>
            </w:pPr>
            <w:r>
              <w:rPr>
                <w:rFonts w:ascii="Arial" w:cs="Arial" w:eastAsia="Arial" w:hAnsi="Arial"/>
                <w:sz w:val="22"/>
                <w:szCs w:val="22"/>
                <w:color w:val="auto"/>
              </w:rPr>
              <w:t>302</w:t>
            </w:r>
          </w:p>
        </w:tc>
      </w:tr>
      <w:tr>
        <w:trPr>
          <w:trHeight w:val="275"/>
        </w:trPr>
        <w:tc>
          <w:tcPr>
            <w:tcW w:w="7580" w:type="dxa"/>
            <w:vAlign w:val="bottom"/>
          </w:tcPr>
          <w:p>
            <w:pPr>
              <w:spacing w:after="0"/>
              <w:rPr>
                <w:sz w:val="20"/>
                <w:szCs w:val="20"/>
                <w:color w:val="auto"/>
              </w:rPr>
            </w:pPr>
            <w:r>
              <w:rPr>
                <w:rFonts w:ascii="Arial" w:cs="Arial" w:eastAsia="Arial" w:hAnsi="Arial"/>
                <w:sz w:val="22"/>
                <w:szCs w:val="22"/>
                <w:color w:val="auto"/>
              </w:rPr>
              <w:t>Interest expense</w:t>
            </w:r>
          </w:p>
        </w:tc>
        <w:tc>
          <w:tcPr>
            <w:tcW w:w="4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5,504</w:t>
            </w:r>
          </w:p>
        </w:tc>
        <w:tc>
          <w:tcPr>
            <w:tcW w:w="12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4,944</w:t>
            </w:r>
          </w:p>
        </w:tc>
      </w:tr>
      <w:tr>
        <w:trPr>
          <w:trHeight w:val="267"/>
        </w:trPr>
        <w:tc>
          <w:tcPr>
            <w:tcW w:w="7580" w:type="dxa"/>
            <w:vAlign w:val="bottom"/>
          </w:tcPr>
          <w:p>
            <w:pPr>
              <w:ind w:left="240"/>
              <w:spacing w:after="0"/>
              <w:rPr>
                <w:sz w:val="20"/>
                <w:szCs w:val="20"/>
                <w:color w:val="auto"/>
              </w:rPr>
            </w:pPr>
            <w:r>
              <w:rPr>
                <w:rFonts w:ascii="Arial" w:cs="Arial" w:eastAsia="Arial" w:hAnsi="Arial"/>
                <w:sz w:val="22"/>
                <w:szCs w:val="22"/>
                <w:color w:val="auto"/>
              </w:rPr>
              <w:t>EBITDA</w:t>
            </w:r>
          </w:p>
        </w:tc>
        <w:tc>
          <w:tcPr>
            <w:tcW w:w="42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w:t>
            </w: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15,230</w:t>
            </w:r>
          </w:p>
        </w:tc>
        <w:tc>
          <w:tcPr>
            <w:tcW w:w="120" w:type="dxa"/>
            <w:vAlign w:val="bottom"/>
          </w:tcPr>
          <w:p>
            <w:pPr>
              <w:spacing w:after="0"/>
              <w:rPr>
                <w:sz w:val="23"/>
                <w:szCs w:val="23"/>
                <w:color w:val="auto"/>
              </w:rPr>
            </w:pPr>
          </w:p>
        </w:tc>
        <w:tc>
          <w:tcPr>
            <w:tcW w:w="46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w:t>
            </w:r>
          </w:p>
        </w:tc>
        <w:tc>
          <w:tcPr>
            <w:tcW w:w="136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7,322</w:t>
            </w:r>
          </w:p>
        </w:tc>
      </w:tr>
      <w:tr>
        <w:trPr>
          <w:trHeight w:val="256"/>
        </w:trPr>
        <w:tc>
          <w:tcPr>
            <w:tcW w:w="7580" w:type="dxa"/>
            <w:vAlign w:val="bottom"/>
          </w:tcPr>
          <w:p>
            <w:pPr>
              <w:spacing w:after="0"/>
              <w:rPr>
                <w:sz w:val="20"/>
                <w:szCs w:val="20"/>
                <w:color w:val="auto"/>
              </w:rPr>
            </w:pPr>
            <w:r>
              <w:rPr>
                <w:rFonts w:ascii="Arial" w:cs="Arial" w:eastAsia="Arial" w:hAnsi="Arial"/>
                <w:sz w:val="22"/>
                <w:szCs w:val="22"/>
                <w:color w:val="auto"/>
              </w:rPr>
              <w:t>Adjustments to EBITDA</w:t>
            </w:r>
          </w:p>
        </w:tc>
        <w:tc>
          <w:tcPr>
            <w:tcW w:w="4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0"/>
        </w:trPr>
        <w:tc>
          <w:tcPr>
            <w:tcW w:w="7580" w:type="dxa"/>
            <w:vAlign w:val="bottom"/>
          </w:tcPr>
          <w:p>
            <w:pPr>
              <w:ind w:left="240"/>
              <w:spacing w:after="0"/>
              <w:rPr>
                <w:sz w:val="20"/>
                <w:szCs w:val="20"/>
                <w:color w:val="auto"/>
              </w:rPr>
            </w:pPr>
            <w:r>
              <w:rPr>
                <w:rFonts w:ascii="Arial" w:cs="Arial" w:eastAsia="Arial" w:hAnsi="Arial"/>
                <w:sz w:val="22"/>
                <w:szCs w:val="22"/>
                <w:color w:val="auto"/>
              </w:rPr>
              <w:t>Impairment expense (a)</w:t>
            </w:r>
          </w:p>
        </w:tc>
        <w:tc>
          <w:tcPr>
            <w:tcW w:w="420" w:type="dxa"/>
            <w:vAlign w:val="bottom"/>
          </w:tcPr>
          <w:p>
            <w:pPr>
              <w:spacing w:after="0"/>
              <w:rPr>
                <w:sz w:val="23"/>
                <w:szCs w:val="23"/>
                <w:color w:val="auto"/>
              </w:rPr>
            </w:pPr>
          </w:p>
        </w:tc>
        <w:tc>
          <w:tcPr>
            <w:tcW w:w="126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60" w:type="dxa"/>
            <w:vAlign w:val="bottom"/>
          </w:tcPr>
          <w:p>
            <w:pPr>
              <w:jc w:val="right"/>
              <w:ind w:right="92"/>
              <w:spacing w:after="0"/>
              <w:rPr>
                <w:sz w:val="20"/>
                <w:szCs w:val="20"/>
                <w:color w:val="auto"/>
              </w:rPr>
            </w:pPr>
            <w:r>
              <w:rPr>
                <w:rFonts w:ascii="Arial" w:cs="Arial" w:eastAsia="Arial" w:hAnsi="Arial"/>
                <w:sz w:val="22"/>
                <w:szCs w:val="22"/>
                <w:color w:val="auto"/>
              </w:rPr>
              <w:t>8,400</w:t>
            </w:r>
          </w:p>
        </w:tc>
      </w:tr>
      <w:tr>
        <w:trPr>
          <w:trHeight w:val="276"/>
        </w:trPr>
        <w:tc>
          <w:tcPr>
            <w:tcW w:w="7580" w:type="dxa"/>
            <w:vAlign w:val="bottom"/>
          </w:tcPr>
          <w:p>
            <w:pPr>
              <w:ind w:left="240"/>
              <w:spacing w:after="0"/>
              <w:rPr>
                <w:sz w:val="20"/>
                <w:szCs w:val="20"/>
                <w:color w:val="auto"/>
              </w:rPr>
            </w:pPr>
            <w:r>
              <w:rPr>
                <w:rFonts w:ascii="Arial" w:cs="Arial" w:eastAsia="Arial" w:hAnsi="Arial"/>
                <w:sz w:val="22"/>
                <w:szCs w:val="22"/>
                <w:color w:val="auto"/>
              </w:rPr>
              <w:t>Redomiciliation costs (b)</w:t>
            </w:r>
          </w:p>
        </w:tc>
        <w:tc>
          <w:tcPr>
            <w:tcW w:w="4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1,035</w:t>
            </w:r>
          </w:p>
        </w:tc>
      </w:tr>
      <w:tr>
        <w:trPr>
          <w:trHeight w:val="265"/>
        </w:trPr>
        <w:tc>
          <w:tcPr>
            <w:tcW w:w="7580" w:type="dxa"/>
            <w:vAlign w:val="bottom"/>
          </w:tcPr>
          <w:p>
            <w:pPr>
              <w:ind w:left="380"/>
              <w:spacing w:after="0"/>
              <w:rPr>
                <w:sz w:val="20"/>
                <w:szCs w:val="20"/>
                <w:color w:val="auto"/>
              </w:rPr>
            </w:pPr>
            <w:r>
              <w:rPr>
                <w:rFonts w:ascii="Arial" w:cs="Arial" w:eastAsia="Arial" w:hAnsi="Arial"/>
                <w:sz w:val="22"/>
                <w:szCs w:val="22"/>
                <w:color w:val="auto"/>
              </w:rPr>
              <w:t>Adjusted EBITDA</w:t>
            </w:r>
          </w:p>
        </w:tc>
        <w:tc>
          <w:tcPr>
            <w:tcW w:w="42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w:t>
            </w: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15,230</w:t>
            </w:r>
          </w:p>
        </w:tc>
        <w:tc>
          <w:tcPr>
            <w:tcW w:w="120" w:type="dxa"/>
            <w:vAlign w:val="bottom"/>
          </w:tcPr>
          <w:p>
            <w:pPr>
              <w:spacing w:after="0"/>
              <w:rPr>
                <w:sz w:val="23"/>
                <w:szCs w:val="23"/>
                <w:color w:val="auto"/>
              </w:rPr>
            </w:pPr>
          </w:p>
        </w:tc>
        <w:tc>
          <w:tcPr>
            <w:tcW w:w="46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w:t>
            </w:r>
          </w:p>
        </w:tc>
        <w:tc>
          <w:tcPr>
            <w:tcW w:w="136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16,757</w:t>
            </w:r>
          </w:p>
        </w:tc>
      </w:tr>
      <w:tr>
        <w:trPr>
          <w:trHeight w:val="21"/>
        </w:trPr>
        <w:tc>
          <w:tcPr>
            <w:tcW w:w="75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ind w:right="140" w:firstLine="2"/>
        <w:spacing w:after="0" w:line="328" w:lineRule="auto"/>
        <w:tabs>
          <w:tab w:leader="none" w:pos="294" w:val="left"/>
        </w:tabs>
        <w:numPr>
          <w:ilvl w:val="0"/>
          <w:numId w:val="5"/>
        </w:numPr>
        <w:rPr>
          <w:rFonts w:ascii="Arial" w:cs="Arial" w:eastAsia="Arial" w:hAnsi="Arial"/>
          <w:sz w:val="19"/>
          <w:szCs w:val="19"/>
          <w:color w:val="auto"/>
        </w:rPr>
      </w:pPr>
      <w:r>
        <w:rPr>
          <w:rFonts w:ascii="Arial" w:cs="Arial" w:eastAsia="Arial" w:hAnsi="Arial"/>
          <w:sz w:val="19"/>
          <w:szCs w:val="19"/>
          <w:color w:val="auto"/>
        </w:rPr>
        <w:t>Relates to the first quarter 2016 impairment of assets in the United States. We recorded a pre-tax loss of $8.4 million ($5.5 million after-tax, or $0.05 per diluted share), which is included in Impairment expense on the unaudited statements of operations.</w:t>
      </w:r>
    </w:p>
    <w:p>
      <w:pPr>
        <w:spacing w:after="0" w:line="186" w:lineRule="exact"/>
        <w:rPr>
          <w:rFonts w:ascii="Arial" w:cs="Arial" w:eastAsia="Arial" w:hAnsi="Arial"/>
          <w:sz w:val="19"/>
          <w:szCs w:val="19"/>
          <w:color w:val="auto"/>
        </w:rPr>
      </w:pPr>
    </w:p>
    <w:p>
      <w:pPr>
        <w:ind w:right="300" w:firstLine="2"/>
        <w:spacing w:after="0"/>
        <w:tabs>
          <w:tab w:leader="none" w:pos="306" w:val="left"/>
        </w:tabs>
        <w:numPr>
          <w:ilvl w:val="0"/>
          <w:numId w:val="5"/>
        </w:numPr>
        <w:rPr>
          <w:rFonts w:ascii="Arial" w:cs="Arial" w:eastAsia="Arial" w:hAnsi="Arial"/>
          <w:sz w:val="22"/>
          <w:szCs w:val="22"/>
          <w:color w:val="auto"/>
        </w:rPr>
      </w:pPr>
      <w:r>
        <w:rPr>
          <w:rFonts w:ascii="Arial" w:cs="Arial" w:eastAsia="Arial" w:hAnsi="Arial"/>
          <w:sz w:val="22"/>
          <w:szCs w:val="22"/>
          <w:color w:val="auto"/>
        </w:rPr>
        <w:t>Relates to costs incurred associated with Civeo's redomiciliation to Canada. The $1.0 million of costs in 2016 ($0.7 million after-tax), which are primarily corporate in nature, are included in Selling, general and administrative costs on the unaudited statements of operations.</w:t>
      </w:r>
    </w:p>
    <w:p>
      <w:pPr>
        <w:sectPr>
          <w:pgSz w:w="11900" w:h="16838" w:orient="portrait"/>
          <w:cols w:equalWidth="0" w:num="1">
            <w:col w:w="11320"/>
          </w:cols>
          <w:pgMar w:left="260" w:top="118" w:right="319" w:bottom="0" w:gutter="0" w:footer="0" w:header="0"/>
        </w:sectPr>
      </w:pPr>
    </w:p>
    <w:bookmarkStart w:id="10" w:name="page11"/>
    <w:bookmarkEnd w:id="10"/>
    <w:p>
      <w:pPr>
        <w:spacing w:after="0" w:line="77" w:lineRule="exact"/>
        <w:rPr>
          <w:sz w:val="20"/>
          <w:szCs w:val="20"/>
          <w:color w:val="auto"/>
        </w:rPr>
      </w:pPr>
    </w:p>
    <w:p>
      <w:pPr>
        <w:ind w:right="140" w:firstLine="2"/>
        <w:spacing w:after="0" w:line="245" w:lineRule="auto"/>
        <w:tabs>
          <w:tab w:leader="none" w:pos="306" w:val="left"/>
        </w:tabs>
        <w:numPr>
          <w:ilvl w:val="0"/>
          <w:numId w:val="6"/>
        </w:numPr>
        <w:rPr>
          <w:rFonts w:ascii="Arial" w:cs="Arial" w:eastAsia="Arial" w:hAnsi="Arial"/>
          <w:sz w:val="21"/>
          <w:szCs w:val="21"/>
          <w:color w:val="auto"/>
        </w:rPr>
      </w:pPr>
      <w:r>
        <w:rPr>
          <w:rFonts w:ascii="Arial" w:cs="Arial" w:eastAsia="Arial" w:hAnsi="Arial"/>
          <w:sz w:val="21"/>
          <w:szCs w:val="21"/>
          <w:color w:val="auto"/>
        </w:rPr>
        <w:t>The term Free Cash Flow is defined as net cash flows provided by operating activities less capital expenditures plus proceeds from asset sales. Free Cash Flow is not a measure of financial performance under generally accepted accounting principles and should not be considered in isolation from or as a substitute for cash flow measures prepared in accordance with generally accepted accounting principles or as a measure of profitability or liquidity. Additionally, Free Cash Flow may not be comparable to other similarly titled measures of other companies. Civeo has included Free Cash Flow as a supplemental disclosure because its management believes that Free Cash Flow provides useful information regarding the cash flow generating ability of its business relative to its capital expenditure and debt service obligations. Civeo uses Free Cash Flow to compare and to understand, manage, make operating decisions and evaluate Civeo's business. It is also used as a benchmark for the award of incentive compensation under its Free Cash Flow plan.</w:t>
      </w:r>
    </w:p>
    <w:p>
      <w:pPr>
        <w:spacing w:after="0" w:line="200" w:lineRule="exact"/>
        <w:rPr>
          <w:sz w:val="20"/>
          <w:szCs w:val="20"/>
          <w:color w:val="auto"/>
        </w:rPr>
      </w:pPr>
    </w:p>
    <w:p>
      <w:pPr>
        <w:spacing w:after="0" w:line="337" w:lineRule="exact"/>
        <w:rPr>
          <w:sz w:val="20"/>
          <w:szCs w:val="20"/>
          <w:color w:val="auto"/>
        </w:rPr>
      </w:pPr>
    </w:p>
    <w:p>
      <w:pPr>
        <w:ind w:right="380"/>
        <w:spacing w:after="0"/>
        <w:rPr>
          <w:sz w:val="20"/>
          <w:szCs w:val="20"/>
          <w:color w:val="auto"/>
        </w:rPr>
      </w:pPr>
      <w:r>
        <w:rPr>
          <w:rFonts w:ascii="Arial" w:cs="Arial" w:eastAsia="Arial" w:hAnsi="Arial"/>
          <w:sz w:val="22"/>
          <w:szCs w:val="22"/>
          <w:color w:val="auto"/>
        </w:rPr>
        <w:t>The following table sets forth a reconciliation of Free Cash Flow to Net Cash Flows Provided by Operating Activities, which is the most directly comparable measure of financial performance calculated under generally accepted accounting principles (in thousands) (unaudited):</w:t>
      </w:r>
    </w:p>
    <w:p>
      <w:pPr>
        <w:spacing w:after="0" w:line="262" w:lineRule="exact"/>
        <w:rPr>
          <w:sz w:val="20"/>
          <w:szCs w:val="20"/>
          <w:color w:val="auto"/>
        </w:rPr>
      </w:pPr>
    </w:p>
    <w:p>
      <w:pPr>
        <w:jc w:val="center"/>
        <w:ind w:left="7640"/>
        <w:spacing w:after="0"/>
        <w:rPr>
          <w:sz w:val="20"/>
          <w:szCs w:val="20"/>
          <w:color w:val="auto"/>
        </w:rPr>
      </w:pPr>
      <w:r>
        <w:rPr>
          <w:rFonts w:ascii="Arial" w:cs="Arial" w:eastAsia="Arial" w:hAnsi="Arial"/>
          <w:sz w:val="22"/>
          <w:szCs w:val="22"/>
          <w:b w:val="1"/>
          <w:bCs w:val="1"/>
          <w:color w:val="auto"/>
        </w:rPr>
        <w:t>THREE MONTHS ENDED</w:t>
      </w:r>
    </w:p>
    <w:p>
      <w:pPr>
        <w:spacing w:after="0" w:line="14" w:lineRule="exact"/>
        <w:rPr>
          <w:sz w:val="20"/>
          <w:szCs w:val="20"/>
          <w:color w:val="auto"/>
        </w:rPr>
      </w:pPr>
    </w:p>
    <w:p>
      <w:pPr>
        <w:jc w:val="center"/>
        <w:ind w:left="7640"/>
        <w:spacing w:after="0"/>
        <w:rPr>
          <w:sz w:val="20"/>
          <w:szCs w:val="20"/>
          <w:color w:val="auto"/>
        </w:rPr>
      </w:pPr>
      <w:r>
        <w:rPr>
          <w:rFonts w:ascii="Arial" w:cs="Arial" w:eastAsia="Arial" w:hAnsi="Arial"/>
          <w:sz w:val="22"/>
          <w:szCs w:val="22"/>
          <w:b w:val="1"/>
          <w:bCs w:val="1"/>
          <w:color w:val="auto"/>
        </w:rPr>
        <w:t>MARCH 31,</w:t>
      </w:r>
    </w:p>
    <w:p>
      <w:pPr>
        <w:spacing w:after="0" w:line="4"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758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492"/>
              <w:spacing w:after="0"/>
              <w:rPr>
                <w:sz w:val="20"/>
                <w:szCs w:val="20"/>
                <w:color w:val="auto"/>
              </w:rPr>
            </w:pPr>
            <w:r>
              <w:rPr>
                <w:rFonts w:ascii="Arial" w:cs="Arial" w:eastAsia="Arial" w:hAnsi="Arial"/>
                <w:sz w:val="22"/>
                <w:szCs w:val="22"/>
                <w:b w:val="1"/>
                <w:bCs w:val="1"/>
                <w:color w:val="auto"/>
              </w:rPr>
              <w:t>2017</w:t>
            </w:r>
          </w:p>
        </w:tc>
        <w:tc>
          <w:tcPr>
            <w:tcW w:w="12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22"/>
                <w:szCs w:val="22"/>
                <w:b w:val="1"/>
                <w:bCs w:val="1"/>
                <w:color w:val="auto"/>
              </w:rPr>
              <w:t>2016</w:t>
            </w:r>
          </w:p>
        </w:tc>
      </w:tr>
      <w:tr>
        <w:trPr>
          <w:trHeight w:val="526"/>
        </w:trPr>
        <w:tc>
          <w:tcPr>
            <w:tcW w:w="7580" w:type="dxa"/>
            <w:vAlign w:val="bottom"/>
          </w:tcPr>
          <w:p>
            <w:pPr>
              <w:spacing w:after="0"/>
              <w:rPr>
                <w:sz w:val="20"/>
                <w:szCs w:val="20"/>
                <w:color w:val="auto"/>
              </w:rPr>
            </w:pPr>
            <w:r>
              <w:rPr>
                <w:rFonts w:ascii="Arial" w:cs="Arial" w:eastAsia="Arial" w:hAnsi="Arial"/>
                <w:sz w:val="22"/>
                <w:szCs w:val="22"/>
                <w:color w:val="auto"/>
              </w:rPr>
              <w:t>Net Cash Flows Provided by Operating Activities</w:t>
            </w:r>
          </w:p>
        </w:tc>
        <w:tc>
          <w:tcPr>
            <w:tcW w:w="42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1260" w:type="dxa"/>
            <w:vAlign w:val="bottom"/>
          </w:tcPr>
          <w:p>
            <w:pPr>
              <w:jc w:val="right"/>
              <w:ind w:right="12"/>
              <w:spacing w:after="0"/>
              <w:rPr>
                <w:sz w:val="20"/>
                <w:szCs w:val="20"/>
                <w:color w:val="auto"/>
              </w:rPr>
            </w:pPr>
            <w:r>
              <w:rPr>
                <w:rFonts w:ascii="Arial" w:cs="Arial" w:eastAsia="Arial" w:hAnsi="Arial"/>
                <w:sz w:val="22"/>
                <w:szCs w:val="22"/>
                <w:color w:val="auto"/>
              </w:rPr>
              <w:t>9,848</w:t>
            </w:r>
          </w:p>
        </w:tc>
        <w:tc>
          <w:tcPr>
            <w:tcW w:w="120" w:type="dxa"/>
            <w:vAlign w:val="bottom"/>
          </w:tcPr>
          <w:p>
            <w:pPr>
              <w:spacing w:after="0"/>
              <w:rPr>
                <w:sz w:val="24"/>
                <w:szCs w:val="24"/>
                <w:color w:val="auto"/>
              </w:rPr>
            </w:pPr>
          </w:p>
        </w:tc>
        <w:tc>
          <w:tcPr>
            <w:tcW w:w="46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1360" w:type="dxa"/>
            <w:vAlign w:val="bottom"/>
          </w:tcPr>
          <w:p>
            <w:pPr>
              <w:jc w:val="right"/>
              <w:ind w:right="92"/>
              <w:spacing w:after="0"/>
              <w:rPr>
                <w:sz w:val="20"/>
                <w:szCs w:val="20"/>
                <w:color w:val="auto"/>
              </w:rPr>
            </w:pPr>
            <w:r>
              <w:rPr>
                <w:rFonts w:ascii="Arial" w:cs="Arial" w:eastAsia="Arial" w:hAnsi="Arial"/>
                <w:sz w:val="22"/>
                <w:szCs w:val="22"/>
                <w:color w:val="auto"/>
              </w:rPr>
              <w:t>11,330</w:t>
            </w:r>
          </w:p>
        </w:tc>
      </w:tr>
      <w:tr>
        <w:trPr>
          <w:trHeight w:val="270"/>
        </w:trPr>
        <w:tc>
          <w:tcPr>
            <w:tcW w:w="7580" w:type="dxa"/>
            <w:vAlign w:val="bottom"/>
          </w:tcPr>
          <w:p>
            <w:pPr>
              <w:ind w:left="320"/>
              <w:spacing w:after="0"/>
              <w:rPr>
                <w:sz w:val="20"/>
                <w:szCs w:val="20"/>
                <w:color w:val="auto"/>
              </w:rPr>
            </w:pPr>
            <w:r>
              <w:rPr>
                <w:rFonts w:ascii="Arial" w:cs="Arial" w:eastAsia="Arial" w:hAnsi="Arial"/>
                <w:sz w:val="22"/>
                <w:szCs w:val="22"/>
                <w:color w:val="auto"/>
              </w:rPr>
              <w:t>Capital expenditures, including capitalized interest</w:t>
            </w:r>
          </w:p>
        </w:tc>
        <w:tc>
          <w:tcPr>
            <w:tcW w:w="4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(3,883)</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60" w:type="dxa"/>
            <w:vAlign w:val="bottom"/>
          </w:tcPr>
          <w:p>
            <w:pPr>
              <w:jc w:val="right"/>
              <w:ind w:right="32"/>
              <w:spacing w:after="0"/>
              <w:rPr>
                <w:sz w:val="20"/>
                <w:szCs w:val="20"/>
                <w:color w:val="auto"/>
              </w:rPr>
            </w:pPr>
            <w:r>
              <w:rPr>
                <w:rFonts w:ascii="Arial" w:cs="Arial" w:eastAsia="Arial" w:hAnsi="Arial"/>
                <w:sz w:val="22"/>
                <w:szCs w:val="22"/>
                <w:color w:val="auto"/>
              </w:rPr>
              <w:t>(4,761)</w:t>
            </w:r>
          </w:p>
        </w:tc>
      </w:tr>
      <w:tr>
        <w:trPr>
          <w:trHeight w:val="275"/>
        </w:trPr>
        <w:tc>
          <w:tcPr>
            <w:tcW w:w="7580" w:type="dxa"/>
            <w:vAlign w:val="bottom"/>
          </w:tcPr>
          <w:p>
            <w:pPr>
              <w:ind w:left="320"/>
              <w:spacing w:after="0"/>
              <w:rPr>
                <w:sz w:val="20"/>
                <w:szCs w:val="20"/>
                <w:color w:val="auto"/>
              </w:rPr>
            </w:pPr>
            <w:r>
              <w:rPr>
                <w:rFonts w:ascii="Arial" w:cs="Arial" w:eastAsia="Arial" w:hAnsi="Arial"/>
                <w:sz w:val="22"/>
                <w:szCs w:val="22"/>
                <w:color w:val="auto"/>
              </w:rPr>
              <w:t>Proceeds from disposition of property, plant and equipment</w:t>
            </w:r>
          </w:p>
        </w:tc>
        <w:tc>
          <w:tcPr>
            <w:tcW w:w="4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578</w:t>
            </w:r>
          </w:p>
        </w:tc>
        <w:tc>
          <w:tcPr>
            <w:tcW w:w="12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1,599</w:t>
            </w:r>
          </w:p>
        </w:tc>
      </w:tr>
      <w:tr>
        <w:trPr>
          <w:trHeight w:val="267"/>
        </w:trPr>
        <w:tc>
          <w:tcPr>
            <w:tcW w:w="7580" w:type="dxa"/>
            <w:vAlign w:val="bottom"/>
          </w:tcPr>
          <w:p>
            <w:pPr>
              <w:ind w:left="320"/>
              <w:spacing w:after="0"/>
              <w:rPr>
                <w:sz w:val="20"/>
                <w:szCs w:val="20"/>
                <w:color w:val="auto"/>
              </w:rPr>
            </w:pPr>
            <w:r>
              <w:rPr>
                <w:rFonts w:ascii="Arial" w:cs="Arial" w:eastAsia="Arial" w:hAnsi="Arial"/>
                <w:sz w:val="22"/>
                <w:szCs w:val="22"/>
                <w:color w:val="auto"/>
              </w:rPr>
              <w:t>Free Cash Flow</w:t>
            </w:r>
          </w:p>
        </w:tc>
        <w:tc>
          <w:tcPr>
            <w:tcW w:w="42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w:t>
            </w: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6,543</w:t>
            </w:r>
          </w:p>
        </w:tc>
        <w:tc>
          <w:tcPr>
            <w:tcW w:w="120" w:type="dxa"/>
            <w:vAlign w:val="bottom"/>
          </w:tcPr>
          <w:p>
            <w:pPr>
              <w:spacing w:after="0"/>
              <w:rPr>
                <w:sz w:val="23"/>
                <w:szCs w:val="23"/>
                <w:color w:val="auto"/>
              </w:rPr>
            </w:pPr>
          </w:p>
        </w:tc>
        <w:tc>
          <w:tcPr>
            <w:tcW w:w="46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w:t>
            </w:r>
          </w:p>
        </w:tc>
        <w:tc>
          <w:tcPr>
            <w:tcW w:w="136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8,168</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CIVEO CORPORATION</w:t>
      </w:r>
    </w:p>
    <w:p>
      <w:pPr>
        <w:spacing w:after="0" w:line="4"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NON-GAAP RECONCILIATIONS - GUIDANCE</w:t>
      </w:r>
    </w:p>
    <w:p>
      <w:pPr>
        <w:ind w:left="5100"/>
        <w:spacing w:after="0" w:line="230" w:lineRule="auto"/>
        <w:rPr>
          <w:sz w:val="20"/>
          <w:szCs w:val="20"/>
          <w:color w:val="auto"/>
        </w:rPr>
      </w:pPr>
      <w:r>
        <w:rPr>
          <w:rFonts w:ascii="Arial" w:cs="Arial" w:eastAsia="Arial" w:hAnsi="Arial"/>
          <w:sz w:val="22"/>
          <w:szCs w:val="22"/>
          <w:b w:val="1"/>
          <w:bCs w:val="1"/>
          <w:color w:val="auto"/>
        </w:rPr>
        <w:t>(in millions)</w:t>
      </w:r>
    </w:p>
    <w:p>
      <w:pPr>
        <w:spacing w:after="0" w:line="1"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1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840" w:type="dxa"/>
            <w:vAlign w:val="bottom"/>
            <w:gridSpan w:val="2"/>
          </w:tcPr>
          <w:p>
            <w:pPr>
              <w:ind w:left="160"/>
              <w:spacing w:after="0"/>
              <w:rPr>
                <w:sz w:val="20"/>
                <w:szCs w:val="20"/>
                <w:color w:val="auto"/>
              </w:rPr>
            </w:pPr>
            <w:r>
              <w:rPr>
                <w:rFonts w:ascii="Arial" w:cs="Arial" w:eastAsia="Arial" w:hAnsi="Arial"/>
                <w:sz w:val="22"/>
                <w:szCs w:val="22"/>
                <w:b w:val="1"/>
                <w:bCs w:val="1"/>
                <w:color w:val="auto"/>
                <w:w w:val="99"/>
              </w:rPr>
              <w:t>THREE MONTHS ENDING</w:t>
            </w:r>
          </w:p>
        </w:tc>
        <w:tc>
          <w:tcPr>
            <w:tcW w:w="6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99"/>
              </w:rPr>
              <w:t>YEAR ENDING</w:t>
            </w:r>
          </w:p>
        </w:tc>
        <w:tc>
          <w:tcPr>
            <w:tcW w:w="480" w:type="dxa"/>
            <w:vAlign w:val="bottom"/>
          </w:tcPr>
          <w:p>
            <w:pPr>
              <w:spacing w:after="0"/>
              <w:rPr>
                <w:sz w:val="21"/>
                <w:szCs w:val="21"/>
                <w:color w:val="auto"/>
              </w:rPr>
            </w:pPr>
          </w:p>
        </w:tc>
      </w:tr>
      <w:tr>
        <w:trPr>
          <w:trHeight w:val="276"/>
        </w:trPr>
        <w:tc>
          <w:tcPr>
            <w:tcW w:w="3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840" w:type="dxa"/>
            <w:vAlign w:val="bottom"/>
            <w:gridSpan w:val="2"/>
          </w:tcPr>
          <w:p>
            <w:pPr>
              <w:ind w:left="840"/>
              <w:spacing w:after="0"/>
              <w:rPr>
                <w:sz w:val="20"/>
                <w:szCs w:val="20"/>
                <w:color w:val="auto"/>
              </w:rPr>
            </w:pPr>
            <w:r>
              <w:rPr>
                <w:rFonts w:ascii="Arial" w:cs="Arial" w:eastAsia="Arial" w:hAnsi="Arial"/>
                <w:sz w:val="22"/>
                <w:szCs w:val="22"/>
                <w:b w:val="1"/>
                <w:bCs w:val="1"/>
                <w:color w:val="auto"/>
              </w:rPr>
              <w:t>JUNE 30, 2017</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80" w:type="dxa"/>
            <w:vAlign w:val="bottom"/>
            <w:gridSpan w:val="3"/>
          </w:tcPr>
          <w:p>
            <w:pPr>
              <w:jc w:val="center"/>
              <w:ind w:right="32"/>
              <w:spacing w:after="0"/>
              <w:rPr>
                <w:sz w:val="20"/>
                <w:szCs w:val="20"/>
                <w:color w:val="auto"/>
              </w:rPr>
            </w:pPr>
            <w:r>
              <w:rPr>
                <w:rFonts w:ascii="Arial" w:cs="Arial" w:eastAsia="Arial" w:hAnsi="Arial"/>
                <w:sz w:val="22"/>
                <w:szCs w:val="22"/>
                <w:b w:val="1"/>
                <w:bCs w:val="1"/>
                <w:color w:val="auto"/>
                <w:w w:val="94"/>
              </w:rPr>
              <w:t>DECEMBER 31, 2017</w:t>
            </w:r>
          </w:p>
        </w:tc>
      </w:tr>
      <w:tr>
        <w:trPr>
          <w:trHeight w:val="275"/>
        </w:trPr>
        <w:tc>
          <w:tcPr>
            <w:tcW w:w="3100" w:type="dxa"/>
            <w:vAlign w:val="bottom"/>
          </w:tcPr>
          <w:p>
            <w:pPr>
              <w:spacing w:after="0"/>
              <w:rPr>
                <w:sz w:val="20"/>
                <w:szCs w:val="20"/>
                <w:color w:val="auto"/>
              </w:rPr>
            </w:pPr>
            <w:r>
              <w:rPr>
                <w:rFonts w:ascii="Arial" w:cs="Arial" w:eastAsia="Arial" w:hAnsi="Arial"/>
                <w:sz w:val="22"/>
                <w:szCs w:val="22"/>
                <w:color w:val="auto"/>
              </w:rPr>
              <w:t>EBITDA Range (1)</w:t>
            </w:r>
          </w:p>
        </w:tc>
        <w:tc>
          <w:tcPr>
            <w:tcW w:w="166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1460" w:type="dxa"/>
            <w:vAlign w:val="bottom"/>
          </w:tcPr>
          <w:p>
            <w:pPr>
              <w:ind w:left="800"/>
              <w:spacing w:after="0"/>
              <w:rPr>
                <w:sz w:val="20"/>
                <w:szCs w:val="20"/>
                <w:color w:val="auto"/>
              </w:rPr>
            </w:pPr>
            <w:r>
              <w:rPr>
                <w:rFonts w:ascii="Arial" w:cs="Arial" w:eastAsia="Arial" w:hAnsi="Arial"/>
                <w:sz w:val="22"/>
                <w:szCs w:val="22"/>
                <w:color w:val="auto"/>
              </w:rPr>
              <w:t>14.0</w:t>
            </w:r>
          </w:p>
        </w:tc>
        <w:tc>
          <w:tcPr>
            <w:tcW w:w="1380" w:type="dxa"/>
            <w:vAlign w:val="bottom"/>
          </w:tcPr>
          <w:p>
            <w:pPr>
              <w:jc w:val="right"/>
              <w:ind w:right="892"/>
              <w:spacing w:after="0"/>
              <w:rPr>
                <w:sz w:val="20"/>
                <w:szCs w:val="20"/>
                <w:color w:val="auto"/>
              </w:rPr>
            </w:pPr>
            <w:r>
              <w:rPr>
                <w:rFonts w:ascii="Arial" w:cs="Arial" w:eastAsia="Arial" w:hAnsi="Arial"/>
                <w:sz w:val="22"/>
                <w:szCs w:val="22"/>
                <w:color w:val="auto"/>
              </w:rPr>
              <w:t>$</w:t>
            </w:r>
          </w:p>
        </w:tc>
        <w:tc>
          <w:tcPr>
            <w:tcW w:w="600" w:type="dxa"/>
            <w:vAlign w:val="bottom"/>
          </w:tcPr>
          <w:p>
            <w:pPr>
              <w:jc w:val="right"/>
              <w:ind w:right="112"/>
              <w:spacing w:after="0"/>
              <w:rPr>
                <w:sz w:val="20"/>
                <w:szCs w:val="20"/>
                <w:color w:val="auto"/>
              </w:rPr>
            </w:pPr>
            <w:r>
              <w:rPr>
                <w:rFonts w:ascii="Arial" w:cs="Arial" w:eastAsia="Arial" w:hAnsi="Arial"/>
                <w:sz w:val="22"/>
                <w:szCs w:val="22"/>
                <w:color w:val="auto"/>
                <w:w w:val="83"/>
              </w:rPr>
              <w:t>17.0</w:t>
            </w:r>
          </w:p>
        </w:tc>
        <w:tc>
          <w:tcPr>
            <w:tcW w:w="46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1100" w:type="dxa"/>
            <w:vAlign w:val="bottom"/>
          </w:tcPr>
          <w:p>
            <w:pPr>
              <w:jc w:val="right"/>
              <w:ind w:right="72"/>
              <w:spacing w:after="0"/>
              <w:rPr>
                <w:sz w:val="20"/>
                <w:szCs w:val="20"/>
                <w:color w:val="auto"/>
              </w:rPr>
            </w:pPr>
            <w:r>
              <w:rPr>
                <w:rFonts w:ascii="Arial" w:cs="Arial" w:eastAsia="Arial" w:hAnsi="Arial"/>
                <w:sz w:val="22"/>
                <w:szCs w:val="22"/>
                <w:color w:val="auto"/>
              </w:rPr>
              <w:t>60.0</w:t>
            </w:r>
          </w:p>
        </w:tc>
        <w:tc>
          <w:tcPr>
            <w:tcW w:w="900" w:type="dxa"/>
            <w:vAlign w:val="bottom"/>
          </w:tcPr>
          <w:p>
            <w:pPr>
              <w:jc w:val="right"/>
              <w:ind w:right="492"/>
              <w:spacing w:after="0"/>
              <w:rPr>
                <w:sz w:val="20"/>
                <w:szCs w:val="20"/>
                <w:color w:val="auto"/>
              </w:rPr>
            </w:pPr>
            <w:r>
              <w:rPr>
                <w:rFonts w:ascii="Arial" w:cs="Arial" w:eastAsia="Arial" w:hAnsi="Arial"/>
                <w:sz w:val="22"/>
                <w:szCs w:val="22"/>
                <w:color w:val="auto"/>
              </w:rPr>
              <w:t>$</w:t>
            </w:r>
          </w:p>
        </w:tc>
        <w:tc>
          <w:tcPr>
            <w:tcW w:w="480" w:type="dxa"/>
            <w:vAlign w:val="bottom"/>
          </w:tcPr>
          <w:p>
            <w:pPr>
              <w:jc w:val="right"/>
              <w:spacing w:after="0"/>
              <w:rPr>
                <w:sz w:val="20"/>
                <w:szCs w:val="20"/>
                <w:color w:val="auto"/>
              </w:rPr>
            </w:pPr>
            <w:r>
              <w:rPr>
                <w:rFonts w:ascii="Arial" w:cs="Arial" w:eastAsia="Arial" w:hAnsi="Arial"/>
                <w:sz w:val="22"/>
                <w:szCs w:val="22"/>
                <w:color w:val="auto"/>
              </w:rPr>
              <w:t>65.0</w:t>
            </w:r>
          </w:p>
        </w:tc>
      </w:tr>
    </w:tbl>
    <w:p>
      <w:pPr>
        <w:spacing w:after="0" w:line="266" w:lineRule="exact"/>
        <w:rPr>
          <w:sz w:val="20"/>
          <w:szCs w:val="20"/>
          <w:color w:val="auto"/>
        </w:rPr>
      </w:pPr>
    </w:p>
    <w:p>
      <w:pPr>
        <w:ind w:right="140" w:firstLine="2"/>
        <w:spacing w:after="0" w:line="328" w:lineRule="auto"/>
        <w:tabs>
          <w:tab w:leader="none" w:pos="306"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following table sets forth a reconciliation of estimated EBITDA to estimated net loss, which is the most directly comparable measure of financial performance calculated under generally accepted accounting principles (in millions) (unaudited):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80" w:type="dxa"/>
            <w:vAlign w:val="bottom"/>
            <w:gridSpan w:val="4"/>
          </w:tcPr>
          <w:p>
            <w:pPr>
              <w:jc w:val="center"/>
              <w:ind w:right="252"/>
              <w:spacing w:after="0"/>
              <w:rPr>
                <w:sz w:val="20"/>
                <w:szCs w:val="20"/>
                <w:color w:val="auto"/>
              </w:rPr>
            </w:pPr>
            <w:r>
              <w:rPr>
                <w:rFonts w:ascii="Arial" w:cs="Arial" w:eastAsia="Arial" w:hAnsi="Arial"/>
                <w:sz w:val="22"/>
                <w:szCs w:val="22"/>
                <w:b w:val="1"/>
                <w:bCs w:val="1"/>
                <w:color w:val="auto"/>
              </w:rPr>
              <w:t>THREE MONTHS ENDING</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360" w:type="dxa"/>
            <w:vAlign w:val="bottom"/>
            <w:gridSpan w:val="6"/>
          </w:tcPr>
          <w:p>
            <w:pPr>
              <w:jc w:val="center"/>
              <w:ind w:right="572"/>
              <w:spacing w:after="0"/>
              <w:rPr>
                <w:sz w:val="20"/>
                <w:szCs w:val="20"/>
                <w:color w:val="auto"/>
              </w:rPr>
            </w:pPr>
            <w:r>
              <w:rPr>
                <w:rFonts w:ascii="Arial" w:cs="Arial" w:eastAsia="Arial" w:hAnsi="Arial"/>
                <w:sz w:val="22"/>
                <w:szCs w:val="22"/>
                <w:b w:val="1"/>
                <w:bCs w:val="1"/>
                <w:color w:val="auto"/>
                <w:w w:val="99"/>
              </w:rPr>
              <w:t>YEAR ENDING</w:t>
            </w:r>
          </w:p>
        </w:tc>
        <w:tc>
          <w:tcPr>
            <w:tcW w:w="80" w:type="dxa"/>
            <w:vAlign w:val="bottom"/>
          </w:tcPr>
          <w:p>
            <w:pPr>
              <w:spacing w:after="0"/>
              <w:rPr>
                <w:sz w:val="21"/>
                <w:szCs w:val="21"/>
                <w:color w:val="auto"/>
              </w:rPr>
            </w:pPr>
          </w:p>
        </w:tc>
      </w:tr>
      <w:tr>
        <w:trPr>
          <w:trHeight w:val="270"/>
        </w:trPr>
        <w:tc>
          <w:tcPr>
            <w:tcW w:w="4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58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91"/>
              </w:rPr>
              <w:t>JUNE 30, 2017</w:t>
            </w: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980" w:type="dxa"/>
            <w:vAlign w:val="bottom"/>
            <w:gridSpan w:val="7"/>
          </w:tcPr>
          <w:p>
            <w:pPr>
              <w:jc w:val="center"/>
              <w:spacing w:after="0"/>
              <w:rPr>
                <w:sz w:val="20"/>
                <w:szCs w:val="20"/>
                <w:color w:val="auto"/>
              </w:rPr>
            </w:pPr>
            <w:r>
              <w:rPr>
                <w:rFonts w:ascii="Arial" w:cs="Arial" w:eastAsia="Arial" w:hAnsi="Arial"/>
                <w:sz w:val="22"/>
                <w:szCs w:val="22"/>
                <w:b w:val="1"/>
                <w:bCs w:val="1"/>
                <w:color w:val="auto"/>
                <w:w w:val="94"/>
              </w:rPr>
              <w:t>DECEMBER 31, 2017</w:t>
            </w:r>
          </w:p>
        </w:tc>
        <w:tc>
          <w:tcPr>
            <w:tcW w:w="80" w:type="dxa"/>
            <w:vAlign w:val="bottom"/>
          </w:tcPr>
          <w:p>
            <w:pPr>
              <w:spacing w:after="0"/>
              <w:rPr>
                <w:sz w:val="23"/>
                <w:szCs w:val="23"/>
                <w:color w:val="auto"/>
              </w:rPr>
            </w:pPr>
          </w:p>
        </w:tc>
      </w:tr>
      <w:tr>
        <w:trPr>
          <w:trHeight w:val="281"/>
        </w:trPr>
        <w:tc>
          <w:tcPr>
            <w:tcW w:w="4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8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86"/>
              </w:rPr>
              <w:t>(estimated)</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gridSpan w:val="4"/>
          </w:tcPr>
          <w:p>
            <w:pPr>
              <w:jc w:val="center"/>
              <w:spacing w:after="0"/>
              <w:rPr>
                <w:sz w:val="20"/>
                <w:szCs w:val="20"/>
                <w:color w:val="auto"/>
              </w:rPr>
            </w:pPr>
            <w:r>
              <w:rPr>
                <w:rFonts w:ascii="Arial" w:cs="Arial" w:eastAsia="Arial" w:hAnsi="Arial"/>
                <w:sz w:val="22"/>
                <w:szCs w:val="22"/>
                <w:b w:val="1"/>
                <w:bCs w:val="1"/>
                <w:color w:val="auto"/>
                <w:w w:val="86"/>
              </w:rPr>
              <w:t>(estimated)</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36"/>
        </w:trPr>
        <w:tc>
          <w:tcPr>
            <w:tcW w:w="4360" w:type="dxa"/>
            <w:vAlign w:val="bottom"/>
          </w:tcPr>
          <w:p>
            <w:pPr>
              <w:ind w:left="400"/>
              <w:spacing w:after="0"/>
              <w:rPr>
                <w:sz w:val="20"/>
                <w:szCs w:val="20"/>
                <w:color w:val="auto"/>
              </w:rPr>
            </w:pPr>
            <w:r>
              <w:rPr>
                <w:rFonts w:ascii="Arial" w:cs="Arial" w:eastAsia="Arial" w:hAnsi="Arial"/>
                <w:sz w:val="22"/>
                <w:szCs w:val="22"/>
                <w:color w:val="auto"/>
              </w:rPr>
              <w:t>Net loss</w:t>
            </w:r>
          </w:p>
        </w:tc>
        <w:tc>
          <w:tcPr>
            <w:tcW w:w="44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1340" w:type="dxa"/>
            <w:vAlign w:val="bottom"/>
          </w:tcPr>
          <w:p>
            <w:pPr>
              <w:jc w:val="right"/>
              <w:ind w:right="12"/>
              <w:spacing w:after="0"/>
              <w:rPr>
                <w:sz w:val="20"/>
                <w:szCs w:val="20"/>
                <w:color w:val="auto"/>
              </w:rPr>
            </w:pPr>
            <w:r>
              <w:rPr>
                <w:rFonts w:ascii="Arial" w:cs="Arial" w:eastAsia="Arial" w:hAnsi="Arial"/>
                <w:sz w:val="22"/>
                <w:szCs w:val="22"/>
                <w:color w:val="auto"/>
              </w:rPr>
              <w:t>(19.0)</w:t>
            </w:r>
          </w:p>
        </w:tc>
        <w:tc>
          <w:tcPr>
            <w:tcW w:w="180" w:type="dxa"/>
            <w:vAlign w:val="bottom"/>
          </w:tcPr>
          <w:p>
            <w:pPr>
              <w:spacing w:after="0"/>
              <w:rPr>
                <w:sz w:val="24"/>
                <w:szCs w:val="24"/>
                <w:color w:val="auto"/>
              </w:rPr>
            </w:pPr>
          </w:p>
        </w:tc>
        <w:tc>
          <w:tcPr>
            <w:tcW w:w="1060" w:type="dxa"/>
            <w:vAlign w:val="bottom"/>
          </w:tcPr>
          <w:p>
            <w:pPr>
              <w:jc w:val="right"/>
              <w:ind w:right="672"/>
              <w:spacing w:after="0"/>
              <w:rPr>
                <w:sz w:val="20"/>
                <w:szCs w:val="20"/>
                <w:color w:val="auto"/>
              </w:rPr>
            </w:pPr>
            <w:r>
              <w:rPr>
                <w:rFonts w:ascii="Arial" w:cs="Arial" w:eastAsia="Arial" w:hAnsi="Arial"/>
                <w:sz w:val="22"/>
                <w:szCs w:val="22"/>
                <w:color w:val="auto"/>
              </w:rPr>
              <w:t>$</w:t>
            </w:r>
          </w:p>
        </w:tc>
        <w:tc>
          <w:tcPr>
            <w:tcW w:w="700" w:type="dxa"/>
            <w:vAlign w:val="bottom"/>
          </w:tcPr>
          <w:p>
            <w:pPr>
              <w:jc w:val="right"/>
              <w:spacing w:after="0"/>
              <w:rPr>
                <w:sz w:val="20"/>
                <w:szCs w:val="20"/>
                <w:color w:val="auto"/>
              </w:rPr>
            </w:pPr>
            <w:r>
              <w:rPr>
                <w:rFonts w:ascii="Arial" w:cs="Arial" w:eastAsia="Arial" w:hAnsi="Arial"/>
                <w:sz w:val="22"/>
                <w:szCs w:val="22"/>
                <w:color w:val="auto"/>
              </w:rPr>
              <w:t>(16.5)</w:t>
            </w:r>
          </w:p>
        </w:tc>
        <w:tc>
          <w:tcPr>
            <w:tcW w:w="880" w:type="dxa"/>
            <w:vAlign w:val="bottom"/>
            <w:gridSpan w:val="3"/>
          </w:tcPr>
          <w:p>
            <w:pPr>
              <w:jc w:val="right"/>
              <w:ind w:right="312"/>
              <w:spacing w:after="0"/>
              <w:rPr>
                <w:sz w:val="20"/>
                <w:szCs w:val="20"/>
                <w:color w:val="auto"/>
              </w:rPr>
            </w:pPr>
            <w:r>
              <w:rPr>
                <w:rFonts w:ascii="Arial" w:cs="Arial" w:eastAsia="Arial" w:hAnsi="Arial"/>
                <w:sz w:val="22"/>
                <w:szCs w:val="22"/>
                <w:color w:val="auto"/>
              </w:rPr>
              <w:t>$</w:t>
            </w:r>
          </w:p>
        </w:tc>
        <w:tc>
          <w:tcPr>
            <w:tcW w:w="760" w:type="dxa"/>
            <w:vAlign w:val="bottom"/>
            <w:gridSpan w:val="3"/>
          </w:tcPr>
          <w:p>
            <w:pPr>
              <w:jc w:val="right"/>
              <w:spacing w:after="0"/>
              <w:rPr>
                <w:sz w:val="20"/>
                <w:szCs w:val="20"/>
                <w:color w:val="auto"/>
              </w:rPr>
            </w:pPr>
            <w:r>
              <w:rPr>
                <w:rFonts w:ascii="Arial" w:cs="Arial" w:eastAsia="Arial" w:hAnsi="Arial"/>
                <w:sz w:val="22"/>
                <w:szCs w:val="22"/>
                <w:color w:val="auto"/>
              </w:rPr>
              <w:t>(75.0)</w:t>
            </w:r>
          </w:p>
        </w:tc>
        <w:tc>
          <w:tcPr>
            <w:tcW w:w="140" w:type="dxa"/>
            <w:vAlign w:val="bottom"/>
          </w:tcPr>
          <w:p>
            <w:pPr>
              <w:spacing w:after="0"/>
              <w:rPr>
                <w:sz w:val="24"/>
                <w:szCs w:val="24"/>
                <w:color w:val="auto"/>
              </w:rPr>
            </w:pPr>
          </w:p>
        </w:tc>
        <w:tc>
          <w:tcPr>
            <w:tcW w:w="500" w:type="dxa"/>
            <w:vAlign w:val="bottom"/>
          </w:tcPr>
          <w:p>
            <w:pPr>
              <w:jc w:val="right"/>
              <w:ind w:right="192"/>
              <w:spacing w:after="0"/>
              <w:rPr>
                <w:sz w:val="20"/>
                <w:szCs w:val="20"/>
                <w:color w:val="auto"/>
              </w:rPr>
            </w:pPr>
            <w:r>
              <w:rPr>
                <w:rFonts w:ascii="Arial" w:cs="Arial" w:eastAsia="Arial" w:hAnsi="Arial"/>
                <w:sz w:val="22"/>
                <w:szCs w:val="22"/>
                <w:color w:val="auto"/>
              </w:rPr>
              <w:t>$</w:t>
            </w:r>
          </w:p>
        </w:tc>
        <w:tc>
          <w:tcPr>
            <w:tcW w:w="960" w:type="dxa"/>
            <w:vAlign w:val="bottom"/>
          </w:tcPr>
          <w:p>
            <w:pPr>
              <w:jc w:val="right"/>
              <w:spacing w:after="0"/>
              <w:rPr>
                <w:sz w:val="20"/>
                <w:szCs w:val="20"/>
                <w:color w:val="auto"/>
              </w:rPr>
            </w:pPr>
            <w:r>
              <w:rPr>
                <w:rFonts w:ascii="Arial" w:cs="Arial" w:eastAsia="Arial" w:hAnsi="Arial"/>
                <w:sz w:val="22"/>
                <w:szCs w:val="22"/>
                <w:color w:val="auto"/>
              </w:rPr>
              <w:t>(72.0)</w:t>
            </w:r>
          </w:p>
        </w:tc>
        <w:tc>
          <w:tcPr>
            <w:tcW w:w="80" w:type="dxa"/>
            <w:vAlign w:val="bottom"/>
          </w:tcPr>
          <w:p>
            <w:pPr>
              <w:spacing w:after="0"/>
              <w:rPr>
                <w:sz w:val="24"/>
                <w:szCs w:val="24"/>
                <w:color w:val="auto"/>
              </w:rPr>
            </w:pPr>
          </w:p>
        </w:tc>
      </w:tr>
      <w:tr>
        <w:trPr>
          <w:trHeight w:val="270"/>
        </w:trPr>
        <w:tc>
          <w:tcPr>
            <w:tcW w:w="4360" w:type="dxa"/>
            <w:vAlign w:val="bottom"/>
          </w:tcPr>
          <w:p>
            <w:pPr>
              <w:ind w:left="400"/>
              <w:spacing w:after="0"/>
              <w:rPr>
                <w:sz w:val="20"/>
                <w:szCs w:val="20"/>
                <w:color w:val="auto"/>
              </w:rPr>
            </w:pPr>
            <w:r>
              <w:rPr>
                <w:rFonts w:ascii="Arial" w:cs="Arial" w:eastAsia="Arial" w:hAnsi="Arial"/>
                <w:sz w:val="22"/>
                <w:szCs w:val="22"/>
                <w:color w:val="auto"/>
              </w:rPr>
              <w:t>Income tax benefit</w:t>
            </w:r>
          </w:p>
        </w:tc>
        <w:tc>
          <w:tcPr>
            <w:tcW w:w="440" w:type="dxa"/>
            <w:vAlign w:val="bottom"/>
          </w:tcPr>
          <w:p>
            <w:pPr>
              <w:spacing w:after="0"/>
              <w:rPr>
                <w:sz w:val="23"/>
                <w:szCs w:val="23"/>
                <w:color w:val="auto"/>
              </w:rPr>
            </w:pPr>
          </w:p>
        </w:tc>
        <w:tc>
          <w:tcPr>
            <w:tcW w:w="1340" w:type="dxa"/>
            <w:vAlign w:val="bottom"/>
          </w:tcPr>
          <w:p>
            <w:pPr>
              <w:jc w:val="right"/>
              <w:ind w:right="12"/>
              <w:spacing w:after="0"/>
              <w:rPr>
                <w:sz w:val="20"/>
                <w:szCs w:val="20"/>
                <w:color w:val="auto"/>
              </w:rPr>
            </w:pPr>
            <w:r>
              <w:rPr>
                <w:rFonts w:ascii="Arial" w:cs="Arial" w:eastAsia="Arial" w:hAnsi="Arial"/>
                <w:sz w:val="22"/>
                <w:szCs w:val="22"/>
                <w:color w:val="auto"/>
              </w:rPr>
              <w:t>(2.0)</w:t>
            </w: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rPr>
              <w:t>(1.5)</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60" w:type="dxa"/>
            <w:vAlign w:val="bottom"/>
            <w:gridSpan w:val="3"/>
          </w:tcPr>
          <w:p>
            <w:pPr>
              <w:jc w:val="right"/>
              <w:spacing w:after="0"/>
              <w:rPr>
                <w:sz w:val="20"/>
                <w:szCs w:val="20"/>
                <w:color w:val="auto"/>
              </w:rPr>
            </w:pPr>
            <w:r>
              <w:rPr>
                <w:rFonts w:ascii="Arial" w:cs="Arial" w:eastAsia="Arial" w:hAnsi="Arial"/>
                <w:sz w:val="22"/>
                <w:szCs w:val="22"/>
                <w:color w:val="auto"/>
              </w:rPr>
              <w:t>(10.0)</w:t>
            </w: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(8.0)</w:t>
            </w:r>
          </w:p>
        </w:tc>
        <w:tc>
          <w:tcPr>
            <w:tcW w:w="80" w:type="dxa"/>
            <w:vAlign w:val="bottom"/>
          </w:tcPr>
          <w:p>
            <w:pPr>
              <w:spacing w:after="0"/>
              <w:rPr>
                <w:sz w:val="23"/>
                <w:szCs w:val="23"/>
                <w:color w:val="auto"/>
              </w:rPr>
            </w:pPr>
          </w:p>
        </w:tc>
      </w:tr>
      <w:tr>
        <w:trPr>
          <w:trHeight w:val="270"/>
        </w:trPr>
        <w:tc>
          <w:tcPr>
            <w:tcW w:w="4360" w:type="dxa"/>
            <w:vAlign w:val="bottom"/>
          </w:tcPr>
          <w:p>
            <w:pPr>
              <w:ind w:left="400"/>
              <w:spacing w:after="0"/>
              <w:rPr>
                <w:sz w:val="20"/>
                <w:szCs w:val="20"/>
                <w:color w:val="auto"/>
              </w:rPr>
            </w:pPr>
            <w:r>
              <w:rPr>
                <w:rFonts w:ascii="Arial" w:cs="Arial" w:eastAsia="Arial" w:hAnsi="Arial"/>
                <w:sz w:val="22"/>
                <w:szCs w:val="22"/>
                <w:color w:val="auto"/>
              </w:rPr>
              <w:t>Depreciation and amortization</w:t>
            </w:r>
          </w:p>
        </w:tc>
        <w:tc>
          <w:tcPr>
            <w:tcW w:w="440" w:type="dxa"/>
            <w:vAlign w:val="bottom"/>
          </w:tcPr>
          <w:p>
            <w:pPr>
              <w:spacing w:after="0"/>
              <w:rPr>
                <w:sz w:val="23"/>
                <w:szCs w:val="23"/>
                <w:color w:val="auto"/>
              </w:rPr>
            </w:pPr>
          </w:p>
        </w:tc>
        <w:tc>
          <w:tcPr>
            <w:tcW w:w="1340" w:type="dxa"/>
            <w:vAlign w:val="bottom"/>
          </w:tcPr>
          <w:p>
            <w:pPr>
              <w:jc w:val="right"/>
              <w:ind w:right="92"/>
              <w:spacing w:after="0"/>
              <w:rPr>
                <w:sz w:val="20"/>
                <w:szCs w:val="20"/>
                <w:color w:val="auto"/>
              </w:rPr>
            </w:pPr>
            <w:r>
              <w:rPr>
                <w:rFonts w:ascii="Arial" w:cs="Arial" w:eastAsia="Arial" w:hAnsi="Arial"/>
                <w:sz w:val="22"/>
                <w:szCs w:val="22"/>
                <w:color w:val="auto"/>
              </w:rPr>
              <w:t>31.0</w:t>
            </w: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rPr>
              <w:t>31.0</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60" w:type="dxa"/>
            <w:vAlign w:val="bottom"/>
            <w:gridSpan w:val="3"/>
          </w:tcPr>
          <w:p>
            <w:pPr>
              <w:jc w:val="right"/>
              <w:ind w:right="32"/>
              <w:spacing w:after="0"/>
              <w:rPr>
                <w:sz w:val="20"/>
                <w:szCs w:val="20"/>
                <w:color w:val="auto"/>
              </w:rPr>
            </w:pPr>
            <w:r>
              <w:rPr>
                <w:rFonts w:ascii="Arial" w:cs="Arial" w:eastAsia="Arial" w:hAnsi="Arial"/>
                <w:sz w:val="22"/>
                <w:szCs w:val="22"/>
                <w:color w:val="auto"/>
              </w:rPr>
              <w:t>124.0</w:t>
            </w: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jc w:val="right"/>
              <w:ind w:right="72"/>
              <w:spacing w:after="0"/>
              <w:rPr>
                <w:sz w:val="20"/>
                <w:szCs w:val="20"/>
                <w:color w:val="auto"/>
              </w:rPr>
            </w:pPr>
            <w:r>
              <w:rPr>
                <w:rFonts w:ascii="Arial" w:cs="Arial" w:eastAsia="Arial" w:hAnsi="Arial"/>
                <w:sz w:val="22"/>
                <w:szCs w:val="22"/>
                <w:color w:val="auto"/>
              </w:rPr>
              <w:t>124.0</w:t>
            </w:r>
          </w:p>
        </w:tc>
        <w:tc>
          <w:tcPr>
            <w:tcW w:w="80" w:type="dxa"/>
            <w:vAlign w:val="bottom"/>
          </w:tcPr>
          <w:p>
            <w:pPr>
              <w:spacing w:after="0"/>
              <w:rPr>
                <w:sz w:val="23"/>
                <w:szCs w:val="23"/>
                <w:color w:val="auto"/>
              </w:rPr>
            </w:pPr>
          </w:p>
        </w:tc>
      </w:tr>
      <w:tr>
        <w:trPr>
          <w:trHeight w:val="276"/>
        </w:trPr>
        <w:tc>
          <w:tcPr>
            <w:tcW w:w="4360" w:type="dxa"/>
            <w:vAlign w:val="bottom"/>
          </w:tcPr>
          <w:p>
            <w:pPr>
              <w:ind w:left="400"/>
              <w:spacing w:after="0"/>
              <w:rPr>
                <w:sz w:val="20"/>
                <w:szCs w:val="20"/>
                <w:color w:val="auto"/>
              </w:rPr>
            </w:pPr>
            <w:r>
              <w:rPr>
                <w:rFonts w:ascii="Arial" w:cs="Arial" w:eastAsia="Arial" w:hAnsi="Arial"/>
                <w:sz w:val="22"/>
                <w:szCs w:val="22"/>
                <w:color w:val="auto"/>
              </w:rPr>
              <w:t>Interest expense</w:t>
            </w:r>
          </w:p>
        </w:tc>
        <w:tc>
          <w:tcPr>
            <w:tcW w:w="4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4.0</w:t>
            </w:r>
          </w:p>
        </w:tc>
        <w:tc>
          <w:tcPr>
            <w:tcW w:w="18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4.0</w:t>
            </w:r>
          </w:p>
        </w:tc>
        <w:tc>
          <w:tcPr>
            <w:tcW w:w="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22"/>
                <w:szCs w:val="22"/>
                <w:color w:val="auto"/>
              </w:rPr>
              <w:t>21.0</w:t>
            </w:r>
          </w:p>
        </w:tc>
        <w:tc>
          <w:tcPr>
            <w:tcW w:w="14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21.0</w:t>
            </w:r>
          </w:p>
        </w:tc>
        <w:tc>
          <w:tcPr>
            <w:tcW w:w="80" w:type="dxa"/>
            <w:vAlign w:val="bottom"/>
          </w:tcPr>
          <w:p>
            <w:pPr>
              <w:spacing w:after="0"/>
              <w:rPr>
                <w:sz w:val="24"/>
                <w:szCs w:val="24"/>
                <w:color w:val="auto"/>
              </w:rPr>
            </w:pPr>
          </w:p>
        </w:tc>
      </w:tr>
      <w:tr>
        <w:trPr>
          <w:trHeight w:val="265"/>
        </w:trPr>
        <w:tc>
          <w:tcPr>
            <w:tcW w:w="4360" w:type="dxa"/>
            <w:vAlign w:val="bottom"/>
          </w:tcPr>
          <w:p>
            <w:pPr>
              <w:ind w:left="500"/>
              <w:spacing w:after="0"/>
              <w:rPr>
                <w:sz w:val="20"/>
                <w:szCs w:val="20"/>
                <w:color w:val="auto"/>
              </w:rPr>
            </w:pPr>
            <w:r>
              <w:rPr>
                <w:rFonts w:ascii="Arial" w:cs="Arial" w:eastAsia="Arial" w:hAnsi="Arial"/>
                <w:sz w:val="22"/>
                <w:szCs w:val="22"/>
                <w:color w:val="auto"/>
              </w:rPr>
              <w:t>EBITDA</w:t>
            </w:r>
          </w:p>
        </w:tc>
        <w:tc>
          <w:tcPr>
            <w:tcW w:w="44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w:t>
            </w:r>
          </w:p>
        </w:tc>
        <w:tc>
          <w:tcPr>
            <w:tcW w:w="134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14.0</w:t>
            </w:r>
          </w:p>
        </w:tc>
        <w:tc>
          <w:tcPr>
            <w:tcW w:w="180" w:type="dxa"/>
            <w:vAlign w:val="bottom"/>
          </w:tcPr>
          <w:p>
            <w:pPr>
              <w:spacing w:after="0"/>
              <w:rPr>
                <w:sz w:val="23"/>
                <w:szCs w:val="23"/>
                <w:color w:val="auto"/>
              </w:rPr>
            </w:pPr>
          </w:p>
        </w:tc>
        <w:tc>
          <w:tcPr>
            <w:tcW w:w="1060" w:type="dxa"/>
            <w:vAlign w:val="bottom"/>
            <w:tcBorders>
              <w:bottom w:val="single" w:sz="8" w:color="auto"/>
            </w:tcBorders>
          </w:tcPr>
          <w:p>
            <w:pPr>
              <w:jc w:val="right"/>
              <w:ind w:right="672"/>
              <w:spacing w:after="0"/>
              <w:rPr>
                <w:sz w:val="20"/>
                <w:szCs w:val="20"/>
                <w:color w:val="auto"/>
              </w:rPr>
            </w:pPr>
            <w:r>
              <w:rPr>
                <w:rFonts w:ascii="Arial" w:cs="Arial" w:eastAsia="Arial" w:hAnsi="Arial"/>
                <w:sz w:val="22"/>
                <w:szCs w:val="22"/>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17.0</w:t>
            </w:r>
          </w:p>
        </w:tc>
        <w:tc>
          <w:tcPr>
            <w:tcW w:w="14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color w:val="auto"/>
              </w:rPr>
              <w:t>$</w:t>
            </w:r>
          </w:p>
        </w:tc>
        <w:tc>
          <w:tcPr>
            <w:tcW w:w="76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22"/>
                <w:szCs w:val="22"/>
                <w:color w:val="auto"/>
              </w:rPr>
              <w:t>60.0</w:t>
            </w:r>
          </w:p>
        </w:tc>
        <w:tc>
          <w:tcPr>
            <w:tcW w:w="140" w:type="dxa"/>
            <w:vAlign w:val="bottom"/>
          </w:tcPr>
          <w:p>
            <w:pPr>
              <w:spacing w:after="0"/>
              <w:rPr>
                <w:sz w:val="23"/>
                <w:szCs w:val="23"/>
                <w:color w:val="auto"/>
              </w:rPr>
            </w:pPr>
          </w:p>
        </w:tc>
        <w:tc>
          <w:tcPr>
            <w:tcW w:w="50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rPr>
              <w:t>$</w:t>
            </w: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65.0</w:t>
            </w:r>
          </w:p>
        </w:tc>
        <w:tc>
          <w:tcPr>
            <w:tcW w:w="80" w:type="dxa"/>
            <w:vAlign w:val="bottom"/>
          </w:tcPr>
          <w:p>
            <w:pPr>
              <w:spacing w:after="0"/>
              <w:rPr>
                <w:sz w:val="23"/>
                <w:szCs w:val="23"/>
                <w:color w:val="auto"/>
              </w:rPr>
            </w:pPr>
          </w:p>
        </w:tc>
      </w:tr>
      <w:tr>
        <w:trPr>
          <w:trHeight w:val="21"/>
        </w:trPr>
        <w:tc>
          <w:tcPr>
            <w:tcW w:w="4360" w:type="dxa"/>
            <w:vAlign w:val="bottom"/>
          </w:tcPr>
          <w:p>
            <w:pPr>
              <w:spacing w:after="0" w:line="20" w:lineRule="exact"/>
              <w:rPr>
                <w:sz w:val="1"/>
                <w:szCs w:val="1"/>
                <w:color w:val="auto"/>
              </w:rPr>
            </w:pPr>
          </w:p>
        </w:tc>
        <w:tc>
          <w:tcPr>
            <w:tcW w:w="178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898"/>
        </w:trPr>
        <w:tc>
          <w:tcPr>
            <w:tcW w:w="4360" w:type="dxa"/>
            <w:vAlign w:val="bottom"/>
          </w:tcPr>
          <w:p>
            <w:pPr>
              <w:spacing w:after="0"/>
              <w:rPr>
                <w:sz w:val="24"/>
                <w:szCs w:val="24"/>
                <w:color w:val="auto"/>
              </w:rPr>
            </w:pPr>
          </w:p>
        </w:tc>
        <w:tc>
          <w:tcPr>
            <w:tcW w:w="3020" w:type="dxa"/>
            <w:vAlign w:val="bottom"/>
            <w:gridSpan w:val="4"/>
          </w:tcPr>
          <w:p>
            <w:pPr>
              <w:jc w:val="center"/>
              <w:ind w:right="252"/>
              <w:spacing w:after="0"/>
              <w:rPr>
                <w:sz w:val="20"/>
                <w:szCs w:val="20"/>
                <w:color w:val="auto"/>
              </w:rPr>
            </w:pPr>
            <w:r>
              <w:rPr>
                <w:rFonts w:ascii="Arial" w:cs="Arial" w:eastAsia="Arial" w:hAnsi="Arial"/>
                <w:sz w:val="22"/>
                <w:szCs w:val="22"/>
                <w:b w:val="1"/>
                <w:bCs w:val="1"/>
                <w:color w:val="auto"/>
                <w:w w:val="99"/>
              </w:rPr>
              <w:t>CIVEO CORPORATION</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3"/>
        </w:trPr>
        <w:tc>
          <w:tcPr>
            <w:tcW w:w="9860" w:type="dxa"/>
            <w:vAlign w:val="bottom"/>
            <w:gridSpan w:val="13"/>
          </w:tcPr>
          <w:p>
            <w:pPr>
              <w:jc w:val="center"/>
              <w:ind w:left="1432"/>
              <w:spacing w:after="0" w:line="243" w:lineRule="exact"/>
              <w:rPr>
                <w:sz w:val="20"/>
                <w:szCs w:val="20"/>
                <w:color w:val="auto"/>
              </w:rPr>
            </w:pPr>
            <w:r>
              <w:rPr>
                <w:rFonts w:ascii="Arial" w:cs="Arial" w:eastAsia="Arial" w:hAnsi="Arial"/>
                <w:sz w:val="22"/>
                <w:szCs w:val="22"/>
                <w:b w:val="1"/>
                <w:bCs w:val="1"/>
                <w:color w:val="auto"/>
                <w:w w:val="97"/>
              </w:rPr>
              <w:t>SUPPLEMENTAL QUARTERLY SEGMENT AND OPERATING DATA</w:t>
            </w: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9860" w:type="dxa"/>
            <w:vAlign w:val="bottom"/>
            <w:gridSpan w:val="13"/>
          </w:tcPr>
          <w:p>
            <w:pPr>
              <w:jc w:val="center"/>
              <w:ind w:left="1412"/>
              <w:spacing w:after="0" w:line="243" w:lineRule="exact"/>
              <w:rPr>
                <w:sz w:val="20"/>
                <w:szCs w:val="20"/>
                <w:color w:val="auto"/>
              </w:rPr>
            </w:pPr>
            <w:r>
              <w:rPr>
                <w:rFonts w:ascii="Arial" w:cs="Arial" w:eastAsia="Arial" w:hAnsi="Arial"/>
                <w:sz w:val="22"/>
                <w:szCs w:val="22"/>
                <w:b w:val="1"/>
                <w:bCs w:val="1"/>
                <w:color w:val="auto"/>
                <w:w w:val="87"/>
              </w:rPr>
              <w:t>(U.S. dollars in thousands, except for room counts and average daily rates)</w:t>
            </w: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81"/>
        </w:trPr>
        <w:tc>
          <w:tcPr>
            <w:tcW w:w="4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2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90"/>
              </w:rPr>
              <w:t>(unaudited)</w:t>
            </w: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03"/>
        </w:trPr>
        <w:tc>
          <w:tcPr>
            <w:tcW w:w="4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40" w:type="dxa"/>
            <w:vAlign w:val="bottom"/>
            <w:gridSpan w:val="9"/>
          </w:tcPr>
          <w:p>
            <w:pPr>
              <w:jc w:val="right"/>
              <w:ind w:right="532"/>
              <w:spacing w:after="0"/>
              <w:rPr>
                <w:sz w:val="20"/>
                <w:szCs w:val="20"/>
                <w:color w:val="auto"/>
              </w:rPr>
            </w:pPr>
            <w:r>
              <w:rPr>
                <w:rFonts w:ascii="Arial" w:cs="Arial" w:eastAsia="Arial" w:hAnsi="Arial"/>
                <w:sz w:val="22"/>
                <w:szCs w:val="22"/>
                <w:b w:val="1"/>
                <w:bCs w:val="1"/>
                <w:color w:val="auto"/>
                <w:w w:val="99"/>
              </w:rPr>
              <w:t>THREE MONTHS ENDED</w:t>
            </w:r>
          </w:p>
        </w:tc>
        <w:tc>
          <w:tcPr>
            <w:tcW w:w="80" w:type="dxa"/>
            <w:vAlign w:val="bottom"/>
          </w:tcPr>
          <w:p>
            <w:pPr>
              <w:spacing w:after="0"/>
              <w:rPr>
                <w:sz w:val="24"/>
                <w:szCs w:val="24"/>
                <w:color w:val="auto"/>
              </w:rPr>
            </w:pPr>
          </w:p>
        </w:tc>
      </w:tr>
      <w:tr>
        <w:trPr>
          <w:trHeight w:val="270"/>
        </w:trPr>
        <w:tc>
          <w:tcPr>
            <w:tcW w:w="4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20" w:type="dxa"/>
            <w:vAlign w:val="bottom"/>
            <w:gridSpan w:val="6"/>
          </w:tcPr>
          <w:p>
            <w:pPr>
              <w:jc w:val="right"/>
              <w:ind w:right="272"/>
              <w:spacing w:after="0"/>
              <w:rPr>
                <w:sz w:val="20"/>
                <w:szCs w:val="20"/>
                <w:color w:val="auto"/>
              </w:rPr>
            </w:pPr>
            <w:r>
              <w:rPr>
                <w:rFonts w:ascii="Arial" w:cs="Arial" w:eastAsia="Arial" w:hAnsi="Arial"/>
                <w:sz w:val="22"/>
                <w:szCs w:val="22"/>
                <w:b w:val="1"/>
                <w:bCs w:val="1"/>
                <w:color w:val="auto"/>
              </w:rPr>
              <w:t>MARCH 31,</w:t>
            </w: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81"/>
        </w:trPr>
        <w:tc>
          <w:tcPr>
            <w:tcW w:w="4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22"/>
                <w:szCs w:val="22"/>
                <w:b w:val="1"/>
                <w:bCs w:val="1"/>
                <w:color w:val="auto"/>
              </w:rPr>
              <w:t>2017</w:t>
            </w:r>
          </w:p>
        </w:tc>
        <w:tc>
          <w:tcPr>
            <w:tcW w:w="2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right"/>
              <w:ind w:right="732"/>
              <w:spacing w:after="0"/>
              <w:rPr>
                <w:sz w:val="20"/>
                <w:szCs w:val="20"/>
                <w:color w:val="auto"/>
              </w:rPr>
            </w:pPr>
            <w:r>
              <w:rPr>
                <w:rFonts w:ascii="Arial" w:cs="Arial" w:eastAsia="Arial" w:hAnsi="Arial"/>
                <w:sz w:val="22"/>
                <w:szCs w:val="22"/>
                <w:b w:val="1"/>
                <w:bCs w:val="1"/>
                <w:color w:val="auto"/>
              </w:rPr>
              <w:t>2016</w:t>
            </w:r>
          </w:p>
        </w:tc>
        <w:tc>
          <w:tcPr>
            <w:tcW w:w="80" w:type="dxa"/>
            <w:vAlign w:val="bottom"/>
            <w:tcBorders>
              <w:bottom w:val="single" w:sz="8" w:color="auto"/>
            </w:tcBorders>
          </w:tcPr>
          <w:p>
            <w:pPr>
              <w:spacing w:after="0"/>
              <w:rPr>
                <w:sz w:val="24"/>
                <w:szCs w:val="24"/>
                <w:color w:val="auto"/>
              </w:rPr>
            </w:pPr>
          </w:p>
        </w:tc>
      </w:tr>
      <w:tr>
        <w:trPr>
          <w:trHeight w:val="529"/>
        </w:trPr>
        <w:tc>
          <w:tcPr>
            <w:tcW w:w="4800" w:type="dxa"/>
            <w:vAlign w:val="bottom"/>
            <w:gridSpan w:val="2"/>
          </w:tcPr>
          <w:p>
            <w:pPr>
              <w:spacing w:after="0"/>
              <w:rPr>
                <w:sz w:val="20"/>
                <w:szCs w:val="20"/>
                <w:color w:val="auto"/>
              </w:rPr>
            </w:pPr>
            <w:r>
              <w:rPr>
                <w:rFonts w:ascii="Arial" w:cs="Arial" w:eastAsia="Arial" w:hAnsi="Arial"/>
                <w:sz w:val="22"/>
                <w:szCs w:val="22"/>
                <w:b w:val="1"/>
                <w:bCs w:val="1"/>
                <w:color w:val="auto"/>
                <w:w w:val="90"/>
              </w:rPr>
              <w:t>Supplemental Operating Data - Canadian Segment</w:t>
            </w: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70"/>
        </w:trPr>
        <w:tc>
          <w:tcPr>
            <w:tcW w:w="4360" w:type="dxa"/>
            <w:vAlign w:val="bottom"/>
          </w:tcPr>
          <w:p>
            <w:pPr>
              <w:ind w:left="120"/>
              <w:spacing w:after="0"/>
              <w:rPr>
                <w:sz w:val="20"/>
                <w:szCs w:val="20"/>
                <w:color w:val="auto"/>
              </w:rPr>
            </w:pPr>
            <w:r>
              <w:rPr>
                <w:rFonts w:ascii="Arial" w:cs="Arial" w:eastAsia="Arial" w:hAnsi="Arial"/>
                <w:sz w:val="22"/>
                <w:szCs w:val="22"/>
                <w:color w:val="auto"/>
              </w:rPr>
              <w:t>Revenues</w:t>
            </w:r>
          </w:p>
        </w:tc>
        <w:tc>
          <w:tcPr>
            <w:tcW w:w="4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70"/>
        </w:trPr>
        <w:tc>
          <w:tcPr>
            <w:tcW w:w="4360" w:type="dxa"/>
            <w:vAlign w:val="bottom"/>
          </w:tcPr>
          <w:p>
            <w:pPr>
              <w:ind w:left="200"/>
              <w:spacing w:after="0"/>
              <w:rPr>
                <w:sz w:val="20"/>
                <w:szCs w:val="20"/>
                <w:color w:val="auto"/>
              </w:rPr>
            </w:pPr>
            <w:r>
              <w:rPr>
                <w:rFonts w:ascii="Arial" w:cs="Arial" w:eastAsia="Arial" w:hAnsi="Arial"/>
                <w:sz w:val="22"/>
                <w:szCs w:val="22"/>
                <w:color w:val="auto"/>
              </w:rPr>
              <w:t>Lodge revenues (1)</w:t>
            </w:r>
          </w:p>
        </w:tc>
        <w:tc>
          <w:tcPr>
            <w:tcW w:w="4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00" w:type="dxa"/>
            <w:vAlign w:val="bottom"/>
          </w:tcPr>
          <w:p>
            <w:pPr>
              <w:jc w:val="right"/>
              <w:ind w:right="372"/>
              <w:spacing w:after="0"/>
              <w:rPr>
                <w:sz w:val="20"/>
                <w:szCs w:val="20"/>
                <w:color w:val="auto"/>
              </w:rPr>
            </w:pPr>
            <w:r>
              <w:rPr>
                <w:rFonts w:ascii="Arial" w:cs="Arial" w:eastAsia="Arial" w:hAnsi="Arial"/>
                <w:sz w:val="22"/>
                <w:szCs w:val="22"/>
                <w:color w:val="auto"/>
              </w:rPr>
              <w:t>$</w:t>
            </w:r>
          </w:p>
        </w:tc>
        <w:tc>
          <w:tcPr>
            <w:tcW w:w="880" w:type="dxa"/>
            <w:vAlign w:val="bottom"/>
            <w:gridSpan w:val="3"/>
          </w:tcPr>
          <w:p>
            <w:pPr>
              <w:jc w:val="right"/>
              <w:spacing w:after="0"/>
              <w:rPr>
                <w:sz w:val="20"/>
                <w:szCs w:val="20"/>
                <w:color w:val="auto"/>
              </w:rPr>
            </w:pPr>
            <w:r>
              <w:rPr>
                <w:rFonts w:ascii="Arial" w:cs="Arial" w:eastAsia="Arial" w:hAnsi="Arial"/>
                <w:sz w:val="22"/>
                <w:szCs w:val="22"/>
                <w:color w:val="auto"/>
              </w:rPr>
              <w:t>55,920</w:t>
            </w:r>
          </w:p>
        </w:tc>
        <w:tc>
          <w:tcPr>
            <w:tcW w:w="760" w:type="dxa"/>
            <w:vAlign w:val="bottom"/>
            <w:gridSpan w:val="3"/>
          </w:tcPr>
          <w:p>
            <w:pPr>
              <w:jc w:val="right"/>
              <w:ind w:right="32"/>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jc w:val="right"/>
              <w:ind w:right="252"/>
              <w:spacing w:after="0"/>
              <w:rPr>
                <w:sz w:val="20"/>
                <w:szCs w:val="20"/>
                <w:color w:val="auto"/>
              </w:rPr>
            </w:pPr>
            <w:r>
              <w:rPr>
                <w:rFonts w:ascii="Arial" w:cs="Arial" w:eastAsia="Arial" w:hAnsi="Arial"/>
                <w:sz w:val="22"/>
                <w:szCs w:val="22"/>
                <w:color w:val="auto"/>
                <w:w w:val="86"/>
              </w:rPr>
              <w:t>54,886</w:t>
            </w:r>
          </w:p>
        </w:tc>
        <w:tc>
          <w:tcPr>
            <w:tcW w:w="80" w:type="dxa"/>
            <w:vAlign w:val="bottom"/>
          </w:tcPr>
          <w:p>
            <w:pPr>
              <w:spacing w:after="0"/>
              <w:rPr>
                <w:sz w:val="23"/>
                <w:szCs w:val="23"/>
                <w:color w:val="auto"/>
              </w:rPr>
            </w:pPr>
          </w:p>
        </w:tc>
      </w:tr>
      <w:tr>
        <w:trPr>
          <w:trHeight w:val="275"/>
        </w:trPr>
        <w:tc>
          <w:tcPr>
            <w:tcW w:w="4360" w:type="dxa"/>
            <w:vAlign w:val="bottom"/>
          </w:tcPr>
          <w:p>
            <w:pPr>
              <w:ind w:left="200"/>
              <w:spacing w:after="0"/>
              <w:rPr>
                <w:sz w:val="20"/>
                <w:szCs w:val="20"/>
                <w:color w:val="auto"/>
              </w:rPr>
            </w:pPr>
            <w:r>
              <w:rPr>
                <w:rFonts w:ascii="Arial" w:cs="Arial" w:eastAsia="Arial" w:hAnsi="Arial"/>
                <w:sz w:val="22"/>
                <w:szCs w:val="22"/>
                <w:color w:val="auto"/>
              </w:rPr>
              <w:t>Mobile, open camp and product revenues</w:t>
            </w:r>
          </w:p>
        </w:tc>
        <w:tc>
          <w:tcPr>
            <w:tcW w:w="4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22"/>
                <w:szCs w:val="22"/>
                <w:color w:val="auto"/>
              </w:rPr>
              <w:t>4,586</w:t>
            </w:r>
          </w:p>
        </w:tc>
        <w:tc>
          <w:tcPr>
            <w:tcW w:w="28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color w:val="auto"/>
                <w:w w:val="86"/>
              </w:rPr>
              <w:t>10,636</w:t>
            </w:r>
          </w:p>
        </w:tc>
        <w:tc>
          <w:tcPr>
            <w:tcW w:w="80" w:type="dxa"/>
            <w:vAlign w:val="bottom"/>
            <w:tcBorders>
              <w:bottom w:val="single" w:sz="8" w:color="auto"/>
            </w:tcBorders>
          </w:tcPr>
          <w:p>
            <w:pPr>
              <w:spacing w:after="0"/>
              <w:rPr>
                <w:sz w:val="23"/>
                <w:szCs w:val="23"/>
                <w:color w:val="auto"/>
              </w:rPr>
            </w:pPr>
          </w:p>
        </w:tc>
      </w:tr>
      <w:tr>
        <w:trPr>
          <w:trHeight w:val="272"/>
        </w:trPr>
        <w:tc>
          <w:tcPr>
            <w:tcW w:w="4360" w:type="dxa"/>
            <w:vAlign w:val="bottom"/>
          </w:tcPr>
          <w:p>
            <w:pPr>
              <w:ind w:left="260"/>
              <w:spacing w:after="0"/>
              <w:rPr>
                <w:sz w:val="20"/>
                <w:szCs w:val="20"/>
                <w:color w:val="auto"/>
              </w:rPr>
            </w:pPr>
            <w:r>
              <w:rPr>
                <w:rFonts w:ascii="Arial" w:cs="Arial" w:eastAsia="Arial" w:hAnsi="Arial"/>
                <w:sz w:val="22"/>
                <w:szCs w:val="22"/>
                <w:color w:val="auto"/>
              </w:rPr>
              <w:t>Total Canadian revenues</w:t>
            </w:r>
          </w:p>
        </w:tc>
        <w:tc>
          <w:tcPr>
            <w:tcW w:w="4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00" w:type="dxa"/>
            <w:vAlign w:val="bottom"/>
          </w:tcPr>
          <w:p>
            <w:pPr>
              <w:jc w:val="right"/>
              <w:ind w:right="372"/>
              <w:spacing w:after="0"/>
              <w:rPr>
                <w:sz w:val="20"/>
                <w:szCs w:val="20"/>
                <w:color w:val="auto"/>
              </w:rPr>
            </w:pPr>
            <w:r>
              <w:rPr>
                <w:rFonts w:ascii="Arial" w:cs="Arial" w:eastAsia="Arial" w:hAnsi="Arial"/>
                <w:sz w:val="22"/>
                <w:szCs w:val="22"/>
                <w:color w:val="auto"/>
              </w:rPr>
              <w:t>$</w:t>
            </w:r>
          </w:p>
        </w:tc>
        <w:tc>
          <w:tcPr>
            <w:tcW w:w="880" w:type="dxa"/>
            <w:vAlign w:val="bottom"/>
            <w:gridSpan w:val="3"/>
          </w:tcPr>
          <w:p>
            <w:pPr>
              <w:jc w:val="right"/>
              <w:spacing w:after="0"/>
              <w:rPr>
                <w:sz w:val="20"/>
                <w:szCs w:val="20"/>
                <w:color w:val="auto"/>
              </w:rPr>
            </w:pPr>
            <w:r>
              <w:rPr>
                <w:rFonts w:ascii="Arial" w:cs="Arial" w:eastAsia="Arial" w:hAnsi="Arial"/>
                <w:sz w:val="22"/>
                <w:szCs w:val="22"/>
                <w:color w:val="auto"/>
              </w:rPr>
              <w:t>60,506</w:t>
            </w: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jc w:val="right"/>
              <w:ind w:right="252"/>
              <w:spacing w:after="0"/>
              <w:rPr>
                <w:sz w:val="20"/>
                <w:szCs w:val="20"/>
                <w:color w:val="auto"/>
              </w:rPr>
            </w:pPr>
            <w:r>
              <w:rPr>
                <w:rFonts w:ascii="Arial" w:cs="Arial" w:eastAsia="Arial" w:hAnsi="Arial"/>
                <w:sz w:val="22"/>
                <w:szCs w:val="22"/>
                <w:color w:val="auto"/>
                <w:w w:val="86"/>
              </w:rPr>
              <w:t>65,522</w:t>
            </w:r>
          </w:p>
        </w:tc>
        <w:tc>
          <w:tcPr>
            <w:tcW w:w="80" w:type="dxa"/>
            <w:vAlign w:val="bottom"/>
          </w:tcPr>
          <w:p>
            <w:pPr>
              <w:spacing w:after="0"/>
              <w:rPr>
                <w:sz w:val="23"/>
                <w:szCs w:val="23"/>
                <w:color w:val="auto"/>
              </w:rPr>
            </w:pPr>
          </w:p>
        </w:tc>
      </w:tr>
    </w:tbl>
    <w:p>
      <w:pPr>
        <w:sectPr>
          <w:pgSz w:w="11900" w:h="16915" w:orient="portrait"/>
          <w:cols w:equalWidth="0" w:num="1">
            <w:col w:w="11400"/>
          </w:cols>
          <w:pgMar w:left="260" w:top="118" w:right="239" w:bottom="0" w:gutter="0" w:footer="0" w:header="0"/>
        </w:sectPr>
      </w:pPr>
    </w:p>
    <w:bookmarkStart w:id="11" w:name="page12"/>
    <w:bookmarkEnd w:id="11"/>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6140" w:type="dxa"/>
            <w:vAlign w:val="bottom"/>
          </w:tcPr>
          <w:p>
            <w:pPr>
              <w:ind w:left="120"/>
              <w:spacing w:after="0"/>
              <w:rPr>
                <w:sz w:val="20"/>
                <w:szCs w:val="20"/>
                <w:color w:val="auto"/>
              </w:rPr>
            </w:pPr>
            <w:r>
              <w:rPr>
                <w:rFonts w:ascii="Arial" w:cs="Arial" w:eastAsia="Arial" w:hAnsi="Arial"/>
                <w:sz w:val="22"/>
                <w:szCs w:val="22"/>
                <w:color w:val="auto"/>
              </w:rPr>
              <w:t>Average available lodge rooms (2)</w:t>
            </w:r>
          </w:p>
        </w:tc>
        <w:tc>
          <w:tcPr>
            <w:tcW w:w="1800" w:type="dxa"/>
            <w:vAlign w:val="bottom"/>
          </w:tcPr>
          <w:p>
            <w:pPr>
              <w:spacing w:after="0"/>
              <w:rPr>
                <w:sz w:val="23"/>
                <w:szCs w:val="23"/>
                <w:color w:val="auto"/>
              </w:rPr>
            </w:pPr>
          </w:p>
        </w:tc>
        <w:tc>
          <w:tcPr>
            <w:tcW w:w="1320" w:type="dxa"/>
            <w:vAlign w:val="bottom"/>
          </w:tcPr>
          <w:p>
            <w:pPr>
              <w:jc w:val="right"/>
              <w:ind w:right="272"/>
              <w:spacing w:after="0"/>
              <w:rPr>
                <w:sz w:val="20"/>
                <w:szCs w:val="20"/>
                <w:color w:val="auto"/>
              </w:rPr>
            </w:pPr>
            <w:r>
              <w:rPr>
                <w:rFonts w:ascii="Arial" w:cs="Arial" w:eastAsia="Arial" w:hAnsi="Arial"/>
                <w:sz w:val="22"/>
                <w:szCs w:val="22"/>
                <w:color w:val="auto"/>
              </w:rPr>
              <w:t>14,720</w:t>
            </w:r>
          </w:p>
        </w:tc>
        <w:tc>
          <w:tcPr>
            <w:tcW w:w="720" w:type="dxa"/>
            <w:vAlign w:val="bottom"/>
          </w:tcPr>
          <w:p>
            <w:pPr>
              <w:spacing w:after="0"/>
              <w:rPr>
                <w:sz w:val="23"/>
                <w:szCs w:val="23"/>
                <w:color w:val="auto"/>
              </w:rPr>
            </w:pPr>
          </w:p>
        </w:tc>
        <w:tc>
          <w:tcPr>
            <w:tcW w:w="1160" w:type="dxa"/>
            <w:vAlign w:val="bottom"/>
          </w:tcPr>
          <w:p>
            <w:pPr>
              <w:jc w:val="right"/>
              <w:ind w:right="72"/>
              <w:spacing w:after="0"/>
              <w:rPr>
                <w:sz w:val="20"/>
                <w:szCs w:val="20"/>
                <w:color w:val="auto"/>
              </w:rPr>
            </w:pPr>
            <w:r>
              <w:rPr>
                <w:rFonts w:ascii="Arial" w:cs="Arial" w:eastAsia="Arial" w:hAnsi="Arial"/>
                <w:sz w:val="22"/>
                <w:szCs w:val="22"/>
                <w:color w:val="auto"/>
              </w:rPr>
              <w:t>14,602</w:t>
            </w:r>
          </w:p>
        </w:tc>
      </w:tr>
      <w:tr>
        <w:trPr>
          <w:trHeight w:val="540"/>
        </w:trPr>
        <w:tc>
          <w:tcPr>
            <w:tcW w:w="6140" w:type="dxa"/>
            <w:vAlign w:val="bottom"/>
          </w:tcPr>
          <w:p>
            <w:pPr>
              <w:ind w:left="120"/>
              <w:spacing w:after="0"/>
              <w:rPr>
                <w:sz w:val="20"/>
                <w:szCs w:val="20"/>
                <w:color w:val="auto"/>
              </w:rPr>
            </w:pPr>
            <w:r>
              <w:rPr>
                <w:rFonts w:ascii="Arial" w:cs="Arial" w:eastAsia="Arial" w:hAnsi="Arial"/>
                <w:sz w:val="22"/>
                <w:szCs w:val="22"/>
                <w:color w:val="auto"/>
              </w:rPr>
              <w:t>Rentable rooms (3)</w:t>
            </w:r>
          </w:p>
        </w:tc>
        <w:tc>
          <w:tcPr>
            <w:tcW w:w="1800" w:type="dxa"/>
            <w:vAlign w:val="bottom"/>
          </w:tcPr>
          <w:p>
            <w:pPr>
              <w:spacing w:after="0"/>
              <w:rPr>
                <w:sz w:val="24"/>
                <w:szCs w:val="24"/>
                <w:color w:val="auto"/>
              </w:rPr>
            </w:pPr>
          </w:p>
        </w:tc>
        <w:tc>
          <w:tcPr>
            <w:tcW w:w="1320" w:type="dxa"/>
            <w:vAlign w:val="bottom"/>
          </w:tcPr>
          <w:p>
            <w:pPr>
              <w:jc w:val="right"/>
              <w:ind w:right="272"/>
              <w:spacing w:after="0"/>
              <w:rPr>
                <w:sz w:val="20"/>
                <w:szCs w:val="20"/>
                <w:color w:val="auto"/>
              </w:rPr>
            </w:pPr>
            <w:r>
              <w:rPr>
                <w:rFonts w:ascii="Arial" w:cs="Arial" w:eastAsia="Arial" w:hAnsi="Arial"/>
                <w:sz w:val="22"/>
                <w:szCs w:val="22"/>
                <w:color w:val="auto"/>
              </w:rPr>
              <w:t>8,859</w:t>
            </w:r>
          </w:p>
        </w:tc>
        <w:tc>
          <w:tcPr>
            <w:tcW w:w="720" w:type="dxa"/>
            <w:vAlign w:val="bottom"/>
          </w:tcPr>
          <w:p>
            <w:pPr>
              <w:spacing w:after="0"/>
              <w:rPr>
                <w:sz w:val="24"/>
                <w:szCs w:val="24"/>
                <w:color w:val="auto"/>
              </w:rPr>
            </w:pPr>
          </w:p>
        </w:tc>
        <w:tc>
          <w:tcPr>
            <w:tcW w:w="1160" w:type="dxa"/>
            <w:vAlign w:val="bottom"/>
          </w:tcPr>
          <w:p>
            <w:pPr>
              <w:jc w:val="right"/>
              <w:ind w:right="72"/>
              <w:spacing w:after="0"/>
              <w:rPr>
                <w:sz w:val="20"/>
                <w:szCs w:val="20"/>
                <w:color w:val="auto"/>
              </w:rPr>
            </w:pPr>
            <w:r>
              <w:rPr>
                <w:rFonts w:ascii="Arial" w:cs="Arial" w:eastAsia="Arial" w:hAnsi="Arial"/>
                <w:sz w:val="22"/>
                <w:szCs w:val="22"/>
                <w:color w:val="auto"/>
              </w:rPr>
              <w:t>9,103</w:t>
            </w:r>
          </w:p>
        </w:tc>
      </w:tr>
      <w:tr>
        <w:trPr>
          <w:trHeight w:val="540"/>
        </w:trPr>
        <w:tc>
          <w:tcPr>
            <w:tcW w:w="6140" w:type="dxa"/>
            <w:vAlign w:val="bottom"/>
          </w:tcPr>
          <w:p>
            <w:pPr>
              <w:ind w:left="120"/>
              <w:spacing w:after="0"/>
              <w:rPr>
                <w:sz w:val="20"/>
                <w:szCs w:val="20"/>
                <w:color w:val="auto"/>
              </w:rPr>
            </w:pPr>
            <w:r>
              <w:rPr>
                <w:rFonts w:ascii="Arial" w:cs="Arial" w:eastAsia="Arial" w:hAnsi="Arial"/>
                <w:sz w:val="22"/>
                <w:szCs w:val="22"/>
                <w:color w:val="auto"/>
              </w:rPr>
              <w:t>Average daily rates (4)</w:t>
            </w:r>
          </w:p>
        </w:tc>
        <w:tc>
          <w:tcPr>
            <w:tcW w:w="1800" w:type="dxa"/>
            <w:vAlign w:val="bottom"/>
          </w:tcPr>
          <w:p>
            <w:pPr>
              <w:jc w:val="right"/>
              <w:ind w:right="232"/>
              <w:spacing w:after="0"/>
              <w:rPr>
                <w:sz w:val="20"/>
                <w:szCs w:val="20"/>
                <w:color w:val="auto"/>
              </w:rPr>
            </w:pPr>
            <w:r>
              <w:rPr>
                <w:rFonts w:ascii="Arial" w:cs="Arial" w:eastAsia="Arial" w:hAnsi="Arial"/>
                <w:sz w:val="22"/>
                <w:szCs w:val="22"/>
                <w:color w:val="auto"/>
              </w:rPr>
              <w:t>$</w:t>
            </w:r>
          </w:p>
        </w:tc>
        <w:tc>
          <w:tcPr>
            <w:tcW w:w="1320" w:type="dxa"/>
            <w:vAlign w:val="bottom"/>
          </w:tcPr>
          <w:p>
            <w:pPr>
              <w:jc w:val="right"/>
              <w:ind w:right="272"/>
              <w:spacing w:after="0"/>
              <w:rPr>
                <w:sz w:val="20"/>
                <w:szCs w:val="20"/>
                <w:color w:val="auto"/>
              </w:rPr>
            </w:pPr>
            <w:r>
              <w:rPr>
                <w:rFonts w:ascii="Arial" w:cs="Arial" w:eastAsia="Arial" w:hAnsi="Arial"/>
                <w:sz w:val="22"/>
                <w:szCs w:val="22"/>
                <w:color w:val="auto"/>
              </w:rPr>
              <w:t>97</w:t>
            </w:r>
          </w:p>
        </w:tc>
        <w:tc>
          <w:tcPr>
            <w:tcW w:w="720" w:type="dxa"/>
            <w:vAlign w:val="bottom"/>
          </w:tcPr>
          <w:p>
            <w:pPr>
              <w:jc w:val="right"/>
              <w:ind w:right="292"/>
              <w:spacing w:after="0"/>
              <w:rPr>
                <w:sz w:val="20"/>
                <w:szCs w:val="20"/>
                <w:color w:val="auto"/>
              </w:rPr>
            </w:pPr>
            <w:r>
              <w:rPr>
                <w:rFonts w:ascii="Arial" w:cs="Arial" w:eastAsia="Arial" w:hAnsi="Arial"/>
                <w:sz w:val="22"/>
                <w:szCs w:val="22"/>
                <w:color w:val="auto"/>
              </w:rPr>
              <w:t>$</w:t>
            </w:r>
          </w:p>
        </w:tc>
        <w:tc>
          <w:tcPr>
            <w:tcW w:w="1160" w:type="dxa"/>
            <w:vAlign w:val="bottom"/>
          </w:tcPr>
          <w:p>
            <w:pPr>
              <w:jc w:val="right"/>
              <w:ind w:right="72"/>
              <w:spacing w:after="0"/>
              <w:rPr>
                <w:sz w:val="20"/>
                <w:szCs w:val="20"/>
                <w:color w:val="auto"/>
              </w:rPr>
            </w:pPr>
            <w:r>
              <w:rPr>
                <w:rFonts w:ascii="Arial" w:cs="Arial" w:eastAsia="Arial" w:hAnsi="Arial"/>
                <w:sz w:val="22"/>
                <w:szCs w:val="22"/>
                <w:color w:val="auto"/>
              </w:rPr>
              <w:t>111</w:t>
            </w:r>
          </w:p>
        </w:tc>
      </w:tr>
      <w:tr>
        <w:trPr>
          <w:trHeight w:val="540"/>
        </w:trPr>
        <w:tc>
          <w:tcPr>
            <w:tcW w:w="6140" w:type="dxa"/>
            <w:vAlign w:val="bottom"/>
          </w:tcPr>
          <w:p>
            <w:pPr>
              <w:ind w:left="120"/>
              <w:spacing w:after="0"/>
              <w:rPr>
                <w:sz w:val="20"/>
                <w:szCs w:val="20"/>
                <w:color w:val="auto"/>
              </w:rPr>
            </w:pPr>
            <w:r>
              <w:rPr>
                <w:rFonts w:ascii="Arial" w:cs="Arial" w:eastAsia="Arial" w:hAnsi="Arial"/>
                <w:sz w:val="22"/>
                <w:szCs w:val="22"/>
                <w:color w:val="auto"/>
              </w:rPr>
              <w:t>Occupancy in lodges (5)</w:t>
            </w:r>
          </w:p>
        </w:tc>
        <w:tc>
          <w:tcPr>
            <w:tcW w:w="1800" w:type="dxa"/>
            <w:vAlign w:val="bottom"/>
          </w:tcPr>
          <w:p>
            <w:pPr>
              <w:spacing w:after="0"/>
              <w:rPr>
                <w:sz w:val="24"/>
                <w:szCs w:val="24"/>
                <w:color w:val="auto"/>
              </w:rPr>
            </w:pPr>
          </w:p>
        </w:tc>
        <w:tc>
          <w:tcPr>
            <w:tcW w:w="1320" w:type="dxa"/>
            <w:vAlign w:val="bottom"/>
          </w:tcPr>
          <w:p>
            <w:pPr>
              <w:jc w:val="right"/>
              <w:ind w:right="92"/>
              <w:spacing w:after="0"/>
              <w:rPr>
                <w:sz w:val="20"/>
                <w:szCs w:val="20"/>
                <w:color w:val="auto"/>
              </w:rPr>
            </w:pPr>
            <w:r>
              <w:rPr>
                <w:rFonts w:ascii="Arial" w:cs="Arial" w:eastAsia="Arial" w:hAnsi="Arial"/>
                <w:sz w:val="22"/>
                <w:szCs w:val="22"/>
                <w:color w:val="auto"/>
              </w:rPr>
              <w:t>72%</w:t>
            </w:r>
          </w:p>
        </w:tc>
        <w:tc>
          <w:tcPr>
            <w:tcW w:w="7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540"/>
        </w:trPr>
        <w:tc>
          <w:tcPr>
            <w:tcW w:w="6140" w:type="dxa"/>
            <w:vAlign w:val="bottom"/>
          </w:tcPr>
          <w:p>
            <w:pPr>
              <w:ind w:left="120"/>
              <w:spacing w:after="0"/>
              <w:rPr>
                <w:sz w:val="20"/>
                <w:szCs w:val="20"/>
                <w:color w:val="auto"/>
              </w:rPr>
            </w:pPr>
            <w:r>
              <w:rPr>
                <w:rFonts w:ascii="Arial" w:cs="Arial" w:eastAsia="Arial" w:hAnsi="Arial"/>
                <w:sz w:val="22"/>
                <w:szCs w:val="22"/>
                <w:color w:val="auto"/>
              </w:rPr>
              <w:t>Canadian dollar to U.S. dollar</w:t>
            </w:r>
          </w:p>
        </w:tc>
        <w:tc>
          <w:tcPr>
            <w:tcW w:w="1800" w:type="dxa"/>
            <w:vAlign w:val="bottom"/>
          </w:tcPr>
          <w:p>
            <w:pPr>
              <w:jc w:val="right"/>
              <w:ind w:right="232"/>
              <w:spacing w:after="0"/>
              <w:rPr>
                <w:sz w:val="20"/>
                <w:szCs w:val="20"/>
                <w:color w:val="auto"/>
              </w:rPr>
            </w:pPr>
            <w:r>
              <w:rPr>
                <w:rFonts w:ascii="Arial" w:cs="Arial" w:eastAsia="Arial" w:hAnsi="Arial"/>
                <w:sz w:val="22"/>
                <w:szCs w:val="22"/>
                <w:color w:val="auto"/>
              </w:rPr>
              <w:t>$</w:t>
            </w:r>
          </w:p>
        </w:tc>
        <w:tc>
          <w:tcPr>
            <w:tcW w:w="1320" w:type="dxa"/>
            <w:vAlign w:val="bottom"/>
          </w:tcPr>
          <w:p>
            <w:pPr>
              <w:jc w:val="right"/>
              <w:ind w:right="272"/>
              <w:spacing w:after="0"/>
              <w:rPr>
                <w:sz w:val="20"/>
                <w:szCs w:val="20"/>
                <w:color w:val="auto"/>
              </w:rPr>
            </w:pPr>
            <w:r>
              <w:rPr>
                <w:rFonts w:ascii="Arial" w:cs="Arial" w:eastAsia="Arial" w:hAnsi="Arial"/>
                <w:sz w:val="22"/>
                <w:szCs w:val="22"/>
                <w:color w:val="auto"/>
              </w:rPr>
              <w:t>0.756</w:t>
            </w:r>
          </w:p>
        </w:tc>
        <w:tc>
          <w:tcPr>
            <w:tcW w:w="720" w:type="dxa"/>
            <w:vAlign w:val="bottom"/>
          </w:tcPr>
          <w:p>
            <w:pPr>
              <w:jc w:val="right"/>
              <w:ind w:right="292"/>
              <w:spacing w:after="0"/>
              <w:rPr>
                <w:sz w:val="20"/>
                <w:szCs w:val="20"/>
                <w:color w:val="auto"/>
              </w:rPr>
            </w:pPr>
            <w:r>
              <w:rPr>
                <w:rFonts w:ascii="Arial" w:cs="Arial" w:eastAsia="Arial" w:hAnsi="Arial"/>
                <w:sz w:val="22"/>
                <w:szCs w:val="22"/>
                <w:color w:val="auto"/>
              </w:rPr>
              <w:t>$</w:t>
            </w:r>
          </w:p>
        </w:tc>
        <w:tc>
          <w:tcPr>
            <w:tcW w:w="1160" w:type="dxa"/>
            <w:vAlign w:val="bottom"/>
          </w:tcPr>
          <w:p>
            <w:pPr>
              <w:jc w:val="right"/>
              <w:ind w:right="72"/>
              <w:spacing w:after="0"/>
              <w:rPr>
                <w:sz w:val="20"/>
                <w:szCs w:val="20"/>
                <w:color w:val="auto"/>
              </w:rPr>
            </w:pPr>
            <w:r>
              <w:rPr>
                <w:rFonts w:ascii="Arial" w:cs="Arial" w:eastAsia="Arial" w:hAnsi="Arial"/>
                <w:sz w:val="22"/>
                <w:szCs w:val="22"/>
                <w:color w:val="auto"/>
              </w:rPr>
              <w:t>0.728</w:t>
            </w:r>
          </w:p>
        </w:tc>
      </w:tr>
      <w:tr>
        <w:trPr>
          <w:trHeight w:val="806"/>
        </w:trPr>
        <w:tc>
          <w:tcPr>
            <w:tcW w:w="6140" w:type="dxa"/>
            <w:vAlign w:val="bottom"/>
          </w:tcPr>
          <w:p>
            <w:pPr>
              <w:spacing w:after="0"/>
              <w:rPr>
                <w:sz w:val="20"/>
                <w:szCs w:val="20"/>
                <w:color w:val="auto"/>
              </w:rPr>
            </w:pPr>
            <w:r>
              <w:rPr>
                <w:rFonts w:ascii="Arial" w:cs="Arial" w:eastAsia="Arial" w:hAnsi="Arial"/>
                <w:sz w:val="22"/>
                <w:szCs w:val="22"/>
                <w:b w:val="1"/>
                <w:bCs w:val="1"/>
                <w:color w:val="auto"/>
              </w:rPr>
              <w:t>Supplemental Operating Data - Australian Segment</w:t>
            </w:r>
          </w:p>
        </w:tc>
        <w:tc>
          <w:tcPr>
            <w:tcW w:w="1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0"/>
        </w:trPr>
        <w:tc>
          <w:tcPr>
            <w:tcW w:w="6140" w:type="dxa"/>
            <w:vAlign w:val="bottom"/>
          </w:tcPr>
          <w:p>
            <w:pPr>
              <w:ind w:left="120"/>
              <w:spacing w:after="0"/>
              <w:rPr>
                <w:sz w:val="20"/>
                <w:szCs w:val="20"/>
                <w:color w:val="auto"/>
              </w:rPr>
            </w:pPr>
            <w:r>
              <w:rPr>
                <w:rFonts w:ascii="Arial" w:cs="Arial" w:eastAsia="Arial" w:hAnsi="Arial"/>
                <w:sz w:val="22"/>
                <w:szCs w:val="22"/>
                <w:color w:val="auto"/>
              </w:rPr>
              <w:t>Revenues</w:t>
            </w:r>
          </w:p>
        </w:tc>
        <w:tc>
          <w:tcPr>
            <w:tcW w:w="18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5"/>
        </w:trPr>
        <w:tc>
          <w:tcPr>
            <w:tcW w:w="6140" w:type="dxa"/>
            <w:vAlign w:val="bottom"/>
          </w:tcPr>
          <w:p>
            <w:pPr>
              <w:ind w:left="200"/>
              <w:spacing w:after="0"/>
              <w:rPr>
                <w:sz w:val="20"/>
                <w:szCs w:val="20"/>
                <w:color w:val="auto"/>
              </w:rPr>
            </w:pPr>
            <w:r>
              <w:rPr>
                <w:rFonts w:ascii="Arial" w:cs="Arial" w:eastAsia="Arial" w:hAnsi="Arial"/>
                <w:sz w:val="22"/>
                <w:szCs w:val="22"/>
                <w:color w:val="auto"/>
              </w:rPr>
              <w:t>Village revenues (1)</w:t>
            </w:r>
          </w:p>
        </w:tc>
        <w:tc>
          <w:tcPr>
            <w:tcW w:w="1800" w:type="dxa"/>
            <w:vAlign w:val="bottom"/>
          </w:tcPr>
          <w:p>
            <w:pPr>
              <w:jc w:val="right"/>
              <w:ind w:right="232"/>
              <w:spacing w:after="0"/>
              <w:rPr>
                <w:sz w:val="20"/>
                <w:szCs w:val="20"/>
                <w:color w:val="auto"/>
              </w:rPr>
            </w:pPr>
            <w:r>
              <w:rPr>
                <w:rFonts w:ascii="Arial" w:cs="Arial" w:eastAsia="Arial" w:hAnsi="Arial"/>
                <w:sz w:val="22"/>
                <w:szCs w:val="22"/>
                <w:color w:val="auto"/>
              </w:rPr>
              <w:t>$</w:t>
            </w:r>
          </w:p>
        </w:tc>
        <w:tc>
          <w:tcPr>
            <w:tcW w:w="1320" w:type="dxa"/>
            <w:vAlign w:val="bottom"/>
          </w:tcPr>
          <w:p>
            <w:pPr>
              <w:jc w:val="right"/>
              <w:ind w:right="272"/>
              <w:spacing w:after="0"/>
              <w:rPr>
                <w:sz w:val="20"/>
                <w:szCs w:val="20"/>
                <w:color w:val="auto"/>
              </w:rPr>
            </w:pPr>
            <w:r>
              <w:rPr>
                <w:rFonts w:ascii="Arial" w:cs="Arial" w:eastAsia="Arial" w:hAnsi="Arial"/>
                <w:sz w:val="22"/>
                <w:szCs w:val="22"/>
                <w:color w:val="auto"/>
              </w:rPr>
              <w:t>27,016</w:t>
            </w:r>
          </w:p>
        </w:tc>
        <w:tc>
          <w:tcPr>
            <w:tcW w:w="720" w:type="dxa"/>
            <w:vAlign w:val="bottom"/>
          </w:tcPr>
          <w:p>
            <w:pPr>
              <w:jc w:val="right"/>
              <w:ind w:right="292"/>
              <w:spacing w:after="0"/>
              <w:rPr>
                <w:sz w:val="20"/>
                <w:szCs w:val="20"/>
                <w:color w:val="auto"/>
              </w:rPr>
            </w:pPr>
            <w:r>
              <w:rPr>
                <w:rFonts w:ascii="Arial" w:cs="Arial" w:eastAsia="Arial" w:hAnsi="Arial"/>
                <w:sz w:val="22"/>
                <w:szCs w:val="22"/>
                <w:color w:val="auto"/>
              </w:rPr>
              <w:t>$</w:t>
            </w:r>
          </w:p>
        </w:tc>
        <w:tc>
          <w:tcPr>
            <w:tcW w:w="1160" w:type="dxa"/>
            <w:vAlign w:val="bottom"/>
          </w:tcPr>
          <w:p>
            <w:pPr>
              <w:jc w:val="right"/>
              <w:ind w:right="72"/>
              <w:spacing w:after="0"/>
              <w:rPr>
                <w:sz w:val="20"/>
                <w:szCs w:val="20"/>
                <w:color w:val="auto"/>
              </w:rPr>
            </w:pPr>
            <w:r>
              <w:rPr>
                <w:rFonts w:ascii="Arial" w:cs="Arial" w:eastAsia="Arial" w:hAnsi="Arial"/>
                <w:sz w:val="22"/>
                <w:szCs w:val="22"/>
                <w:color w:val="auto"/>
              </w:rPr>
              <w:t>25,510</w:t>
            </w:r>
          </w:p>
        </w:tc>
      </w:tr>
      <w:tr>
        <w:trPr>
          <w:trHeight w:val="540"/>
        </w:trPr>
        <w:tc>
          <w:tcPr>
            <w:tcW w:w="6140" w:type="dxa"/>
            <w:vAlign w:val="bottom"/>
          </w:tcPr>
          <w:p>
            <w:pPr>
              <w:ind w:left="120"/>
              <w:spacing w:after="0"/>
              <w:rPr>
                <w:sz w:val="20"/>
                <w:szCs w:val="20"/>
                <w:color w:val="auto"/>
              </w:rPr>
            </w:pPr>
            <w:r>
              <w:rPr>
                <w:rFonts w:ascii="Arial" w:cs="Arial" w:eastAsia="Arial" w:hAnsi="Arial"/>
                <w:sz w:val="22"/>
                <w:szCs w:val="22"/>
                <w:color w:val="auto"/>
              </w:rPr>
              <w:t>Average available village rooms (2)</w:t>
            </w:r>
          </w:p>
        </w:tc>
        <w:tc>
          <w:tcPr>
            <w:tcW w:w="1800" w:type="dxa"/>
            <w:vAlign w:val="bottom"/>
          </w:tcPr>
          <w:p>
            <w:pPr>
              <w:spacing w:after="0"/>
              <w:rPr>
                <w:sz w:val="24"/>
                <w:szCs w:val="24"/>
                <w:color w:val="auto"/>
              </w:rPr>
            </w:pPr>
          </w:p>
        </w:tc>
        <w:tc>
          <w:tcPr>
            <w:tcW w:w="1320" w:type="dxa"/>
            <w:vAlign w:val="bottom"/>
          </w:tcPr>
          <w:p>
            <w:pPr>
              <w:jc w:val="right"/>
              <w:ind w:right="272"/>
              <w:spacing w:after="0"/>
              <w:rPr>
                <w:sz w:val="20"/>
                <w:szCs w:val="20"/>
                <w:color w:val="auto"/>
              </w:rPr>
            </w:pPr>
            <w:r>
              <w:rPr>
                <w:rFonts w:ascii="Arial" w:cs="Arial" w:eastAsia="Arial" w:hAnsi="Arial"/>
                <w:sz w:val="22"/>
                <w:szCs w:val="22"/>
                <w:color w:val="auto"/>
              </w:rPr>
              <w:t>9,386</w:t>
            </w:r>
          </w:p>
        </w:tc>
        <w:tc>
          <w:tcPr>
            <w:tcW w:w="720" w:type="dxa"/>
            <w:vAlign w:val="bottom"/>
          </w:tcPr>
          <w:p>
            <w:pPr>
              <w:spacing w:after="0"/>
              <w:rPr>
                <w:sz w:val="24"/>
                <w:szCs w:val="24"/>
                <w:color w:val="auto"/>
              </w:rPr>
            </w:pPr>
          </w:p>
        </w:tc>
        <w:tc>
          <w:tcPr>
            <w:tcW w:w="1160" w:type="dxa"/>
            <w:vAlign w:val="bottom"/>
          </w:tcPr>
          <w:p>
            <w:pPr>
              <w:jc w:val="right"/>
              <w:ind w:right="72"/>
              <w:spacing w:after="0"/>
              <w:rPr>
                <w:sz w:val="20"/>
                <w:szCs w:val="20"/>
                <w:color w:val="auto"/>
              </w:rPr>
            </w:pPr>
            <w:r>
              <w:rPr>
                <w:rFonts w:ascii="Arial" w:cs="Arial" w:eastAsia="Arial" w:hAnsi="Arial"/>
                <w:sz w:val="22"/>
                <w:szCs w:val="22"/>
                <w:color w:val="auto"/>
              </w:rPr>
              <w:t>9,296</w:t>
            </w:r>
          </w:p>
        </w:tc>
      </w:tr>
      <w:tr>
        <w:trPr>
          <w:trHeight w:val="540"/>
        </w:trPr>
        <w:tc>
          <w:tcPr>
            <w:tcW w:w="6140" w:type="dxa"/>
            <w:vAlign w:val="bottom"/>
          </w:tcPr>
          <w:p>
            <w:pPr>
              <w:ind w:left="120"/>
              <w:spacing w:after="0"/>
              <w:rPr>
                <w:sz w:val="20"/>
                <w:szCs w:val="20"/>
                <w:color w:val="auto"/>
              </w:rPr>
            </w:pPr>
            <w:r>
              <w:rPr>
                <w:rFonts w:ascii="Arial" w:cs="Arial" w:eastAsia="Arial" w:hAnsi="Arial"/>
                <w:sz w:val="22"/>
                <w:szCs w:val="22"/>
                <w:color w:val="auto"/>
              </w:rPr>
              <w:t>Rentable rooms (3)</w:t>
            </w:r>
          </w:p>
        </w:tc>
        <w:tc>
          <w:tcPr>
            <w:tcW w:w="1800" w:type="dxa"/>
            <w:vAlign w:val="bottom"/>
          </w:tcPr>
          <w:p>
            <w:pPr>
              <w:spacing w:after="0"/>
              <w:rPr>
                <w:sz w:val="24"/>
                <w:szCs w:val="24"/>
                <w:color w:val="auto"/>
              </w:rPr>
            </w:pPr>
          </w:p>
        </w:tc>
        <w:tc>
          <w:tcPr>
            <w:tcW w:w="1320" w:type="dxa"/>
            <w:vAlign w:val="bottom"/>
          </w:tcPr>
          <w:p>
            <w:pPr>
              <w:jc w:val="right"/>
              <w:ind w:right="272"/>
              <w:spacing w:after="0"/>
              <w:rPr>
                <w:sz w:val="20"/>
                <w:szCs w:val="20"/>
                <w:color w:val="auto"/>
              </w:rPr>
            </w:pPr>
            <w:r>
              <w:rPr>
                <w:rFonts w:ascii="Arial" w:cs="Arial" w:eastAsia="Arial" w:hAnsi="Arial"/>
                <w:sz w:val="22"/>
                <w:szCs w:val="22"/>
                <w:color w:val="auto"/>
              </w:rPr>
              <w:t>8,776</w:t>
            </w:r>
          </w:p>
        </w:tc>
        <w:tc>
          <w:tcPr>
            <w:tcW w:w="720" w:type="dxa"/>
            <w:vAlign w:val="bottom"/>
          </w:tcPr>
          <w:p>
            <w:pPr>
              <w:spacing w:after="0"/>
              <w:rPr>
                <w:sz w:val="24"/>
                <w:szCs w:val="24"/>
                <w:color w:val="auto"/>
              </w:rPr>
            </w:pPr>
          </w:p>
        </w:tc>
        <w:tc>
          <w:tcPr>
            <w:tcW w:w="1160" w:type="dxa"/>
            <w:vAlign w:val="bottom"/>
          </w:tcPr>
          <w:p>
            <w:pPr>
              <w:jc w:val="right"/>
              <w:ind w:right="72"/>
              <w:spacing w:after="0"/>
              <w:rPr>
                <w:sz w:val="20"/>
                <w:szCs w:val="20"/>
                <w:color w:val="auto"/>
              </w:rPr>
            </w:pPr>
            <w:r>
              <w:rPr>
                <w:rFonts w:ascii="Arial" w:cs="Arial" w:eastAsia="Arial" w:hAnsi="Arial"/>
                <w:sz w:val="22"/>
                <w:szCs w:val="22"/>
                <w:color w:val="auto"/>
              </w:rPr>
              <w:t>8,696</w:t>
            </w:r>
          </w:p>
        </w:tc>
      </w:tr>
      <w:tr>
        <w:trPr>
          <w:trHeight w:val="540"/>
        </w:trPr>
        <w:tc>
          <w:tcPr>
            <w:tcW w:w="6140" w:type="dxa"/>
            <w:vAlign w:val="bottom"/>
          </w:tcPr>
          <w:p>
            <w:pPr>
              <w:ind w:left="120"/>
              <w:spacing w:after="0"/>
              <w:rPr>
                <w:sz w:val="20"/>
                <w:szCs w:val="20"/>
                <w:color w:val="auto"/>
              </w:rPr>
            </w:pPr>
            <w:r>
              <w:rPr>
                <w:rFonts w:ascii="Arial" w:cs="Arial" w:eastAsia="Arial" w:hAnsi="Arial"/>
                <w:sz w:val="22"/>
                <w:szCs w:val="22"/>
                <w:color w:val="auto"/>
              </w:rPr>
              <w:t>Average daily rates (4)</w:t>
            </w:r>
          </w:p>
        </w:tc>
        <w:tc>
          <w:tcPr>
            <w:tcW w:w="1800" w:type="dxa"/>
            <w:vAlign w:val="bottom"/>
          </w:tcPr>
          <w:p>
            <w:pPr>
              <w:jc w:val="right"/>
              <w:ind w:right="232"/>
              <w:spacing w:after="0"/>
              <w:rPr>
                <w:sz w:val="20"/>
                <w:szCs w:val="20"/>
                <w:color w:val="auto"/>
              </w:rPr>
            </w:pPr>
            <w:r>
              <w:rPr>
                <w:rFonts w:ascii="Arial" w:cs="Arial" w:eastAsia="Arial" w:hAnsi="Arial"/>
                <w:sz w:val="22"/>
                <w:szCs w:val="22"/>
                <w:color w:val="auto"/>
              </w:rPr>
              <w:t>$</w:t>
            </w:r>
          </w:p>
        </w:tc>
        <w:tc>
          <w:tcPr>
            <w:tcW w:w="1320" w:type="dxa"/>
            <w:vAlign w:val="bottom"/>
          </w:tcPr>
          <w:p>
            <w:pPr>
              <w:jc w:val="right"/>
              <w:ind w:right="272"/>
              <w:spacing w:after="0"/>
              <w:rPr>
                <w:sz w:val="20"/>
                <w:szCs w:val="20"/>
                <w:color w:val="auto"/>
              </w:rPr>
            </w:pPr>
            <w:r>
              <w:rPr>
                <w:rFonts w:ascii="Arial" w:cs="Arial" w:eastAsia="Arial" w:hAnsi="Arial"/>
                <w:sz w:val="22"/>
                <w:szCs w:val="22"/>
                <w:color w:val="auto"/>
              </w:rPr>
              <w:t>81</w:t>
            </w:r>
          </w:p>
        </w:tc>
        <w:tc>
          <w:tcPr>
            <w:tcW w:w="720" w:type="dxa"/>
            <w:vAlign w:val="bottom"/>
          </w:tcPr>
          <w:p>
            <w:pPr>
              <w:jc w:val="right"/>
              <w:ind w:right="292"/>
              <w:spacing w:after="0"/>
              <w:rPr>
                <w:sz w:val="20"/>
                <w:szCs w:val="20"/>
                <w:color w:val="auto"/>
              </w:rPr>
            </w:pPr>
            <w:r>
              <w:rPr>
                <w:rFonts w:ascii="Arial" w:cs="Arial" w:eastAsia="Arial" w:hAnsi="Arial"/>
                <w:sz w:val="22"/>
                <w:szCs w:val="22"/>
                <w:color w:val="auto"/>
              </w:rPr>
              <w:t>$</w:t>
            </w:r>
          </w:p>
        </w:tc>
        <w:tc>
          <w:tcPr>
            <w:tcW w:w="1160" w:type="dxa"/>
            <w:vAlign w:val="bottom"/>
          </w:tcPr>
          <w:p>
            <w:pPr>
              <w:jc w:val="right"/>
              <w:ind w:right="72"/>
              <w:spacing w:after="0"/>
              <w:rPr>
                <w:sz w:val="20"/>
                <w:szCs w:val="20"/>
                <w:color w:val="auto"/>
              </w:rPr>
            </w:pPr>
            <w:r>
              <w:rPr>
                <w:rFonts w:ascii="Arial" w:cs="Arial" w:eastAsia="Arial" w:hAnsi="Arial"/>
                <w:sz w:val="22"/>
                <w:szCs w:val="22"/>
                <w:color w:val="auto"/>
              </w:rPr>
              <w:t>68</w:t>
            </w:r>
          </w:p>
        </w:tc>
      </w:tr>
      <w:tr>
        <w:trPr>
          <w:trHeight w:val="540"/>
        </w:trPr>
        <w:tc>
          <w:tcPr>
            <w:tcW w:w="6140" w:type="dxa"/>
            <w:vAlign w:val="bottom"/>
          </w:tcPr>
          <w:p>
            <w:pPr>
              <w:ind w:left="120"/>
              <w:spacing w:after="0"/>
              <w:rPr>
                <w:sz w:val="20"/>
                <w:szCs w:val="20"/>
                <w:color w:val="auto"/>
              </w:rPr>
            </w:pPr>
            <w:r>
              <w:rPr>
                <w:rFonts w:ascii="Arial" w:cs="Arial" w:eastAsia="Arial" w:hAnsi="Arial"/>
                <w:sz w:val="22"/>
                <w:szCs w:val="22"/>
                <w:color w:val="auto"/>
              </w:rPr>
              <w:t>Occupancy in villages (5)</w:t>
            </w:r>
          </w:p>
        </w:tc>
        <w:tc>
          <w:tcPr>
            <w:tcW w:w="1800" w:type="dxa"/>
            <w:vAlign w:val="bottom"/>
          </w:tcPr>
          <w:p>
            <w:pPr>
              <w:spacing w:after="0"/>
              <w:rPr>
                <w:sz w:val="24"/>
                <w:szCs w:val="24"/>
                <w:color w:val="auto"/>
              </w:rPr>
            </w:pPr>
          </w:p>
        </w:tc>
        <w:tc>
          <w:tcPr>
            <w:tcW w:w="1320" w:type="dxa"/>
            <w:vAlign w:val="bottom"/>
          </w:tcPr>
          <w:p>
            <w:pPr>
              <w:jc w:val="right"/>
              <w:ind w:right="92"/>
              <w:spacing w:after="0"/>
              <w:rPr>
                <w:sz w:val="20"/>
                <w:szCs w:val="20"/>
                <w:color w:val="auto"/>
              </w:rPr>
            </w:pPr>
            <w:r>
              <w:rPr>
                <w:rFonts w:ascii="Arial" w:cs="Arial" w:eastAsia="Arial" w:hAnsi="Arial"/>
                <w:sz w:val="22"/>
                <w:szCs w:val="22"/>
                <w:color w:val="auto"/>
              </w:rPr>
              <w:t>42%</w:t>
            </w:r>
          </w:p>
        </w:tc>
        <w:tc>
          <w:tcPr>
            <w:tcW w:w="7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540"/>
        </w:trPr>
        <w:tc>
          <w:tcPr>
            <w:tcW w:w="6140" w:type="dxa"/>
            <w:vAlign w:val="bottom"/>
          </w:tcPr>
          <w:p>
            <w:pPr>
              <w:ind w:left="120"/>
              <w:spacing w:after="0"/>
              <w:rPr>
                <w:sz w:val="20"/>
                <w:szCs w:val="20"/>
                <w:color w:val="auto"/>
              </w:rPr>
            </w:pPr>
            <w:r>
              <w:rPr>
                <w:rFonts w:ascii="Arial" w:cs="Arial" w:eastAsia="Arial" w:hAnsi="Arial"/>
                <w:sz w:val="22"/>
                <w:szCs w:val="22"/>
                <w:color w:val="auto"/>
              </w:rPr>
              <w:t>Australian dollar to U.S. dollar</w:t>
            </w:r>
          </w:p>
        </w:tc>
        <w:tc>
          <w:tcPr>
            <w:tcW w:w="1800" w:type="dxa"/>
            <w:vAlign w:val="bottom"/>
          </w:tcPr>
          <w:p>
            <w:pPr>
              <w:jc w:val="right"/>
              <w:ind w:right="232"/>
              <w:spacing w:after="0"/>
              <w:rPr>
                <w:sz w:val="20"/>
                <w:szCs w:val="20"/>
                <w:color w:val="auto"/>
              </w:rPr>
            </w:pPr>
            <w:r>
              <w:rPr>
                <w:rFonts w:ascii="Arial" w:cs="Arial" w:eastAsia="Arial" w:hAnsi="Arial"/>
                <w:sz w:val="22"/>
                <w:szCs w:val="22"/>
                <w:color w:val="auto"/>
              </w:rPr>
              <w:t>$</w:t>
            </w:r>
          </w:p>
        </w:tc>
        <w:tc>
          <w:tcPr>
            <w:tcW w:w="1320" w:type="dxa"/>
            <w:vAlign w:val="bottom"/>
          </w:tcPr>
          <w:p>
            <w:pPr>
              <w:jc w:val="right"/>
              <w:ind w:right="272"/>
              <w:spacing w:after="0"/>
              <w:rPr>
                <w:sz w:val="20"/>
                <w:szCs w:val="20"/>
                <w:color w:val="auto"/>
              </w:rPr>
            </w:pPr>
            <w:r>
              <w:rPr>
                <w:rFonts w:ascii="Arial" w:cs="Arial" w:eastAsia="Arial" w:hAnsi="Arial"/>
                <w:sz w:val="22"/>
                <w:szCs w:val="22"/>
                <w:color w:val="auto"/>
              </w:rPr>
              <w:t>0.758</w:t>
            </w:r>
          </w:p>
        </w:tc>
        <w:tc>
          <w:tcPr>
            <w:tcW w:w="720" w:type="dxa"/>
            <w:vAlign w:val="bottom"/>
          </w:tcPr>
          <w:p>
            <w:pPr>
              <w:jc w:val="right"/>
              <w:ind w:right="292"/>
              <w:spacing w:after="0"/>
              <w:rPr>
                <w:sz w:val="20"/>
                <w:szCs w:val="20"/>
                <w:color w:val="auto"/>
              </w:rPr>
            </w:pPr>
            <w:r>
              <w:rPr>
                <w:rFonts w:ascii="Arial" w:cs="Arial" w:eastAsia="Arial" w:hAnsi="Arial"/>
                <w:sz w:val="22"/>
                <w:szCs w:val="22"/>
                <w:color w:val="auto"/>
              </w:rPr>
              <w:t>$</w:t>
            </w:r>
          </w:p>
        </w:tc>
        <w:tc>
          <w:tcPr>
            <w:tcW w:w="1160" w:type="dxa"/>
            <w:vAlign w:val="bottom"/>
          </w:tcPr>
          <w:p>
            <w:pPr>
              <w:jc w:val="right"/>
              <w:ind w:right="72"/>
              <w:spacing w:after="0"/>
              <w:rPr>
                <w:sz w:val="20"/>
                <w:szCs w:val="20"/>
                <w:color w:val="auto"/>
              </w:rPr>
            </w:pPr>
            <w:r>
              <w:rPr>
                <w:rFonts w:ascii="Arial" w:cs="Arial" w:eastAsia="Arial" w:hAnsi="Arial"/>
                <w:sz w:val="22"/>
                <w:szCs w:val="22"/>
                <w:color w:val="auto"/>
              </w:rPr>
              <w:t>0.721</w:t>
            </w:r>
          </w:p>
        </w:tc>
      </w:tr>
    </w:tbl>
    <w:p>
      <w:pPr>
        <w:spacing w:after="0" w:line="200" w:lineRule="exact"/>
        <w:rPr>
          <w:sz w:val="20"/>
          <w:szCs w:val="20"/>
          <w:color w:val="auto"/>
        </w:rPr>
      </w:pPr>
    </w:p>
    <w:p>
      <w:pPr>
        <w:spacing w:after="0" w:line="336" w:lineRule="exact"/>
        <w:rPr>
          <w:sz w:val="20"/>
          <w:szCs w:val="20"/>
          <w:color w:val="auto"/>
        </w:rPr>
      </w:pPr>
    </w:p>
    <w:p>
      <w:pPr>
        <w:ind w:left="20" w:right="280" w:firstLine="2"/>
        <w:spacing w:after="0" w:line="251" w:lineRule="auto"/>
        <w:tabs>
          <w:tab w:leader="none" w:pos="380" w:val="left"/>
        </w:tabs>
        <w:numPr>
          <w:ilvl w:val="0"/>
          <w:numId w:val="8"/>
        </w:numPr>
        <w:rPr>
          <w:rFonts w:ascii="Arial" w:cs="Arial" w:eastAsia="Arial" w:hAnsi="Arial"/>
          <w:sz w:val="22"/>
          <w:szCs w:val="22"/>
          <w:color w:val="auto"/>
        </w:rPr>
      </w:pPr>
      <w:r>
        <w:rPr>
          <w:rFonts w:ascii="Arial" w:cs="Arial" w:eastAsia="Arial" w:hAnsi="Arial"/>
          <w:sz w:val="22"/>
          <w:szCs w:val="22"/>
          <w:color w:val="auto"/>
        </w:rPr>
        <w:t>Includes revenue related to rooms as well as the fees associated with catering, laundry and other services including facilities management.</w:t>
      </w:r>
    </w:p>
    <w:p>
      <w:pPr>
        <w:spacing w:after="0" w:line="254" w:lineRule="exact"/>
        <w:rPr>
          <w:rFonts w:ascii="Arial" w:cs="Arial" w:eastAsia="Arial" w:hAnsi="Arial"/>
          <w:sz w:val="22"/>
          <w:szCs w:val="22"/>
          <w:color w:val="auto"/>
        </w:rPr>
      </w:pPr>
    </w:p>
    <w:p>
      <w:pPr>
        <w:ind w:left="20" w:right="780" w:firstLine="2"/>
        <w:spacing w:after="0" w:line="251" w:lineRule="auto"/>
        <w:tabs>
          <w:tab w:leader="none" w:pos="380" w:val="left"/>
        </w:tabs>
        <w:numPr>
          <w:ilvl w:val="0"/>
          <w:numId w:val="8"/>
        </w:numPr>
        <w:rPr>
          <w:rFonts w:ascii="Arial" w:cs="Arial" w:eastAsia="Arial" w:hAnsi="Arial"/>
          <w:sz w:val="22"/>
          <w:szCs w:val="22"/>
          <w:color w:val="auto"/>
        </w:rPr>
      </w:pPr>
      <w:r>
        <w:rPr>
          <w:rFonts w:ascii="Arial" w:cs="Arial" w:eastAsia="Arial" w:hAnsi="Arial"/>
          <w:sz w:val="22"/>
          <w:szCs w:val="22"/>
          <w:color w:val="auto"/>
        </w:rPr>
        <w:t>Average available rooms relate to Canadian lodges and Australian villages and includes rooms that are utilized for our personnel.</w:t>
      </w:r>
    </w:p>
    <w:p>
      <w:pPr>
        <w:spacing w:after="0" w:line="254" w:lineRule="exact"/>
        <w:rPr>
          <w:rFonts w:ascii="Arial" w:cs="Arial" w:eastAsia="Arial" w:hAnsi="Arial"/>
          <w:sz w:val="22"/>
          <w:szCs w:val="22"/>
          <w:color w:val="auto"/>
        </w:rPr>
      </w:pPr>
    </w:p>
    <w:p>
      <w:pPr>
        <w:ind w:left="20" w:right="260" w:firstLine="2"/>
        <w:spacing w:after="0" w:line="251" w:lineRule="auto"/>
        <w:tabs>
          <w:tab w:leader="none" w:pos="380" w:val="left"/>
        </w:tabs>
        <w:numPr>
          <w:ilvl w:val="0"/>
          <w:numId w:val="8"/>
        </w:numPr>
        <w:rPr>
          <w:rFonts w:ascii="Arial" w:cs="Arial" w:eastAsia="Arial" w:hAnsi="Arial"/>
          <w:sz w:val="22"/>
          <w:szCs w:val="22"/>
          <w:color w:val="auto"/>
        </w:rPr>
      </w:pPr>
      <w:r>
        <w:rPr>
          <w:rFonts w:ascii="Arial" w:cs="Arial" w:eastAsia="Arial" w:hAnsi="Arial"/>
          <w:sz w:val="22"/>
          <w:szCs w:val="22"/>
          <w:color w:val="auto"/>
        </w:rPr>
        <w:t>Rentable rooms relate to Canadian lodges and Australian villages and excludes rooms that are utilized for our personnel and out-of-service rooms.</w:t>
      </w:r>
    </w:p>
    <w:p>
      <w:pPr>
        <w:spacing w:after="0" w:line="254" w:lineRule="exact"/>
        <w:rPr>
          <w:rFonts w:ascii="Arial" w:cs="Arial" w:eastAsia="Arial" w:hAnsi="Arial"/>
          <w:sz w:val="22"/>
          <w:szCs w:val="22"/>
          <w:color w:val="auto"/>
        </w:rPr>
      </w:pPr>
    </w:p>
    <w:p>
      <w:pPr>
        <w:ind w:left="380" w:hanging="358"/>
        <w:spacing w:after="0"/>
        <w:tabs>
          <w:tab w:leader="none" w:pos="380" w:val="left"/>
        </w:tabs>
        <w:numPr>
          <w:ilvl w:val="0"/>
          <w:numId w:val="8"/>
        </w:numPr>
        <w:rPr>
          <w:rFonts w:ascii="Arial" w:cs="Arial" w:eastAsia="Arial" w:hAnsi="Arial"/>
          <w:sz w:val="22"/>
          <w:szCs w:val="22"/>
          <w:color w:val="auto"/>
        </w:rPr>
      </w:pPr>
      <w:r>
        <w:rPr>
          <w:rFonts w:ascii="Arial" w:cs="Arial" w:eastAsia="Arial" w:hAnsi="Arial"/>
          <w:sz w:val="22"/>
          <w:szCs w:val="22"/>
          <w:color w:val="auto"/>
        </w:rPr>
        <w:t>Average daily rate is based on rentable rooms and lodge/village revenue.</w:t>
      </w:r>
    </w:p>
    <w:p>
      <w:pPr>
        <w:spacing w:after="0" w:line="287" w:lineRule="exact"/>
        <w:rPr>
          <w:rFonts w:ascii="Arial" w:cs="Arial" w:eastAsia="Arial" w:hAnsi="Arial"/>
          <w:sz w:val="22"/>
          <w:szCs w:val="22"/>
          <w:color w:val="auto"/>
        </w:rPr>
      </w:pPr>
    </w:p>
    <w:p>
      <w:pPr>
        <w:ind w:left="380" w:hanging="358"/>
        <w:spacing w:after="0"/>
        <w:tabs>
          <w:tab w:leader="none" w:pos="380" w:val="left"/>
        </w:tabs>
        <w:numPr>
          <w:ilvl w:val="0"/>
          <w:numId w:val="8"/>
        </w:numPr>
        <w:rPr>
          <w:rFonts w:ascii="Arial" w:cs="Arial" w:eastAsia="Arial" w:hAnsi="Arial"/>
          <w:sz w:val="19"/>
          <w:szCs w:val="19"/>
          <w:color w:val="auto"/>
        </w:rPr>
      </w:pPr>
      <w:r>
        <w:rPr>
          <w:rFonts w:ascii="Arial" w:cs="Arial" w:eastAsia="Arial" w:hAnsi="Arial"/>
          <w:sz w:val="19"/>
          <w:szCs w:val="19"/>
          <w:color w:val="auto"/>
        </w:rPr>
        <w:t>Occupancy represents total billed days divided by rentable days. Rentable days excludes staff rooms and out-of-service rooms.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color w:val="auto"/>
        </w:rPr>
        <w:t>Contacts: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Frank C. Steininger</w:t>
      </w:r>
    </w:p>
    <w:p>
      <w:pPr>
        <w:spacing w:after="0" w:line="238" w:lineRule="auto"/>
        <w:rPr>
          <w:sz w:val="20"/>
          <w:szCs w:val="20"/>
          <w:color w:val="auto"/>
        </w:rPr>
      </w:pPr>
      <w:r>
        <w:rPr>
          <w:rFonts w:ascii="Arial" w:cs="Arial" w:eastAsia="Arial" w:hAnsi="Arial"/>
          <w:sz w:val="22"/>
          <w:szCs w:val="22"/>
          <w:color w:val="auto"/>
        </w:rPr>
        <w:t>Civeo Corporation</w:t>
      </w:r>
    </w:p>
    <w:p>
      <w:pPr>
        <w:spacing w:after="0" w:line="230" w:lineRule="auto"/>
        <w:rPr>
          <w:sz w:val="20"/>
          <w:szCs w:val="20"/>
          <w:color w:val="auto"/>
        </w:rPr>
      </w:pPr>
      <w:r>
        <w:rPr>
          <w:rFonts w:ascii="Arial" w:cs="Arial" w:eastAsia="Arial" w:hAnsi="Arial"/>
          <w:sz w:val="22"/>
          <w:szCs w:val="22"/>
          <w:color w:val="auto"/>
        </w:rPr>
        <w:t>Senior Vice President and 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713-510-2400</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Marc Cunningham</w:t>
      </w:r>
    </w:p>
    <w:p>
      <w:pPr>
        <w:spacing w:after="0" w:line="238" w:lineRule="auto"/>
        <w:rPr>
          <w:sz w:val="20"/>
          <w:szCs w:val="20"/>
          <w:color w:val="auto"/>
        </w:rPr>
      </w:pPr>
      <w:r>
        <w:rPr>
          <w:rFonts w:ascii="Arial" w:cs="Arial" w:eastAsia="Arial" w:hAnsi="Arial"/>
          <w:sz w:val="22"/>
          <w:szCs w:val="22"/>
          <w:color w:val="auto"/>
        </w:rPr>
        <w:t>Jeffrey Spittel</w:t>
      </w:r>
    </w:p>
    <w:p>
      <w:pPr>
        <w:spacing w:after="0" w:line="230" w:lineRule="auto"/>
        <w:rPr>
          <w:sz w:val="20"/>
          <w:szCs w:val="20"/>
          <w:color w:val="auto"/>
        </w:rPr>
      </w:pPr>
      <w:r>
        <w:rPr>
          <w:rFonts w:ascii="Arial" w:cs="Arial" w:eastAsia="Arial" w:hAnsi="Arial"/>
          <w:sz w:val="22"/>
          <w:szCs w:val="22"/>
          <w:color w:val="auto"/>
        </w:rPr>
        <w:t>FTI Consulting</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713-353-5407</w:t>
      </w:r>
    </w:p>
    <w:sectPr>
      <w:pgSz w:w="11900" w:h="16838" w:orient="portrait"/>
      <w:cols w:equalWidth="0" w:num="1">
        <w:col w:w="11380"/>
      </w:cols>
      <w:pgMar w:left="240" w:top="402"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1)"/>
      <w:numFmt w:val="decimal"/>
      <w:start w:val="888"/>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decimal"/>
      <w:start w:val="2"/>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2019-12-29T06:51:28Z</dcterms:created>
  <dcterms:modified xsi:type="dcterms:W3CDTF">2019-12-29T06:51:28Z</dcterms:modified>
</cp:coreProperties>
</file>