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44"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September 30, 2025</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05" w:lineRule="exact"/>
        <w:rPr>
          <w:sz w:val="24"/>
          <w:szCs w:val="24"/>
          <w:color w:val="auto"/>
        </w:rPr>
      </w:pPr>
    </w:p>
    <w:p>
      <w:pPr>
        <w:ind w:left="1280" w:hanging="788"/>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4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40640</wp:posOffset>
            </wp:positionV>
            <wp:extent cx="1360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2"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British Columbia, Canada</w:t>
            </w:r>
          </w:p>
        </w:tc>
        <w:tc>
          <w:tcPr>
            <w:tcW w:w="422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5"/>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4400,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0"/>
                <w:szCs w:val="20"/>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color w:val="auto"/>
              </w:rPr>
              <w:t>(Zip Code)</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8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2"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5"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CVEO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08" w:lineRule="exact"/>
        <w:rPr>
          <w:sz w:val="24"/>
          <w:szCs w:val="24"/>
          <w:color w:val="auto"/>
        </w:rPr>
      </w:pPr>
    </w:p>
    <w:p>
      <w:pPr>
        <w:sectPr>
          <w:pgSz w:w="11900" w:h="16838" w:orient="portrait"/>
          <w:cols w:equalWidth="0" w:num="3">
            <w:col w:w="3580" w:space="720"/>
            <w:col w:w="1760" w:space="720"/>
            <w:col w:w="4460"/>
          </w:cols>
          <w:pgMar w:left="320" w:top="1440" w:right="339" w:bottom="1440" w:gutter="0" w:footer="0" w:header="0"/>
          <w:type w:val="continuous"/>
        </w:sectPr>
      </w:pPr>
    </w:p>
    <w:p>
      <w:pPr>
        <w:ind w:right="280"/>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8"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6">
            <w:col w:w="1340" w:space="560"/>
            <w:col w:w="160" w:space="420"/>
            <w:col w:w="1540" w:space="720"/>
            <w:col w:w="160" w:space="440"/>
            <w:col w:w="2260" w:space="720"/>
            <w:col w:w="2920"/>
          </w:cols>
          <w:pgMar w:left="320" w:top="1440" w:right="339" w:bottom="1440" w:gutter="0" w:footer="0" w:header="0"/>
          <w:type w:val="continuous"/>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9" w:lineRule="exact"/>
        <w:rPr>
          <w:sz w:val="24"/>
          <w:szCs w:val="24"/>
          <w:color w:val="auto"/>
        </w:rPr>
      </w:pPr>
    </w:p>
    <w:p>
      <w:pPr>
        <w:ind w:right="360"/>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571500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p>
      <w:pPr>
        <w:jc w:val="both"/>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11,515,223 common shares outstanding as of October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563245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51"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shd w:val="clear" w:color="auto" w:fill="CCEEFF"/>
          </w:tcPr>
          <w:p>
            <w:pPr>
              <w:spacing w:after="0"/>
              <w:rPr>
                <w:sz w:val="17"/>
                <w:szCs w:val="17"/>
                <w:color w:val="auto"/>
              </w:rPr>
            </w:pPr>
          </w:p>
        </w:tc>
        <w:tc>
          <w:tcPr>
            <w:tcW w:w="10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and Nine Months Ended September 30, 2025 and 2024</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Nine Months Ended September 30, 2025 and 2024</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Consolidated Balance Sheets – as of September 30, 2025 (unaudited) and December 31, 2024</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and Nine Months Ended September 30, 2025 and 2024</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Cash Flows for the Nine Months Ended September 30, 2025 and 2024</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105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22</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22</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37</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56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1A.</w:t>
            </w:r>
          </w:p>
        </w:tc>
        <w:tc>
          <w:tcPr>
            <w:tcW w:w="105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5.</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Other Information</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6.</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40</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9"/>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5"/>
        </w:trPr>
        <w:tc>
          <w:tcPr>
            <w:tcW w:w="6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170,491</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176,338</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477,229</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531,171</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126,704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138,542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409,821</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19,635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55,708</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17,440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51,269</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loss on sale of McClelland Lake Lodge assets, net</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w:t>
            </w:r>
          </w:p>
        </w:tc>
      </w:tr>
      <w:tr>
        <w:trPr>
          <w:trHeight w:val="19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89"/>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176,294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472,979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519,796</w:t>
            </w: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11,375</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r>
      <w:tr>
        <w:trPr>
          <w:trHeight w:val="182"/>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w:t>
            </w:r>
          </w:p>
        </w:tc>
      </w:tr>
      <w:tr>
        <w:trPr>
          <w:trHeight w:val="18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r>
      <w:tr>
        <w:trPr>
          <w:trHeight w:val="163"/>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Civeo Corporation</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5"/>
        </w:trPr>
        <w:tc>
          <w:tcPr>
            <w:tcW w:w="6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 (see Note 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14,488</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14,293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14,488</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common share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r>
    </w:tbl>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480" w:top="1374"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9"/>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4"/>
        </w:trPr>
        <w:tc>
          <w:tcPr>
            <w:tcW w:w="5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w:t>
            </w: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r>
      <w:tr>
        <w:trPr>
          <w:trHeight w:val="189"/>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w:t>
            </w:r>
          </w:p>
        </w:tc>
      </w:tr>
      <w:tr>
        <w:trPr>
          <w:trHeight w:val="221"/>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Civeo Corporation</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374" w:right="5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92"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87"/>
        </w:trPr>
        <w:tc>
          <w:tcPr>
            <w:tcW w:w="4320" w:type="dxa"/>
            <w:vAlign w:val="bottom"/>
            <w:gridSpan w:val="2"/>
          </w:tcPr>
          <w:p>
            <w:pPr>
              <w:jc w:val="right"/>
              <w:ind w:right="3750"/>
              <w:spacing w:after="0"/>
              <w:rPr>
                <w:sz w:val="20"/>
                <w:szCs w:val="20"/>
                <w:color w:val="auto"/>
              </w:rPr>
            </w:pPr>
            <w:r>
              <w:rPr>
                <w:rFonts w:ascii="Times New Roman" w:cs="Times New Roman" w:eastAsia="Times New Roman" w:hAnsi="Times New Roman"/>
                <w:sz w:val="14"/>
                <w:szCs w:val="14"/>
                <w:color w:val="auto"/>
                <w:w w:val="94"/>
              </w:rPr>
              <w:t>ASSETS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49"/>
        </w:trPr>
        <w:tc>
          <w:tcPr>
            <w:tcW w:w="43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12,003</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89,038</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110,453</w:t>
            </w:r>
          </w:p>
        </w:tc>
      </w:tr>
      <w:tr>
        <w:trPr>
          <w:trHeight w:val="34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204,897</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66,502</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9,401</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w:t>
            </w:r>
          </w:p>
        </w:tc>
      </w:tr>
      <w:tr>
        <w:trPr>
          <w:trHeight w:val="23"/>
        </w:trPr>
        <w:tc>
          <w:tcPr>
            <w:tcW w:w="43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4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491,067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405,072</w:t>
            </w:r>
          </w:p>
        </w:tc>
      </w:tr>
      <w:tr>
        <w:trPr>
          <w:trHeight w:val="26"/>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-1990725</wp:posOffset>
            </wp:positionV>
            <wp:extent cx="7098665"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-1767205</wp:posOffset>
            </wp:positionV>
            <wp:extent cx="7098665"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-1518285</wp:posOffset>
            </wp:positionV>
            <wp:extent cx="7098665"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-1268730</wp:posOffset>
            </wp:positionV>
            <wp:extent cx="7098665"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-1019810</wp:posOffset>
            </wp:positionV>
            <wp:extent cx="7098665"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-788035</wp:posOffset>
            </wp:positionV>
            <wp:extent cx="7098665" cy="124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-538480</wp:posOffset>
            </wp:positionV>
            <wp:extent cx="7098665"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-289560</wp:posOffset>
            </wp:positionV>
            <wp:extent cx="7098665"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-15875</wp:posOffset>
            </wp:positionV>
            <wp:extent cx="7098665" cy="99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665" cy="9969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44" w:lineRule="exact"/>
        <w:rPr>
          <w:sz w:val="20"/>
          <w:szCs w:val="20"/>
          <w:color w:val="auto"/>
        </w:rPr>
      </w:pPr>
    </w:p>
    <w:p>
      <w:pPr>
        <w:sectPr>
          <w:pgSz w:w="11900" w:h="16838" w:orient="portrait"/>
          <w:cols w:equalWidth="0" w:num="2">
            <w:col w:w="1940" w:space="520"/>
            <w:col w:w="8720"/>
          </w:cols>
          <w:pgMar w:left="480" w:top="1374" w:right="23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7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39,971</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0" w:type="dxa"/>
            <w:vAlign w:val="bottom"/>
          </w:tcPr>
          <w:p>
            <w:pPr>
              <w:spacing w:after="0"/>
              <w:rPr>
                <w:sz w:val="1"/>
                <w:szCs w:val="1"/>
                <w:color w:val="auto"/>
              </w:rPr>
            </w:pPr>
          </w:p>
        </w:tc>
      </w:tr>
      <w:tr>
        <w:trPr>
          <w:trHeight w:val="182"/>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92,646</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187,937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43,299</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6,655</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21,916</w:t>
            </w:r>
          </w:p>
        </w:tc>
        <w:tc>
          <w:tcPr>
            <w:tcW w:w="0" w:type="dxa"/>
            <w:vAlign w:val="bottom"/>
          </w:tcPr>
          <w:p>
            <w:pPr>
              <w:spacing w:after="0"/>
              <w:rPr>
                <w:sz w:val="1"/>
                <w:szCs w:val="1"/>
                <w:color w:val="auto"/>
              </w:rPr>
            </w:pPr>
          </w:p>
        </w:tc>
      </w:tr>
      <w:tr>
        <w:trPr>
          <w:trHeight w:val="182"/>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168,074</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8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Common shares (no par value; 46,000,000 shares authorized, 12,083,218 shares and 14,067,721 shares issued, respectively, and</w:t>
            </w:r>
          </w:p>
        </w:tc>
        <w:tc>
          <w:tcPr>
            <w:tcW w:w="5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11,645,223 shares and 13,653,647 shares outstanding, respectively)</w:t>
            </w:r>
          </w:p>
        </w:tc>
        <w:tc>
          <w:tcPr>
            <w:tcW w:w="5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1,634,083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1,631,823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(1,047,425)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(980,720)</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437,995 and 414,074 shares, respectively</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(393,337)</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(404,600)</w:t>
            </w: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182,546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236,373</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182,546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236,998</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491,067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480" w:top="1374" w:right="239" w:bottom="1440" w:gutter="0" w:footer="0" w:header="0"/>
          <w:type w:val="continuous"/>
        </w:sectPr>
      </w:pPr>
    </w:p>
    <w:bookmarkStart w:id="6" w:name="page7"/>
    <w:bookmarkEnd w:id="6"/>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140" w:type="dxa"/>
            <w:vAlign w:val="bottom"/>
          </w:tcPr>
          <w:p>
            <w:pPr>
              <w:spacing w:after="0"/>
              <w:rPr>
                <w:sz w:val="15"/>
                <w:szCs w:val="15"/>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1,630,130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(933,346)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(389,229)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299,388</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1,630,851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(956,545)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(382,017)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283,944</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1,633,022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(1,020,236)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(392,573)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209,438</w:t>
            </w: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(26,210)</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221"/>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1,634,083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(1,047,425)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182,546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1,628,972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(919,023)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(380,715)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323,038</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1,630,851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(956,545)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(382,017)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283,944</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1,631,823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(980,720)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(404,600)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236,998</w:t>
            </w: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(48,684)</w:t>
            </w: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0" w:type="dxa"/>
            <w:vAlign w:val="bottom"/>
          </w:tcPr>
          <w:p>
            <w:pPr>
              <w:spacing w:after="0"/>
              <w:rPr>
                <w:sz w:val="1"/>
                <w:szCs w:val="1"/>
                <w:color w:val="auto"/>
              </w:rPr>
            </w:pPr>
          </w:p>
        </w:tc>
      </w:tr>
      <w:tr>
        <w:trPr>
          <w:trHeight w:val="221"/>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1,634,083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(1,047,425)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182,546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13,654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79</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11,645</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20"/>
          </w:cols>
          <w:pgMar w:left="320" w:top="1374" w:right="959" w:bottom="1440" w:gutter="0" w:footer="0" w:header="0"/>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7"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51,269</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8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on disposals of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(6,134)</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 net of recoveries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35,771</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(13,586)</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9,681</w:t>
            </w:r>
          </w:p>
        </w:tc>
      </w:tr>
      <w:tr>
        <w:trPr>
          <w:trHeight w:val="189"/>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(3,415)</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74,014</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(18,405)</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related to acquisitions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dispositions of property, plant and equipment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82"/>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(85,949)</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(7,522)</w:t>
            </w:r>
          </w:p>
        </w:tc>
      </w:tr>
      <w:tr>
        <w:trPr>
          <w:trHeight w:val="111"/>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233,613</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(162,621)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(242,859)</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(10,984)</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(24,060)</w:t>
            </w:r>
          </w:p>
        </w:tc>
      </w:tr>
      <w:tr>
        <w:trPr>
          <w:trHeight w:val="18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provided by (used in) financing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(48,333)</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r>
      <w:tr>
        <w:trPr>
          <w:trHeight w:val="182"/>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14,587</w:t>
            </w: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91"/>
        </w:trPr>
        <w:tc>
          <w:tcPr>
            <w:tcW w:w="7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21"/>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374"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liquefied natural gas (LNG) and iron ore producing regions, and our customers include mining companies, major and independent oil companies, engineering companies and oilfield and mining service companies. We operate in two principal reportable business segments – Australia and Canada.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United States (U.S.) dollars. Certain reclassifications have been made to the prior year financial statements for them to conform with the 2025 presentation.</w:t>
      </w:r>
    </w:p>
    <w:p>
      <w:pPr>
        <w:spacing w:after="0" w:line="16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20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3"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5" w:lineRule="exact"/>
        <w:rPr>
          <w:sz w:val="20"/>
          <w:szCs w:val="20"/>
          <w:color w:val="auto"/>
        </w:rPr>
      </w:pPr>
    </w:p>
    <w:p>
      <w:pPr>
        <w:ind w:right="240" w:firstLine="470"/>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our two reportable segments (Australia and Canada) into major categories for the periods indicated (in thousands):</w:t>
      </w:r>
    </w:p>
    <w:tbl>
      <w:tblPr>
        <w:tblLayout w:type="fixed"/>
        <w:tblInd w:w="48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3"/>
                <w:szCs w:val="13"/>
                <w:color w:val="auto"/>
              </w:rPr>
            </w:pPr>
          </w:p>
        </w:tc>
        <w:tc>
          <w:tcPr>
            <w:tcW w:w="2120" w:type="dxa"/>
            <w:vAlign w:val="bottom"/>
            <w:gridSpan w:val="4"/>
          </w:tcPr>
          <w:p>
            <w:pPr>
              <w:jc w:val="right"/>
              <w:ind w:right="294"/>
              <w:spacing w:after="0" w:line="160"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7"/>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r>
      <w:tr>
        <w:trPr>
          <w:trHeight w:val="202"/>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Accommodation revenues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58,405</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157,910</w:t>
            </w:r>
          </w:p>
        </w:tc>
        <w:tc>
          <w:tcPr>
            <w:tcW w:w="10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service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5"/>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Australia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340,778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Accommodation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Mobile facility rental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service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5"/>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Canada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5"/>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other revenues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170,491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176,338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477,229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5"/>
        </w:trPr>
        <w:tc>
          <w:tcPr>
            <w:tcW w:w="5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bl>
    <w:p>
      <w:pPr>
        <w:spacing w:after="0" w:line="282"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88"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As of September 30, 2025,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3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9"/>
        </w:trPr>
        <w:tc>
          <w:tcPr>
            <w:tcW w:w="35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6"/>
                <w:szCs w:val="16"/>
                <w:color w:val="auto"/>
              </w:rPr>
              <w:t>Revenue expected to be recognized as of September</w:t>
            </w: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58,353</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187,293</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143,995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278,574</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668,215</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30, 2025</w:t>
            </w: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3"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CHARGES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impairment expense was recorded during the first, second or third quarters of 2025.</w:t>
      </w:r>
    </w:p>
    <w:p>
      <w:pPr>
        <w:spacing w:after="0" w:line="118" w:lineRule="exact"/>
        <w:rPr>
          <w:sz w:val="20"/>
          <w:szCs w:val="20"/>
          <w:color w:val="auto"/>
        </w:rPr>
      </w:pPr>
    </w:p>
    <w:p>
      <w:pPr>
        <w:ind w:right="100" w:firstLine="470"/>
        <w:spacing w:after="0" w:line="295" w:lineRule="auto"/>
        <w:rPr>
          <w:sz w:val="20"/>
          <w:szCs w:val="20"/>
          <w:color w:val="auto"/>
        </w:rPr>
      </w:pPr>
      <w:r>
        <w:rPr>
          <w:rFonts w:ascii="Times New Roman" w:cs="Times New Roman" w:eastAsia="Times New Roman" w:hAnsi="Times New Roman"/>
          <w:sz w:val="17"/>
          <w:szCs w:val="17"/>
          <w:color w:val="auto"/>
        </w:rPr>
        <w:t>The following summarizes pre-tax impairment charges recorded during 2024, which are included in Impairment expense in our consolidated statements of operations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0" w:name="page11"/>
    <w:bookmarkEnd w:id="1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19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42"/>
        </w:trPr>
        <w:tc>
          <w:tcPr>
            <w:tcW w:w="3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U.S.</w:t>
            </w:r>
          </w:p>
        </w:tc>
        <w:tc>
          <w:tcPr>
            <w:tcW w:w="280" w:type="dxa"/>
            <w:vAlign w:val="bottom"/>
          </w:tcPr>
          <w:p>
            <w:pPr>
              <w:spacing w:after="0"/>
              <w:rPr>
                <w:sz w:val="24"/>
                <w:szCs w:val="24"/>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March 31, 2024</w:t>
            </w:r>
          </w:p>
        </w:tc>
        <w:tc>
          <w:tcPr>
            <w:tcW w:w="1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19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4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Quarter ended March 31, 2024</w:t>
      </w:r>
      <w:r>
        <w:rPr>
          <w:rFonts w:ascii="Times New Roman" w:cs="Times New Roman" w:eastAsia="Times New Roman" w:hAnsi="Times New Roman"/>
          <w:sz w:val="17"/>
          <w:szCs w:val="17"/>
          <w:color w:val="auto"/>
        </w:rPr>
        <w:t>. During the first quarter of 2024, we recorded impairment expense of $5.7 million related to various undeveloped land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related permitting costs in Australia. At March 31, 2024, we identified an impairment trigger related to certain of these properties due to the denial of development permit applications in Australia. Accordingly, the assets were written down to their estimated fair value of $0.6 million.</w:t>
      </w:r>
    </w:p>
    <w:p>
      <w:pPr>
        <w:spacing w:after="0" w:line="2"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In addition, during the first quarter of 2024, we recorded impairment expense of $2.1 million, related to land located in the U.S. The land was written down to its estimated fair value (less costs to sell) of $3.8 million.</w:t>
      </w:r>
    </w:p>
    <w:p>
      <w:pPr>
        <w:spacing w:after="0" w:line="189"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2025 and December 31, 2024,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w:t>
      </w:r>
    </w:p>
    <w:p>
      <w:pPr>
        <w:spacing w:after="0" w:line="19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During the second quarter of 2025, we acquired accommodation assets, land and customer contracts and recorded them at fair value. Determining the fair value of assets acquired and liabilities assumed required the exercise of judgment, which included the use of a multi-period excess earnings income approach to determine the fair value of the customer relationships. Specifically, the fair value of the customer relationships was determined by calculating the present value of expected cash flows by applying a discount rate that represents the estimated rate that market participants would require for such intangible assets. The expected cash flows and related discount rate are significant unobservable inputs categorized within Level 3 of the fair value hierarchy.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w:t>
      </w:r>
    </w:p>
    <w:p>
      <w:pPr>
        <w:spacing w:after="0" w:line="19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first quarter of 2024, we wrote down certain long-lived assets to fair value. Our estimate of the fair value of undeveloped land positions in Australia that were impaired was based on appraisals from third parties.</w:t>
      </w:r>
    </w:p>
    <w:p>
      <w:pPr>
        <w:spacing w:after="0" w:line="171"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September 30, 2025 and December 31, 2024 is presented below (in thousands):</w:t>
      </w:r>
    </w:p>
    <w:p>
      <w:pPr>
        <w:spacing w:after="0" w:line="343"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85,248</w:t>
            </w:r>
          </w:p>
        </w:tc>
        <w:tc>
          <w:tcPr>
            <w:tcW w:w="120" w:type="dxa"/>
            <w:vAlign w:val="bottom"/>
          </w:tcPr>
          <w:p>
            <w:pPr>
              <w:spacing w:after="0"/>
              <w:rPr>
                <w:sz w:val="17"/>
                <w:szCs w:val="17"/>
                <w:color w:val="auto"/>
              </w:rPr>
            </w:pPr>
          </w:p>
        </w:tc>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72,819</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w:t>
            </w:r>
          </w:p>
        </w:tc>
      </w:tr>
      <w:tr>
        <w:trPr>
          <w:trHeight w:val="205"/>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105,395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89,246</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51"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 including purchased food, housekeeping and retail inventory</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100" w:type="dxa"/>
            <w:vAlign w:val="bottom"/>
          </w:tcPr>
          <w:p>
            <w:pPr>
              <w:spacing w:after="0"/>
              <w:rPr>
                <w:sz w:val="17"/>
                <w:szCs w:val="17"/>
                <w:color w:val="auto"/>
              </w:rPr>
            </w:pPr>
          </w:p>
        </w:tc>
        <w:tc>
          <w:tcPr>
            <w:tcW w:w="5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20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0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7,537</w:t>
            </w:r>
          </w:p>
        </w:tc>
      </w:tr>
      <w:tr>
        <w:trPr>
          <w:trHeight w:val="20"/>
        </w:trPr>
        <w:tc>
          <w:tcPr>
            <w:tcW w:w="7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13"/>
                <w:szCs w:val="13"/>
                <w:color w:val="auto"/>
              </w:rPr>
            </w:pPr>
          </w:p>
        </w:tc>
        <w:tc>
          <w:tcPr>
            <w:tcW w:w="1440" w:type="dxa"/>
            <w:vAlign w:val="bottom"/>
            <w:gridSpan w:val="4"/>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1480" w:type="dxa"/>
            <w:vAlign w:val="bottom"/>
            <w:gridSpan w:val="3"/>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29,039</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24,052</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1,389,717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1,272,515</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65,830</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0" w:type="dxa"/>
            <w:vAlign w:val="bottom"/>
          </w:tcPr>
          <w:p>
            <w:pPr>
              <w:spacing w:after="0"/>
              <w:rPr>
                <w:sz w:val="1"/>
                <w:szCs w:val="1"/>
                <w:color w:val="auto"/>
              </w:rPr>
            </w:pPr>
          </w:p>
        </w:tc>
      </w:tr>
      <w:tr>
        <w:trPr>
          <w:trHeight w:val="20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1,524,715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1,404,017</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(1,273,406)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(1,199,120)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251,309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204,897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724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27,114</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29,209</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 other than income taxes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3,327</w:t>
            </w:r>
          </w:p>
        </w:tc>
      </w:tr>
      <w:tr>
        <w:trPr>
          <w:trHeight w:val="206"/>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2,397</w:t>
            </w:r>
          </w:p>
        </w:tc>
      </w:tr>
      <w:tr>
        <w:trPr>
          <w:trHeight w:val="230"/>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liabilities</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33,681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34,933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76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Current contract assets </w:t>
            </w:r>
            <w:r>
              <w:rPr>
                <w:rFonts w:ascii="Times New Roman" w:cs="Times New Roman" w:eastAsia="Times New Roman" w:hAnsi="Times New Roman"/>
                <w:sz w:val="20"/>
                <w:szCs w:val="20"/>
                <w:color w:val="auto"/>
                <w:vertAlign w:val="superscript"/>
              </w:rPr>
              <w:t>(1)</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1,376</w:t>
            </w:r>
          </w:p>
        </w:tc>
        <w:tc>
          <w:tcPr>
            <w:tcW w:w="22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6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Noncurrent contract assets </w:t>
            </w:r>
            <w:r>
              <w:rPr>
                <w:rFonts w:ascii="Times New Roman" w:cs="Times New Roman" w:eastAsia="Times New Roman" w:hAnsi="Times New Roman"/>
                <w:sz w:val="20"/>
                <w:szCs w:val="20"/>
                <w:color w:val="auto"/>
                <w:vertAlign w:val="superscript"/>
              </w:rPr>
              <w:t>(1)</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2,148</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contract assets</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3,524</w:t>
            </w:r>
          </w:p>
        </w:tc>
        <w:tc>
          <w:tcPr>
            <w:tcW w:w="22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5"/>
        </w:trPr>
        <w:tc>
          <w:tcPr>
            <w:tcW w:w="7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7"/>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liabilities (Deferred revenue):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76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Current contract liabilities </w:t>
            </w:r>
            <w:r>
              <w:rPr>
                <w:rFonts w:ascii="Times New Roman" w:cs="Times New Roman" w:eastAsia="Times New Roman" w:hAnsi="Times New Roman"/>
                <w:sz w:val="20"/>
                <w:szCs w:val="20"/>
                <w:color w:val="auto"/>
                <w:vertAlign w:val="superscript"/>
              </w:rPr>
              <w:t>(2)</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2,670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r>
      <w:tr>
        <w:trPr>
          <w:trHeight w:val="209"/>
        </w:trPr>
        <w:tc>
          <w:tcPr>
            <w:tcW w:w="7620" w:type="dxa"/>
            <w:vAlign w:val="bottom"/>
            <w:tcBorders>
              <w:bottom w:val="single" w:sz="8" w:color="CCEEFF"/>
            </w:tcBorders>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Noncurrent contract liabilities </w:t>
            </w:r>
            <w:r>
              <w:rPr>
                <w:rFonts w:ascii="Times New Roman" w:cs="Times New Roman" w:eastAsia="Times New Roman" w:hAnsi="Times New Roman"/>
                <w:sz w:val="20"/>
                <w:szCs w:val="20"/>
                <w:color w:val="auto"/>
                <w:vertAlign w:val="superscript"/>
              </w:rPr>
              <w:t>(2)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3,506</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5,098</w:t>
            </w:r>
          </w:p>
        </w:tc>
      </w:tr>
      <w:tr>
        <w:trPr>
          <w:trHeight w:val="22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 (Deferred revenue)</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6,176</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322"/>
        <w:spacing w:after="0" w:line="267" w:lineRule="auto"/>
        <w:tabs>
          <w:tab w:leader="none" w:pos="62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Current contract assets and Noncurrent contract assets are included in "Other current assets" and "Other noncurrent assets," respectively, in our unaudited consolidated balance sheets.</w:t>
      </w:r>
    </w:p>
    <w:p>
      <w:pPr>
        <w:spacing w:after="0" w:line="1" w:lineRule="exact"/>
        <w:rPr>
          <w:rFonts w:ascii="Times New Roman" w:cs="Times New Roman" w:eastAsia="Times New Roman" w:hAnsi="Times New Roman"/>
          <w:sz w:val="10"/>
          <w:szCs w:val="10"/>
          <w:color w:val="auto"/>
        </w:rPr>
      </w:pPr>
    </w:p>
    <w:p>
      <w:pPr>
        <w:ind w:left="640" w:hanging="322"/>
        <w:spacing w:after="0" w:line="273" w:lineRule="auto"/>
        <w:tabs>
          <w:tab w:leader="none" w:pos="62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Current contract liabilities and Noncurrent contract liabilities are included in "Deferred revenue" and "Other noncurrent liabilities," respectively, in our unaudited consolidated balance sheets.</w:t>
      </w:r>
    </w:p>
    <w:p>
      <w:pPr>
        <w:spacing w:after="0" w:line="19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Contract assets consists of upfront incentives offered as consideration for entering into multi-year contracts. These incentives are refundable to us if the customer cancels the contract prior to the end of the contracted terms. The contract assets are amortized as a reduction of revenue over the contract term as the related services are provided. The increase in contract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assets from December 31, 2024 to September 30, 2025 was due to incentives offered to a customer in Australia during the first quarter of 2025 to enter into a six-year integrated services contract.</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Deferred revenue typically consists of upfront payments received before we satisfy the associated performance obligation. The decrease in deferred revenue from December 31, 2024 to September 30, 2025 was due to revenue recognized over the contracted terms related to advance payments received from a customer for village enhancements in Australia.</w:t>
      </w:r>
    </w:p>
    <w:p>
      <w:pPr>
        <w:spacing w:after="0" w:line="186"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 ACQUISITION</w:t>
      </w:r>
    </w:p>
    <w:p>
      <w:pPr>
        <w:spacing w:after="0" w:line="25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May 6, 2025, we acquired the assets of Qantac Pty Ltd (Qantac), located in Queensland, Australia (the Qantac Acquisition) for total consideration of A$105 million (or approximately US$68 million) in cash. The Qantac Acquisition included four villages, with 1,368 rooms in Australia’s Bowen Basin and the associated accommodation assets, land and customer contracts. As a result of the Qantac Acquisition, we expanded our existing accommodations business into the Blackwater region of the Bowen Basin, which was not previously served by our existing villages. The Qantac Acquisition was funded with cash on hand and borrowings under the Amended Credit Agreement (as defined in Note 8). Qantac’s operations are reported as new village locations in our Australia reportable business segment.</w:t>
      </w:r>
    </w:p>
    <w:p>
      <w:pPr>
        <w:spacing w:after="0" w:line="20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Qantac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Under the accounting for asset acquisitions, the acquisition is recorded using a cost accumulation and allocation model under which the cost of such acquisition is allocated on a relative fair value basis to the assets acquired and liabilities assumed. Acquisition-related transaction costs are capitalized as a component of the cost of the assets acquired. Goodwill is not recognized in an asset acquisition, and any difference between consideration transferred and the fair value of the net assets acquired is allocated to the certain identifiable assets acquired based on their relative fair values.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purchase price was allocated to the net assets as follows (in thousands):</w:t>
      </w:r>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r>
      <w:tr>
        <w:trPr>
          <w:trHeight w:val="206"/>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Direct transaction costs</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w:t>
            </w: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of the asset acquisition</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7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r>
      <w:tr>
        <w:trPr>
          <w:trHeight w:val="19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assets acquired</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76,758</w:t>
            </w:r>
          </w:p>
        </w:tc>
      </w:tr>
      <w:tr>
        <w:trPr>
          <w:trHeight w:val="140"/>
        </w:trPr>
        <w:tc>
          <w:tcPr>
            <w:tcW w:w="7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0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r>
      <w:tr>
        <w:trPr>
          <w:trHeight w:val="19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r>
      <w:tr>
        <w:trPr>
          <w:trHeight w:val="230"/>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1"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We calculate our basic earnings per share by dividing net income (loss) attributable to Civeo Corporation by the weighted average number of common shares outstanding. For diluted earnings per share, the basic shares outstanding are adjusted by adding all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ind w:firstLine="470"/>
        <w:spacing w:after="0" w:line="282" w:lineRule="auto"/>
        <w:rPr>
          <w:sz w:val="20"/>
          <w:szCs w:val="20"/>
          <w:color w:val="auto"/>
        </w:rPr>
      </w:pPr>
      <w:r>
        <w:rPr>
          <w:rFonts w:ascii="Times New Roman" w:cs="Times New Roman" w:eastAsia="Times New Roman" w:hAnsi="Times New Roman"/>
          <w:sz w:val="17"/>
          <w:szCs w:val="17"/>
          <w:color w:val="auto"/>
        </w:rPr>
        <w:t>The calculation of basic and diluted earnings per share attributable to Civeo common shareholders is presented below for the periods indicated (in thousands, except per share amounts):</w:t>
      </w:r>
    </w:p>
    <w:tbl>
      <w:tblPr>
        <w:tblLayout w:type="fixed"/>
        <w:tblInd w:w="720" w:type="dxa"/>
        <w:tblCellMar>
          <w:top w:w="0" w:type="dxa"/>
          <w:left w:w="0" w:type="dxa"/>
          <w:bottom w:w="0" w:type="dxa"/>
          <w:right w:w="0" w:type="dxa"/>
        </w:tblCellMar>
      </w:tblPr>
      <w:tr>
        <w:trPr>
          <w:trHeight w:val="160"/>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00" w:type="dxa"/>
            <w:vAlign w:val="bottom"/>
          </w:tcPr>
          <w:p>
            <w:pPr>
              <w:spacing w:after="0"/>
              <w:rPr>
                <w:sz w:val="13"/>
                <w:szCs w:val="13"/>
                <w:color w:val="auto"/>
              </w:rPr>
            </w:pPr>
          </w:p>
        </w:tc>
        <w:tc>
          <w:tcPr>
            <w:tcW w:w="1880" w:type="dxa"/>
            <w:vAlign w:val="bottom"/>
            <w:gridSpan w:val="4"/>
          </w:tcPr>
          <w:p>
            <w:pPr>
              <w:jc w:val="right"/>
              <w:ind w:right="302"/>
              <w:spacing w:after="0" w:line="160"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7"/>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0" w:type="dxa"/>
            <w:vAlign w:val="bottom"/>
          </w:tcPr>
          <w:p>
            <w:pPr>
              <w:spacing w:after="0"/>
              <w:rPr>
                <w:sz w:val="18"/>
                <w:szCs w:val="18"/>
                <w:color w:val="auto"/>
              </w:rPr>
            </w:pPr>
          </w:p>
        </w:tc>
        <w:tc>
          <w:tcPr>
            <w:tcW w:w="188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net loss attributable to Civeo Corporation</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attributable to Civeo Corporation</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14,488</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14,488</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1"/>
        </w:trPr>
        <w:tc>
          <w:tcPr>
            <w:tcW w:w="5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09"/>
        </w:trPr>
        <w:tc>
          <w:tcPr>
            <w:tcW w:w="598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Basic net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6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105"/>
        </w:trPr>
        <w:tc>
          <w:tcPr>
            <w:tcW w:w="5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Diluted net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3"/>
                <w:szCs w:val="23"/>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60" w:type="dxa"/>
            <w:vAlign w:val="bottom"/>
          </w:tcPr>
          <w:p>
            <w:pPr>
              <w:spacing w:after="0"/>
              <w:rPr>
                <w:sz w:val="23"/>
                <w:szCs w:val="23"/>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3"/>
                <w:szCs w:val="23"/>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5"/>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Share-based awards that have been excluded from the calculation of weighted-average common shares outstanding because the effect is anti-dilutive totaled 0.1 million shares and 0.2 million shares, respectively, for the three months ended September 30, 2025 and 2024. Share-based awards that have been excluded from the calculation of weighted-average common shares outstanding because the effect is anti-dilutive totaled 0.1 million shares and 0.2 million shares, respectively, for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2025 and December 31, 2024, long-term debt consisted of the following (in thousands):</w:t>
      </w:r>
    </w:p>
    <w:p>
      <w:pPr>
        <w:spacing w:after="0" w:line="356"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778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2"/>
        </w:trPr>
        <w:tc>
          <w:tcPr>
            <w:tcW w:w="77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w w:val="99"/>
              </w:rPr>
              <w:t>U.S. revolving credit facility; weighted average interest rate of 9.1% for the nine month period ended September 30, 2025</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Canadian revolving credit facility; weighted average interest rate of 5.9% for the nine month period ended September 30,</w:t>
            </w:r>
          </w:p>
        </w:tc>
        <w:tc>
          <w:tcPr>
            <w:tcW w:w="44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138,632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43,299</w:t>
            </w: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Australian revolving credit facility; weighted average interest rate of 6.6% for the nine month period ended September 30,</w:t>
            </w:r>
          </w:p>
        </w:tc>
        <w:tc>
          <w:tcPr>
            <w:tcW w:w="44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49,305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187,937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March 24, 2025, we amended our Syndicated Facility Agreement (as amended to date, the Amended Credit Agreement), to increase the Australian revolving commitments by $20.0 million to an aggregate amount of $55.0 million.</w:t>
      </w:r>
    </w:p>
    <w:p>
      <w:pPr>
        <w:spacing w:after="0" w:line="4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2025, the Amended Credit Agreement provided for a $265.0 million revolving credit facility scheduled to mature on August 8, 2028, allocated as follows: (A) a $10.0 million senior secured revolving credit facility in favor of certain of our U.S. subsidiaries, as borrowers (the U.S. Facility); (B) a $200.0 million senior secured revolving credit facility in favor of Civeo and certain of our U.S. subsidiaries, as borrowers (the Canadian Facility); and (C) a $55.0 million senior secured revolving credit facility in favor of one of our Australian subsidiaries, as borrower.</w:t>
      </w:r>
    </w:p>
    <w:p>
      <w:pPr>
        <w:spacing w:after="0" w:line="6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a margin of 1.50% to 2.75%, in each case based on a ratio of our total net debt to Consolidated EBITDA (as defined in the Amended Credit Agreement). Canadian dollar amounts outstanding bear interest at a variable rate equal to Adjusted Term Canadian Overnight Repo Rate Average (CORRA), which is equal to the Term CORRA plus a 29.547 basis point adjustment for one month terms or a 32.138 basis point adjustment for three month terms, plus a margin of 2.50% to 3.75%, or a Canadian Prime rate plus a margin of 1.50% to 2.75%, in each case based on a ratio of our total net debt to Consolidated EBITDA (as defined in the Amended Credit Agreement). Australian dollar amounts outstanding under the Amended Credit Agreement bear interest at a variable rate equal to the Bank Bill Swap Bid Rate plus a margin of 2.50% to 3.75%, based on a ratio of our total net debt to Consolidated EBITDA (as defined in the Amended Credit Agreement).</w:t>
      </w:r>
    </w:p>
    <w:p>
      <w:pPr>
        <w:spacing w:after="0" w:line="286"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no greater than 2.00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2025.</w:t>
      </w:r>
    </w:p>
    <w:p>
      <w:pPr>
        <w:spacing w:after="0" w:line="7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Borrowings under the Amended Credit Agreement are secured by a pledge of substantially all of our assets and the assets of our subsidiaries subject to customary exceptions. The obligations under the Amended Credit Agreement are guaranteed by our significant subsidiaries. As of September 30, 2025, we had six lenders that were parties to the Amended Credit Agreement, with total revolving commitments ranging from $35.0 million to $60.0 million. As of September 30, 2025, we had outstanding letters of credit of zero under the U.S. facility, zero under the Australian facility and $0.9 million under the Canadian facility. We also had outstanding bank guarantees of A$1.5 million under the Australian facility.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51"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4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operate in three jurisdictions, Australia, Canada and the U.S., where statutory tax rates range from 15% to 30%. Our effective tax rate will vary from period to period based on changes in earnings mix between these different jurisdictions. On January 1, 2024, the Organization for Economic Cooperation and Development Pillar Two rules became effective and established a minimum 15% tax rate on certain multinational enterprises. The Pillar Two rules have been implemented in Australia and Canada, with the U.S. still uncertain to date. The applicable tax law changes with respect to Pillar Two were considered for the jurisdictions in which we operate, and the rules did not have a materially adverse impact on our financial results.</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September 30, 2025 and 2024, Canada and the U.S. were considered loss jurisdictions for tax accounting purposes and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three months ended September 30, 2025 totaled $4.0 million, or 112.7% of pretax income, compared to income tax expense of $3.9 million, or (270.6)% of pretax loss, for the three months ended September 30, 2024. Our effective tax rate for the three months ended September 30, 2025 and 2024 was impacted by Canada and the U.S. being considered loss jurisdictions that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nine months ended September 30, 2025 totaled $10.7 million, or (372.0)% of pretax loss, compared to income tax expense of $9.2 million, or 148.3% of pretax income, for the nine months ended September 30, 2024. Our effective tax rate for the nine months ended September 30, 2025 and 2024 was impacted by Canada and the U.S. being considered loss jurisdictions that were removed from the annual effective tax rate computation for purposes of computing the interim tax provision.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ACCUMULATED OTHER COMPREHENSIVE LOSS</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accumulated other comprehensive loss decreased $11.3 million from $404.6 million at December 31, 2024 to $393.3 million at September 30, 2025, as a result of foreign currency exchange rate fluctuations. Changes in other comprehensive loss during the nine months of 2025 were primarily driven by the Australian dollar and Canadian dollar increasing in value compared to the U.S. dollar. Excluding intercompany balances, our Canadian dollar and Australian dollar functional currency net assets totaled approximately C$23 million and A$248 million, respectively, at September 30,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 REPURCHASE PROGRAMS AND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25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September 2024, our Board of Directors (Board) authorized a common share repurchase program (the Share Repurchase Program) to repurchase up to 5.0% of our total common shares which were issued and outstanding at that date, or approximately 0.7 million common shares over a twelve month period. In March 2025, our Board authorized an increase to the Share Repurchase Program to repurchase up to 10.0% of our total common shares which are issued and outstanding at that date, or approximately 1.4 million common shares, and in April 2025, our Board authorized a further increase to repurchase up to 20.0% of our total common shares which are issued and outstanding at that date, or approximately 2.7 million common shares.</w:t>
      </w:r>
    </w:p>
    <w:p>
      <w:pPr>
        <w:spacing w:after="0" w:line="19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through a variety of methods, including but not limited to open market repurchases, pursuant to a Rule 10b5-1 compliant plan, or privately negotiated transactions. We have funded, and intend to continue to fund, repurchases through cash on hand, cash from debt incurrences and cash generated from operations. Any common shares repurchased are cancelled in the periods they are acquired and the payment is accounted for as an increase to accumulated deficit in our Unaudited Consolidated Statements of Changes in Shareholders’ Equity in the period the payment is made.</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common share repurchases for the periods presented (in thousands, except per share data):</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00" w:type="dxa"/>
            <w:vAlign w:val="bottom"/>
            <w:gridSpan w:val="4"/>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04"/>
        </w:trPr>
        <w:tc>
          <w:tcPr>
            <w:tcW w:w="48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Dollar-value of shares repurchased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26,210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24,060</w:t>
            </w:r>
          </w:p>
        </w:tc>
      </w:tr>
      <w:tr>
        <w:trPr>
          <w:trHeight w:val="206"/>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12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922.0</w:t>
            </w:r>
          </w:p>
        </w:tc>
      </w:tr>
      <w:tr>
        <w:trPr>
          <w:trHeight w:val="21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26.08</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5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Board declared the following quarterly dividends for the nine months ended September 30, 2025 and 2024. The dividends are eligible dividends pursuant to the Income Tax Act (Canada). In April 2025, our Board suspended quarterly dividends on our common shares to prioritize returning capital to our shareholders through ongoing share repurchases.</w:t>
      </w:r>
    </w:p>
    <w:p>
      <w:pPr>
        <w:spacing w:after="0" w:line="230" w:lineRule="exact"/>
        <w:rPr>
          <w:sz w:val="20"/>
          <w:szCs w:val="20"/>
          <w:color w:val="auto"/>
        </w:rPr>
      </w:pPr>
    </w:p>
    <w:tbl>
      <w:tblPr>
        <w:tblLayout w:type="fixed"/>
        <w:tblInd w:w="2060" w:type="dxa"/>
        <w:tblCellMar>
          <w:top w:w="0" w:type="dxa"/>
          <w:left w:w="0" w:type="dxa"/>
          <w:bottom w:w="0" w:type="dxa"/>
          <w:right w:w="0" w:type="dxa"/>
        </w:tblCellMar>
      </w:tblPr>
      <w:tr>
        <w:trPr>
          <w:trHeight w:val="209"/>
        </w:trPr>
        <w:tc>
          <w:tcPr>
            <w:tcW w:w="19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Amount</w:t>
            </w:r>
          </w:p>
        </w:tc>
      </w:tr>
      <w:tr>
        <w:trPr>
          <w:trHeight w:val="218"/>
        </w:trPr>
        <w:tc>
          <w:tcPr>
            <w:tcW w:w="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31,</w:t>
            </w:r>
          </w:p>
        </w:tc>
        <w:tc>
          <w:tcPr>
            <w:tcW w:w="102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24, 2025</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17, 2025</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$0.25</w:t>
            </w:r>
          </w:p>
        </w:tc>
      </w:tr>
      <w:tr>
        <w:trPr>
          <w:trHeight w:val="222"/>
        </w:trPr>
        <w:tc>
          <w:tcPr>
            <w:tcW w:w="19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July 30, 2024</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26, 2024</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September 16, 2024</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$0.25</w:t>
            </w:r>
          </w:p>
        </w:tc>
      </w:tr>
      <w:tr>
        <w:trPr>
          <w:trHeight w:val="222"/>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26,</w:t>
            </w: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27, 2024</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17, 2024</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$0.25</w:t>
            </w:r>
          </w:p>
        </w:tc>
      </w:tr>
      <w:tr>
        <w:trPr>
          <w:trHeight w:val="227"/>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26, 2024</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 18, 2024</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$0.25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SHARE-BASED COMPENSATION</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3" w:lineRule="exact"/>
        <w:rPr>
          <w:sz w:val="20"/>
          <w:szCs w:val="20"/>
          <w:color w:val="auto"/>
        </w:rPr>
      </w:pPr>
    </w:p>
    <w:p>
      <w:pPr>
        <w:jc w:val="both"/>
        <w:ind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Units. </w:t>
      </w:r>
      <w:r>
        <w:rPr>
          <w:rFonts w:ascii="Times New Roman" w:cs="Times New Roman" w:eastAsia="Times New Roman" w:hAnsi="Times New Roman"/>
          <w:sz w:val="17"/>
          <w:szCs w:val="17"/>
          <w:color w:val="auto"/>
        </w:rPr>
        <w:t>On March 3, 2025, we granted 171,723 phantom share units under the Civeo Plan, which vest in three equal annual installments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beginning on March 3, 2026. We also granted 57,432 phantom share units under the Canadian Long-Term Incentive Plan, which vest in three equal annual installments beginning on March 3, 2026. Phantom share units are settled in cash upon vesting.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three months ended September 30, 2025 and 2024, we recognized compensation expense associated with phantom share units totaling $1.5 million and $2.1 million, respectively. During the nine months ended September 30, 2025 and 2024, we recognized compensation expense associated with phantom share units totaling $4.8 million and $5.1 million, respectively. At September 30, 2025, unrecognized compensation cost related to phantom share units was $7.9 million, as remeasured at September 30, 2025, which is expected to be recognized over a weighted average period of 1.9 years.</w:t>
      </w:r>
    </w:p>
    <w:p>
      <w:pPr>
        <w:spacing w:after="0" w:line="16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Share Awards. </w:t>
      </w:r>
      <w:r>
        <w:rPr>
          <w:rFonts w:ascii="Times New Roman" w:cs="Times New Roman" w:eastAsia="Times New Roman" w:hAnsi="Times New Roman"/>
          <w:sz w:val="17"/>
          <w:szCs w:val="17"/>
          <w:color w:val="auto"/>
        </w:rPr>
        <w:t>On March 3, 2025, we granted 189,124 performance share awards under the Civeo Plan, which cliff vest after three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attainment of applicable performance criteria. These awards will be earned in amounts between 0% and 200% of the participant’s target performance share award, based on the payout percentage associated with Civeo’s relative total shareholder return rank among a peer group of other companies and the payout percentage associated with Civeo's three-year growth in EBITDA over the performance period relative to a preset 2027 EBITDA target. The portion of the performance share awards tied to the 2027 EBITDA target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20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During the three months ended September 30, 2025 and 2024, we recognized compensation expense associated with performance share awards totaling $0.8 million and $0.5 million, respectively. During the nine months ended September 30, 2025 and 2024, we recognized compensation expense associated with performance share awards totaling $1.5 million and $1.1 million, respectively. No performance share awards vested during the three months ended September 30, 2025 and 2024. The total fair value of performance share awards that vested during the nine months ended September 30, 2025 and 2024 was $1.7 million and $2.8 million, respectively. At September 30, 2025, unrecognized compensation cost related to performance share awards was $3.3 million, which is expected to be recognized over a weighted average period of 2.1 years.</w:t>
      </w:r>
    </w:p>
    <w:p>
      <w:pPr>
        <w:spacing w:after="0" w:line="196" w:lineRule="exact"/>
        <w:rPr>
          <w:sz w:val="20"/>
          <w:szCs w:val="20"/>
          <w:color w:val="auto"/>
        </w:rPr>
      </w:pPr>
    </w:p>
    <w:p>
      <w:pPr>
        <w:jc w:val="both"/>
        <w:ind w:firstLine="47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Restricted Share Units / Deferred Share Awards. </w:t>
      </w:r>
      <w:r>
        <w:rPr>
          <w:rFonts w:ascii="Times New Roman" w:cs="Times New Roman" w:eastAsia="Times New Roman" w:hAnsi="Times New Roman"/>
          <w:sz w:val="17"/>
          <w:szCs w:val="17"/>
          <w:color w:val="auto"/>
        </w:rPr>
        <w:t>On May 14, 2025, we granted 50,215 restricted share and deferred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to our non-employee directors, which vest in their entirety in May 2026.</w:t>
      </w:r>
    </w:p>
    <w:p>
      <w:pPr>
        <w:spacing w:after="0" w:line="1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Compensation expense associated with restricted share awards, restricted share units and deferred share awards recognized in the three months ended September 30, 2025 and 2024 totaled $0.3 million and $0.3 million, respectively. Compensation expense associated with restricted share awards, restricted share units and deferred share awards recognized in the nine months ended September 30, 2025 and 2024 totaled $0.8 million and $0.8 million, respectively. The total fair value of restricted share awards, restricted share units and deferred share awards that vested during the three months ended September 30, 2025 and 2024 was zero. The total fair value of restricted share awards, restricted share units and deferred share awards that vested during the nine months ended September 30, 2025 and 2024 was $0.9 million and $1.2 million, respectively.</w:t>
      </w:r>
    </w:p>
    <w:p>
      <w:pPr>
        <w:spacing w:after="0" w:line="17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At September 30, 2025, unrecognized compensation cost related to restricted share awards, restricted share units and deferred share awards was $0.6 million, which is expected to be recognized over a weighted average period of 0.6 years.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SEGMENT AND RELATED INFORMATION</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 segment information based on the “management” approach. The management approach designates the internal reporting used by management for making decisions and assessing performance as the source of our reportable segments. Our Chief Executive Officer is the chief operation decision maker. We have identified two reportable segments, Australia and Canada, which represent our strategic focus on hospitality services and workforce accommodations.</w:t>
      </w:r>
    </w:p>
    <w:p>
      <w:pPr>
        <w:spacing w:after="0" w:line="188"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Prior to the fourth quarter of 2024, we presented segment operating income (loss) to include an allocation of corporate overhead expenses. To better align segment operating income (loss) to the profitability measure used by our chief operating decision maker, we have excluded this allocation. Prior periods have been updated to be consistent with the presentation for the three and nine months ended September 30, 2025.</w:t>
      </w:r>
    </w:p>
    <w:p>
      <w:pPr>
        <w:spacing w:after="0" w:line="16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and nine months ended September 30, 2025 and 2024 is summarized in the following table (in thousands):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2025</w:t>
            </w:r>
          </w:p>
        </w:tc>
        <w:tc>
          <w:tcPr>
            <w:tcW w:w="22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4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170,491</w:t>
            </w:r>
          </w:p>
        </w:tc>
        <w:tc>
          <w:tcPr>
            <w:tcW w:w="0" w:type="dxa"/>
            <w:vAlign w:val="bottom"/>
          </w:tcPr>
          <w:p>
            <w:pPr>
              <w:spacing w:after="0"/>
              <w:rPr>
                <w:sz w:val="1"/>
                <w:szCs w:val="1"/>
                <w:color w:val="auto"/>
              </w:rPr>
            </w:pPr>
          </w:p>
        </w:tc>
      </w:tr>
      <w:tr>
        <w:trPr>
          <w:trHeight w:val="222"/>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35,660</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126,704</w:t>
            </w: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43,787</w:t>
            </w: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18,107</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20,012</w:t>
            </w: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2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5,611</w:t>
            </w: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198,884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ind w:left="472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22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6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116,622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57,736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176,338</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87,067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50,052</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138,542</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37,796</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0" w:type="dxa"/>
            <w:vAlign w:val="bottom"/>
          </w:tcPr>
          <w:p>
            <w:pPr>
              <w:spacing w:after="0"/>
              <w:rPr>
                <w:sz w:val="1"/>
                <w:szCs w:val="1"/>
                <w:color w:val="auto"/>
              </w:rPr>
            </w:pPr>
          </w:p>
        </w:tc>
      </w:tr>
      <w:tr>
        <w:trPr>
          <w:trHeight w:val="22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17,440</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3,889</w:t>
            </w:r>
          </w:p>
        </w:tc>
        <w:tc>
          <w:tcPr>
            <w:tcW w:w="2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7,476</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218,733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244,458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 2025</w:t>
            </w:r>
          </w:p>
        </w:tc>
        <w:tc>
          <w:tcPr>
            <w:tcW w:w="280" w:type="dxa"/>
            <w:vAlign w:val="bottom"/>
          </w:tcPr>
          <w:p>
            <w:pPr>
              <w:spacing w:after="0"/>
              <w:rPr>
                <w:sz w:val="17"/>
                <w:szCs w:val="17"/>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20" w:type="dxa"/>
            <w:vAlign w:val="bottom"/>
          </w:tcPr>
          <w:p>
            <w:pPr>
              <w:spacing w:after="0"/>
              <w:rPr>
                <w:sz w:val="17"/>
                <w:szCs w:val="17"/>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other and</w:t>
            </w:r>
          </w:p>
        </w:tc>
        <w:tc>
          <w:tcPr>
            <w:tcW w:w="360" w:type="dxa"/>
            <w:vAlign w:val="bottom"/>
          </w:tcPr>
          <w:p>
            <w:pPr>
              <w:spacing w:after="0"/>
              <w:rPr>
                <w:sz w:val="17"/>
                <w:szCs w:val="17"/>
                <w:color w:val="auto"/>
              </w:rPr>
            </w:pPr>
          </w:p>
        </w:tc>
        <w:tc>
          <w:tcPr>
            <w:tcW w:w="1260" w:type="dxa"/>
            <w:vAlign w:val="bottom"/>
            <w:vMerge w:val="restart"/>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340,778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477,229</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112,342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362,850</w:t>
            </w:r>
          </w:p>
        </w:tc>
        <w:tc>
          <w:tcPr>
            <w:tcW w:w="0" w:type="dxa"/>
            <w:vAlign w:val="bottom"/>
          </w:tcPr>
          <w:p>
            <w:pPr>
              <w:spacing w:after="0"/>
              <w:rPr>
                <w:sz w:val="1"/>
                <w:szCs w:val="1"/>
                <w:color w:val="auto"/>
              </w:rPr>
            </w:pPr>
          </w:p>
        </w:tc>
      </w:tr>
      <w:tr>
        <w:trPr>
          <w:trHeight w:val="21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114,379</w:t>
            </w:r>
          </w:p>
        </w:tc>
        <w:tc>
          <w:tcPr>
            <w:tcW w:w="0" w:type="dxa"/>
            <w:vAlign w:val="bottom"/>
          </w:tcPr>
          <w:p>
            <w:pPr>
              <w:spacing w:after="0"/>
              <w:rPr>
                <w:sz w:val="1"/>
                <w:szCs w:val="1"/>
                <w:color w:val="auto"/>
              </w:rPr>
            </w:pPr>
          </w:p>
        </w:tc>
      </w:tr>
      <w:tr>
        <w:trPr>
          <w:trHeight w:val="157"/>
        </w:trPr>
        <w:tc>
          <w:tcPr>
            <w:tcW w:w="4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56,762</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54,092</w:t>
            </w: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15"/>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157"/>
        </w:trPr>
        <w:tc>
          <w:tcPr>
            <w:tcW w:w="4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(7,135)</w:t>
            </w:r>
          </w:p>
        </w:tc>
        <w:tc>
          <w:tcPr>
            <w:tcW w:w="0" w:type="dxa"/>
            <w:vAlign w:val="bottom"/>
          </w:tcPr>
          <w:p>
            <w:pPr>
              <w:spacing w:after="0"/>
              <w:rPr>
                <w:sz w:val="1"/>
                <w:szCs w:val="1"/>
                <w:color w:val="auto"/>
              </w:rPr>
            </w:pPr>
          </w:p>
        </w:tc>
      </w:tr>
      <w:tr>
        <w:trPr>
          <w:trHeight w:val="215"/>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10,182</w:t>
            </w:r>
          </w:p>
        </w:tc>
        <w:tc>
          <w:tcPr>
            <w:tcW w:w="8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15,380</w:t>
            </w:r>
          </w:p>
        </w:tc>
        <w:tc>
          <w:tcPr>
            <w:tcW w:w="0" w:type="dxa"/>
            <w:vAlign w:val="bottom"/>
          </w:tcPr>
          <w:p>
            <w:pPr>
              <w:spacing w:after="0"/>
              <w:rPr>
                <w:sz w:val="1"/>
                <w:szCs w:val="1"/>
                <w:color w:val="auto"/>
              </w:rPr>
            </w:pPr>
          </w:p>
        </w:tc>
      </w:tr>
      <w:tr>
        <w:trPr>
          <w:trHeight w:val="22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400" w:top="119" w:right="419" w:bottom="1440" w:gutter="0" w:footer="0" w:header="0"/>
        </w:sectPr>
      </w:pPr>
    </w:p>
    <w:bookmarkStart w:id="20" w:name="page21"/>
    <w:bookmarkEnd w:id="2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c>
          <w:tcPr>
            <w:tcW w:w="280" w:type="dxa"/>
            <w:vAlign w:val="bottom"/>
          </w:tcPr>
          <w:p>
            <w:pPr>
              <w:spacing w:after="0"/>
              <w:rPr>
                <w:sz w:val="17"/>
                <w:szCs w:val="17"/>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20" w:type="dxa"/>
            <w:vAlign w:val="bottom"/>
          </w:tcPr>
          <w:p>
            <w:pPr>
              <w:spacing w:after="0"/>
              <w:rPr>
                <w:sz w:val="17"/>
                <w:szCs w:val="17"/>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Corporate, other and</w:t>
            </w:r>
          </w:p>
        </w:tc>
        <w:tc>
          <w:tcPr>
            <w:tcW w:w="360" w:type="dxa"/>
            <w:vAlign w:val="bottom"/>
          </w:tcPr>
          <w:p>
            <w:pPr>
              <w:spacing w:after="0"/>
              <w:rPr>
                <w:sz w:val="17"/>
                <w:szCs w:val="17"/>
                <w:color w:val="auto"/>
              </w:rPr>
            </w:pPr>
          </w:p>
        </w:tc>
        <w:tc>
          <w:tcPr>
            <w:tcW w:w="1280" w:type="dxa"/>
            <w:vAlign w:val="bottom"/>
            <w:vMerge w:val="restart"/>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316,967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204,423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9,781</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531,171</w:t>
            </w: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409,821</w:t>
            </w:r>
          </w:p>
        </w:tc>
        <w:tc>
          <w:tcPr>
            <w:tcW w:w="0" w:type="dxa"/>
            <w:vAlign w:val="bottom"/>
          </w:tcPr>
          <w:p>
            <w:pPr>
              <w:spacing w:after="0"/>
              <w:rPr>
                <w:sz w:val="1"/>
                <w:szCs w:val="1"/>
                <w:color w:val="auto"/>
              </w:rPr>
            </w:pPr>
          </w:p>
        </w:tc>
      </w:tr>
      <w:tr>
        <w:trPr>
          <w:trHeight w:val="21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121,350</w:t>
            </w: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55,708</w:t>
            </w: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51,269</w:t>
            </w: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2,998</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11,375</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12,059</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18,405</w:t>
            </w: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477,636</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left="320" w:hanging="315"/>
        <w:spacing w:after="0" w:line="241"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Corporate, other and eliminations selling, general and administrative expenses includes corporate information technology (IT) expenses managed on a worldwide basis that are not allocated to individual segments in Australia and Canada. During the three months ended September 30, 2025 and 2024, we recognized IT expenses at corporate not allocated of $1.8 million and $2.3 million, respectively. During the nine months ended September 30, 2025 and 2024, we recognized IT expenses at corporate not allocated of $5.8 million and $6.8 million, respectively.</w:t>
      </w:r>
    </w:p>
    <w:p>
      <w:pPr>
        <w:jc w:val="both"/>
        <w:ind w:left="320" w:hanging="315"/>
        <w:spacing w:after="0"/>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operating expense (income) for each reportable segment primarily includes other operating income and expenses for the three and nine months ended September 30, 2025 and 2024. Canada includes (Gain) loss on sale of McClelland Lake Lodge assets, net for the three and nine months ended September 30, 2024. In addition, other operating expense (income) includes impairment expense in Canada and the U.S. for the nine months ended September 30, 2024.</w:t>
      </w:r>
    </w:p>
    <w:p>
      <w:pPr>
        <w:spacing w:after="0" w:line="180" w:lineRule="exact"/>
        <w:rPr>
          <w:rFonts w:ascii="Times New Roman" w:cs="Times New Roman" w:eastAsia="Times New Roman" w:hAnsi="Times New Roman"/>
          <w:sz w:val="23"/>
          <w:szCs w:val="23"/>
          <w:color w:val="auto"/>
          <w:vertAlign w:val="superscript"/>
        </w:rPr>
      </w:pPr>
    </w:p>
    <w:p>
      <w:pPr>
        <w:ind w:left="300" w:hanging="295"/>
        <w:spacing w:after="0" w:line="189" w:lineRule="auto"/>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income (loss) is primarily related to interest expense, interest income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2025, beliefs with respect to liquidity needs and expectations with respect to growth strategies and opportunities, share repurchases and dividends and benefits of the Qantac Acquisition. Actual results could differ materially from those projected in the forward-looking statements as a result of a number of important factors. For a discussion of known material factors that could affect our results, refer to “Risk Factors” in this quarterly report and "Risk Factors," “Cautionary Statement Regarding Forward-Looking Statements,” and “Management’s Discussion and Analysis of Financial Condition and Results of Operations” included in our Annual Report on Form 10-K for the year ended December 31, 2024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3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33" w:lineRule="exact"/>
        <w:rPr>
          <w:sz w:val="20"/>
          <w:szCs w:val="20"/>
          <w:color w:val="auto"/>
        </w:rPr>
      </w:pPr>
    </w:p>
    <w:p>
      <w:pPr>
        <w:jc w:val="both"/>
        <w:ind w:firstLine="470"/>
        <w:spacing w:after="0" w:line="244" w:lineRule="auto"/>
        <w:rPr>
          <w:sz w:val="20"/>
          <w:szCs w:val="20"/>
          <w:color w:val="auto"/>
        </w:rPr>
      </w:pPr>
      <w:r>
        <w:rPr>
          <w:rFonts w:ascii="Times New Roman" w:cs="Times New Roman" w:eastAsia="Times New Roman" w:hAnsi="Times New Roman"/>
          <w:sz w:val="17"/>
          <w:szCs w:val="17"/>
          <w:color w:val="auto"/>
        </w:rPr>
        <w:t>Demand for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and the expectations of our customers' shareholders. As a result, demand for our hospitality services is sensitive to expected commodity prices, principally related to met (metallurgical) coal, oil, iron ore and liquefied natural gas (LNG),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146"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There is continued uncertainty around commodity price levels, driven by many factors including global recession fears that may result from inflationary pressures and higher interest rates, an economic slowdown in China and resultant economic stimulus by the Chinese government, the impact of changes to global tariff and trade policies, actions taken by Organization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Petroleum Exporting Countries Plus (OPEC+) to adjust oil production levels, geopolitical events such as the ongoing Russia/Ukraine and Middle East conflicts, United States (U.S.) oil production levels and regulatory implications on such prices. In particular, these items could cause our Canadian oil sands and pipeline customers to delay expansionary and maintenance spending and defer additional investments in their oil sands assets and in extreme cases reduce production.</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Commodity Prices.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Recent met coal, iron ore, West Texas Intermediate (WTI) crude, and Western Canadian Select (WCS) crude pricing trends are as follows: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80"/>
              <w:spacing w:after="0" w:line="171" w:lineRule="exact"/>
              <w:rPr>
                <w:sz w:val="20"/>
                <w:szCs w:val="20"/>
                <w:color w:val="auto"/>
              </w:rPr>
            </w:pPr>
            <w:r>
              <w:rPr>
                <w:rFonts w:ascii="Times New Roman" w:cs="Times New Roman" w:eastAsia="Times New Roman" w:hAnsi="Times New Roman"/>
                <w:sz w:val="17"/>
                <w:szCs w:val="17"/>
                <w:color w:val="auto"/>
                <w:w w:val="99"/>
              </w:rPr>
              <w:t>Hard</w:t>
            </w: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Iron</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WTI</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WCS</w:t>
            </w:r>
          </w:p>
        </w:tc>
        <w:tc>
          <w:tcPr>
            <w:tcW w:w="0" w:type="dxa"/>
            <w:vAlign w:val="bottom"/>
          </w:tcPr>
          <w:p>
            <w:pPr>
              <w:spacing w:after="0"/>
              <w:rPr>
                <w:sz w:val="1"/>
                <w:szCs w:val="1"/>
                <w:color w:val="auto"/>
              </w:rPr>
            </w:pPr>
          </w:p>
        </w:tc>
      </w:tr>
      <w:tr>
        <w:trPr>
          <w:trHeight w:val="175"/>
        </w:trPr>
        <w:tc>
          <w:tcPr>
            <w:tcW w:w="3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Quarter</w:t>
            </w:r>
          </w:p>
        </w:tc>
        <w:tc>
          <w:tcPr>
            <w:tcW w:w="16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7"/>
                <w:szCs w:val="17"/>
                <w:color w:val="auto"/>
              </w:rPr>
              <w:t>Coking Coal</w:t>
            </w:r>
          </w:p>
        </w:tc>
        <w:tc>
          <w:tcPr>
            <w:tcW w:w="156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40" w:type="dxa"/>
            <w:vAlign w:val="bottom"/>
            <w:gridSpan w:val="2"/>
            <w:vMerge w:val="continue"/>
          </w:tcPr>
          <w:p>
            <w:pPr>
              <w:spacing w:after="0"/>
              <w:rPr>
                <w:sz w:val="14"/>
                <w:szCs w:val="14"/>
                <w:color w:val="auto"/>
              </w:rPr>
            </w:pPr>
          </w:p>
        </w:tc>
        <w:tc>
          <w:tcPr>
            <w:tcW w:w="1600" w:type="dxa"/>
            <w:vAlign w:val="bottom"/>
            <w:gridSpan w:val="2"/>
          </w:tcPr>
          <w:p>
            <w:pPr>
              <w:jc w:val="center"/>
              <w:ind w:right="180"/>
              <w:spacing w:after="0" w:line="170" w:lineRule="exact"/>
              <w:rPr>
                <w:sz w:val="20"/>
                <w:szCs w:val="20"/>
                <w:color w:val="auto"/>
              </w:rPr>
            </w:pPr>
            <w:r>
              <w:rPr>
                <w:rFonts w:ascii="Times New Roman" w:cs="Times New Roman" w:eastAsia="Times New Roman" w:hAnsi="Times New Roman"/>
                <w:sz w:val="17"/>
                <w:szCs w:val="17"/>
                <w:color w:val="auto"/>
              </w:rPr>
              <w:t>(Met Coal)</w:t>
            </w:r>
          </w:p>
        </w:tc>
        <w:tc>
          <w:tcPr>
            <w:tcW w:w="1560" w:type="dxa"/>
            <w:vAlign w:val="bottom"/>
            <w:gridSpan w:val="2"/>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Ore</w:t>
            </w:r>
          </w:p>
        </w:tc>
        <w:tc>
          <w:tcPr>
            <w:tcW w:w="166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15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0" w:type="dxa"/>
            <w:vAlign w:val="bottom"/>
          </w:tcPr>
          <w:p>
            <w:pPr>
              <w:spacing w:after="0"/>
              <w:rPr>
                <w:sz w:val="1"/>
                <w:szCs w:val="1"/>
                <w:color w:val="auto"/>
              </w:rPr>
            </w:pPr>
          </w:p>
        </w:tc>
      </w:tr>
      <w:tr>
        <w:trPr>
          <w:trHeight w:val="222"/>
        </w:trPr>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ended</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(per tonne)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(per tonne)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(per bbl)</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 bbl)</w:t>
            </w:r>
          </w:p>
        </w:tc>
        <w:tc>
          <w:tcPr>
            <w:tcW w:w="0" w:type="dxa"/>
            <w:vAlign w:val="bottom"/>
          </w:tcPr>
          <w:p>
            <w:pPr>
              <w:spacing w:after="0"/>
              <w:rPr>
                <w:sz w:val="1"/>
                <w:szCs w:val="1"/>
                <w:color w:val="auto"/>
              </w:rPr>
            </w:pPr>
          </w:p>
        </w:tc>
      </w:tr>
      <w:tr>
        <w:trPr>
          <w:trHeight w:val="215"/>
        </w:trPr>
        <w:tc>
          <w:tcPr>
            <w:tcW w:w="3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Fourth Quarter through October 24, 2025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189.51</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98.54</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w:t>
            </w:r>
          </w:p>
        </w:tc>
        <w:tc>
          <w:tcPr>
            <w:tcW w:w="0" w:type="dxa"/>
            <w:vAlign w:val="bottom"/>
          </w:tcPr>
          <w:p>
            <w:pPr>
              <w:spacing w:after="0"/>
              <w:rPr>
                <w:sz w:val="1"/>
                <w:szCs w:val="1"/>
                <w:color w:val="auto"/>
              </w:rPr>
            </w:pPr>
          </w:p>
        </w:tc>
      </w:tr>
      <w:tr>
        <w:trPr>
          <w:trHeight w:val="222"/>
        </w:trPr>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183.06</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96.97</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52.48</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53.15</w:t>
            </w:r>
          </w:p>
        </w:tc>
        <w:tc>
          <w:tcPr>
            <w:tcW w:w="0" w:type="dxa"/>
            <w:vAlign w:val="bottom"/>
          </w:tcPr>
          <w:p>
            <w:pPr>
              <w:spacing w:after="0"/>
              <w:rPr>
                <w:sz w:val="1"/>
                <w:szCs w:val="1"/>
                <w:color w:val="auto"/>
              </w:rPr>
            </w:pPr>
          </w:p>
        </w:tc>
      </w:tr>
      <w:tr>
        <w:trPr>
          <w:trHeight w:val="222"/>
        </w:trPr>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185.13</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97.25</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58.27</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0" w:type="dxa"/>
            <w:vAlign w:val="bottom"/>
          </w:tcPr>
          <w:p>
            <w:pPr>
              <w:spacing w:after="0"/>
              <w:rPr>
                <w:sz w:val="1"/>
                <w:szCs w:val="1"/>
                <w:color w:val="auto"/>
              </w:rPr>
            </w:pPr>
          </w:p>
        </w:tc>
      </w:tr>
      <w:tr>
        <w:trPr>
          <w:trHeight w:val="222"/>
        </w:trPr>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67.24</w:t>
            </w:r>
          </w:p>
        </w:tc>
        <w:tc>
          <w:tcPr>
            <w:tcW w:w="0" w:type="dxa"/>
            <w:vAlign w:val="bottom"/>
          </w:tcPr>
          <w:p>
            <w:pPr>
              <w:spacing w:after="0"/>
              <w:rPr>
                <w:sz w:val="1"/>
                <w:szCs w:val="1"/>
                <w:color w:val="auto"/>
              </w:rPr>
            </w:pPr>
          </w:p>
        </w:tc>
      </w:tr>
      <w:tr>
        <w:trPr>
          <w:trHeight w:val="222"/>
        </w:trPr>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307.68</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118.54</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122.24</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55.31</w:t>
            </w:r>
          </w:p>
        </w:tc>
        <w:tc>
          <w:tcPr>
            <w:tcW w:w="0" w:type="dxa"/>
            <w:vAlign w:val="bottom"/>
          </w:tcPr>
          <w:p>
            <w:pPr>
              <w:spacing w:after="0"/>
              <w:rPr>
                <w:sz w:val="1"/>
                <w:szCs w:val="1"/>
                <w:color w:val="auto"/>
              </w:rPr>
            </w:pPr>
          </w:p>
        </w:tc>
      </w:tr>
      <w:tr>
        <w:trPr>
          <w:trHeight w:val="222"/>
        </w:trPr>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66.20</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940" w:hanging="308"/>
        <w:spacing w:after="0" w:line="227" w:lineRule="auto"/>
        <w:tabs>
          <w:tab w:leader="none" w:pos="9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Hard coking prices are from IHS Markit, iron ore prices and WCS crude prices are from Bloomberg and WTI crude prices are from U.S. Energy Information Administration.</w:t>
      </w:r>
    </w:p>
    <w:p>
      <w:pPr>
        <w:spacing w:after="0" w:line="201"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Met Coal. </w:t>
      </w:r>
      <w:r>
        <w:rPr>
          <w:rFonts w:ascii="Times New Roman" w:cs="Times New Roman" w:eastAsia="Times New Roman" w:hAnsi="Times New Roman"/>
          <w:sz w:val="17"/>
          <w:szCs w:val="17"/>
          <w:color w:val="auto"/>
        </w:rPr>
        <w:t>In Australia, 86% of our Australian owned rooms are located in the Bowen Basin of Queensland, Australia and primarily serve met coal mines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that region. Met coal pricing and production growth in the Bowen Basin region is predominantly influenced by the level of global steel production, which remained subdued with negative growth through the third quarter of 2025. China, Europe and Japan all experienced negative growth during January through August 2025, while India continues to see consistent positive growth over the same period. Global tariff changes, recession fears and associated business uncertainty are weighing on current and short-term global steel production.</w:t>
      </w:r>
    </w:p>
    <w:p>
      <w:pPr>
        <w:spacing w:after="0" w:line="93"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Global steel production decreased by 1.6% for the nine months through September 2025 compared to the same period of 2024. As of October 24, 2025, met coal spot prices were $194.20 per tonne.</w:t>
      </w:r>
    </w:p>
    <w:p>
      <w:pPr>
        <w:spacing w:after="0" w:line="8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Met coal prices have remained between $168 and $198 per tonne for the nine months through September 2025, since dropping below $200 per tonne in late 2024. In the third quarter of 2025 met coal prices have consistently averaged between $172 and $190 per tonne. Lower met coal prices are the result of lower steel demand and production, high global met coal inventories and increasing met coal supply.</w:t>
      </w:r>
    </w:p>
    <w:p>
      <w:pPr>
        <w:spacing w:after="0" w:line="83"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color w:val="auto"/>
        </w:rPr>
        <w:t>With the lower met coal price environment persisting into the third quarter of 2025, producers continued to re-evaluate their production levels and costs. In September 2025, several large and mid-tier producers in Queensland, Australia reported making production cuts and workforce reductions in response to pressure on operating margins. An improvement in met coal prices remains contingent on stronger demand, which would be supported by increased steel production, as well as tighter supply resulting from producer maintenance activity and production curtailments by higher cost suppliers. Such improvements in the supply and demand fundamentals for met coal may be impacted by ongoing geopolitical tensions associated with global tariffs and trade agreements, along with recent supply increases in the U.S.</w:t>
      </w:r>
    </w:p>
    <w:p>
      <w:pPr>
        <w:spacing w:after="0" w:line="91" w:lineRule="exact"/>
        <w:rPr>
          <w:sz w:val="20"/>
          <w:szCs w:val="20"/>
          <w:color w:val="auto"/>
        </w:rPr>
      </w:pPr>
    </w:p>
    <w:p>
      <w:pPr>
        <w:jc w:val="both"/>
        <w:ind w:firstLine="470"/>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Iron Ore. </w:t>
      </w:r>
      <w:r>
        <w:rPr>
          <w:rFonts w:ascii="Times New Roman" w:cs="Times New Roman" w:eastAsia="Times New Roman" w:hAnsi="Times New Roman"/>
          <w:sz w:val="17"/>
          <w:szCs w:val="17"/>
          <w:color w:val="auto"/>
        </w:rPr>
        <w:t>Iron ore prices increased to average $96.97 per tonne during the third quarter of 2025, which was driven by demand from steel producer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restocking activity. Iron ore supply late in the third quarter of 2025 strengthened due to favorable weather conditions in Brazil and is expected to strengthen further with additional supply coming to the market in late 2025 and early 2026. Analysts expect prices to remain stable over the fourth quarter; however, any further upside in prices is likely to be limited given the strong production outlook.</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33"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WTI Crude. </w:t>
      </w:r>
      <w:r>
        <w:rPr>
          <w:rFonts w:ascii="Times New Roman" w:cs="Times New Roman" w:eastAsia="Times New Roman" w:hAnsi="Times New Roman"/>
          <w:sz w:val="17"/>
          <w:szCs w:val="17"/>
          <w:color w:val="auto"/>
        </w:rPr>
        <w:t>In an effort to retain and recapture global market share, OPEC+ began reversing previously implemented production cuts at the beginning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second quarter of 2025 and accelerating into the third quarter of 2025, increasing production despite flattening global demand for oil. The combined impact of these factors reduced WTI prices, which are down approximately 13% year-to-date through the end of the third quarter of 2025. Forecasts currently have oil prices averaging $60.00 per barrel in the fourth quarter of 2025. In light of this macroeconomic backdrop, our Canadian oil sands customers are increasingly looking to reduce costs and headcounts.</w:t>
      </w:r>
    </w:p>
    <w:p>
      <w:pPr>
        <w:spacing w:after="0" w:line="102"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WCS Crude. </w:t>
      </w:r>
      <w:r>
        <w:rPr>
          <w:rFonts w:ascii="Times New Roman" w:cs="Times New Roman" w:eastAsia="Times New Roman" w:hAnsi="Times New Roman"/>
          <w:sz w:val="17"/>
          <w:szCs w:val="17"/>
          <w:color w:val="auto"/>
        </w:rPr>
        <w:t>In Canada, WCS crude is the benchmark price for our oil sands customers. Pricing for WCS is driven by several factors,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export capacity limitations to move Canadian heavy oil production to refineries, primarily along the U.S. Gulf Coast. The WCS Differential has varied depending on the extent of transportation capacity availability.</w:t>
      </w:r>
    </w:p>
    <w:p>
      <w:pPr>
        <w:spacing w:after="0" w:line="109"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WCS prices in the third quarter of 2025 averaged $52.48 per barrel compared to an average of $59.97 in the third quarter of 2024. The WCS Differential decreased from $13.49 per barrel at the end of the fourth quarter of 2024 to $11.98 at the end of the third quarter of 2025. Further, the U.S. administration has implemented and amended several new tariffs over the past several months, including a 10% tariff on Canadian energy imports to the U. S. Implementation of tariffs on oil from Canada could have an adverse impact on our Canadian customers profit margins, which may in turn reduce their spending on our accommodations and services.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4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Qantac Acquisition</w:t>
      </w:r>
      <w:r>
        <w:rPr>
          <w:rFonts w:ascii="Times New Roman" w:cs="Times New Roman" w:eastAsia="Times New Roman" w:hAnsi="Times New Roman"/>
          <w:sz w:val="17"/>
          <w:szCs w:val="17"/>
          <w:color w:val="auto"/>
        </w:rPr>
        <w:t>. On May 6, 2025, we completed the Qantac Acquisition located in Queensland, Australia, which included four villages with 1,368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rooms in Australia’s Bowen Basin and the associated accommodation assets, land and customer contracts. See Note 6. Asset Acquisition to the notes to the unaudited consolidated financial statements included in Item 1 of this quarterly report for further discussion.</w:t>
      </w:r>
    </w:p>
    <w:p>
      <w:pPr>
        <w:spacing w:after="0" w:line="170"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w:t>
      </w:r>
      <w:r>
        <w:rPr>
          <w:rFonts w:ascii="Times New Roman" w:cs="Times New Roman" w:eastAsia="Times New Roman" w:hAnsi="Times New Roman"/>
          <w:sz w:val="17"/>
          <w:szCs w:val="17"/>
          <w:color w:val="auto"/>
        </w:rPr>
        <w:t>Since 2023, price increases resulting from pandemic-related inflation and supply chain concerns have, and are expected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continue to have, a negative impact on our labor and food costs, as well as consumable costs such as fuel. Lingering inflation from the pandemic has recently been exacerbated by changes to global tariffs and trade policies. We are managing inflation risk with negotiated service scope changes and contractual protections. Although inflation resulting from global tariffs implemented or threatened by the U.S. administration, and the resulting retaliations by its trading partners, did not materially impact our cost structure in the third quarter of 2025, concerns remain that inflationary pressures could return in the future.</w:t>
      </w:r>
    </w:p>
    <w:p>
      <w:pPr>
        <w:spacing w:after="0" w:line="206"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Labor Shortages. </w:t>
      </w:r>
      <w:r>
        <w:rPr>
          <w:rFonts w:ascii="Times New Roman" w:cs="Times New Roman" w:eastAsia="Times New Roman" w:hAnsi="Times New Roman"/>
          <w:sz w:val="17"/>
          <w:szCs w:val="17"/>
          <w:color w:val="auto"/>
        </w:rPr>
        <w:t>In addition to the macro inflationary impacts on labor costs noted above, we continue to be impacted by increased staff costs as a result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hospitality labor shortages in Australia. Australia’s labor market remains historically tight, with unemployment holding around 4% and job mobility (movement of workers between different employers or businesses) at its lowest in 30 years. A persistent overhang of vacancies continues to constrain recruitment, while government stimulus has disproportionately driven job growth in healthcare, aged care, education and public services. Despite easing inflation, regulated labor costs remain high, with the Fair Work Commission decisions pushing wage increases well above Consumer Price Index changes, and statutory increases in superannuation, workers’ compensation and payroll tax are further inflating total labor costs. For hospitality, this combination of scarce labor supply, competition from government-funded sectors and rising employment costs creates sustained pressure on staffing productivity and availability.</w:t>
      </w:r>
    </w:p>
    <w:p>
      <w:pPr>
        <w:spacing w:after="0" w:line="194"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LNG. </w:t>
      </w:r>
      <w:r>
        <w:rPr>
          <w:rFonts w:ascii="Times New Roman" w:cs="Times New Roman" w:eastAsia="Times New Roman" w:hAnsi="Times New Roman"/>
          <w:sz w:val="17"/>
          <w:szCs w:val="17"/>
          <w:color w:val="auto"/>
        </w:rPr>
        <w:t>Our Sitka Lodge supports the LNG Canada (LNGC) project and related pipeline projects (specifically, the Coastal GasLink Pipeline, the pipeline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constructed to transport natural gas feedstock to LNGC). Construction activity of Phase 1 of the Kitimat LNG Facility has been completed and commercial operations commenced at the end of June 2025. The Coastal GasLink Pipeline was completed in 2024. As such, we expect continued lower occupancy at our Sitka Lodge in the near-term until subsequent phases of the LNGC project are approved and commence, or additional construction activity in the region, drive increased occupancy demand.</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From a macroeconomic standpoint, LNG demand has continued to grow, reinforcing the need for the global LNG industry to expand access to natural gas.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Evolving government energy policies around the world have amplified support for cleaner energy supply, creating more opportunities for natural gas and LNG.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conflicts between Russia/Ukraine and in the Middle East have further highlighted the need for secure natural gas supply globally, particularly in Europe.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Accordingly, we expect additional investment in LNG supply will be needed to meet the resulting expected long-term LNG demand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7" w:lineRule="exact"/>
        <w:rPr>
          <w:sz w:val="20"/>
          <w:szCs w:val="20"/>
          <w:color w:val="auto"/>
        </w:rPr>
      </w:pPr>
    </w:p>
    <w:p>
      <w:pPr>
        <w:jc w:val="both"/>
        <w:ind w:right="100" w:firstLine="47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Australian dollar and the Canadian dollar influence our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Australia and Canada. These revenues and profits/losses are translated into U.S. dollars for financial reporting purposes under U.S. Generally Accepted Accounting Principles. The following tables summarize the fluctuations in the exchange rates between the U.S. dollar and each of the Australian dollar and the Canadian dollar:</w:t>
      </w:r>
    </w:p>
    <w:p>
      <w:pPr>
        <w:spacing w:after="0" w:line="68"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3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ind w:left="2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640" w:type="dxa"/>
            <w:vAlign w:val="bottom"/>
          </w:tcPr>
          <w:p>
            <w:pPr>
              <w:spacing w:after="0"/>
              <w:rPr>
                <w:sz w:val="17"/>
                <w:szCs w:val="17"/>
                <w:color w:val="auto"/>
              </w:rPr>
            </w:pPr>
          </w:p>
        </w:tc>
      </w:tr>
      <w:tr>
        <w:trPr>
          <w:trHeight w:val="232"/>
        </w:trPr>
        <w:tc>
          <w:tcPr>
            <w:tcW w:w="34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40" w:type="dxa"/>
            <w:vAlign w:val="bottom"/>
            <w:tcBorders>
              <w:bottom w:val="single" w:sz="8" w:color="auto"/>
            </w:tcBorders>
          </w:tcPr>
          <w:p>
            <w:pPr>
              <w:spacing w:after="0"/>
              <w:rPr>
                <w:sz w:val="20"/>
                <w:szCs w:val="20"/>
                <w:color w:val="auto"/>
              </w:rPr>
            </w:pPr>
          </w:p>
        </w:tc>
      </w:tr>
      <w:tr>
        <w:trPr>
          <w:trHeight w:val="203"/>
        </w:trPr>
        <w:tc>
          <w:tcPr>
            <w:tcW w:w="3440" w:type="dxa"/>
            <w:vAlign w:val="bottom"/>
          </w:tcPr>
          <w:p>
            <w:pPr>
              <w:spacing w:after="0"/>
              <w:rPr>
                <w:sz w:val="17"/>
                <w:szCs w:val="17"/>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100" w:type="dxa"/>
            <w:vAlign w:val="bottom"/>
          </w:tcPr>
          <w:p>
            <w:pPr>
              <w:spacing w:after="0"/>
              <w:rPr>
                <w:sz w:val="17"/>
                <w:szCs w:val="17"/>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Australian dollar to U.S. dollar</w:t>
            </w: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$0.6541</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$0.6700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($0.016)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$0.6409</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$0.6621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($0.021)</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Canadian dollar to U.S. dollar</w:t>
            </w: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$0.7260</w:t>
            </w:r>
          </w:p>
        </w:tc>
        <w:tc>
          <w:tcPr>
            <w:tcW w:w="12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$0.7334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($0.007)</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$0.7152</w:t>
            </w:r>
          </w:p>
        </w:tc>
        <w:tc>
          <w:tcPr>
            <w:tcW w:w="10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$0.7352</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($0.020)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bl>
    <w:p>
      <w:pPr>
        <w:spacing w:after="0" w:line="105"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420" w:type="dxa"/>
            <w:vAlign w:val="bottom"/>
            <w:gridSpan w:val="2"/>
          </w:tcPr>
          <w:p>
            <w:pPr>
              <w:ind w:left="160"/>
              <w:spacing w:after="0" w:line="15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8"/>
                <w:szCs w:val="18"/>
                <w:color w:val="auto"/>
              </w:rPr>
            </w:pP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$0.6574</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$0.038</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6.10%</w:t>
            </w:r>
          </w:p>
        </w:tc>
        <w:tc>
          <w:tcPr>
            <w:tcW w:w="0" w:type="dxa"/>
            <w:vAlign w:val="bottom"/>
          </w:tcPr>
          <w:p>
            <w:pPr>
              <w:spacing w:after="0"/>
              <w:rPr>
                <w:sz w:val="1"/>
                <w:szCs w:val="1"/>
                <w:color w:val="auto"/>
              </w:rPr>
            </w:pPr>
          </w:p>
        </w:tc>
      </w:tr>
      <w:tr>
        <w:trPr>
          <w:trHeight w:val="227"/>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$0.7183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$0.023</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200" w:firstLine="470"/>
        <w:spacing w:after="0" w:line="279" w:lineRule="auto"/>
        <w:rPr>
          <w:sz w:val="20"/>
          <w:szCs w:val="20"/>
          <w:color w:val="auto"/>
        </w:rPr>
      </w:pPr>
      <w:r>
        <w:rPr>
          <w:rFonts w:ascii="Times New Roman" w:cs="Times New Roman" w:eastAsia="Times New Roman" w:hAnsi="Times New Roman"/>
          <w:sz w:val="17"/>
          <w:szCs w:val="17"/>
          <w:color w:val="auto"/>
        </w:rPr>
        <w:t>These fluctuations of the Australian and Canadian dollars have had and will continue to have an impact on the translation of earnings generated from our Australian and Canadian subsidiaries and, therefore, our financial results.</w:t>
      </w:r>
    </w:p>
    <w:p>
      <w:pPr>
        <w:spacing w:after="0" w:line="169" w:lineRule="exact"/>
        <w:rPr>
          <w:sz w:val="20"/>
          <w:szCs w:val="20"/>
          <w:color w:val="auto"/>
        </w:rPr>
      </w:pPr>
    </w:p>
    <w:p>
      <w:pPr>
        <w:jc w:val="both"/>
        <w:ind w:right="100" w:firstLine="47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continue to monitor the global economy, commodity prices, demand for met coal, crude oil, LNG and iron ore, inflation, trade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policy and the resultant impact on the capital spending plans of our customers in order to plan our business activities. We currently expect that our 2025 capital expenditures will be in the range of approximately $20 million to $25 million, compared to 2024 capital expenditures of $26.1 million. We may adjust our capital expenditure plans in the future as we continue to monitor customer activity.</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our 2025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5" w:name="page26"/>
    <w:bookmarkEnd w:id="25"/>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and nine months ended September 30, 2025, is based on a comparison to the corresponding period of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September 30, 2025 Compared to Three Months Ended September 30, 2024</w:t>
      </w:r>
    </w:p>
    <w:p>
      <w:pPr>
        <w:spacing w:after="0" w:line="32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8"/>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124,460</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116,622</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57,736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(11,705)</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r>
      <w:tr>
        <w:trPr>
          <w:trHeight w:val="196"/>
        </w:trPr>
        <w:tc>
          <w:tcPr>
            <w:tcW w:w="50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170,491</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176,338</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w:t>
            </w:r>
          </w:p>
        </w:tc>
      </w:tr>
      <w:tr>
        <w:trPr>
          <w:trHeight w:val="20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(14,392)</w:t>
            </w:r>
          </w:p>
        </w:tc>
      </w:tr>
      <w:tr>
        <w:trPr>
          <w:trHeight w:val="189"/>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138,542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(11,838)</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sale of McClelland Lake Lodge assets, net</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r>
      <w:tr>
        <w:trPr>
          <w:trHeight w:val="182"/>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163,525</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176,294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(12,769)</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6,922</w:t>
            </w:r>
          </w:p>
        </w:tc>
      </w:tr>
      <w:tr>
        <w:trPr>
          <w:trHeight w:val="209"/>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Civeo Corporation</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reported net loss attributable to Civeo for the quarter ended September 30, 2025 of $0.5 million, or $0.04 per diluted share. Net loss included $0.6 million of shareholder activist related costs and $0.2 million of cost saving initiatives in Canada.</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reported net loss attributable to Civeo for the quarter ended September 30, 2024 of $5.1 million, or $0.36 per diluted share.</w:t>
      </w:r>
    </w:p>
    <w:p>
      <w:pPr>
        <w:spacing w:after="0" w:line="103"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decreased $5.8 million, or 3%, in the third quarter of 2025 compared to the third quarter of 2024. This decrease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driven by (i) lower billed rooms at our oil sands lodges in Canada as producers in the region remain focused on reducing operating costs, (ii) lower food service and other services revenue in Canada as client maintenance work was softer in the third quarter of 2025 and (iii) a weaker Australian dollar relative to the U.S. dollar in the third quarter of 2025 compared to the third quarter of 2024. These items were partially offset by an increase in Australia related to the Qantac Acquisition in the second quarter of 2025 and new business in our integrated services villages in Queensland. The assets from the Qantac Acquisition generated $8.4 million of revenues in the third quarter of 2025. See the discussion of segment results of operations below for further information.</w:t>
      </w:r>
    </w:p>
    <w:p>
      <w:pPr>
        <w:spacing w:after="0" w:line="186"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decreased $11.8 million, or 9%, in the third quarter of 2025 compared to the third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2024. This decrease was primarily driven by (i) lower costs at various lodges in Canada due to reduced occupancy levels, (ii) reduced costs at various lodges and reduced indirect costs in Canada as a result of various cost reduction measures implemented in Canada in late 2024 and early 2025, (iii) reduced food service and other services costs in Canada as client maintenance work was softer in the third quarter of 2025 and (iv) a weaker Australian dollar relative to the U.S. dollar in the third quarter of 2025 compared to the third quarter of 2024. These items were partially offset by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an increase in Australia related to the Qantac Acquisition in the second quarter of 2025 and new business in our integrated services villages in Queensland and the associated overhead costs. See the discussion of segment results of operations below for further information.</w:t>
      </w:r>
    </w:p>
    <w:p>
      <w:pPr>
        <w:spacing w:after="0" w:line="92"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(SG&amp;A) expenses decreased $1.5 million, or 8%, in the third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2025 compared to the third quarter of 2024. This decrease was primarily due to lower incentive compensation cost of $0.6 million, lower office expenses of $0.5 million, lower share-based compensation of $0.4 million and a weaker Australian and Canadian dollar relative to the U.S. dollar in the third quarter of 2025 compared to the third quarter of 2024.</w:t>
      </w:r>
    </w:p>
    <w:p>
      <w:pPr>
        <w:spacing w:after="0" w:line="87"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$2.6 million, or 15%, in the third quarter of 2025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third quarter of 2024. The increase was primarily due to additional property, plant and equipment acquired through the Qantac Acquisition and shortening the lives on certain assets in Canada, partially offset by reduced depreciation expense resulting from impairments recorded in 2024 and a weaker Australian and Canadian dollar relative to the U.S. dollar in the third quarter of 2025 compared to the third quarter of 2024.</w:t>
      </w:r>
    </w:p>
    <w:p>
      <w:pPr>
        <w:spacing w:after="0" w:line="100" w:lineRule="exact"/>
        <w:rPr>
          <w:sz w:val="20"/>
          <w:szCs w:val="20"/>
          <w:color w:val="auto"/>
        </w:rPr>
      </w:pPr>
    </w:p>
    <w:p>
      <w:pPr>
        <w:jc w:val="both"/>
        <w:ind w:firstLine="47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increased $6.9 million in the third quarter of 2025 compared to the third quarter of 2024,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driven by higher activity levels in Australia and gross margin expansion in Canada despite lower lodge occupancy resulting from cost cutting measures previously implemented. These items were partially offset by higher depreciation and amortization expense in the third quarter of 2025 compared to the third quarter of 2024.</w:t>
      </w:r>
    </w:p>
    <w:p>
      <w:pPr>
        <w:spacing w:after="0" w:line="311"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increased by $1.7 million, or 103%, in the third quarter of 2025 compared to the third quarter of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related to higher average debt levels, as a result of the Qantac Acquisition and increased share repurchases, partially offset by lower interest rates on credit facility borrowings during 2025 compared to 2024.</w:t>
      </w:r>
    </w:p>
    <w:p>
      <w:pPr>
        <w:spacing w:after="0" w:line="81"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three months ended September 30, 2025 totaled $4.0 million, or 112.7% of pretax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expense of $3.9 million, or (270.6)% of pretax loss, for the three months ended September 30, 2024. Our effective tax rate for the three months ended September 30, 2025 and 2024 was impacted by Canada and the U.S. being considered loss jurisdictions that were removed from the annual effective tax rate computation for purposes of computing the interim tax provision.</w:t>
      </w:r>
    </w:p>
    <w:p>
      <w:pPr>
        <w:spacing w:after="0" w:line="100"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(Loss). </w:t>
      </w:r>
      <w:r>
        <w:rPr>
          <w:rFonts w:ascii="Times New Roman" w:cs="Times New Roman" w:eastAsia="Times New Roman" w:hAnsi="Times New Roman"/>
          <w:sz w:val="17"/>
          <w:szCs w:val="17"/>
          <w:color w:val="auto"/>
        </w:rPr>
        <w:t>Other comprehensive income decreased $8.0 million in the third quarter of 2025 compared to the third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primarily as a result of foreign currency translation adjustments due to changes in the Australian and Canadian dollar exchange rates compared to the U.S. dollar. The Australian dollar exchange rate compared to the U.S. dollar remained constant in the third quarter of 2025 compared to a 4% increase in the third quarter of 2024. The Canadian dollar exchange rate compared to the U.S. dollar decreased 2% in the third quarter of 2025 compared to a 1% increase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58,405</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51,370</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7,035</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66,055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65,252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803</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124,460</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116,622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7,838</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27,779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2,996</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59,469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58,787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682</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3,497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279</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91,024</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87,067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3,957</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owned villages </w:t>
            </w:r>
            <w:r>
              <w:rPr>
                <w:rFonts w:ascii="Times New Roman" w:cs="Times New Roman" w:eastAsia="Times New Roman" w:hAnsi="Times New Roman"/>
                <w:sz w:val="18"/>
                <w:szCs w:val="18"/>
                <w:color w:val="auto"/>
                <w:vertAlign w:val="superscript"/>
              </w:rPr>
              <w:t>(3)</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owned villages </w:t>
            </w:r>
            <w:r>
              <w:rPr>
                <w:rFonts w:ascii="Times New Roman" w:cs="Times New Roman" w:eastAsia="Times New Roman" w:hAnsi="Times New Roman"/>
                <w:sz w:val="18"/>
                <w:szCs w:val="18"/>
                <w:color w:val="auto"/>
                <w:vertAlign w:val="superscript"/>
              </w:rPr>
              <w:t>(4)</w:t>
            </w:r>
          </w:p>
        </w:tc>
        <w:tc>
          <w:tcPr>
            <w:tcW w:w="1100" w:type="dxa"/>
            <w:vAlign w:val="bottom"/>
          </w:tcPr>
          <w:p>
            <w:pPr>
              <w:spacing w:after="0"/>
              <w:rPr>
                <w:sz w:val="17"/>
                <w:szCs w:val="17"/>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762,974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647,358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115,616</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0.654</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0.670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(0.016)</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the Company's owned villages.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04"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Our Australian segment reported revenues in the third quarter of 2025 that were $7.8 million, or 7%, higher than the third quarter of 2024. The weakening of the average exchange rate for the Australian dollar relative to the U.S. dollar by 2.4% in the third quarter of 2025 compared to the third quarter of 2024 resulted in a $3.0 million period-over-period decrease in revenues. On a constant currency basis, the Australian segment experienced a 9.3% period-over-period increase in revenues. Excluding the impact of the weaker Australian exchange rate, the increase in the Australian segment was driven by the Qantac Acquisition in the second quarter of 2025 and new integrated services business in Queensland.</w:t>
      </w:r>
    </w:p>
    <w:p>
      <w:pPr>
        <w:spacing w:after="0" w:line="197"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$4.0 million, or 5%, in the third quarter of 2025 compared to the third quarter of 2024. The weakening of the average exchange rate for the Australian dollar relative to the U.S. dollar by 2.4% in the third quarter of 2025 compared to the third quarter of 2024 resulted in a $2.2 million period-over-period decrease in cost of sales and services. Excluding the impact of the weaker Australian exchange rate, the increase in cost of sales and services in the Australian segment was largely driven by the Qantac Acquisition and new integrated services business in Queensland and the associated overhead costs.</w:t>
      </w:r>
    </w:p>
    <w:p>
      <w:pPr>
        <w:spacing w:after="0" w:line="197" w:lineRule="exact"/>
        <w:rPr>
          <w:sz w:val="20"/>
          <w:szCs w:val="20"/>
          <w:color w:val="auto"/>
        </w:rPr>
      </w:pPr>
    </w:p>
    <w:p>
      <w:pPr>
        <w:jc w:val="both"/>
        <w:ind w:firstLine="470"/>
        <w:spacing w:after="0" w:line="252"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increased to 26.9% in the third quarter of 2025 from 25.3% in the third quarter of 2024. This was primarily driven by increased relative contribution from our accommodation business associated with the Qantac Acquisition. Our accommodation business generates higher gross margins than our integrated services business which has a service-only business model.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38,684</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48,747</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(10,063)</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270</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6,954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8,866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(1,912)</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46,031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57,736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(11,705)</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27,107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38,762</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(11,655)</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(325)</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8,385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(1,838)</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(574)</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35,660</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50,052</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(14,392)</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9.2 %</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owned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owned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382,660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483,767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(101,107)</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0.726</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0.733</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(0.007)</w:t>
            </w:r>
          </w:p>
        </w:tc>
      </w:tr>
    </w:tbl>
    <w:p>
      <w:pPr>
        <w:spacing w:after="0" w:line="285"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the Company's owned lodges.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Our Canadian segment reported revenues in the third quarter of 2025 that were $11.7 million, or 20%, lower than the third quarter of 2024. The decrease in the Canadian segment was driven by lower billed rooms at our oil sands lodges, down 20% year-over-year, as producers in the region remain focused on reducing operating costs and lower food service and other services revenue as client maintenance work in the third quarter of 2024 did not recur to the same extent in 2025.</w:t>
      </w:r>
    </w:p>
    <w:p>
      <w:pPr>
        <w:spacing w:after="0" w:line="200" w:lineRule="exact"/>
        <w:rPr>
          <w:sz w:val="20"/>
          <w:szCs w:val="20"/>
          <w:color w:val="auto"/>
        </w:rPr>
      </w:pPr>
    </w:p>
    <w:p>
      <w:pPr>
        <w:spacing w:after="0" w:line="20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cost of sales and services decreased $14.4 million, or 29%, in the third quarter of 2025 compared to the third quarter of 2024. The decrease in cost of sales and services in the Canadian segment was largely driven by (i) lower costs at various lodges due to reduced occupancy levels, (ii) reduced costs at various lodges and reduced indirect costs as a result of various cost reduction measures implemented in late 2024 and early 2025 and (iii) reduced food service and other services costs as client maintenance work in the third quarter of 2024 did not recur to the same extent in 2025.</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13.3% in the third quarter of 2024 to 22.5% in the third quarter of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was primarily driven by higher margins at our lodges as a result of various cost reduction measures implemented in late 2024 and early 2025.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Nine Months Ended September 30, 2025 Compared to Nine Months Ended September 30, 2024</w:t>
      </w:r>
    </w:p>
    <w:p>
      <w:pPr>
        <w:spacing w:after="0" w:line="338"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0" w:type="dxa"/>
            <w:vAlign w:val="bottom"/>
          </w:tcPr>
          <w:p>
            <w:pPr>
              <w:spacing w:after="0"/>
              <w:rPr>
                <w:sz w:val="16"/>
                <w:szCs w:val="16"/>
                <w:color w:val="auto"/>
              </w:rPr>
            </w:pPr>
          </w:p>
        </w:tc>
      </w:tr>
      <w:tr>
        <w:trPr>
          <w:trHeight w:val="196"/>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340,778</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316,967</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23,811</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136,451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204,423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(67,972)</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(9,781)</w:t>
            </w:r>
          </w:p>
        </w:tc>
      </w:tr>
      <w:tr>
        <w:trPr>
          <w:trHeight w:val="196"/>
        </w:trPr>
        <w:tc>
          <w:tcPr>
            <w:tcW w:w="50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477,229</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531,171</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(53,942)</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16,004</w:t>
            </w:r>
          </w:p>
        </w:tc>
      </w:tr>
      <w:tr>
        <w:trPr>
          <w:trHeight w:val="20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112,342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166,158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(53,816)</w:t>
            </w:r>
          </w:p>
        </w:tc>
      </w:tr>
      <w:tr>
        <w:trPr>
          <w:trHeight w:val="189"/>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(9,159)</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362,850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(46,971)</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56,762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McClelland Lake Lodge assets, net</w:t>
            </w:r>
          </w:p>
        </w:tc>
        <w:tc>
          <w:tcPr>
            <w:tcW w:w="4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472,979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519,796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(46,817)</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w:t>
            </w:r>
          </w:p>
        </w:tc>
      </w:tr>
      <w:tr>
        <w:trPr>
          <w:trHeight w:val="216"/>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182"/>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(9,086)</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(10,619)</w:t>
            </w:r>
          </w:p>
        </w:tc>
      </w:tr>
      <w:tr>
        <w:trPr>
          <w:trHeight w:val="19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r>
      <w:tr>
        <w:trPr>
          <w:trHeight w:val="19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Civeo Corporation</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(11,614)</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loss attributable to Civeo for the nine months ended September 30, 2025 of $13.6 million, or $1.04 per diluted share. Net loss included $3.8 million of shareholder activist related costs and $1.7 million of cost saving initiatives in Canada related to severance, two lodge closures and other real estate rationalization efforts.</w:t>
      </w:r>
    </w:p>
    <w:p>
      <w:pPr>
        <w:spacing w:after="0" w:line="5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loss attributable to Civeo for the nine months ended September 30, 2024 of $2.0 million, or $0.14 per diluted share. As further discussed below, net loss included $5.8 million of net gains associated with the sale of the McClelland Lake Lodge in Canada and a $7.8 million pre-tax loss resulting from the impairment of fixed assets included in Impairment expense.</w:t>
      </w:r>
    </w:p>
    <w:p>
      <w:pPr>
        <w:spacing w:after="0" w:line="42"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decreased $53.9 million, or 10%, in the nine months ended September 30, 2025 compared to the nine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2024. This decrease was primarily driven by (i) lower billed rooms at our oil sands lodges in Canada as producers in the region remain focused on reducing operating costs, (ii) reduced occupancy at our Sitka Lodge in Canada as the Kitimat LNG facility was completed and commenced operations in the second quarter of 2025, (iii) reduced food service and other services revenue in Canada as client maintenance work was softer in the third quarter of 2025 and</w:t>
      </w:r>
    </w:p>
    <w:p>
      <w:pPr>
        <w:spacing w:after="0" w:line="1" w:lineRule="exact"/>
        <w:rPr>
          <w:sz w:val="20"/>
          <w:szCs w:val="20"/>
          <w:color w:val="auto"/>
        </w:rPr>
      </w:pPr>
    </w:p>
    <w:p>
      <w:pPr>
        <w:jc w:val="both"/>
        <w:ind w:firstLine="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weaker Australia and Canadian dollar relative to the U.S. dollar in the nine months ended September 30, 2025 compared to the nine months ended September 30, 2024. These items were partially offset by an increase in Australia related to the Qantac Acquisition in the second quarter of 2025 and new business in our integrated services villages in Western Australia and Queensland. The assets from the Qantac Acquisition generated $13.3 million of revenues in the nine months ended September 30, 2025. See the discussion of segment results of operations below for further information.</w:t>
      </w:r>
    </w:p>
    <w:p>
      <w:pPr>
        <w:spacing w:after="0" w:line="202" w:lineRule="exact"/>
        <w:rPr>
          <w:sz w:val="20"/>
          <w:szCs w:val="20"/>
          <w:color w:val="auto"/>
        </w:rPr>
      </w:pPr>
    </w:p>
    <w:p>
      <w:pPr>
        <w:jc w:val="both"/>
        <w:ind w:firstLine="47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decreased $47.0 million, or 11%, in the nine months ended September 30,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nine months ended September 30, 2024. This decrease was primarily driven by (i) lower costs at various lodges in Canada due to reduced occupancy levels, (ii) reduced costs at various lodges and reduced indirect costs as a result of various cost reduction measures in Canada implemented in late 2024 and early 2025, (iii) lower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costs related to the reduced mobile asset activity in Canada from pipeline projects for which final costs were incurred in the first six months of 2024, (iv) reduced food service and other services costs in Canada as client maintenance work was softer in the third quarter of 2025 and (v) a weaker Australia and Canadian dollar relative to the U.S. dollar in the nine months ended September 30, 2025 compared to the nine months ended September 30, 2024. These items were partially offset by an increase in Australia related to the Qantac Acquisition in the second quarter of 2025 and new business in our integrated services villages in Western Australia and Queensland and associated overhead costs. See the discussion of segment results of operations below for further information.</w:t>
      </w:r>
    </w:p>
    <w:p>
      <w:pPr>
        <w:spacing w:after="0" w:line="11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increased $1.1 million, or 2%, in the nine months ended September 30, 2025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nine months ended September 30, 2024. This increase was primarily due to higher professional fees of $3.4 million due to shareholder activist related costs of $3.8 million in the nine months ended September 30, 2025 compared to the nine months ended September 30, 2024, partially offset by lower travel and entertainment costs of $1.0 million, down 42% year-of-year, lower incentive compensation cost of $0.9 million and a weaker Australian and Canadian dollar relative to the U.S. dollar in the nine months ended September 30, 2025 compared to the nine months ended September 30, 2024.</w:t>
      </w:r>
    </w:p>
    <w:p>
      <w:pPr>
        <w:spacing w:after="0" w:line="89"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$2.8 million, or 6%, in the nine months ended September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 2025 compared to the nine months ended September 30, 2024. The increase was primarily due to additional property, plant and equipment acquired through the Qantac Acquisition and shortening the lives on certain assets in Canada, partially offset by a weaker Australian and Canadian dollar relative to the U.S. dollar in the nine months ended September 30, 2025 compared to the nine months ended September 30, 2024 and reduced depreciation expense resulting from impairments recorded in 2024.</w:t>
      </w:r>
    </w:p>
    <w:p>
      <w:pPr>
        <w:spacing w:after="0" w:line="102"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We recorded pre-tax impairment expense of $7.8 million in the nine months ended September 30, 2024 associated with long-lived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in Australia and the U.S. See Note 3 - Impairment Charges to the notes to the unaudited consolidated financial statements included in Item 1 of this quarterly report for further discussion.</w:t>
      </w:r>
    </w:p>
    <w:p>
      <w:pPr>
        <w:spacing w:after="0" w:line="94"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Gain on Sale of McClelland Lake Lodge Assets, net. </w:t>
      </w:r>
      <w:r>
        <w:rPr>
          <w:rFonts w:ascii="Times New Roman" w:cs="Times New Roman" w:eastAsia="Times New Roman" w:hAnsi="Times New Roman"/>
          <w:sz w:val="17"/>
          <w:szCs w:val="17"/>
          <w:color w:val="auto"/>
        </w:rPr>
        <w:t>We recorded $5.8 million in the nine months ended September 30, 2024 related to net gains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associated with the sale of the McClelland Lake Lodge.</w:t>
      </w:r>
    </w:p>
    <w:p>
      <w:pPr>
        <w:spacing w:after="0" w:line="63"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decreased $7.1 million, or 63%, in the nine months ended September 30, 2025 compared to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2024, primarily due to lower lodge occupancy in Canada, higher depreciation and amortization expense and higher SG&amp;A expense during the 2025 period compared to the 2024 period. In addition, the nine months ended September 30, 2024 included a net gain on sale of McClelland Lake Lodge assets. These items were partially offset by higher activity levels in Australia in the nine months ended September 30, 2025 compared to the nine months ended September 30, 2024 and impairment expenses recorded in the nine months ended September 30, 2024.</w:t>
      </w:r>
    </w:p>
    <w:p>
      <w:pPr>
        <w:spacing w:after="0" w:line="102"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increased by $1.5 million, or 24%, in the nine months ended September 30, 2025 compared to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2024, primarily related to higher average debt levels, partially offset by lower interest rates on credit facility borrowings during the nine months ended September 30, 2025 compared to the nine months ended September 30, 2024.</w:t>
      </w:r>
    </w:p>
    <w:p>
      <w:pPr>
        <w:spacing w:after="0" w:line="94"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nine months ended September 30, 2025 totaled $10.7 million, or (372.0)% of pretax loss,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expense of $9.2 million, or 148.3% of pretax income, for the nine months ended September 30, 2024. Our effective tax rate for the nine months ended September 30, 2025 and 2024 was impacted by Canada and the U.S. being considered loss jurisdictions that were removed from the annual effective tax rate computation for purposes of computing the interim tax provision.</w:t>
      </w:r>
    </w:p>
    <w:p>
      <w:pPr>
        <w:spacing w:after="0" w:line="8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(Loss). </w:t>
      </w:r>
      <w:r>
        <w:rPr>
          <w:rFonts w:ascii="Times New Roman" w:cs="Times New Roman" w:eastAsia="Times New Roman" w:hAnsi="Times New Roman"/>
          <w:sz w:val="17"/>
          <w:szCs w:val="17"/>
          <w:color w:val="auto"/>
        </w:rPr>
        <w:t>Other comprehensive income increased $12.6 million in the nine months ended September 30, 2025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nine months ended September 30, 2024, primarily as a result of foreign currency translation adjustments due to changes in the Australian and Canadian dollar exchange rates compared to the U.S. dollar. The Australian dollar exchange rate compared to the U.S. dollar increased 6% in the of nine months ended September 30, 2025 compared to a 2% increase in the nine months ended September 30, 2024. The Canadian dollar exchange rate compared to the U.S. dollar increased 3% in the nine months ended September 30, 2025 compared to a 2% decrease in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51"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20" w:type="dxa"/>
            <w:vAlign w:val="bottom"/>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40" w:type="dxa"/>
            <w:vAlign w:val="bottom"/>
          </w:tcPr>
          <w:p>
            <w:pPr>
              <w:spacing w:after="0"/>
              <w:rPr>
                <w:sz w:val="16"/>
                <w:szCs w:val="16"/>
                <w:color w:val="auto"/>
              </w:rPr>
            </w:pPr>
          </w:p>
        </w:tc>
      </w:tr>
      <w:tr>
        <w:trPr>
          <w:trHeight w:val="196"/>
        </w:trPr>
        <w:tc>
          <w:tcPr>
            <w:tcW w:w="4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157,910</w:t>
            </w:r>
          </w:p>
        </w:tc>
        <w:tc>
          <w:tcPr>
            <w:tcW w:w="6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147,391</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10,519</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182,868</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169,576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13,292</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316,967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23,811</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76,740</w:t>
            </w:r>
          </w:p>
        </w:tc>
        <w:tc>
          <w:tcPr>
            <w:tcW w:w="6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70,990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5,750</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154,218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9,065</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10,198</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9,009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1,189</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234,217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16,004</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owned villages </w:t>
            </w:r>
            <w:r>
              <w:rPr>
                <w:rFonts w:ascii="Times New Roman" w:cs="Times New Roman" w:eastAsia="Times New Roman" w:hAnsi="Times New Roman"/>
                <w:sz w:val="18"/>
                <w:szCs w:val="18"/>
                <w:color w:val="auto"/>
                <w:vertAlign w:val="superscript"/>
              </w:rPr>
              <w:t>(3)</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owned villages </w:t>
            </w:r>
            <w:r>
              <w:rPr>
                <w:rFonts w:ascii="Times New Roman" w:cs="Times New Roman" w:eastAsia="Times New Roman" w:hAnsi="Times New Roman"/>
                <w:sz w:val="18"/>
                <w:szCs w:val="18"/>
                <w:color w:val="auto"/>
                <w:vertAlign w:val="superscript"/>
              </w:rPr>
              <w:t>(4)</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2,079,116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1,886,647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192,469</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0.641</w:t>
            </w:r>
          </w:p>
        </w:tc>
        <w:tc>
          <w:tcPr>
            <w:tcW w:w="6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0.662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(0.021)</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the Company's owned villages.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Australian segment reported revenues in the nine months ended September 30, 2025 that were $23.8 million, or 8%, higher than the nine months ended September 30, 2024. The weakening of the average exchange rate for the Australian dollar relative to the U.S. dollar by 3.2% in the nine months ended September 30, 2025 compared to the nine months ended September 30, 2024 resulted in a $11.1 million period-over-period decrease in revenues. On a constant currency basis, the Australian segment experienced a 11% period-over-period increase in revenues. Excluding the impact of the weaker Australian exchange rate, the increase in the Australian segment was driven by the Qantac Acquisition in the second quarter of 2025 and new business in our integrated services villages in Western Australia and Queensland.</w:t>
      </w:r>
    </w:p>
    <w:p>
      <w:pPr>
        <w:spacing w:after="0" w:line="20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$16.0 million, or 7%, in the nine months ended September 30, 2025 compared to the nine months ended September 30, 2024. The weakening of the average exchange rate for the Australian dollar relative to the U.S. dollar by 3.2% in the nine months ended September 30, 2025 compared to the nine months ended September 30, 2024 resulted in a $8.1 million period-over-period decrease in cost of sales and services. Excluding the impact of the weaker Australian exchange rate, the increase in cost of sales and services in the Australian segment was largely driven by the Qantac Acquisition and new business in our integrated services villages in Western Australia and Queensland and the associated overhead costs.</w:t>
      </w:r>
    </w:p>
    <w:p>
      <w:pPr>
        <w:spacing w:after="0" w:line="19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slightly increased to 26.6% in the nine months ended September 30, 2025 from 26.1% in the nine months ended September 30, 2024. This was primarily driven by improved profitability across our integrated services villages in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5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0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114,710</w:t>
            </w:r>
          </w:p>
        </w:tc>
        <w:tc>
          <w:tcPr>
            <w:tcW w:w="5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180,793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(66,083)</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1,473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(427)</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0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20,695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22,157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(1,462)</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136,451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204,423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(67,972)</w:t>
            </w:r>
          </w:p>
        </w:tc>
      </w:tr>
      <w:tr>
        <w:trPr>
          <w:trHeight w:val="144"/>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86,590</w:t>
            </w:r>
          </w:p>
        </w:tc>
        <w:tc>
          <w:tcPr>
            <w:tcW w:w="5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132,679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(46,089)</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(4,242)</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20,839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(1,582)</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0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6,324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8,227</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(1,903)</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112,342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166,158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(53,816)</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owned lodges </w:t>
            </w:r>
            <w:r>
              <w:rPr>
                <w:rFonts w:ascii="Times New Roman" w:cs="Times New Roman" w:eastAsia="Times New Roman" w:hAnsi="Times New Roman"/>
                <w:sz w:val="9"/>
                <w:szCs w:val="9"/>
                <w:color w:val="auto"/>
              </w:rPr>
              <w:t>(4)</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96</w:t>
            </w:r>
          </w:p>
        </w:tc>
        <w:tc>
          <w:tcPr>
            <w:tcW w:w="5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owned lodges </w:t>
            </w:r>
            <w:r>
              <w:rPr>
                <w:rFonts w:ascii="Times New Roman" w:cs="Times New Roman" w:eastAsia="Times New Roman" w:hAnsi="Times New Roman"/>
                <w:sz w:val="9"/>
                <w:szCs w:val="9"/>
                <w:color w:val="auto"/>
              </w:rPr>
              <w:t>(5)</w:t>
            </w:r>
          </w:p>
        </w:tc>
        <w:tc>
          <w:tcPr>
            <w:tcW w:w="10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6"/>
              </w:rPr>
              <w:t>1,191,327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1,846,163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(654,836)</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0.715</w:t>
            </w:r>
          </w:p>
        </w:tc>
        <w:tc>
          <w:tcPr>
            <w:tcW w:w="5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(0.020)</w:t>
            </w:r>
          </w:p>
        </w:tc>
      </w:tr>
    </w:tbl>
    <w:p>
      <w:pPr>
        <w:spacing w:after="0" w:line="285" w:lineRule="exact"/>
        <w:rPr>
          <w:sz w:val="20"/>
          <w:szCs w:val="20"/>
          <w:color w:val="auto"/>
        </w:rPr>
      </w:pPr>
    </w:p>
    <w:p>
      <w:pPr>
        <w:ind w:left="300" w:hanging="295"/>
        <w:spacing w:after="0"/>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the Company's owned lodges.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Our Canadian segment reported revenues in the nine months ended September 30, 2025 that were $68.0 million, or 33%, lower than the nine months ended September 30, 2024. The weakening of the average exchange rate for the Canadian dollar relative to the U.S. dollar by 2.7% in the nine months ended September 30, 2025 compared to the nine months ended September 30, 2024 resulted in a $3.6 million period-over-period decrease in revenues. Excluding the impact of the weaker Canadian exchange rate, the decrease in the Canadian segment was driven by (i) lower billed rooms at our oil sands lodges as producers in the region remain focused on reducing operating costs, (ii) reduced occupancy at our Sitka Lodge as the Kitimat LNG facility was completed and commenced operations in the second quarter of 2025 and (iii) reduced food service and other services revenue as client maintenance work in the third quarter of 2024 did not recur to the same extent in 2025.</w:t>
      </w:r>
    </w:p>
    <w:p>
      <w:pPr>
        <w:spacing w:after="0" w:line="19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Our Canadian segment cost of sales and services decreased $53.8 million, or 32%, in the nine months ended September 30, 2025 compared to the nine months ended September 30, 2024. The weakening of the average exchange rate for the Canadian dollar relative to the U.S. dollar by 2.7% in the nine months ended September 30, 2025 compared to the nine months ended September 30, 2024 resulted in a $3.2 million period-over-period decrease in cost of sales and services. Excluding the impact of the weaker Canadian exchange rate, the decrease in cost of sales and services in the Canadian segment was largely driven by</w:t>
      </w:r>
    </w:p>
    <w:p>
      <w:pPr>
        <w:spacing w:after="0" w:line="1" w:lineRule="exact"/>
        <w:rPr>
          <w:sz w:val="20"/>
          <w:szCs w:val="20"/>
          <w:color w:val="auto"/>
        </w:rPr>
      </w:pPr>
    </w:p>
    <w:p>
      <w:pPr>
        <w:jc w:val="both"/>
        <w:ind w:firstLine="5"/>
        <w:spacing w:after="0" w:line="262" w:lineRule="auto"/>
        <w:tabs>
          <w:tab w:leader="none" w:pos="22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costs at various lodges due to reduced occupancy levels, (ii) reduced costs at various lodges and reduced indirect costs as a result of various cost reduction measures implemented in late 2024 and early 2025, (iii) lower costs related to the reduced mobile asset activity from pipeline projects for which final costs were incurred in the first six months of 2024 and (iv) reduced food service and other services costs as client maintenance work in the third quarter of 2024 did not recur to the same extent in 2025.</w:t>
      </w:r>
    </w:p>
    <w:p>
      <w:pPr>
        <w:spacing w:after="0" w:line="20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decreased from 18.7% in the nine months ended September 30, 2024 to 17.7% in the nine months ended September 30, 2025. This was primarily driven by reduced efficiencies at our lodges with lower occupancy levels, partially offset by various cost reduction measures impacting lodges and indirect costs.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and purchasing or leasing land, to repurchase common shares, to pay dividends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equity issuances. In the future, we may seek to access the debt and equity capital markets from time to time to raise additional capital, increase liquidity, fund acquisitions or refinance debt.</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September 30, 2025 and December 31, 2024 (in thousands):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245,000</w:t>
            </w:r>
          </w:p>
        </w:tc>
      </w:tr>
      <w:tr>
        <w:trPr>
          <w:trHeight w:val="196"/>
        </w:trPr>
        <w:tc>
          <w:tcPr>
            <w:tcW w:w="714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Reduction in availability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196"/>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(43,299)</w:t>
            </w:r>
          </w:p>
        </w:tc>
      </w:tr>
      <w:tr>
        <w:trPr>
          <w:trHeight w:val="189"/>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58,174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196,966</w:t>
            </w:r>
          </w:p>
        </w:tc>
      </w:tr>
      <w:tr>
        <w:trPr>
          <w:trHeight w:val="18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12,003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w:t>
            </w:r>
          </w:p>
        </w:tc>
      </w:tr>
      <w:tr>
        <w:trPr>
          <w:trHeight w:val="22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70,177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202,170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480" w:hanging="319"/>
        <w:spacing w:after="0" w:line="227" w:lineRule="auto"/>
        <w:tabs>
          <w:tab w:leader="none" w:pos="46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 of September 30, 2025 and December 31, 2024, $18.0 million and $3.6 million, respectively, of our borrowing capacity under the Amended Credit Agreement could not be utilized in order to maintain compliance with the maximum leverage ratio financial covenant in the Amended Credit Agreement.</w:t>
      </w:r>
    </w:p>
    <w:p>
      <w:pPr>
        <w:spacing w:after="0" w:line="218"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Cash totaling $3.1 million was provided by operations during the nine months ended September 30, 2025, compared to $74.0 million provided by operations during the nine months ended September 30, 2024. Net cash used in working capital was $36.4 million during the nine months ended September 30, 2025 compared to net cash provided by working capital of $26.8 million during the nine months ended September 30, 2024. The year-over-year increase in cash used in working capital in 2025 compared to 2024 is largely due to higher cash taxes paid in Australia in 2025 compared to 2024 and the collection of receivables in Canada related to the completion of mobile asset pipeline projects during the nine months ended September 30, 2024 that did not recur in 2025. These items were partially offset by a decrease in cash used for accounts payable and accrued liabilities during the nine months ended September 30, 2025 compared to the nine months ended September 30, 2024.</w:t>
      </w:r>
    </w:p>
    <w:p>
      <w:pPr>
        <w:spacing w:after="0" w:line="19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Cash was used in investing activities during the nine months ended September 30, 2025 in the amount of $85.9 million, compared to cash used in investing activities during the nine months ended September 30, 2024 in the amount of $7.5 million. The increase in cash used in investing activities was primarily due to the Qantac Acquisition and lower proceeds from the sale of property, plant and equipment, partially offset by lower capital expenditures. We received net proceeds from the sale of property, plant and equipment of $1.4 million during the nine months ended September 30, 2025 related to accommodation assets in Canada compared to $10.7 million during the nine months ended September 30, 2024 related to the sale of our McClelland Lake Lodge accommodation assets in Canada and the sale of our Louisiana land in the U.S. Capital expenditures totaled $15.4 million and $18.4 million during the nine months ended September 30, 2025 and 2024, respectively. Capital expenditures in both periods were primarily related to maintenance. In addition, our 2024 capital expenditures included approximately $2.9 million related to customer-funded infrastructure upgrades in Australia.</w:t>
      </w:r>
    </w:p>
    <w:p>
      <w:pPr>
        <w:spacing w:after="0" w:line="20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2025 to be in the range of $20 million to $25 million, which excludes any unannounced and uncommitted projects, the spending for which is contingent on obtaining customer contracts or commitments or attractive risk-adjusted economics. Whether planned expenditures will actually be spent in 2025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Net cash of $87.6 million was provided by financing activities during the nine months ended September 30, 2025 primarily due to net borrowings under our revolving credit facilities of $140.8 million to primarily fund the Qantac Acquisition and share repurchases, partially offset by repurchases of our common shares of $48.7 million, dividend payments of $3.4 million, payments to settle tax obligations on vested shares under our share-based compensation plans of $0.6 million and debt issuance costs of $0.4 million. Net cash of $48.3 million was used in financing activities during the nine months ended September 30, 2024 primarily for repurchases of our common shares of $24.1 million, dividend payments of $11.0 million, net repayments under our revolving credit facilities of $9.2 million, debt issuance costs of $3.0 million and payments to settle tax obligations on vested shares under our share-based compensation plans of $1.1 million.</w:t>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nine months ended September 30, 2025 (in thousands):</w:t>
      </w:r>
    </w:p>
    <w:p>
      <w:pPr>
        <w:sectPr>
          <w:pgSz w:w="11900" w:h="16838" w:orient="portrait"/>
          <w:cols w:equalWidth="0" w:num="1">
            <w:col w:w="11240"/>
          </w:cols>
          <w:pgMar w:left="320" w:top="1440" w:right="339" w:bottom="1440" w:gutter="0" w:footer="0" w:header="0"/>
        </w:sectPr>
      </w:pPr>
    </w:p>
    <w:p>
      <w:pPr>
        <w:spacing w:after="0" w:line="33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-95885</wp:posOffset>
            </wp:positionV>
            <wp:extent cx="4024630" cy="124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Borrowings under revolving credit facilities</w:t>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Repayments of 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-88265</wp:posOffset>
            </wp:positionV>
            <wp:extent cx="4024630" cy="124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27940</wp:posOffset>
            </wp:positionV>
            <wp:extent cx="4024630" cy="149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24630" cy="149225"/>
                    </a:xfrm>
                    <a:prstGeom prst="rect">
                      <a:avLst/>
                    </a:prstGeom>
                    <a:noFill/>
                  </pic:spPr>
                </pic:pic>
              </a:graphicData>
            </a:graphic>
          </wp:anchor>
        </w:drawing>
      </w:r>
    </w:p>
    <w:p>
      <w:pPr>
        <w:spacing w:after="0" w:line="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September 30, 2025</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902" w:hanging="902"/>
        <w:spacing w:after="0"/>
        <w:tabs>
          <w:tab w:leader="none" w:pos="90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43,299</w:t>
      </w:r>
    </w:p>
    <w:p>
      <w:pPr>
        <w:spacing w:after="0" w:line="35" w:lineRule="exact"/>
        <w:rPr>
          <w:rFonts w:ascii="Times New Roman" w:cs="Times New Roman" w:eastAsia="Times New Roman" w:hAnsi="Times New Roman"/>
          <w:sz w:val="14"/>
          <w:szCs w:val="14"/>
          <w:color w:val="auto"/>
        </w:rPr>
      </w:pPr>
    </w:p>
    <w:p>
      <w:pPr>
        <w:ind w:left="84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303,418</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(162,621)</w:t>
      </w:r>
    </w:p>
    <w:p>
      <w:pPr>
        <w:spacing w:after="0" w:line="35"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4"/>
          <w:szCs w:val="14"/>
          <w:color w:val="auto"/>
        </w:rPr>
        <w:t>3,841</w:t>
      </w:r>
    </w:p>
    <w:p>
      <w:pPr>
        <w:spacing w:after="0" w:line="48" w:lineRule="exact"/>
        <w:rPr>
          <w:sz w:val="20"/>
          <w:szCs w:val="20"/>
          <w:color w:val="auto"/>
        </w:rPr>
      </w:pPr>
    </w:p>
    <w:p>
      <w:pPr>
        <w:ind w:left="842" w:hanging="842"/>
        <w:spacing w:after="0"/>
        <w:tabs>
          <w:tab w:leader="none" w:pos="84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187,937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8712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718" w:space="720"/>
            <w:col w:w="3802"/>
          </w:cols>
          <w:pgMar w:left="320" w:top="1440" w:right="339" w:bottom="1440" w:gutter="0" w:footer="0" w:header="0"/>
          <w:type w:val="continuous"/>
        </w:sectPr>
      </w:pPr>
    </w:p>
    <w:p>
      <w:pPr>
        <w:spacing w:after="0" w:line="15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Selectively pursuing strategic organic and inorganic growth opportunities that fit with our current capital allocation priorities of returning capital to shareholders has been, and our management believes will continue to be, an element of our long-term business strategy. The timing, size or success of any growth opportunities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6"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September 2024, our Board authorized a common share repurchase program (the Share Repurchase Program) to repurchase up to 5.0% of our total common shares which are issued and outstanding at that date, or 0.7 million common shares, over a twelve month period. In March 2025, our Board authorized an increase to the Share Repurchase Program to repurchase up to 10.0% of our total common shares which are issued and outstanding at that date, and in April 2025, our Board authorized a further increase to repurchase up to 20% of our total common shares which are issued and outstanding at that date, or approximately 2.7 million common shares (the 2025 Share Repurchase Program). The 2025 Share Repurchase Program does not expire. In addition, our Board declared quarterly dividends of $0.25 per common share to shareholders in the first quarter of 2025. These dividends were eligible dividends pursuant to the Income Tax Act (Canada). See Dividends below and Note 12 – Share Repurchase Programs and Dividends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March 24, 2025, we amended our Syndicated Facility Agreement (as amended to date, the Amended Credit Agreement) to increase the Australian revolving commitments by $20.0 million to an aggregate amount of $55.0 million.</w:t>
      </w:r>
    </w:p>
    <w:p>
      <w:pPr>
        <w:spacing w:after="0" w:line="4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2025, the Amended Credit Agreement provided for a $265.0 million revolving credit facility scheduled to mature on August 8, 2028, allocated as follows: (A) a $10.0 million senior secured revolving credit facility in favor of certain of our U.S. subsidiaries, as borrowers; (B) a $200.0 million senior secured revolving credit facility in favor of Civeo and certain of our U.S. subsidiaries, as borrowers; and (C) a $55.0 million senior secured revolving credit facility in favor of one of our Australian subsidiaries, as borrower.</w:t>
      </w:r>
    </w:p>
    <w:p>
      <w:pPr>
        <w:spacing w:after="0" w:line="6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September 30, 2025, we had outstanding letters of credit of zero under the U.S. facility, zero under the Australian facility and $0.9 million under the Canadian facility. We also had outstanding bank guarantees of A$1.5 million under the Australian facility.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8 – Debt to the notes to the unaudited consolidated financial statements included in Item 1 of this quarterly report for further discussion.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April 2025, our Board suspended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Amended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2024.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September 30, 2025, we had $187.9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$1.9 million annually, based on our floating-rate debt obligations and interest rates in effect as of September 30,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Australian dollar and Canadian dollar functional currency net assets total approximately A$248 million and C$23 million, respectively, at September 30, 2025. We use a sensitivity analysis model to measure the impact of a 10% adverse movement of foreign currency exchange rates against the U.S. dollar. A hypothetical 10% adverse change in the value of the Australian dollar and Canadian dollar relative to the U.S. dollar as of September 30, 2025 would result in translation adjustments of approximately $25 million and $2 million, respectively, recorded in other comprehensive loss. Although we do not currently have any foreign exchange agreements outstanding, to reduce our exposure to fluctuations in currency exchange rates, we may enter into foreign exchange agreements with financial institutions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2025, at the reasonable assurance level.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three months ended September 30, 2025,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7"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53" w:lineRule="exact"/>
        <w:rPr>
          <w:sz w:val="20"/>
          <w:szCs w:val="20"/>
          <w:color w:val="auto"/>
        </w:rPr>
      </w:pPr>
    </w:p>
    <w:p>
      <w:pPr>
        <w:jc w:val="both"/>
        <w:ind w:right="100" w:firstLine="314"/>
        <w:spacing w:after="0" w:line="266" w:lineRule="auto"/>
        <w:rPr>
          <w:sz w:val="20"/>
          <w:szCs w:val="20"/>
          <w:color w:val="auto"/>
        </w:rPr>
      </w:pPr>
      <w:r>
        <w:rPr>
          <w:rFonts w:ascii="Times New Roman" w:cs="Times New Roman" w:eastAsia="Times New Roman" w:hAnsi="Times New Roman"/>
          <w:sz w:val="17"/>
          <w:szCs w:val="17"/>
          <w:color w:val="auto"/>
        </w:rPr>
        <w:t>In addition to information set forth in this Quarterly Report on Form 10-Q, including “Management’s Discussion and Analysis of Financial Condition and Results of Operations", you should carefully read and consider “Risk Factors” and “Management's Discussion and Analysis of Financial Condition and Results of Operations” in our Annual Report on Form 10-K for the year ended December 31, 2024 and "Risk Factors" in our Quarterly Report on Form 10-Q for the quarter ended March 31, 2025, which contain descriptions of significant factors that may cause our future operating results to differ materially from those currently expected.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September 30, 2025.</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17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Maximum number of</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2020" w:type="dxa"/>
            <w:vAlign w:val="bottom"/>
          </w:tcPr>
          <w:p>
            <w:pPr>
              <w:jc w:val="center"/>
              <w:ind w:lef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780" w:type="dxa"/>
            <w:vAlign w:val="bottom"/>
          </w:tcPr>
          <w:p>
            <w:pPr>
              <w:jc w:val="center"/>
              <w:ind w:right="122"/>
              <w:spacing w:after="0" w:line="157" w:lineRule="exact"/>
              <w:rPr>
                <w:sz w:val="20"/>
                <w:szCs w:val="20"/>
                <w:color w:val="auto"/>
              </w:rPr>
            </w:pPr>
            <w:r>
              <w:rPr>
                <w:rFonts w:ascii="Times New Roman" w:cs="Times New Roman" w:eastAsia="Times New Roman" w:hAnsi="Times New Roman"/>
                <w:sz w:val="16"/>
                <w:szCs w:val="16"/>
                <w:b w:val="1"/>
                <w:bCs w:val="1"/>
                <w:color w:val="auto"/>
                <w:w w:val="98"/>
              </w:rPr>
              <w:t>shares that may be</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2020" w:type="dxa"/>
            <w:vAlign w:val="bottom"/>
          </w:tcPr>
          <w:p>
            <w:pPr>
              <w:jc w:val="center"/>
              <w:ind w:left="42"/>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1780" w:type="dxa"/>
            <w:vAlign w:val="bottom"/>
          </w:tcPr>
          <w:p>
            <w:pPr>
              <w:jc w:val="center"/>
              <w:ind w:right="122"/>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or programs</w:t>
            </w:r>
          </w:p>
        </w:tc>
        <w:tc>
          <w:tcPr>
            <w:tcW w:w="17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 July 31, 2025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174,595</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23.97</w:t>
            </w:r>
          </w:p>
        </w:tc>
        <w:tc>
          <w:tcPr>
            <w:tcW w:w="2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174,595</w:t>
            </w:r>
          </w:p>
        </w:tc>
        <w:tc>
          <w:tcPr>
            <w:tcW w:w="17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1,720,892</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2025 - August 31,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107,750</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23.24</w:t>
            </w:r>
          </w:p>
        </w:tc>
        <w:tc>
          <w:tcPr>
            <w:tcW w:w="2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107,750</w:t>
            </w:r>
          </w:p>
        </w:tc>
        <w:tc>
          <w:tcPr>
            <w:tcW w:w="1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1,613,142</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2025 - September 30, 2025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768,696</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25.38</w:t>
            </w:r>
          </w:p>
        </w:tc>
        <w:tc>
          <w:tcPr>
            <w:tcW w:w="2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768,696</w:t>
            </w:r>
          </w:p>
        </w:tc>
        <w:tc>
          <w:tcPr>
            <w:tcW w:w="17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844,446</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1,051,041</w:t>
            </w:r>
          </w:p>
        </w:tc>
        <w:tc>
          <w:tcPr>
            <w:tcW w:w="3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24.93</w:t>
            </w:r>
          </w:p>
        </w:tc>
        <w:tc>
          <w:tcPr>
            <w:tcW w:w="2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1,051,041</w:t>
            </w:r>
          </w:p>
        </w:tc>
        <w:tc>
          <w:tcPr>
            <w:tcW w:w="1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844,446</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320" w:right="100" w:hanging="315"/>
        <w:spacing w:after="0" w:line="212" w:lineRule="exact"/>
        <w:tabs>
          <w:tab w:leader="none" w:pos="30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April 2025, our Board authorized the repurchase of up to 20% of our total common shares which are issued and outstanding at that date, or approximately 2.7 million common shares (the 2025 Share Repurchase Program). Under the 2025 Share Repurchase Program, we may repurchase shares through a variety of methods, including but not limited to open market repurchases, pursuant to a 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compliant plan, or privately negotiated transactions. The 2025 Share Repurchase Program does not expire. We repurchased an aggregate of 1,051,041 of our common shares outstanding for approximately $26.2 million under the 2025 Share Repurchase Program during the three months ended September 30,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3" w:lineRule="exact"/>
        <w:rPr>
          <w:sz w:val="20"/>
          <w:szCs w:val="20"/>
          <w:color w:val="auto"/>
        </w:rPr>
      </w:pPr>
    </w:p>
    <w:p>
      <w:pPr>
        <w:ind w:left="620" w:hanging="459"/>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17"/>
                <w:szCs w:val="17"/>
                <w:color w:val="auto"/>
              </w:rPr>
            </w:pP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58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4"/>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24"/>
                <w:szCs w:val="24"/>
                <w:color w:val="auto"/>
              </w:rPr>
            </w:pP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13a-14(a) or 15d-14(a)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0" w:type="dxa"/>
            <w:vAlign w:val="bottom"/>
            <w:tcBorders>
              <w:top w:val="single" w:sz="8" w:color="0000FF"/>
            </w:tcBorders>
            <w:gridSpan w:val="8"/>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24"/>
                <w:szCs w:val="24"/>
                <w:color w:val="auto"/>
              </w:rPr>
            </w:pP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20" w:type="dxa"/>
            <w:vAlign w:val="bottom"/>
            <w:tcBorders>
              <w:top w:val="single" w:sz="8" w:color="0000FF"/>
            </w:tcBorders>
            <w:gridSpan w:val="9"/>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24"/>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4"/>
                <w:szCs w:val="24"/>
                <w:color w:val="auto"/>
              </w:rPr>
            </w:pP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13a-14(b) or 15d-14(b)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160" w:type="dxa"/>
            <w:vAlign w:val="bottom"/>
            <w:tcBorders>
              <w:top w:val="single" w:sz="8" w:color="0000FF"/>
            </w:tcBorders>
            <w:gridSpan w:val="6"/>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80" w:type="dxa"/>
            <w:vAlign w:val="bottom"/>
            <w:gridSpan w:val="4"/>
          </w:tcPr>
          <w:p>
            <w:pPr>
              <w:spacing w:after="0"/>
              <w:rPr>
                <w:sz w:val="14"/>
                <w:szCs w:val="14"/>
                <w:color w:val="auto"/>
              </w:rPr>
            </w:pPr>
          </w:p>
        </w:tc>
      </w:tr>
      <w:tr>
        <w:trPr>
          <w:trHeight w:val="20"/>
        </w:trPr>
        <w:tc>
          <w:tcPr>
            <w:tcW w:w="10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r>
      <w:tr>
        <w:trPr>
          <w:trHeight w:val="419"/>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w:t>
            </w:r>
          </w:p>
        </w:tc>
      </w:tr>
      <w:tr>
        <w:trPr>
          <w:trHeight w:val="227"/>
        </w:trPr>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4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444"/>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866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43" w:lineRule="exact"/>
        <w:rPr>
          <w:sz w:val="20"/>
          <w:szCs w:val="20"/>
          <w:color w:val="auto"/>
        </w:rPr>
      </w:pPr>
    </w:p>
    <w:p>
      <w:pPr>
        <w:ind w:left="1480" w:hanging="1144"/>
        <w:spacing w:after="0"/>
        <w:tabs>
          <w:tab w:leader="none" w:pos="14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26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52"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53" w:lineRule="exact"/>
        <w:rPr>
          <w:sz w:val="20"/>
          <w:szCs w:val="20"/>
          <w:color w:val="auto"/>
        </w:rPr>
      </w:pPr>
    </w:p>
    <w:p>
      <w:pPr>
        <w:ind w:left="420" w:hanging="398"/>
        <w:spacing w:after="0"/>
        <w:tabs>
          <w:tab w:leader="none" w:pos="4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and compensatory plans and arrangements.</w:t>
      </w:r>
    </w:p>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9" w:name="page40"/>
    <w:bookmarkEnd w:id="39"/>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51"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October 31, 2025</w:t>
      </w:r>
      <w:r>
        <w:rPr>
          <w:sz w:val="20"/>
          <w:szCs w:val="20"/>
          <w:color w:val="auto"/>
        </w:rPr>
        <w:tab/>
      </w:r>
      <w:r>
        <w:rPr>
          <w:rFonts w:ascii="Times New Roman" w:cs="Times New Roman" w:eastAsia="Times New Roman" w:hAnsi="Times New Roman"/>
          <w:sz w:val="17"/>
          <w:szCs w:val="17"/>
          <w:b w:val="1"/>
          <w:bCs w:val="1"/>
          <w:color w:val="auto"/>
        </w:rPr>
        <w:t>By /s/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5576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 Collin Gerry</w:t>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 Treasurer (Duly</w:t>
      </w:r>
    </w:p>
    <w:p>
      <w:pPr>
        <w:ind w:left="546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44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53" w:lineRule="exact"/>
        <w:rPr>
          <w:sz w:val="20"/>
          <w:szCs w:val="20"/>
          <w:color w:val="auto"/>
        </w:rPr>
      </w:pPr>
    </w:p>
    <w:p>
      <w:pPr>
        <w:ind w:left="340" w:hanging="318"/>
        <w:spacing w:after="0"/>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40" w:hanging="318"/>
        <w:spacing w:after="0" w:line="232" w:lineRule="auto"/>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00" w:right="232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7"/>
          <w:szCs w:val="17"/>
          <w:color w:val="auto"/>
        </w:rPr>
      </w:pPr>
    </w:p>
    <w:p>
      <w:pPr>
        <w:ind w:left="700" w:right="234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700" w:right="2320" w:hanging="366"/>
        <w:spacing w:after="0" w:line="2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sz w:val="20"/>
          <w:szCs w:val="20"/>
          <w:color w:val="auto"/>
        </w:rPr>
      </w:pPr>
    </w:p>
    <w:p>
      <w:pPr>
        <w:jc w:val="both"/>
        <w:ind w:left="700" w:right="2340" w:hanging="364"/>
        <w:spacing w:after="0" w:line="230" w:lineRule="auto"/>
        <w:tabs>
          <w:tab w:leader="none" w:pos="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40" w:right="2320" w:hanging="318"/>
        <w:spacing w:after="0" w:line="232" w:lineRule="auto"/>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00" w:right="2340" w:hanging="366"/>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00" w:right="2320" w:hanging="366"/>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31, 2025</w:t>
      </w:r>
    </w:p>
    <w:p>
      <w:pPr>
        <w:spacing w:after="0" w:line="14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E. Collin Gerry, certify that:</w:t>
      </w:r>
    </w:p>
    <w:p>
      <w:pPr>
        <w:spacing w:after="0" w:line="353" w:lineRule="exact"/>
        <w:rPr>
          <w:sz w:val="20"/>
          <w:szCs w:val="20"/>
          <w:color w:val="auto"/>
        </w:rPr>
      </w:pPr>
    </w:p>
    <w:p>
      <w:pPr>
        <w:ind w:left="320" w:hanging="298"/>
        <w:spacing w:after="0"/>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20" w:hanging="298"/>
        <w:spacing w:after="0" w:line="232"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Times New Roman" w:cs="Times New Roman" w:eastAsia="Times New Roman" w:hAnsi="Times New Roman"/>
          <w:sz w:val="17"/>
          <w:szCs w:val="17"/>
          <w:color w:val="auto"/>
        </w:rPr>
      </w:pPr>
    </w:p>
    <w:p>
      <w:pPr>
        <w:ind w:left="720" w:right="2420" w:hanging="3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20" w:right="2420" w:hanging="298"/>
        <w:spacing w:after="0" w:line="232" w:lineRule="auto"/>
        <w:tabs>
          <w:tab w:leader="none" w:pos="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20" w:right="2420" w:hanging="392"/>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31, 2025</w:t>
      </w:r>
    </w:p>
    <w:p>
      <w:pPr>
        <w:spacing w:after="0" w:line="35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E. Collin Gerry</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86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ind w:firstLine="784"/>
        <w:spacing w:after="0" w:line="273"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2025,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47" w:lineRule="auto"/>
        <w:tabs>
          <w:tab w:leader="none" w:pos="2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32" w:lineRule="exact"/>
        <w:rPr>
          <w:sz w:val="20"/>
          <w:szCs w:val="20"/>
          <w:color w:val="auto"/>
        </w:rPr>
      </w:pPr>
    </w:p>
    <w:tbl>
      <w:tblPr>
        <w:tblLayout w:type="fixed"/>
        <w:tblInd w:w="5920" w:type="dxa"/>
        <w:tblCellMar>
          <w:top w:w="0" w:type="dxa"/>
          <w:left w:w="0" w:type="dxa"/>
          <w:bottom w:w="0" w:type="dxa"/>
          <w:right w:w="0" w:type="dxa"/>
        </w:tblCellMar>
      </w:tblPr>
      <w:tr>
        <w:trPr>
          <w:trHeight w:val="210"/>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34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Bradley J. Dodson</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October 31, 2025</w:t>
            </w:r>
          </w:p>
        </w:tc>
      </w:tr>
    </w:tbl>
    <w:p>
      <w:pPr>
        <w:sectPr>
          <w:pgSz w:w="11900" w:h="16838" w:orient="portrait"/>
          <w:cols w:equalWidth="0" w:num="1">
            <w:col w:w="11240"/>
          </w:cols>
          <w:pgMar w:left="320" w:top="86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ind w:right="20" w:firstLine="784"/>
        <w:spacing w:after="0" w:line="253"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2025,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spacing w:after="0" w:line="300"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63" w:lineRule="auto"/>
        <w:tabs>
          <w:tab w:leader="none" w:pos="2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32" w:lineRule="exact"/>
        <w:rPr>
          <w:sz w:val="20"/>
          <w:szCs w:val="20"/>
          <w:color w:val="auto"/>
        </w:rPr>
      </w:pPr>
    </w:p>
    <w:tbl>
      <w:tblPr>
        <w:tblLayout w:type="fixed"/>
        <w:tblInd w:w="5760" w:type="dxa"/>
        <w:tblCellMar>
          <w:top w:w="0" w:type="dxa"/>
          <w:left w:w="0" w:type="dxa"/>
          <w:bottom w:w="0" w:type="dxa"/>
          <w:right w:w="0" w:type="dxa"/>
        </w:tblCellMar>
      </w:tblPr>
      <w:tr>
        <w:trPr>
          <w:trHeight w:val="210"/>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 Collin Gerry</w:t>
            </w:r>
          </w:p>
        </w:tc>
      </w:tr>
      <w:tr>
        <w:trPr>
          <w:trHeight w:val="22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October 31, 2025</w:t>
            </w:r>
          </w:p>
        </w:tc>
      </w:tr>
    </w:tbl>
    <w:p>
      <w:pPr>
        <w:spacing w:after="0" w:line="1" w:lineRule="exact"/>
        <w:rPr>
          <w:sz w:val="20"/>
          <w:szCs w:val="20"/>
          <w:color w:val="auto"/>
        </w:rPr>
      </w:pP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decimal"/>
      <w:start w:val="7"/>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decimal"/>
      <w:start w:val="9"/>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lowerRoman"/>
      <w:start w:val="4"/>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
      <w:numFmt w:val="bullet"/>
      <w:start w:val="1"/>
    </w:lvl>
    <w:lvl w:ilvl="1">
      <w:lvlJc w:val="left"/>
      <w:lvlText w:val="%2"/>
      <w:numFmt w:val="decimal"/>
      <w:start w:val="104"/>
    </w:lvl>
  </w:abstractNum>
  <w:abstractNum w:abstractNumId="26">
    <w:nsid w:val="614FD4A1"/>
    <w:multiLevelType w:val="hybridMultilevel"/>
    <w:lvl w:ilvl="0">
      <w:lvlJc w:val="left"/>
      <w:lvlText w:val="**"/>
      <w:numFmt w:val="bullet"/>
      <w:start w:val="1"/>
    </w:lvl>
    <w:lvl w:ilvl="1">
      <w:lvlJc w:val="left"/>
      <w:lvlText w:val="%2"/>
      <w:numFmt w:val="decimal"/>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bullet"/>
      <w:start w:val="1"/>
    </w:lvl>
  </w:abstractNum>
  <w:abstractNum w:abstractNumId="29">
    <w:nsid w:val="440BADFC"/>
    <w:multiLevelType w:val="hybridMultilevel"/>
    <w:lvl w:ilvl="0">
      <w:lvlJc w:val="left"/>
      <w:lvlText w:val="2"/>
      <w:numFmt w:val="bullet"/>
      <w:start w:val="1"/>
    </w:lvl>
  </w:abstractNum>
  <w:abstractNum w:abstractNumId="30">
    <w:nsid w:val="5072367"/>
    <w:multiLevelType w:val="hybridMultilevel"/>
    <w:lvl w:ilvl="0">
      <w:lvlJc w:val="left"/>
      <w:lvlText w:val="3"/>
      <w:numFmt w:val="bullet"/>
      <w:start w:val="1"/>
    </w:lvl>
  </w:abstractNum>
  <w:abstractNum w:abstractNumId="31">
    <w:nsid w:val="3804823E"/>
    <w:multiLevelType w:val="hybridMultilevel"/>
    <w:lvl w:ilvl="0">
      <w:lvlJc w:val="left"/>
      <w:lvlText w:val="4"/>
      <w:numFmt w:val="bullet"/>
      <w:start w:val="1"/>
    </w:lvl>
  </w:abstractNum>
  <w:abstractNum w:abstractNumId="32">
    <w:nsid w:val="77465F01"/>
    <w:multiLevelType w:val="hybridMultilevel"/>
    <w:lvl w:ilvl="0">
      <w:lvlJc w:val="left"/>
      <w:lvlText w:val="d"/>
      <w:numFmt w:val="bullet"/>
      <w:start w:val="1"/>
    </w:lvl>
  </w:abstractNum>
  <w:abstractNum w:abstractNumId="33">
    <w:nsid w:val="7724C67E"/>
    <w:multiLevelType w:val="hybridMultilevel"/>
    <w:lvl w:ilvl="0">
      <w:lvlJc w:val="left"/>
      <w:lvlText w:val="5"/>
      <w:numFmt w:val="bullet"/>
      <w:start w:val="1"/>
    </w:lvl>
  </w:abstractNum>
  <w:abstractNum w:abstractNumId="34">
    <w:nsid w:val="5C482A97"/>
    <w:multiLevelType w:val="hybridMultilevel"/>
    <w:lvl w:ilvl="0">
      <w:lvlJc w:val="left"/>
      <w:lvlText w:val="1"/>
      <w:numFmt w:val="bullet"/>
      <w:start w:val="1"/>
    </w:lvl>
  </w:abstractNum>
  <w:abstractNum w:abstractNumId="35">
    <w:nsid w:val="2463B9EA"/>
    <w:multiLevelType w:val="hybridMultilevel"/>
    <w:lvl w:ilvl="0">
      <w:lvlJc w:val="left"/>
      <w:lvlText w:val="2"/>
      <w:numFmt w:val="bullet"/>
      <w:start w:val="1"/>
    </w:lvl>
  </w:abstractNum>
  <w:abstractNum w:abstractNumId="36">
    <w:nsid w:val="5E884ADC"/>
    <w:multiLevelType w:val="hybridMultilevel"/>
    <w:lvl w:ilvl="0">
      <w:lvlJc w:val="left"/>
      <w:lvlText w:val="3"/>
      <w:numFmt w:val="bullet"/>
      <w:start w:val="1"/>
    </w:lvl>
  </w:abstractNum>
  <w:abstractNum w:abstractNumId="37">
    <w:nsid w:val="51EAD36B"/>
    <w:multiLevelType w:val="hybridMultilevel"/>
    <w:lvl w:ilvl="0">
      <w:lvlJc w:val="left"/>
      <w:lvlText w:val="4"/>
      <w:numFmt w:val="bullet"/>
      <w:start w:val="1"/>
    </w:lvl>
  </w:abstractNum>
  <w:abstractNum w:abstractNumId="38">
    <w:nsid w:val="2D517796"/>
    <w:multiLevelType w:val="hybridMultilevel"/>
    <w:lvl w:ilvl="0">
      <w:lvlJc w:val="left"/>
      <w:lvlText w:val="5"/>
      <w:numFmt w:val="bullet"/>
      <w:start w:val="1"/>
    </w:lvl>
  </w:abstractNum>
  <w:abstractNum w:abstractNumId="39">
    <w:nsid w:val="580BD78F"/>
    <w:multiLevelType w:val="hybridMultilevel"/>
    <w:lvl w:ilvl="0">
      <w:lvlJc w:val="left"/>
      <w:lvlText w:val="2"/>
      <w:numFmt w:val="bullet"/>
      <w:start w:val="1"/>
    </w:lvl>
  </w:abstractNum>
  <w:abstractNum w:abstractNumId="40">
    <w:nsid w:val="153EA43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2025-10-31T11:47:51Z</dcterms:created>
  <dcterms:modified xsi:type="dcterms:W3CDTF">2025-10-31T11:47:51Z</dcterms:modified>
</cp:coreProperties>
</file>