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ind w:left="8120"/>
        <w:spacing w:after="0"/>
        <w:rPr>
          <w:sz w:val="20"/>
          <w:szCs w:val="20"/>
          <w:color w:val="auto"/>
        </w:rPr>
      </w:pPr>
      <w:r>
        <w:rPr>
          <w:rFonts w:ascii="Arial" w:cs="Arial" w:eastAsia="Arial" w:hAnsi="Arial"/>
          <w:sz w:val="18"/>
          <w:szCs w:val="18"/>
          <w:b w:val="1"/>
          <w:bCs w:val="1"/>
          <w:color w:val="auto"/>
        </w:rPr>
        <w:t>Registration No. 333-212754</w:t>
      </w:r>
    </w:p>
    <w:p>
      <w:pPr>
        <w:spacing w:after="0" w:line="151" w:lineRule="exact"/>
        <w:rPr>
          <w:sz w:val="24"/>
          <w:szCs w:val="24"/>
          <w:color w:val="auto"/>
        </w:rPr>
      </w:pPr>
    </w:p>
    <w:p>
      <w:pPr>
        <w:ind w:right="20"/>
        <w:spacing w:after="0" w:line="306" w:lineRule="auto"/>
        <w:rPr>
          <w:sz w:val="20"/>
          <w:szCs w:val="20"/>
          <w:color w:val="auto"/>
        </w:rPr>
      </w:pPr>
      <w:r>
        <w:rPr>
          <w:rFonts w:ascii="Arial" w:cs="Arial" w:eastAsia="Arial" w:hAnsi="Arial"/>
          <w:sz w:val="16"/>
          <w:szCs w:val="16"/>
          <w:color w:val="CC062A"/>
        </w:rPr>
        <w:t>The information in this preliminary prospectus supplement is not complete and may be changed. A registration statement relating to these securities has become effective under the Securities Act of 1933, as amended. This preliminary prospectus supplement and the accompanying base prospectus are not offers to sell these securities, nor are they soliciting offers to buy these securities in any jurisdiction where the offer or sale is not permitted.</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FEBRUARY 1, 2017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August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135890</wp:posOffset>
            </wp:positionV>
            <wp:extent cx="2478405" cy="1252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Civeo Corporation</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20,000,000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152400</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88"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We are offering 20,000,000 common shares. Our common shares are listed on the New York Stock Exchange under the symbol “CVEO.” On January 31, 2017, the last reported sale price of our common shares on the New York Stock Exchange was $3.54 per share.</w:t>
      </w:r>
    </w:p>
    <w:p>
      <w:pPr>
        <w:spacing w:after="0" w:line="166" w:lineRule="exact"/>
        <w:rPr>
          <w:sz w:val="24"/>
          <w:szCs w:val="24"/>
          <w:color w:val="auto"/>
        </w:rPr>
      </w:pPr>
    </w:p>
    <w:tbl>
      <w:tblPr>
        <w:tblLayout w:type="fixed"/>
        <w:tblInd w:w="1380" w:type="dxa"/>
        <w:tblCellMar>
          <w:top w:w="0" w:type="dxa"/>
          <w:left w:w="0" w:type="dxa"/>
          <w:bottom w:w="0" w:type="dxa"/>
          <w:right w:w="0" w:type="dxa"/>
        </w:tblCellMar>
      </w:tblPr>
      <w:tr>
        <w:trPr>
          <w:trHeight w:val="229"/>
        </w:trPr>
        <w:tc>
          <w:tcPr>
            <w:tcW w:w="4780" w:type="dxa"/>
            <w:vAlign w:val="bottom"/>
            <w:vMerge w:val="restart"/>
          </w:tcPr>
          <w:p>
            <w:pPr>
              <w:spacing w:after="0"/>
              <w:rPr>
                <w:sz w:val="20"/>
                <w:szCs w:val="20"/>
                <w:color w:val="auto"/>
              </w:rPr>
            </w:pPr>
            <w:r>
              <w:rPr>
                <w:rFonts w:ascii="Arial" w:cs="Arial" w:eastAsia="Arial" w:hAnsi="Arial"/>
                <w:sz w:val="18"/>
                <w:szCs w:val="18"/>
                <w:color w:val="auto"/>
              </w:rPr>
              <w:t>Public offering price</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share</w:t>
            </w:r>
          </w:p>
        </w:tc>
        <w:tc>
          <w:tcPr>
            <w:tcW w:w="600" w:type="dxa"/>
            <w:vAlign w:val="bottom"/>
          </w:tcPr>
          <w:p>
            <w:pPr>
              <w:spacing w:after="0"/>
              <w:rPr>
                <w:sz w:val="19"/>
                <w:szCs w:val="19"/>
                <w:color w:val="auto"/>
              </w:rPr>
            </w:pPr>
          </w:p>
        </w:tc>
        <w:tc>
          <w:tcPr>
            <w:tcW w:w="620" w:type="dxa"/>
            <w:vAlign w:val="bottom"/>
          </w:tcPr>
          <w:p>
            <w:pPr>
              <w:jc w:val="right"/>
              <w:ind w:right="3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78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720" w:type="dxa"/>
            <w:vAlign w:val="bottom"/>
            <w:tcBorders>
              <w:top w:val="single" w:sz="8" w:color="auto"/>
            </w:tcBorders>
          </w:tcPr>
          <w:p>
            <w:pPr>
              <w:jc w:val="right"/>
              <w:ind w:right="563"/>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17"/>
                <w:szCs w:val="17"/>
                <w:color w:val="auto"/>
              </w:rPr>
            </w:pPr>
          </w:p>
        </w:tc>
        <w:tc>
          <w:tcPr>
            <w:tcW w:w="620" w:type="dxa"/>
            <w:vAlign w:val="bottom"/>
            <w:tcBorders>
              <w:top w:val="single" w:sz="8" w:color="auto"/>
            </w:tcBorders>
          </w:tcPr>
          <w:p>
            <w:pPr>
              <w:jc w:val="right"/>
              <w:ind w:right="458"/>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580" w:type="dxa"/>
            <w:vAlign w:val="bottom"/>
            <w:gridSpan w:val="2"/>
          </w:tcPr>
          <w:p>
            <w:pPr>
              <w:jc w:val="right"/>
              <w:ind w:right="56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Proceeds to us, before expenses</w:t>
            </w:r>
          </w:p>
        </w:tc>
        <w:tc>
          <w:tcPr>
            <w:tcW w:w="2580" w:type="dxa"/>
            <w:vAlign w:val="bottom"/>
            <w:gridSpan w:val="2"/>
          </w:tcPr>
          <w:p>
            <w:pPr>
              <w:jc w:val="right"/>
              <w:ind w:right="563"/>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We have granted the underwriter a 30-day option to purchase up to an additional 3,000,000 common shares on the same terms and conditions as set forth above.</w:t>
      </w:r>
    </w:p>
    <w:p>
      <w:pPr>
        <w:spacing w:after="0" w:line="187" w:lineRule="exact"/>
        <w:rPr>
          <w:sz w:val="24"/>
          <w:szCs w:val="24"/>
          <w:color w:val="auto"/>
        </w:rPr>
      </w:pPr>
    </w:p>
    <w:p>
      <w:pPr>
        <w:spacing w:after="0" w:line="335"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shares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S-5 of this prospectus supplement and beginning on page 1 of the accompanying base prospectus and in the documents incorporated by reference herein and therein.</w:t>
      </w:r>
    </w:p>
    <w:p>
      <w:pPr>
        <w:spacing w:after="0" w:line="57" w:lineRule="exact"/>
        <w:rPr>
          <w:sz w:val="24"/>
          <w:szCs w:val="24"/>
          <w:color w:val="auto"/>
        </w:rPr>
      </w:pPr>
    </w:p>
    <w:p>
      <w:pPr>
        <w:ind w:right="80"/>
        <w:spacing w:after="0" w:line="332" w:lineRule="auto"/>
        <w:rPr>
          <w:sz w:val="20"/>
          <w:szCs w:val="20"/>
          <w:color w:val="auto"/>
        </w:rPr>
      </w:pPr>
      <w:r>
        <w:rPr>
          <w:rFonts w:ascii="Arial" w:cs="Arial" w:eastAsia="Arial" w:hAnsi="Arial"/>
          <w:sz w:val="16"/>
          <w:szCs w:val="16"/>
          <w:color w:val="auto"/>
        </w:rPr>
        <w:t>Neither the Securities and Exchange Commission nor any other state securities commission has approved or disapproved of these securities, or determined if this prospectus supplement or the accompanying base prospectus is truthful or complete. Any representation to the contrary is a criminal offense.</w:t>
      </w:r>
    </w:p>
    <w:p>
      <w:pPr>
        <w:spacing w:after="0" w:line="85" w:lineRule="exact"/>
        <w:rPr>
          <w:sz w:val="24"/>
          <w:szCs w:val="24"/>
          <w:color w:val="auto"/>
        </w:rPr>
      </w:pPr>
    </w:p>
    <w:p>
      <w:pPr>
        <w:spacing w:after="0"/>
        <w:tabs>
          <w:tab w:leader="none" w:pos="3920" w:val="left"/>
        </w:tabs>
        <w:rPr>
          <w:sz w:val="20"/>
          <w:szCs w:val="20"/>
          <w:color w:val="auto"/>
        </w:rPr>
      </w:pPr>
      <w:r>
        <w:rPr>
          <w:rFonts w:ascii="Arial" w:cs="Arial" w:eastAsia="Arial" w:hAnsi="Arial"/>
          <w:sz w:val="18"/>
          <w:szCs w:val="18"/>
          <w:color w:val="auto"/>
        </w:rPr>
        <w:t>We expect to deliver the shares on or about February</w:t>
      </w:r>
      <w:r>
        <w:rPr>
          <w:sz w:val="20"/>
          <w:szCs w:val="20"/>
          <w:color w:val="auto"/>
        </w:rPr>
        <w:tab/>
      </w:r>
      <w:r>
        <w:rPr>
          <w:rFonts w:ascii="Arial" w:cs="Arial" w:eastAsia="Arial" w:hAnsi="Arial"/>
          <w:sz w:val="15"/>
          <w:szCs w:val="15"/>
          <w:color w:val="auto"/>
        </w:rPr>
        <w:t>, 2017.</w:t>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RBC C</w:t>
      </w:r>
      <w:r>
        <w:rPr>
          <w:rFonts w:ascii="Arial" w:cs="Arial" w:eastAsia="Arial" w:hAnsi="Arial"/>
          <w:sz w:val="27"/>
          <w:szCs w:val="27"/>
          <w:b w:val="1"/>
          <w:bCs w:val="1"/>
          <w:color w:val="auto"/>
        </w:rPr>
        <w:t>APITAL</w:t>
      </w:r>
      <w:r>
        <w:rPr>
          <w:rFonts w:ascii="Arial" w:cs="Arial" w:eastAsia="Arial" w:hAnsi="Arial"/>
          <w:sz w:val="32"/>
          <w:szCs w:val="32"/>
          <w:b w:val="1"/>
          <w:bCs w:val="1"/>
          <w:color w:val="auto"/>
        </w:rPr>
        <w:t xml:space="preserve"> M</w:t>
      </w:r>
      <w:r>
        <w:rPr>
          <w:rFonts w:ascii="Arial" w:cs="Arial" w:eastAsia="Arial" w:hAnsi="Arial"/>
          <w:sz w:val="27"/>
          <w:szCs w:val="27"/>
          <w:b w:val="1"/>
          <w:bCs w:val="1"/>
          <w:color w:val="auto"/>
        </w:rPr>
        <w:t>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158115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96"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Prospectus supplement dated February</w:t>
      </w:r>
      <w:r>
        <w:rPr>
          <w:sz w:val="20"/>
          <w:szCs w:val="20"/>
          <w:color w:val="auto"/>
        </w:rPr>
        <w:tab/>
      </w:r>
      <w:r>
        <w:rPr>
          <w:rFonts w:ascii="Arial" w:cs="Arial" w:eastAsia="Arial" w:hAnsi="Arial"/>
          <w:sz w:val="15"/>
          <w:szCs w:val="15"/>
          <w:color w:val="auto"/>
        </w:rPr>
        <w:t>, 2017</w:t>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gridSpan w:val="9"/>
          </w:tcPr>
          <w:p>
            <w:pPr>
              <w:ind w:left="700"/>
              <w:spacing w:after="0"/>
              <w:rPr>
                <w:sz w:val="20"/>
                <w:szCs w:val="20"/>
                <w:color w:val="auto"/>
              </w:rPr>
            </w:pPr>
            <w:r>
              <w:rPr>
                <w:rFonts w:ascii="Arial" w:cs="Arial" w:eastAsia="Arial" w:hAnsi="Arial"/>
                <w:sz w:val="18"/>
                <w:szCs w:val="18"/>
                <w:b w:val="1"/>
                <w:bCs w:val="1"/>
                <w:color w:val="auto"/>
              </w:rPr>
              <w:t>Prospectus Supplement</w:t>
            </w: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b w:val="1"/>
                <w:bCs w:val="1"/>
                <w:color w:val="auto"/>
              </w:rPr>
              <w:t>Prospectus</w:t>
            </w:r>
          </w:p>
        </w:tc>
        <w:tc>
          <w:tcPr>
            <w:tcW w:w="1200" w:type="dxa"/>
            <w:vAlign w:val="bottom"/>
          </w:tcPr>
          <w:p>
            <w:pPr>
              <w:spacing w:after="0"/>
              <w:rPr>
                <w:sz w:val="19"/>
                <w:szCs w:val="19"/>
                <w:color w:val="auto"/>
              </w:rPr>
            </w:pPr>
          </w:p>
        </w:tc>
      </w:tr>
      <w:tr>
        <w:trPr>
          <w:trHeight w:val="380"/>
        </w:trPr>
        <w:tc>
          <w:tcPr>
            <w:tcW w:w="2340" w:type="dxa"/>
            <w:vAlign w:val="bottom"/>
            <w:gridSpan w:val="8"/>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Enforceability of Civil Liabilities</w:t>
              </w:r>
            </w:hyperlink>
          </w:p>
        </w:tc>
        <w:tc>
          <w:tcPr>
            <w:tcW w:w="2080" w:type="dxa"/>
            <w:vAlign w:val="bottom"/>
            <w:gridSpan w:val="6"/>
          </w:tcPr>
          <w:p>
            <w:pPr>
              <w:spacing w:after="0"/>
              <w:rPr>
                <w:sz w:val="24"/>
                <w:szCs w:val="24"/>
                <w:color w:val="auto"/>
              </w:rPr>
            </w:pPr>
          </w:p>
        </w:tc>
        <w:tc>
          <w:tcPr>
            <w:tcW w:w="1400" w:type="dxa"/>
            <w:vAlign w:val="bottom"/>
          </w:tcPr>
          <w:p>
            <w:pPr>
              <w:jc w:val="right"/>
              <w:ind w:right="372"/>
              <w:spacing w:after="0"/>
              <w:rPr>
                <w:sz w:val="20"/>
                <w:szCs w:val="20"/>
                <w:color w:val="auto"/>
              </w:rPr>
            </w:pPr>
            <w:r>
              <w:rPr>
                <w:rFonts w:ascii="Arial" w:cs="Arial" w:eastAsia="Arial" w:hAnsi="Arial"/>
                <w:sz w:val="18"/>
                <w:szCs w:val="18"/>
                <w:color w:val="auto"/>
              </w:rPr>
              <w:t>S-i</w:t>
            </w:r>
          </w:p>
        </w:tc>
        <w:tc>
          <w:tcPr>
            <w:tcW w:w="416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Civeo Corporation</w:t>
              </w:r>
            </w:hyperlink>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About This Prospectus Supplement</w:t>
              </w:r>
            </w:hyperlink>
          </w:p>
        </w:tc>
        <w:tc>
          <w:tcPr>
            <w:tcW w:w="1940" w:type="dxa"/>
            <w:vAlign w:val="bottom"/>
            <w:gridSpan w:val="4"/>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S-i</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3280" w:type="dxa"/>
            <w:vAlign w:val="bottom"/>
            <w:gridSpan w:val="10"/>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Information</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S-iii</w:t>
            </w:r>
          </w:p>
        </w:tc>
        <w:tc>
          <w:tcPr>
            <w:tcW w:w="4160" w:type="dxa"/>
            <w:vAlign w:val="bottom"/>
            <w:gridSpan w:val="1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Information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w:t>
            </w:r>
          </w:p>
        </w:tc>
        <w:tc>
          <w:tcPr>
            <w:tcW w:w="416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1480" w:type="dxa"/>
            <w:vAlign w:val="bottom"/>
            <w:gridSpan w:val="7"/>
          </w:tcPr>
          <w:p>
            <w:pPr>
              <w:spacing w:after="0"/>
              <w:rPr>
                <w:sz w:val="17"/>
                <w:szCs w:val="17"/>
                <w:color w:val="auto"/>
              </w:rPr>
            </w:pPr>
          </w:p>
        </w:tc>
        <w:tc>
          <w:tcPr>
            <w:tcW w:w="2060" w:type="dxa"/>
            <w:vAlign w:val="bottom"/>
            <w:gridSpan w:val="5"/>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S-5</w:t>
            </w:r>
          </w:p>
        </w:tc>
        <w:tc>
          <w:tcPr>
            <w:tcW w:w="248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Ratio of Earnings to Fixed Charges</w:t>
              </w:r>
            </w:hyperlink>
          </w:p>
        </w:tc>
        <w:tc>
          <w:tcPr>
            <w:tcW w:w="1680" w:type="dxa"/>
            <w:vAlign w:val="bottom"/>
            <w:gridSpan w:val="2"/>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40" w:type="dxa"/>
            <w:vAlign w:val="bottom"/>
            <w:gridSpan w:val="5"/>
          </w:tcPr>
          <w:p>
            <w:pPr>
              <w:spacing w:after="0" w:line="196" w:lineRule="exact"/>
              <w:rPr>
                <w:rFonts w:ascii="Arial" w:cs="Arial" w:eastAsia="Arial" w:hAnsi="Arial"/>
                <w:sz w:val="18"/>
                <w:szCs w:val="18"/>
                <w:color w:val="0000EE"/>
                <w:w w:val="84"/>
              </w:rPr>
            </w:pPr>
            <w:hyperlink w:anchor="page12">
              <w:r>
                <w:rPr>
                  <w:rFonts w:ascii="Arial" w:cs="Arial" w:eastAsia="Arial" w:hAnsi="Arial"/>
                  <w:sz w:val="18"/>
                  <w:szCs w:val="18"/>
                  <w:color w:val="0000EE"/>
                  <w:w w:val="84"/>
                </w:rPr>
                <w:t>Use of Proceeds</w:t>
              </w:r>
            </w:hyperlink>
          </w:p>
        </w:tc>
        <w:tc>
          <w:tcPr>
            <w:tcW w:w="3280" w:type="dxa"/>
            <w:vAlign w:val="bottom"/>
            <w:gridSpan w:val="9"/>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S-7</w:t>
            </w:r>
          </w:p>
        </w:tc>
        <w:tc>
          <w:tcPr>
            <w:tcW w:w="416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Debt Securities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280" w:type="dxa"/>
            <w:vAlign w:val="bottom"/>
            <w:gridSpan w:val="9"/>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S-8</w:t>
            </w:r>
          </w:p>
        </w:tc>
        <w:tc>
          <w:tcPr>
            <w:tcW w:w="2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Description of Share Capital</w:t>
              </w:r>
            </w:hyperlink>
          </w:p>
        </w:tc>
        <w:tc>
          <w:tcPr>
            <w:tcW w:w="120" w:type="dxa"/>
            <w:vAlign w:val="bottom"/>
            <w:tcBorders>
              <w:top w:val="single" w:sz="8" w:color="0000EE"/>
            </w:tcBorders>
          </w:tcPr>
          <w:p>
            <w:pPr>
              <w:spacing w:after="0"/>
              <w:rPr>
                <w:sz w:val="17"/>
                <w:szCs w:val="17"/>
                <w:color w:val="auto"/>
              </w:rPr>
            </w:pPr>
          </w:p>
        </w:tc>
        <w:tc>
          <w:tcPr>
            <w:tcW w:w="2040" w:type="dxa"/>
            <w:vAlign w:val="bottom"/>
            <w:gridSpan w:val="3"/>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Price Range of Common Shares</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S-10</w:t>
            </w:r>
          </w:p>
        </w:tc>
        <w:tc>
          <w:tcPr>
            <w:tcW w:w="4160" w:type="dxa"/>
            <w:vAlign w:val="bottom"/>
            <w:gridSpan w:val="1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Warrants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Material U.S. Federal Income Tax Considerations</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S-11</w:t>
            </w:r>
          </w:p>
        </w:tc>
        <w:tc>
          <w:tcPr>
            <w:tcW w:w="4160" w:type="dxa"/>
            <w:vAlign w:val="bottom"/>
            <w:gridSpan w:val="1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Plan of Distribution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Material Canadian Federal Income Tax Considerations</w:t>
              </w:r>
            </w:hyperlink>
          </w:p>
        </w:tc>
        <w:tc>
          <w:tcPr>
            <w:tcW w:w="580" w:type="dxa"/>
            <w:vAlign w:val="bottom"/>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S-16</w:t>
            </w: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Legal Matters</w:t>
              </w:r>
            </w:hyperlink>
          </w:p>
        </w:tc>
        <w:tc>
          <w:tcPr>
            <w:tcW w:w="3180" w:type="dxa"/>
            <w:vAlign w:val="bottom"/>
            <w:gridSpan w:val="9"/>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420" w:type="dxa"/>
            <w:vAlign w:val="bottom"/>
            <w:gridSpan w:val="14"/>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Underwriting (Conflicts of Interest)</w:t>
              </w:r>
            </w:hyperlink>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S-20</w:t>
            </w:r>
          </w:p>
        </w:tc>
        <w:tc>
          <w:tcPr>
            <w:tcW w:w="416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520" w:type="dxa"/>
            <w:vAlign w:val="bottom"/>
            <w:gridSpan w:val="8"/>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6"/>
        </w:trPr>
        <w:tc>
          <w:tcPr>
            <w:tcW w:w="980" w:type="dxa"/>
            <w:vAlign w:val="bottom"/>
            <w:gridSpan w:val="3"/>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Legal Matters</w:t>
              </w:r>
            </w:hyperlink>
          </w:p>
        </w:tc>
        <w:tc>
          <w:tcPr>
            <w:tcW w:w="1520" w:type="dxa"/>
            <w:vAlign w:val="bottom"/>
            <w:gridSpan w:val="8"/>
          </w:tcPr>
          <w:p>
            <w:pPr>
              <w:spacing w:after="0"/>
              <w:rPr>
                <w:sz w:val="17"/>
                <w:szCs w:val="17"/>
                <w:color w:val="auto"/>
              </w:rPr>
            </w:pPr>
          </w:p>
        </w:tc>
        <w:tc>
          <w:tcPr>
            <w:tcW w:w="1920" w:type="dxa"/>
            <w:vAlign w:val="bottom"/>
            <w:gridSpan w:val="3"/>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S-26</w:t>
            </w:r>
          </w:p>
        </w:tc>
        <w:tc>
          <w:tcPr>
            <w:tcW w:w="4160" w:type="dxa"/>
            <w:vAlign w:val="bottom"/>
            <w:gridSpan w:val="1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Where You Can Find More Information</w:t>
              </w:r>
            </w:hyperlink>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Experts</w:t>
              </w:r>
            </w:hyperlink>
          </w:p>
        </w:tc>
        <w:tc>
          <w:tcPr>
            <w:tcW w:w="3440" w:type="dxa"/>
            <w:vAlign w:val="bottom"/>
            <w:gridSpan w:val="11"/>
          </w:tcPr>
          <w:p>
            <w:pPr>
              <w:spacing w:after="0"/>
              <w:rPr>
                <w:sz w:val="17"/>
                <w:szCs w:val="17"/>
                <w:color w:val="auto"/>
              </w:rPr>
            </w:pPr>
          </w:p>
        </w:tc>
        <w:tc>
          <w:tcPr>
            <w:tcW w:w="1400" w:type="dxa"/>
            <w:vAlign w:val="bottom"/>
          </w:tcPr>
          <w:p>
            <w:pPr>
              <w:jc w:val="right"/>
              <w:ind w:right="372"/>
              <w:spacing w:after="0" w:line="196" w:lineRule="exact"/>
              <w:rPr>
                <w:sz w:val="20"/>
                <w:szCs w:val="20"/>
                <w:color w:val="auto"/>
              </w:rPr>
            </w:pPr>
            <w:r>
              <w:rPr>
                <w:rFonts w:ascii="Arial" w:cs="Arial" w:eastAsia="Arial" w:hAnsi="Arial"/>
                <w:sz w:val="18"/>
                <w:szCs w:val="18"/>
                <w:color w:val="auto"/>
              </w:rPr>
              <w:t>S-26</w:t>
            </w:r>
          </w:p>
        </w:tc>
        <w:tc>
          <w:tcPr>
            <w:tcW w:w="5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240030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ENFORCEABILITY OF CIVIL LIABILITIES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are a limited company organized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As a result, it may be difficult for you to effect service of process or enforce judgments obtained against us within the United States, predicated upon the civil liability provisions of the U.S. federal securities laws. There is doubt as to the enforceability of civil liabilities predicated on U.S. federal securities laws in Canada, either in original actions or in actions for enforcement of judgments of U.S. courts.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THIS PROSPECTUS SUPPLEMENT</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Neither we nor the underwriter has authorized anyone to provide any information or to make any representations other than those contained or incorporated by reference in this prospectus supplement, the accompanying base prospectus or any free writing prospectuses we have prepared. We and the underwriter take no responsibility for, and can provide no assurance as to the reliability of, any other information that others may give you. This prospectus supplement and the accompanying base prospectus may only be used where it is legal to sell the common shares offered hereby. You should assume that the information included in this prospectus supplement or the accompanying base prospectus is accurate only as of the date on the front cover of this prospectus supplement or the accompanying base prospectus and that the information incorporated by reference is accurate only as of the date the respective information was filed with the SEC. Our business, financial condition, results of operations and prospects may have changed since those dates.</w:t>
      </w:r>
    </w:p>
    <w:p>
      <w:pPr>
        <w:spacing w:after="0" w:line="3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prospectus supplement, the accompanying base prospectus and any free writing prospectus that we have prepared contain the terms of this offering. This prospectus supplement may add, update or change information contained or incorporated by reference in the accompanying base prospectus. In addition, the information incorporated by reference in the accompanying base prospectus may have added, updated or changed information in the accompanying base prospectus. If information in this prospectus supplement is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80"/>
          </w:cols>
          <w:pgMar w:left="240" w:top="459"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inconsistent with any information in the accompanying base prospectus (or any information incorporated therein by reference), this prospectus supplement will apply and will supersede such information in the accompanying base prospectus.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 is important for you to read and consider all information contained in this prospectus supplement, the accompanying base prospectus and the documents we have incorporated by reference before making your investment decision. You should also read and consider the additional information under the caption “Where You Can Find More Information” in the accompanying base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FORWARD-LOOKING INFORMATION</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supplement and the accompanying base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4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62" w:lineRule="exact"/>
        <w:rPr>
          <w:sz w:val="20"/>
          <w:szCs w:val="20"/>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activity, spending and development in the Canadian oil sands;</w:t>
      </w:r>
    </w:p>
    <w:p>
      <w:pPr>
        <w:spacing w:after="0" w:line="90"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failure by our customers to reach positive final investment decisions on, or otherwise not complete, projects with respect to which we have been awarded contracts to provide related accommodation, which may cause those customers to terminate the contracts;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90"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9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8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set forth in this prospectus supplement, on page 1 of the accompanying base prospectus and in our other filings with the Securities and Exchange Commission (the “SEC”), including our Annual Report on Form 10-K for the year ended December 31, 2015, which is incorporated by reference herein.</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03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403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PROSPECTUS SUPPLEMENT SUMMARY</w:t>
      </w:r>
    </w:p>
    <w:p>
      <w:pPr>
        <w:spacing w:after="0" w:line="171" w:lineRule="exact"/>
        <w:rPr>
          <w:sz w:val="20"/>
          <w:szCs w:val="20"/>
          <w:color w:val="auto"/>
        </w:rPr>
      </w:pPr>
    </w:p>
    <w:p>
      <w:pPr>
        <w:ind w:left="200" w:right="160" w:firstLine="443"/>
        <w:spacing w:after="0" w:line="290"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investing in our common shares. You should read carefully the entire prospectus supplement, the accompanying base prospectus and the documents incorporated by reference herein and therein for a more complete understanding of this offering. Please read “Risk Factors” beginning on page S-5 of this prospectus supplement, on page 1 of the accompanying base prospectus and in our Annual Report on Form 10-K for the fiscal year ended December 31, 2015, which is incorporated by reference herein, for information regarding risks you should consider before making a decision to purchase any shares in this offering. Except as otherwise indicated, all information in this prospectus supplement assumes no exercise by the underwriter of its option to purchase additional common shares.</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Civeo Corporation</w:t>
      </w:r>
    </w:p>
    <w:p>
      <w:pPr>
        <w:spacing w:after="0" w:line="96" w:lineRule="exact"/>
        <w:rPr>
          <w:sz w:val="20"/>
          <w:szCs w:val="20"/>
          <w:color w:val="auto"/>
        </w:rPr>
      </w:pPr>
    </w:p>
    <w:p>
      <w:pPr>
        <w:ind w:left="200" w:firstLine="443"/>
        <w:spacing w:after="0" w:line="302"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Canadian, Australian and U.S.</w:t>
      </w:r>
    </w:p>
    <w:p>
      <w:pPr>
        <w:spacing w:after="0" w:line="84"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On July 17, 2015, we completed a change in our legal domicile from Delaware to British Columbia, Canada. Our former Delaware parent company, which we refer to as “Civeo US,” entered into a merger transaction, which we refer to as the “redomicile transaction,” with Civeo US Merger Co, a newly formed Delaware corporation and our wholly owned subsidiary, which was approved by Civeo US’s stockholders and whereby Civeo US became our wholly owned subsidiary. As a result of the redomicile transaction, we became the parent company of the Civeo group of companies. Any references in this prospectus to “Civeo,” the “company,” “we,” “us” or “our” or any similar references relating to dates or periods before the redomicile transaction refer to Civeo US and its subsidiaries or, if the context so requires, Civeo US alone.</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Principal Executive Offices</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Our executive offices are located at Three Allen Center, 333 Clay Street, Suite 4980, Houston, Texas 77002, and our telephone number is (713) 510-2400.</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Fourth Quarter 2016 Financial Information</w:t>
      </w:r>
    </w:p>
    <w:p>
      <w:pPr>
        <w:spacing w:after="0" w:line="96" w:lineRule="exact"/>
        <w:rPr>
          <w:sz w:val="20"/>
          <w:szCs w:val="20"/>
          <w:color w:val="auto"/>
        </w:rPr>
      </w:pPr>
    </w:p>
    <w:p>
      <w:pPr>
        <w:jc w:val="both"/>
        <w:ind w:left="200" w:right="160" w:firstLine="443"/>
        <w:spacing w:after="0" w:line="332" w:lineRule="auto"/>
        <w:rPr>
          <w:sz w:val="20"/>
          <w:szCs w:val="20"/>
          <w:color w:val="auto"/>
        </w:rPr>
      </w:pPr>
      <w:r>
        <w:rPr>
          <w:rFonts w:ascii="Arial" w:cs="Arial" w:eastAsia="Arial" w:hAnsi="Arial"/>
          <w:sz w:val="16"/>
          <w:szCs w:val="16"/>
          <w:color w:val="auto"/>
        </w:rPr>
        <w:t>Although our financial statements for the quarter ended December 31, 2016 are not yet complete, certain preliminary estimated financial information is available. Based on such preliminary estimated financial information, we estimate the following range of financial information (unaudited) (in millions):</w:t>
      </w:r>
    </w:p>
    <w:p>
      <w:pPr>
        <w:spacing w:after="0" w:line="12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9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Estimated Range</w:t>
            </w:r>
          </w:p>
        </w:tc>
        <w:tc>
          <w:tcPr>
            <w:tcW w:w="0" w:type="dxa"/>
            <w:vAlign w:val="bottom"/>
          </w:tcPr>
          <w:p>
            <w:pPr>
              <w:spacing w:after="0"/>
              <w:rPr>
                <w:sz w:val="1"/>
                <w:szCs w:val="1"/>
                <w:color w:val="auto"/>
              </w:rPr>
            </w:pPr>
          </w:p>
        </w:tc>
      </w:tr>
      <w:tr>
        <w:trPr>
          <w:trHeight w:val="212"/>
        </w:trPr>
        <w:tc>
          <w:tcPr>
            <w:tcW w:w="942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rPr>
              <w:t>Low</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and services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9420" w:type="dxa"/>
            <w:vAlign w:val="bottom"/>
            <w:vMerge w:val="restart"/>
          </w:tcPr>
          <w:p>
            <w:pPr>
              <w:ind w:left="440"/>
              <w:spacing w:after="0"/>
              <w:rPr>
                <w:sz w:val="20"/>
                <w:szCs w:val="20"/>
                <w:color w:val="auto"/>
              </w:rPr>
            </w:pPr>
            <w:r>
              <w:rPr>
                <w:rFonts w:ascii="Arial" w:cs="Arial" w:eastAsia="Arial" w:hAnsi="Arial"/>
                <w:sz w:val="18"/>
                <w:szCs w:val="18"/>
                <w:color w:val="auto"/>
              </w:rPr>
              <w:t>Total costs and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104.7</w:t>
            </w: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106.7</w:t>
            </w:r>
          </w:p>
        </w:tc>
        <w:tc>
          <w:tcPr>
            <w:tcW w:w="0" w:type="dxa"/>
            <w:vAlign w:val="bottom"/>
          </w:tcPr>
          <w:p>
            <w:pPr>
              <w:spacing w:after="0"/>
              <w:rPr>
                <w:sz w:val="1"/>
                <w:szCs w:val="1"/>
                <w:color w:val="auto"/>
              </w:rPr>
            </w:pPr>
          </w:p>
        </w:tc>
      </w:tr>
      <w:tr>
        <w:trPr>
          <w:trHeight w:val="149"/>
        </w:trPr>
        <w:tc>
          <w:tcPr>
            <w:tcW w:w="9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94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(15.7)</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(14.7)</w:t>
            </w:r>
          </w:p>
        </w:tc>
        <w:tc>
          <w:tcPr>
            <w:tcW w:w="0" w:type="dxa"/>
            <w:vAlign w:val="bottom"/>
          </w:tcPr>
          <w:p>
            <w:pPr>
              <w:spacing w:after="0"/>
              <w:rPr>
                <w:sz w:val="1"/>
                <w:szCs w:val="1"/>
                <w:color w:val="auto"/>
              </w:rPr>
            </w:pPr>
          </w:p>
        </w:tc>
      </w:tr>
      <w:tr>
        <w:trPr>
          <w:trHeight w:val="102"/>
        </w:trPr>
        <w:tc>
          <w:tcPr>
            <w:tcW w:w="9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(18.8)</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40" w:firstLine="443"/>
        <w:spacing w:after="0" w:line="268" w:lineRule="auto"/>
        <w:rPr>
          <w:sz w:val="20"/>
          <w:szCs w:val="20"/>
          <w:color w:val="auto"/>
        </w:rPr>
      </w:pPr>
      <w:r>
        <w:rPr>
          <w:rFonts w:ascii="Arial" w:cs="Arial" w:eastAsia="Arial" w:hAnsi="Arial"/>
          <w:sz w:val="18"/>
          <w:szCs w:val="18"/>
          <w:color w:val="auto"/>
        </w:rPr>
        <w:t>The following table sets forth certain preliminary estimated information with respect to our financial position as of December 31, 2016 (unaudited) (in millions):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29"/>
        </w:trPr>
        <w:tc>
          <w:tcPr>
            <w:tcW w:w="99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1"/>
        </w:trPr>
        <w:tc>
          <w:tcPr>
            <w:tcW w:w="9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22"/>
        </w:trPr>
        <w:tc>
          <w:tcPr>
            <w:tcW w:w="9940" w:type="dxa"/>
            <w:vAlign w:val="bottom"/>
          </w:tcPr>
          <w:p>
            <w:pPr>
              <w:spacing w:after="0"/>
              <w:rPr>
                <w:sz w:val="20"/>
                <w:szCs w:val="20"/>
                <w:color w:val="auto"/>
              </w:rPr>
            </w:pPr>
            <w:r>
              <w:rPr>
                <w:rFonts w:ascii="Arial" w:cs="Arial" w:eastAsia="Arial" w:hAnsi="Arial"/>
                <w:sz w:val="18"/>
                <w:szCs w:val="18"/>
                <w:color w:val="auto"/>
              </w:rPr>
              <w:t>Total debt outstanding</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357.3</w:t>
            </w:r>
          </w:p>
        </w:tc>
      </w:tr>
    </w:tbl>
    <w:p>
      <w:pPr>
        <w:spacing w:after="0" w:line="147"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The preliminary estimated information set forth above does not represent a comprehensive statement of our results of operations or financial condition as of or for the quarter ended December 31, 2016. Neither our independent registered public accounting firm nor any other independent registered public accounting firm has audited, reviewed, compiled, examined or performed any procedures with respect to our preliminary estimated information, nor has any of them expressed any opinion or provided any other form of assurance on this preliminary estimated information. Accordingly, the final comprehensive statements of our results of operations and financial condition as of and for the quarter and year ended December 31, 2016 may vary from our current expectations and may be different from the information described above as our financial statement close process, year-end financial and accounting procedures and annual audit process are not yet complete and additional developments and adjustments may arise between now and the time the financial information for this period is finalized. In addition, these preliminary estimates are not necessarily indicative of the results to be achieved in any future period. There can be no assurance that these estimates will be realized, and estimates are subject to risks and uncertainties, many of which are not within our control. Accordingly, you should not place undue reliance on the preliminary estimated financial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025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025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Outlook for the Year Ending December 31, 2017</w:t>
      </w:r>
    </w:p>
    <w:p>
      <w:pPr>
        <w:spacing w:after="0" w:line="96"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metallurgical (met) coal resources and, to a lesser extent, other hydrocarbon and mineral resources. Generally, our customers are making multi-billion dollar investments to develop their prospects, which have estimated reserve lives ranging from ten years to in excess of thirty years. Consequently, these investments are dependent on those customers’ longer-term views of commodity demand and prices.</w:t>
      </w:r>
    </w:p>
    <w:p>
      <w:pPr>
        <w:spacing w:after="0" w:line="62"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In response to decreases in crude oil prices beginning in late 2014, many of our customers in Canada curtailed their operations and spending, and most major oil sands mining operators are continuing to seek to reduce their costs and limit capital spending, accordingly limiting the demand for accommodations like we provide. In Australia, approximately 80% of our rooms are located in the Bowen Basin and primarily serve met coal mines in that region where our customers continue to actively implement cost productivity and efficiency measures to drive down their cost base.</w:t>
      </w:r>
    </w:p>
    <w:p>
      <w:pPr>
        <w:spacing w:after="0" w:line="32"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announced increased capital budgets for 2017. In addition, the recent regulatory approval of major pipeline projects has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Gulf Coast refiners. In Australia, the contract settlement price for met coal has risen from a low of $81 per tonne in early 2016 to a recent contract settlement price of $285 per tonne in the first quarter of 2017. While spot met coal prices have fallen below $200 per tonne in 2017, we believe prices remain at a level that may contribute to increased activity over the longer term.</w:t>
      </w:r>
    </w:p>
    <w:p>
      <w:pPr>
        <w:spacing w:after="0" w:line="39"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While we believe that these macroeconomic developments are positive for our customers and for the underlying demand for the accommodations services we provide, we do not expect an immediate improvement in our business and are expecting our full year 2017 revenues and EBITDA to be materially lower compared to 2016. Accordingly, we plan to focus on enhancing the quality of our operations and maintaining financial discipline and to proactively manage our business as market conditions continue to evolve. We are in discussions with our lenders regarding an amendment to our credit facility both to relax certain of the covenants to provide greater flexibility, including to enhance our ability to make acquisitions, and to reduce our borrowing availability to a level more consistent with our expected needs, which will reduce the undrawn commitment fees we incur.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9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909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b w:val="1"/>
                <w:bCs w:val="1"/>
                <w:color w:val="auto"/>
              </w:rPr>
              <w:t>The Offering</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Common shares offered to the public</w:t>
            </w: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88"/>
              </w:rPr>
              <w:t>20,000,000 shares, or 23,000,000 shares if the underwriter exercises in full its option to purchase</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additional shares.</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Common shares outstanding after the offering</w:t>
            </w: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5"/>
              </w:rPr>
              <w:t>128,089,347 shares, or 131,089,347 shares if the underwriter exercises in full its option to</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purchase additional shares.</w:t>
            </w:r>
            <w:r>
              <w:rPr>
                <w:rFonts w:ascii="Arial" w:cs="Arial" w:eastAsia="Arial" w:hAnsi="Arial"/>
                <w:sz w:val="11"/>
                <w:szCs w:val="11"/>
                <w:color w:val="auto"/>
              </w:rPr>
              <w:t>(1)</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Use of proceeds</w:t>
            </w: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w w:val="91"/>
              </w:rPr>
              <w:t>We expect the net proceeds from this offering to be approximately $</w:t>
            </w:r>
          </w:p>
        </w:tc>
        <w:tc>
          <w:tcPr>
            <w:tcW w:w="1900" w:type="dxa"/>
            <w:vAlign w:val="bottom"/>
          </w:tcPr>
          <w:p>
            <w:pPr>
              <w:ind w:left="180"/>
              <w:spacing w:after="0"/>
              <w:rPr>
                <w:sz w:val="20"/>
                <w:szCs w:val="20"/>
                <w:color w:val="auto"/>
              </w:rPr>
            </w:pPr>
            <w:r>
              <w:rPr>
                <w:rFonts w:ascii="Arial" w:cs="Arial" w:eastAsia="Arial" w:hAnsi="Arial"/>
                <w:sz w:val="18"/>
                <w:szCs w:val="18"/>
                <w:color w:val="auto"/>
              </w:rPr>
              <w:t>million, or</w:t>
            </w:r>
          </w:p>
        </w:tc>
      </w:tr>
      <w:tr>
        <w:trPr>
          <w:trHeight w:val="216"/>
        </w:trPr>
        <w:tc>
          <w:tcPr>
            <w:tcW w:w="3720" w:type="dxa"/>
            <w:vAlign w:val="bottom"/>
          </w:tcPr>
          <w:p>
            <w:pPr>
              <w:spacing w:after="0"/>
              <w:rPr>
                <w:sz w:val="18"/>
                <w:szCs w:val="18"/>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rPr>
              <w:t>$</w:t>
            </w:r>
          </w:p>
        </w:tc>
        <w:tc>
          <w:tcPr>
            <w:tcW w:w="6440" w:type="dxa"/>
            <w:vAlign w:val="bottom"/>
            <w:gridSpan w:val="2"/>
          </w:tcPr>
          <w:p>
            <w:pPr>
              <w:ind w:left="20"/>
              <w:spacing w:after="0"/>
              <w:rPr>
                <w:sz w:val="20"/>
                <w:szCs w:val="20"/>
                <w:color w:val="auto"/>
              </w:rPr>
            </w:pPr>
            <w:r>
              <w:rPr>
                <w:rFonts w:ascii="Arial" w:cs="Arial" w:eastAsia="Arial" w:hAnsi="Arial"/>
                <w:sz w:val="18"/>
                <w:szCs w:val="18"/>
                <w:color w:val="auto"/>
                <w:w w:val="89"/>
              </w:rPr>
              <w:t>million if the underwriter exercises its option to purchase additional common shares in full,</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89"/>
              </w:rPr>
              <w:t>in each case after deducting the underwriting discount and estimated offering expenses payable</w:t>
            </w:r>
          </w:p>
        </w:tc>
      </w:tr>
      <w:tr>
        <w:trPr>
          <w:trHeight w:val="222"/>
        </w:trPr>
        <w:tc>
          <w:tcPr>
            <w:tcW w:w="3720" w:type="dxa"/>
            <w:vAlign w:val="bottom"/>
          </w:tcPr>
          <w:p>
            <w:pPr>
              <w:spacing w:after="0"/>
              <w:rPr>
                <w:sz w:val="19"/>
                <w:szCs w:val="19"/>
                <w:color w:val="auto"/>
              </w:rPr>
            </w:pPr>
          </w:p>
        </w:tc>
        <w:tc>
          <w:tcPr>
            <w:tcW w:w="900" w:type="dxa"/>
            <w:vAlign w:val="bottom"/>
          </w:tcPr>
          <w:p>
            <w:pPr>
              <w:ind w:left="480"/>
              <w:spacing w:after="0"/>
              <w:rPr>
                <w:sz w:val="20"/>
                <w:szCs w:val="20"/>
                <w:color w:val="auto"/>
              </w:rPr>
            </w:pPr>
            <w:r>
              <w:rPr>
                <w:rFonts w:ascii="Arial" w:cs="Arial" w:eastAsia="Arial" w:hAnsi="Arial"/>
                <w:sz w:val="18"/>
                <w:szCs w:val="18"/>
                <w:color w:val="auto"/>
                <w:w w:val="83"/>
              </w:rPr>
              <w:t>by us.</w:t>
            </w:r>
          </w:p>
        </w:tc>
        <w:tc>
          <w:tcPr>
            <w:tcW w:w="454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4"/>
                <w:szCs w:val="24"/>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2"/>
              </w:rPr>
              <w:t>We intend to use the net proceeds from this offering to repay amounts outstanding under our</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1"/>
              </w:rPr>
              <w:t>revolving credit facilities, which we may re-borrow from time to time, and for general corporate</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purposes. See “Use of Proceeds.”</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Conflicts of Interest</w:t>
            </w: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4"/>
              </w:rPr>
              <w:t>Because affiliates of the underwriter are lenders under our revolving credit facilities and will</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1"/>
              </w:rPr>
              <w:t>receive more than 5% of the net proceeds of this offering, the underwriter is deemed to have a</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rPr>
              <w:t>“conflict of interest” under Rule 5121, or FINRA Rule 5121, of the Financial Industry</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4"/>
              </w:rPr>
              <w:t>Regulatory Authority, Inc., or FINRA. Accordingly, this offering is being made in compliance</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7"/>
              </w:rPr>
              <w:t>with the requirements of FINRA Rule 5121. The appointment of a “qualified independent</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3"/>
              </w:rPr>
              <w:t>underwriter” is not required in connection with this offering as a “bona fide public market,” as</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8"/>
              </w:rPr>
              <w:t>defined in FINRA Rule 5121, exists for our common shares. See “Use of Proceeds” and</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“Underwriting (Conflicts of Interest).”</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Dividend policy</w:t>
            </w: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9"/>
              </w:rPr>
              <w:t>We do not currently pay dividends. In addition, our ability to pay dividends is limited by</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covenants in our credit facility.</w:t>
            </w:r>
          </w:p>
        </w:tc>
        <w:tc>
          <w:tcPr>
            <w:tcW w:w="1900" w:type="dxa"/>
            <w:vAlign w:val="bottom"/>
          </w:tcPr>
          <w:p>
            <w:pPr>
              <w:spacing w:after="0"/>
              <w:rPr>
                <w:sz w:val="19"/>
                <w:szCs w:val="19"/>
                <w:color w:val="auto"/>
              </w:rPr>
            </w:pP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Risk factors</w:t>
            </w: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0"/>
              </w:rPr>
              <w:t>You should consider carefully all of the information included or incorporated by reference in this</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89"/>
              </w:rPr>
              <w:t>prospectus supplement and the accompanying base prospectus. In particular, before making an</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1"/>
              </w:rPr>
              <w:t>investment decision, you should evaluate the risks set forth under “Risk Factors” beginning on</w:t>
            </w:r>
          </w:p>
        </w:tc>
      </w:tr>
      <w:tr>
        <w:trPr>
          <w:trHeight w:val="216"/>
        </w:trPr>
        <w:tc>
          <w:tcPr>
            <w:tcW w:w="3720" w:type="dxa"/>
            <w:vAlign w:val="bottom"/>
          </w:tcPr>
          <w:p>
            <w:pPr>
              <w:spacing w:after="0"/>
              <w:rPr>
                <w:sz w:val="18"/>
                <w:szCs w:val="18"/>
                <w:color w:val="auto"/>
              </w:rPr>
            </w:pPr>
          </w:p>
        </w:tc>
        <w:tc>
          <w:tcPr>
            <w:tcW w:w="7340" w:type="dxa"/>
            <w:vAlign w:val="bottom"/>
            <w:gridSpan w:val="3"/>
          </w:tcPr>
          <w:p>
            <w:pPr>
              <w:ind w:left="480"/>
              <w:spacing w:after="0"/>
              <w:rPr>
                <w:sz w:val="20"/>
                <w:szCs w:val="20"/>
                <w:color w:val="auto"/>
              </w:rPr>
            </w:pPr>
            <w:r>
              <w:rPr>
                <w:rFonts w:ascii="Arial" w:cs="Arial" w:eastAsia="Arial" w:hAnsi="Arial"/>
                <w:sz w:val="18"/>
                <w:szCs w:val="18"/>
                <w:color w:val="auto"/>
                <w:w w:val="90"/>
              </w:rPr>
              <w:t>page S-5 of this prospectus supplement, in the accompanying base prospectus and our annual</w:t>
            </w:r>
          </w:p>
        </w:tc>
      </w:tr>
      <w:tr>
        <w:trPr>
          <w:trHeight w:val="222"/>
        </w:trPr>
        <w:tc>
          <w:tcPr>
            <w:tcW w:w="372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report on Form 10-K for the year ended December 31, 2015.</w:t>
            </w:r>
          </w:p>
        </w:tc>
        <w:tc>
          <w:tcPr>
            <w:tcW w:w="1900" w:type="dxa"/>
            <w:vAlign w:val="bottom"/>
          </w:tcPr>
          <w:p>
            <w:pPr>
              <w:spacing w:after="0"/>
              <w:rPr>
                <w:sz w:val="19"/>
                <w:szCs w:val="19"/>
                <w:color w:val="auto"/>
              </w:rPr>
            </w:pPr>
          </w:p>
        </w:tc>
      </w:tr>
      <w:tr>
        <w:trPr>
          <w:trHeight w:val="297"/>
        </w:trPr>
        <w:tc>
          <w:tcPr>
            <w:tcW w:w="3720" w:type="dxa"/>
            <w:vAlign w:val="bottom"/>
          </w:tcPr>
          <w:p>
            <w:pPr>
              <w:spacing w:after="0"/>
              <w:rPr>
                <w:sz w:val="20"/>
                <w:szCs w:val="20"/>
                <w:color w:val="auto"/>
              </w:rPr>
            </w:pPr>
            <w:r>
              <w:rPr>
                <w:rFonts w:ascii="Arial" w:cs="Arial" w:eastAsia="Arial" w:hAnsi="Arial"/>
                <w:sz w:val="18"/>
                <w:szCs w:val="18"/>
                <w:color w:val="auto"/>
              </w:rPr>
              <w:t>New York Stock Exchange (“NYSE”) symbol</w:t>
            </w:r>
          </w:p>
        </w:tc>
        <w:tc>
          <w:tcPr>
            <w:tcW w:w="5440" w:type="dxa"/>
            <w:vAlign w:val="bottom"/>
            <w:gridSpan w:val="2"/>
          </w:tcPr>
          <w:p>
            <w:pPr>
              <w:ind w:left="480"/>
              <w:spacing w:after="0"/>
              <w:rPr>
                <w:sz w:val="20"/>
                <w:szCs w:val="20"/>
                <w:color w:val="auto"/>
              </w:rPr>
            </w:pPr>
            <w:r>
              <w:rPr>
                <w:rFonts w:ascii="Arial" w:cs="Arial" w:eastAsia="Arial" w:hAnsi="Arial"/>
                <w:sz w:val="18"/>
                <w:szCs w:val="18"/>
                <w:color w:val="auto"/>
              </w:rPr>
              <w:t>CVEO</w:t>
            </w:r>
          </w:p>
        </w:tc>
        <w:tc>
          <w:tcPr>
            <w:tcW w:w="1900" w:type="dxa"/>
            <w:vAlign w:val="bottom"/>
          </w:tcPr>
          <w:p>
            <w:pPr>
              <w:spacing w:after="0"/>
              <w:rPr>
                <w:sz w:val="24"/>
                <w:szCs w:val="24"/>
                <w:color w:val="auto"/>
              </w:rPr>
            </w:pPr>
          </w:p>
        </w:tc>
      </w:tr>
    </w:tbl>
    <w:p>
      <w:pPr>
        <w:spacing w:after="0" w:line="179" w:lineRule="exact"/>
        <w:rPr>
          <w:sz w:val="20"/>
          <w:szCs w:val="20"/>
          <w:color w:val="auto"/>
        </w:rPr>
      </w:pPr>
    </w:p>
    <w:p>
      <w:pPr>
        <w:ind w:left="420" w:hanging="223"/>
        <w:spacing w:after="0"/>
        <w:tabs>
          <w:tab w:leader="none" w:pos="42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Based on 108,089,347 common shares outstanding as of January 26, 2017.</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90" w:lineRule="exact"/>
        <w:rPr>
          <w:rFonts w:ascii="Arial" w:cs="Arial" w:eastAsia="Arial" w:hAnsi="Arial"/>
          <w:sz w:val="22"/>
          <w:szCs w:val="22"/>
          <w:color w:val="auto"/>
          <w:vertAlign w:val="superscript"/>
        </w:rPr>
      </w:pPr>
    </w:p>
    <w:p>
      <w:pPr>
        <w:ind w:left="5600"/>
        <w:spacing w:after="0"/>
        <w:rPr>
          <w:rFonts w:ascii="Arial" w:cs="Arial" w:eastAsia="Arial" w:hAnsi="Arial"/>
          <w:sz w:val="22"/>
          <w:szCs w:val="22"/>
          <w:color w:val="auto"/>
          <w:vertAlign w:val="superscript"/>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is subject to uncertainties and risks. Before making a decision whether to invest in our common shares, you should consider carefully the risks described in this prospectus supplement and the accompanying base prospectus and under “Risk Factors” and elsewhere in our Annual Report on Form 10-K for the year ended December 31, 2015, as they may be amended, supplemented or superseded from time to time by other reports that we subsequently file with the SEC and in our other filings with the SEC, which are incorporated by reference in this prospectus supplement and the accompanying base prospectus. The risks described are not the only ones we face. Additional risks not presently known to us or that we currently deem immaterial individually or in the aggregate as well as the additional risks and uncertainties described elsewhere in this prospectus supplement or in the documents incorporated by reference in this prospectus supplement may also adversely affect our business, operating results, financial condition and prospects, as well as the value of an investment in our common shares.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of the risks actually were to occur, our business, financial condition, results of operations or cash flow could be affected materially and adversely. In that case, you could lose all or part of your investment in our common shares. Please also read “Forward-Looking Information” beginning on page S-iii of this prospectus supplement.</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Future sales, or the perception of future sales, by us in the public market following this offering could cause the market price for our common shares to decline.</w:t>
      </w:r>
    </w:p>
    <w:p>
      <w:pPr>
        <w:spacing w:after="0" w:line="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After this offering, the sale of a substantial number of common shares in the public market by us, or the perception that such sales could occur, could harm the prevailing market price of our common shares. These sales, or the possibility that these sales may occur, also might make it more difficult for us to sell common shares in the future at a time and at a price that we deem appropriate. We may also issue common shares in connection with investments, acquisitions or debt exchange transactions. The amount of common shares issued in connection with any such transaction could constitute a material portion of our then-outstanding common shares and may result in additional dilution.</w:t>
      </w:r>
    </w:p>
    <w:p>
      <w:pPr>
        <w:spacing w:after="0" w:line="137"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The price of our common shares in this offering may not be indicative of the market price of our common shares after this offering and is likely to fluctuate in the future as a result of a number of factors.</w:t>
      </w:r>
    </w:p>
    <w:p>
      <w:pPr>
        <w:spacing w:after="0" w:line="4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market price of our common shares has historically experienced and may continue to experience volatility. For example, during 2015, the market price of our common shares ranged between a low of $1.17 per share to a high of $4.95 per share, and the market price of our common shares has ranged between a low of $0.75 per share and a high of $2.81 in 2016. From January 1, 2017 to January 31, 2017, the market price of our common shares has ranged between a low of $2.21 per share and a high of $3.70 per share. Such fluctuations may continue because of numerous factors, including:</w:t>
      </w:r>
    </w:p>
    <w:p>
      <w:pPr>
        <w:spacing w:after="0" w:line="32"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activity, spending and development in the Canadian oil sands;</w:t>
      </w:r>
    </w:p>
    <w:p>
      <w:pPr>
        <w:spacing w:after="0" w:line="90" w:lineRule="exact"/>
        <w:rPr>
          <w:rFonts w:ascii="Arial" w:cs="Arial" w:eastAsia="Arial" w:hAnsi="Arial"/>
          <w:sz w:val="18"/>
          <w:szCs w:val="18"/>
          <w:color w:val="auto"/>
        </w:rPr>
      </w:pPr>
    </w:p>
    <w:p>
      <w:pPr>
        <w:ind w:left="660" w:right="240" w:hanging="206"/>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of our customers may not reach positive final investment decisions on, or may otherwise not complete, projects with respect to which we have been awarded contracts to provide related accommodation, which may cause those customers to terminate the contracts;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90" w:lineRule="exact"/>
        <w:rPr>
          <w:rFonts w:ascii="Arial" w:cs="Arial" w:eastAsia="Arial" w:hAnsi="Arial"/>
          <w:sz w:val="18"/>
          <w:szCs w:val="18"/>
          <w:color w:val="auto"/>
        </w:rPr>
      </w:pPr>
    </w:p>
    <w:p>
      <w:pPr>
        <w:ind w:left="660" w:right="52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90" w:lineRule="exact"/>
        <w:rPr>
          <w:rFonts w:ascii="Arial" w:cs="Arial" w:eastAsia="Arial" w:hAnsi="Arial"/>
          <w:sz w:val="18"/>
          <w:szCs w:val="18"/>
          <w:color w:val="auto"/>
        </w:rPr>
      </w:pPr>
    </w:p>
    <w:p>
      <w:pPr>
        <w:ind w:left="660" w:right="58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 of capital;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financial position, cash flows, results of operations and share price could be materially adversely affected if commodity prices do not improve or if they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may be future dilution of our common shares, which could adversely affect the market price of our common shares.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not restricted from issuing additional common shares up to the number of shares authorized in our notice of articles and articles, including securities that are convertible into, or exchangeable for, or that represent the right to receive, our common shares, except as described in this prospectus under “Underwriting (Conflicts of Interest),” as limited by the rules of the NYSE and so long as such issuance does not otherwise constitute a change in control under the terms of our credit facilities. In the future, we may issue our common shares to raise capital or acquire interests in other companies or property by using a combination of cash and our common shares or only our common shares. Any of these events may dilute your ownership interest in us, reduce our earnings per share and have an adverse effect on the price of our common shares. In addition, sales of a substantial amount of our common shares in the public market, or the perception that these sales may occur, could reduce the market price of our common shares.</w:t>
      </w:r>
    </w:p>
    <w:p>
      <w:pPr>
        <w:spacing w:after="0" w:line="11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RBC Capital Markets may waive or release the lock-up restrictions entered into in connection with this offering, which could adversely affect the price of our common shares.</w:t>
      </w:r>
    </w:p>
    <w:p>
      <w:pPr>
        <w:spacing w:after="0" w:line="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this offering, we and each of our directors and executive officers have agreed to certain lock-up restrictions with respect to the sale and resale of shares of our common shares for a period of 60 days after the date of this prospectus supplement. RBC Capital Markets, at any time and without notice, may release all or any portion of the common shares subject to the foregoing lock-up restrictions. If such restrictions are waived, then common shares will be available for sale into the public markets, which could cause the market price of our common shares to decline and impair our ability to raise capital.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USE OF PROCEEDS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expect the net proceeds from this offering to be approximately $ million, or $ million if the underwriter exercises its option to purchase additional common shares in full, in each case after deducting the underwriting discount and estimated offering expenses payable by us. We intend to use the net proceeds from this offering to repay amounts outstanding under our revolving credit facilities and for general corporate purposes. Amounts repaid under our revolving credit facilities may be reborrowed from time to time to fund our ongoing capital expenditure program and acquisitions and for other general corporate purposes.</w:t>
      </w:r>
    </w:p>
    <w:p>
      <w:pPr>
        <w:spacing w:after="0" w:line="6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As of January 26, 2017, borrowings and letters of credit outstanding under our revolving credit facilities and the respective applicable weighted average interest rates were as follows (in millions, except for weighted average interest rate) (all dollar amounts are shown in U.S. dollars):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8"/>
              </w:rPr>
              <w:t>Outstanding</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5"/>
              </w:rPr>
              <w:t>Weighted Average</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Borrowings</w:t>
            </w:r>
          </w:p>
        </w:tc>
        <w:tc>
          <w:tcPr>
            <w:tcW w:w="500" w:type="dxa"/>
            <w:vAlign w:val="bottom"/>
          </w:tcPr>
          <w:p>
            <w:pPr>
              <w:spacing w:after="0"/>
              <w:rPr>
                <w:sz w:val="19"/>
                <w:szCs w:val="19"/>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Letters of Credit</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$50 million U.S. revolving credit facility</w:t>
            </w:r>
          </w:p>
        </w:tc>
        <w:tc>
          <w:tcPr>
            <w:tcW w:w="1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44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5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$100 million Canadian revolving credit facility (Tranche A)</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$100 million Canadian revolving credit facility (Tranche B)</w:t>
            </w: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$100 million Australian revolving credit facility</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revolving credit facilities mature on May 28, 2019, and existing borrowings under our revolving credit facilities were incurred to fund our ongoing capital expenditure program and for working capital purposes.</w:t>
      </w:r>
    </w:p>
    <w:p>
      <w:pPr>
        <w:spacing w:after="0" w:line="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Affiliates of the underwriter are lenders under our revolving credit facilities and, as a result, will receive a portion of the net proceeds of this offering. See “Underwriting (Conflicts of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September 30, 2016:</w:t>
      </w:r>
    </w:p>
    <w:p>
      <w:pPr>
        <w:spacing w:after="0" w:line="90"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90"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adjusted to reflect the sale of common shares in this offering and the application of the net proceeds (before expenses) therefrom to repay amounts outstanding under our revolving credit facilities.</w:t>
      </w:r>
    </w:p>
    <w:p>
      <w:pPr>
        <w:spacing w:after="0" w:line="5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You should read this table in conjunction with our historical financial statements and notes that are incorporated by reference into this prospectus supplement and the accompanying base prospectus for additional information about our capital structure.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89"/>
              </w:rPr>
              <w:t>As of September 30,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12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Historical</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As 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4"/>
          </w:tcPr>
          <w:p>
            <w:pPr>
              <w:jc w:val="right"/>
              <w:ind w:right="672"/>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term loan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Canadian term loan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304.7</w:t>
            </w:r>
          </w:p>
        </w:tc>
        <w:tc>
          <w:tcPr>
            <w:tcW w:w="34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 million U.S. revolving credit facility(1)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$100 million Canadian revolving credit facility (Tranche A)(2)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 million Canadian revolving credit facility (Tranche B)(3)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$100 million Australian revolving credit facility(4)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3"/>
              </w:rPr>
              <w:t>Common shares (without par value; 550,000,000 shares authorized, 108,167,067 shares issued and 108,098,786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shares outstanding at September 30, 2016)</w:t>
            </w:r>
          </w:p>
        </w:tc>
        <w:tc>
          <w:tcPr>
            <w:tcW w:w="16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(456.8)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held in treasury at cost (68,281 shares at September 30, 2016)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(339.8)</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Civeo Corporation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1280"/>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888.6</w:t>
            </w:r>
          </w:p>
        </w:tc>
        <w:tc>
          <w:tcPr>
            <w:tcW w:w="340" w:type="dxa"/>
            <w:vAlign w:val="bottom"/>
          </w:tcPr>
          <w:p>
            <w:pPr>
              <w:spacing w:after="0"/>
              <w:rPr>
                <w:sz w:val="19"/>
                <w:szCs w:val="19"/>
                <w:color w:val="auto"/>
              </w:rPr>
            </w:pPr>
          </w:p>
        </w:tc>
        <w:tc>
          <w:tcPr>
            <w:tcW w:w="128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5951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88" w:lineRule="exact"/>
        <w:rPr>
          <w:sz w:val="20"/>
          <w:szCs w:val="20"/>
          <w:color w:val="auto"/>
        </w:rPr>
      </w:pPr>
    </w:p>
    <w:p>
      <w:pPr>
        <w:ind w:left="460" w:right="14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26, 2017, there were $0.6 million in borrowings and $0.5 million in letters of credit outstanding under our $50 million U.S. revolving credit facility.</w:t>
      </w:r>
    </w:p>
    <w:p>
      <w:pPr>
        <w:ind w:left="460" w:right="14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January 26, 2017, there were $0.0 million in borrowings and $0.6 million in letters of credit outstanding under our $100 million Canadian revolving credit facility (Tranche 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26, 2017, there were $20.6 million in borrowings and $0.0 million in letters of credit outstanding under our $100 million Canadian revolving credit facility (Tranche B).</w:t>
      </w:r>
    </w:p>
    <w:p>
      <w:pPr>
        <w:ind w:left="460" w:right="2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26, 2017, there were $6.8 million in borrowings and $0.6 million in letters of credit outstanding under our $100 million Australian revolving credit facility.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PRICE RANGE OF COMMON SHARES</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common shares trade on the New York Stock Exchange under the symbol “CVEO.” A “when-issued” trading market for our common shares on the New York Stock Exchange began on May 19, 2014 and “regular-way” trading began on June 2, 2014. Prior to May 19, 2014, there was no public market for our common shares. On January 26, 2017, we had 108,089,347 common shares outstanding, held of record by approximately 17 record holders.</w:t>
      </w:r>
    </w:p>
    <w:p>
      <w:pPr>
        <w:spacing w:after="0" w:line="2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closing price of our common shares on January 31, 2017 as reported on the New York Stock Exchange was $3.54 per share. The following table shows the high and low sales prices per share of our common shares on the New York Stock Exchange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4"/>
              </w:rPr>
              <w:t>Dividend Declared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gridSpan w:val="3"/>
          </w:tcPr>
          <w:p>
            <w:pPr>
              <w:ind w:left="6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9"/>
                <w:szCs w:val="19"/>
                <w:color w:val="auto"/>
              </w:rPr>
            </w:pP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per Share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2017</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First Quarter (through January 31, 2017)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Fiscal Year 2015</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2014</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13.33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3.88</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28.19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11.60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Second Quarter (from June 2, 2014)</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28.40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22.46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paid quarterly dividends in the amount of $0.13 per share during the third and fourth quarters of 2014. 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our credit facility.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MATERIAL U.S. FEDERAL INCOME TAX CONSIDERATIONS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following discussion summarizes the material U.S. federal income tax consequences of holding and disposing of our common shares. This discussion does not address any aspects of U.S. federal tax law other than U.S. federal income taxation, is not a complete analysis or listing of all potential tax consequences of holding and disposing of our common shares, and does not address all tax considerations that may be relevant to the particular circumstances of a holder of our common shares. In particular, the discussion below addresses only the U.S. federal income tax consequences to holders who hold our common shares solely as “capital assets” within the meaning of Section 1221 of the Internal Revenue Code of 1986, as amended, or the “Code”, and it does not discuss any tax consequences that might apply under state, local or foreign tax law. In addition, the discussion below does not address all tax consequences that may be relevant to holders who are subject to special rules under U.S. federal income tax laws, such as:</w:t>
      </w:r>
    </w:p>
    <w:p>
      <w:pPr>
        <w:spacing w:after="0" w:line="37"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9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“PFICs,” and corporations that accumulate earnings to avoid U.S. federal income tax;</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to sell our common shares under the constructive sale provisions of the Code;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personal holding companies;</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shares through a financial account at a foreign financial institution that does not meet the requirements for avoiding withholding with respect to certain payments under Section 1471 of the Code;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hold our common shares as part of a straddle, hedge, wash sale, integrated transaction or conversion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persons who have been, but are no longer, citizens or residents of the United States;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our common shares through a partnership or other fiscally transparent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persons whose “functional currency” is not the U.S. dollar;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persons who hold or received our common shares through the exercise of any employee stock option or otherwise as compensation;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who own (directly or through attribution) 10% or more of our voting shares.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discussion is based on the Code, existing and proposed Treasury regulations promulgated thereunder, or the “Treasury Regulations”, judicial and administrative interpretations thereof and the Convention between the United States of America and Canada with Respect to Taxes on Income and on Capital, or the “U.S.-Canada Tax Treaty”, in each case as of the date hereof. Each of the foregoing is subject to change, which change could apply with retroactive effect and could affect the accuracy of the statements and conclusions set forth in this discussion. No ruling has been or will be sought from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Internal Revenue Service, or IRS, as to the U.S. federal tax consequences described below. There can be no assurance that the IRS will not challenge any of the U.S. federal tax consequences described below.</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determination of the actual tax consequences of holding and disposing of our common shares to a holder will depend on the holder’s specific situation. Holders should consult their own tax advisors as to the tax consequences of holding and disposing of our common shares in their particular circumstances, including the applicability and effect of the alternative minimum tax and any state, local, foreign or other tax laws and of changes in those laws.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beneficial owner of our common shares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citizen or resident alien of the United States;</w:t>
      </w:r>
    </w:p>
    <w:p>
      <w:pPr>
        <w:spacing w:after="0" w:line="90"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or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660" w:right="34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such trust has validly elected to be treated as a U.S. person for U.S. federal income tax purposes or if (1) a U.S. court can exercise primary supervision over the trust’s administration and (2) one or more U.S. persons have the authority to control all substantial decisions of the trust.</w:t>
      </w:r>
    </w:p>
    <w:p>
      <w:pPr>
        <w:ind w:right="180" w:firstLine="456"/>
        <w:spacing w:after="0" w:line="259" w:lineRule="auto"/>
        <w:rPr>
          <w:sz w:val="20"/>
          <w:szCs w:val="20"/>
          <w:color w:val="auto"/>
        </w:rPr>
      </w:pPr>
      <w:r>
        <w:rPr>
          <w:rFonts w:ascii="Arial" w:cs="Arial" w:eastAsia="Arial" w:hAnsi="Arial"/>
          <w:sz w:val="18"/>
          <w:szCs w:val="18"/>
          <w:color w:val="auto"/>
        </w:rPr>
        <w:t>A “non-U.S. holder” is a beneficial owner of our common shares (other than a partnership or entity or other arrangement treated as a partnership for U.S. federal income tax purposes) that, for U.S. federal income tax purposes, is not a U.S. holder. For purposes of this discussion, “holder” or “stockholder” means either a U.S. holder or a non-U.S. holder or both, as the context may require.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partnership (including an entity or other arrangement treated as a partnership for U.S. federal income tax purposes) is a beneficial owner of our common shares, the tax treatment of a partner in such partnership will generally depend on the status of the partner and the activities of the partnership. Holders of our common shares that are partnerships and partners in such partnerships should consult their tax advisors regarding the U.S. federal income tax consequences to them of the ownership and disposition of our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Distributions on our Common Shares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discussion below under “— Passive Foreign Investment Company Provisions”, U.S. holders will be required to include in gross income the gross amount of any distribution received on our common shares to the extent that the distribution is paid out of our current or accumulated earnings and profits, as determined under U.S. federal income tax principles. We refer to such a distribution herein as a dividend. U.S. corporate holders will not be eligible for a dividends-received deduction with respect to such dividends.</w:t>
      </w:r>
    </w:p>
    <w:p>
      <w:pPr>
        <w:spacing w:after="0" w:line="62"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Subject to certain limitations, including minimum holding period requirements, and provided that (i) the common shares are listed on the New York Stock Exchange (or certain other stock exchanges) or we qualify for benefits under the U.S.-Canada Tax Treaty and (ii) we are not a PFIC in the taxable year in which a dividend is paid or in the preceding taxable year, dividends paid to non-corporate U.S. holders may be “qualified dividend income” taxable at preferential rates.</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As discussed below in “— Passive Foreign Investment Company Provisions”, we do not believe that we will be a PFIC for our current taxable year or for the preceding taxable year, although no assurances can be provided that the IRS will not reach a contrary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conclusion. U.S. holders should consult their own tax advisors regarding the availability of this preferential tax rate under their particular circumstances.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Generally, dividends on our common shares will constitute non-U.S. source “passive category” income or in certain cases “general category” income for U.S. foreign tax credit purposes, which may be relevant to U.S. holders in calculating their foreign tax credit limitations.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Distributions in excess of our current and accumulated earnings and profits will be applied first to reduce the U.S. holder’s tax basis in its common shares, and thereafter will be treated as gain from the sale or exchange of such common shares. However, because we do not maintain calculations of our earnings and profits under U.S. federal income tax principles, it is expected that distributions will generally be reported to U.S. holders as dividends.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Dispositions of our Common Shares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the discussion below under “— Passive Foreign Investment Company Provisions”, a U.S. holder of common shares generally will recognize U.S. source capital gain or loss for U.S. federal income tax purposes on the sale, exchange or other taxable disposition of our common shares in an amount equal to the difference between the U.S. dollar value of the amount realized from such sale, exchange or other taxable disposition and the U.S. holder’s adjusted tax basis in such common shares. Non-corporate U.S. holders, including individuals, who have held such common shares for more than one year generally will be eligible for reduced tax rates on long-term capital gains. The deductibility of capital losses is subject to limitations. U.S. holders should consult their own tax advisors regarding how to account for sale or other disposition proceeds that are paid in a currency other than the U.S. dollar. Special rules not described herein may apply to U.S. holders who do not have a uniform tax basis and holding period in all of their common shares, and any such U.S. holders are urged to consult their own tax advisors with regard to such rules.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Medicare Tax</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Certain U.S. holders that are individuals, estates or certain trusts will be subject to a 3.8% tax (the “Medicare Tax”) on the lesser of (a) the U.S. holder’s “net investment income” for the relevant taxable year and (b) the excess of the U.S. holder’s modified adjusted gross income for the taxable year over a certain threshold. A U.S. holder’s net investment income will generally include dividends received on the common shares and net gains from the disposition of the common shares. A U.S. holder that is an individual, estate or trust should consult the holder’s tax advisor regarding the applicability of the Medicare Tax to the holder’s dividend income and gains in respect of the holder’s investment in the common shares.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Passive Foreign Investment Company Provisions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U.S. federal income tax consequences to U.S. holders of holding and disposing of our common shares in some cases could be materially different from that described above if, at any relevant time, we were classified as a PFIC.</w:t>
      </w:r>
    </w:p>
    <w:p>
      <w:pPr>
        <w:spacing w:after="0" w:line="5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U.S. federal income tax purposes, a foreign corporation is classified as a PFIC for any taxable year if either (A) 75% or more of its gross income is “passive income” or (B) the average percentage (by value) of assets held by such corporation which produce passive income or which are held for the production of passive income (“passive assets”) is 50% or more. In this regard, passive income generally includes dividends, interest, rents, royalties and gains from the sale or other disposition of passive assets, but an exception is available for rents and royalties derived in the active conduct of a leasing or licensing business (“active business exception”). For purposes of the PFIC determination, a foreign corporation is deemed to own its proportionate share of the assets, and to receive directly its proportionate share of the income, of</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any other corporation of which the foreign corporation owns, directly or indirectly, at least 25% by value of the stock.</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we were not a PFIC for our most recently completed taxable year and, on the basis of our anticipated income, assets and operations, and assuming our qualification for the active business exception, we do not expect to be classified as a PFIC in the foreseeable future. Nevertheless, the tests for determining PFIC status are complex and fact dependent. In addition, there is difficulty in accurately predicting future income and assets relevant to the PFIC determination, and business plans are subject to change. Accordingly, we cannot assure U.S. holders that we will not become a PFIC or that the IRS will not take a contrary position. If we should determine in the future that we are a PFIC, we will endeavor to so notify U.S. holders of our common shares, although there can be no assurance that we will be able to do so in a timely and complete manner.</w:t>
      </w:r>
    </w:p>
    <w:p>
      <w:pPr>
        <w:spacing w:after="0" w:line="3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Absent certain elections, if we were a PFIC for any taxable year during which a U.S. holder owned our common shares, the U.S. holder would be subject to special tax rules with respect to any “excess distribution” received and any gain realized from a sale or other disposition (including a pledge) of our common shares. Distributions received by a U.S. holder in a taxable year that are greater than 125% of the average annual distributions received by such holder during the shorter of the three preceding taxable years or such holder’s holding period for our common shares will be treated as an excess distribution. Under these special tax rules, if a U.S. holder receives any excess distribution or realizes any gain from a sale or other disposition of our common shares:</w:t>
      </w:r>
    </w:p>
    <w:p>
      <w:pPr>
        <w:spacing w:after="0" w:line="35"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common shares,</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which we are a PFIC, will be treated as ordinary income, and</w:t>
      </w:r>
    </w:p>
    <w:p>
      <w:pPr>
        <w:spacing w:after="0" w:line="50" w:lineRule="exact"/>
        <w:rPr>
          <w:rFonts w:ascii="Arial" w:cs="Arial" w:eastAsia="Arial" w:hAnsi="Arial"/>
          <w:sz w:val="18"/>
          <w:szCs w:val="18"/>
          <w:color w:val="auto"/>
        </w:rPr>
      </w:pPr>
    </w:p>
    <w:p>
      <w:pPr>
        <w:ind w:left="660" w:right="180" w:hanging="206"/>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allocated to each other year will be subject to the highest tax rate for the class of taxpayer (individual or corporation) in effect for that year and the interest charge generally applicable to underpayments of tax will be imposed on the resulting tax attributable to each such year.</w:t>
      </w:r>
    </w:p>
    <w:p>
      <w:pPr>
        <w:spacing w:after="0" w:line="4"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As an alternative to the foregoing rules, certain elections may be available to U.S. holders of our common shares if we were treated as a PFIC for any taxable year. U.S. holders of such common shares should consult their own tax advisors about the PFIC rules, including the availability of certain elections.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non-U.S. holder generally will not be subject to U.S. federal income or withholding tax on dividends paid with respect to our common shares unless the dividends are effectively connected with the non-U.S. holder’s conduct of a trade or business in the U.S. (and, if an income tax treaty applies, the dividends are attributable to a permanent establishment or fixed place of business maintained by the non-U.S. holder in the U.S.). Except to the extent otherwise provided under an applicable income tax treaty, a non-U.S. holder generally will be taxed in the same manner as a U.S. holder on dividends that are effectively connected with the non-U.S. holder’s conduct of a U.S. trade or business. Effectively connected dividends received by a corporate non-U.S. holder may also be subject to an additional U.S. branch profits tax at a 30% rate (or, if applicable, a lower treaty rate).</w:t>
      </w:r>
    </w:p>
    <w:p>
      <w:pPr>
        <w:spacing w:after="0" w:line="39"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addition, a non-U.S. holder generally will not be subject to U.S. federal income or withholding tax on any gain recognized on the sale, exchange or other disposition of our shares unless: (1) such gain is effectively connected with the conduct by the non-U.S. holder of a trade or business within the U.S. (and, if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income tax treaty applies, is attributable to a permanent establishment or fixed place of business maintained by the non-U.S. holder in the U.S.); or (2) in the case of certain capital gains recognized by a non-U.S. holder that is an individual, such individual is present in the U.S. for 183 days or more during the taxable year in which the capital gain is recognized and certain other conditions are met. Except to the extent otherwise provided under an applicable income tax treaty, a non-U.S. holder generally will be taxed in the same manner as a U.S. holder on gains recognized that are effectively connected with the non-U.S. holder’s conduct of a U.S. trade or business. Effectively connected gains recognized by a corporate non-U.S. holder may also be subject to an additional U.S. branch profits tax at a 30% rate (or, if applicable, a lower treaty rate).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general, payments to a U.S. holder of distributions or the proceeds of a disposition of our common shares will be subject to information reporting. These payments to a U.S. holder also may be subject to backup withholding if the U.S. holder:</w:t>
      </w:r>
    </w:p>
    <w:p>
      <w:pPr>
        <w:spacing w:after="0" w:line="5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provide an accurate taxpayer identification number;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is notified by the IRS that it has failed to report all interest or corporate distributions required to be reported on its U.S. federal income tax returns;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certain circumstances, fails to comply with applicable certification requirements.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Non-U.S. holders may be required to establish their exemption from information reporting and backup withholding by certifying their status on IRS Form W-8BEN, W-8BEN-E, W8-ECI or W-8IMY, as applicable.</w:t>
      </w:r>
    </w:p>
    <w:p>
      <w:pPr>
        <w:spacing w:after="0" w:line="5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Backup withholding is not an additional tax. Rather, a holder generally may obtain a credit for any amount withheld against its liability for U.S. federal income tax, if any, (and obtain a refund of any amounts withheld in excess of such liability) by timely filing a U.S. federal income tax return with the IRS.</w:t>
      </w:r>
    </w:p>
    <w:p>
      <w:pPr>
        <w:spacing w:after="0" w:line="4" w:lineRule="exact"/>
        <w:rPr>
          <w:sz w:val="20"/>
          <w:szCs w:val="20"/>
          <w:color w:val="auto"/>
        </w:rPr>
      </w:pPr>
    </w:p>
    <w:p>
      <w:pPr>
        <w:ind w:right="720" w:firstLine="456"/>
        <w:spacing w:after="0" w:line="391" w:lineRule="auto"/>
        <w:rPr>
          <w:sz w:val="20"/>
          <w:szCs w:val="20"/>
          <w:color w:val="auto"/>
        </w:rPr>
      </w:pPr>
      <w:r>
        <w:rPr>
          <w:rFonts w:ascii="Arial" w:cs="Arial" w:eastAsia="Arial" w:hAnsi="Arial"/>
          <w:sz w:val="18"/>
          <w:szCs w:val="18"/>
          <w:color w:val="auto"/>
        </w:rPr>
        <w:t xml:space="preserve">Holders should consult their tax advisors regarding the application of information reporting and backup withholding to their particular situations. </w:t>
      </w:r>
      <w:r>
        <w:rPr>
          <w:rFonts w:ascii="Arial" w:cs="Arial" w:eastAsia="Arial" w:hAnsi="Arial"/>
          <w:sz w:val="18"/>
          <w:szCs w:val="18"/>
          <w:b w:val="1"/>
          <w:bCs w:val="1"/>
          <w:color w:val="auto"/>
        </w:rPr>
        <w:t>Foreign Financial Asset Reporting</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U.S. holders, including individuals and certain closely held entities, that hold interests in “specified foreign financial assets”, as defined in the Treasury Regulations, which may include our common shares, may be required to disclose certain information relating to such assets to the IRS, subject to certain exceptions (including an exception for shares held in accounts maintained by certain financial institutions). U.S. holders should consult their tax advisors regarding the effect, if any, of these rules on their ownership and disposition of our common shares. Penalties may apply to the failure to properly disclose such information.</w:t>
      </w:r>
    </w:p>
    <w:p>
      <w:pPr>
        <w:spacing w:after="0" w:line="62"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foregoing discussion is for general information only and not intended to be legal or tax advice. Tax consequences to any particular holder will depend on that holder’s particular situation. Holders are encouraged to consult their own tax advisors to determine the specific tax consequences of owning and disposing of our common shares, including the applicability of U.S. federal, state, local and foreign tax laws, and the effect of any proposed change in the tax laws to them.</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MATERIAL CANADIAN FEDERAL INCOME TAX CONSIDERATIONS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following discussion summarizes, as of the date hereof, the material Canadian federal income tax considerations generally applicable under the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Act </w:t>
      </w:r>
      <w:r>
        <w:rPr>
          <w:rFonts w:ascii="Arial" w:cs="Arial" w:eastAsia="Arial" w:hAnsi="Arial"/>
          <w:sz w:val="16"/>
          <w:szCs w:val="16"/>
          <w:color w:val="auto"/>
        </w:rPr>
        <w:t>(Canada) and the regulations thereunder (the “</w:t>
      </w:r>
      <w:r>
        <w:rPr>
          <w:rFonts w:ascii="Arial" w:cs="Arial" w:eastAsia="Arial" w:hAnsi="Arial"/>
          <w:sz w:val="16"/>
          <w:szCs w:val="16"/>
          <w:b w:val="1"/>
          <w:bCs w:val="1"/>
          <w:color w:val="auto"/>
        </w:rPr>
        <w:t>Canadian Tax Act</w:t>
      </w:r>
      <w:r>
        <w:rPr>
          <w:rFonts w:ascii="Arial" w:cs="Arial" w:eastAsia="Arial" w:hAnsi="Arial"/>
          <w:sz w:val="16"/>
          <w:szCs w:val="16"/>
          <w:color w:val="auto"/>
        </w:rPr>
        <w:t>”) to a purchaser who acquires our common shares pursuant to this offering and who at</w:t>
      </w:r>
      <w:r>
        <w:rPr>
          <w:rFonts w:ascii="Arial" w:cs="Arial" w:eastAsia="Arial" w:hAnsi="Arial"/>
          <w:sz w:val="16"/>
          <w:szCs w:val="16"/>
          <w:i w:val="1"/>
          <w:iCs w:val="1"/>
          <w:color w:val="auto"/>
        </w:rPr>
        <w:t xml:space="preserve"> </w:t>
      </w:r>
      <w:r>
        <w:rPr>
          <w:rFonts w:ascii="Arial" w:cs="Arial" w:eastAsia="Arial" w:hAnsi="Arial"/>
          <w:sz w:val="16"/>
          <w:szCs w:val="16"/>
          <w:color w:val="auto"/>
        </w:rPr>
        <w:t>all relevant times, for purposes of the Canadian Tax Act, holds the common shares issued pursuant to this offering as capital property and deals at arm’s length with and is not affiliated with us (a “</w:t>
      </w:r>
      <w:r>
        <w:rPr>
          <w:rFonts w:ascii="Arial" w:cs="Arial" w:eastAsia="Arial" w:hAnsi="Arial"/>
          <w:sz w:val="16"/>
          <w:szCs w:val="16"/>
          <w:b w:val="1"/>
          <w:bCs w:val="1"/>
          <w:color w:val="auto"/>
        </w:rPr>
        <w:t>Holder</w:t>
      </w:r>
      <w:r>
        <w:rPr>
          <w:rFonts w:ascii="Arial" w:cs="Arial" w:eastAsia="Arial" w:hAnsi="Arial"/>
          <w:sz w:val="16"/>
          <w:szCs w:val="16"/>
          <w:color w:val="auto"/>
        </w:rPr>
        <w:t>”). Generally, the common shares will be capital property to a Holder provided the Holder does not acquire or hold the common shares in the course of carrying on a business or as part of an adventure or concern in the nature of trade.</w:t>
      </w:r>
    </w:p>
    <w:p>
      <w:pPr>
        <w:spacing w:after="0" w:line="3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summary is based on the current provisions of the Canadian Tax Act in force as of the date hereof, and our understanding of the current administrative policies and assessing practices of the Canada Revenue Agency published in writing prior to the date hereof. This summary takes into account all specific proposals to amend the Canadian Tax Act publicly announced by or on behalf of the Minister of Finance (Canada) prior to the date hereof (the “</w:t>
      </w:r>
      <w:r>
        <w:rPr>
          <w:rFonts w:ascii="Arial" w:cs="Arial" w:eastAsia="Arial" w:hAnsi="Arial"/>
          <w:sz w:val="16"/>
          <w:szCs w:val="16"/>
          <w:b w:val="1"/>
          <w:bCs w:val="1"/>
          <w:color w:val="auto"/>
        </w:rPr>
        <w:t>Proposed</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Amendments</w:t>
      </w:r>
      <w:r>
        <w:rPr>
          <w:rFonts w:ascii="Arial" w:cs="Arial" w:eastAsia="Arial" w:hAnsi="Arial"/>
          <w:sz w:val="16"/>
          <w:szCs w:val="16"/>
          <w:color w:val="auto"/>
        </w:rPr>
        <w:t>”) and assumes that all Proposed Amendments will be enacted in the form proposed. However, no assurances can be given that the Proposed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will be enacted as proposed, or at all. This summary does not otherwise take into account or anticipate any changes in law or administrative policy or assessing practice whether by legislative, administrative or judicial action nor does it take into account tax legislation or considerations of any province, territory or foreign jurisdiction, which may differ from those discussed herein.</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summary is not applicable to a Holder: (i) an interest in which is a “tax shelter investment” (as defined in the Canadian Tax Act); (ii) that is a “financial institution” for purposes of the “mark-to-market property” rules (as defined in the Canadian Tax Act); (iii) that has elected to report its “Canadian tax results” (as defined in the Canadian Tax Act) in a currency other than Canadian currency; or (iv) that enters into a “synthetic disposition arrangement” or a “derivative forward agreement” (each as defined in the Canadian Tax Act) in respect of the common shares. Such Holders should consult their own Canadian tax advisors with respect to an investment in our common shares.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Generally, for purposes of the Canadian Tax Act, all amounts relating to the acquisition, holding, or disposition of our common shares must be converted into Canadian dollars based on exchange rates as determined in accordance with the Canadian Tax Act.</w:t>
      </w:r>
    </w:p>
    <w:p>
      <w:pPr>
        <w:spacing w:after="0" w:line="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summary is of a general nature only and is not, and is not intended to be, legal or tax advice to any particular Holder. This summary is not exhaustive of all Canadian federal income tax considerations applicable to an investment in our common shares issued pursuant to this offering. Accordingly, prospective purchasers of our common shares should consult their own Canadian tax advisors having regard to their own particular circumstances.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Consequences to Holders Resident in Canada</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This portion of the summary is generally applicable to a Holder who at all relevant times, for the purposes of the Canadian Tax Act and any applicable income tax treaty or convention, is, or is deemed to be resident in Canada (a “</w:t>
      </w:r>
      <w:r>
        <w:rPr>
          <w:rFonts w:ascii="Arial" w:cs="Arial" w:eastAsia="Arial" w:hAnsi="Arial"/>
          <w:sz w:val="16"/>
          <w:szCs w:val="16"/>
          <w:b w:val="1"/>
          <w:bCs w:val="1"/>
          <w:color w:val="auto"/>
        </w:rPr>
        <w:t>Resident Holder</w:t>
      </w:r>
      <w:r>
        <w:rPr>
          <w:rFonts w:ascii="Arial" w:cs="Arial" w:eastAsia="Arial" w:hAnsi="Arial"/>
          <w:sz w:val="16"/>
          <w:szCs w:val="16"/>
          <w:color w:val="auto"/>
        </w:rPr>
        <w:t>”). Certain Resident Holders whose common shares do not otherwise qualify as capital property may be entitled to make or may have already made the irrevocable election permitted by subsection 39(4) of the Canadian Tax Act, the effect of which may be to deem our common shares (and every other “Canadian security” as defined in the Canadian Tax Act) owned by such Resident Holders to be capital property in the taxation year in which the election is made and in all subsequent taxation years. Resident Holders should consult their own Canadian tax advisors concerning this election.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 on our Common Shares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Dividends received or deemed to be received on our common shares will be included in computing a Resident Holder’s income. In the case of a Resident Holder who is an individual (other than certain trusts), such dividends will be subject to the gross-up and dividend tax credit rules normally applicable in respect of taxable dividends received from taxable Canadian corporations (as defined in the Canadian Tax Act), including the enhanced gross-up and dividend tax credit applicable to any dividends designated by the Corporation as an eligible dividend in accordance with the provisions of the Canadian Tax Act. A dividend received or deemed to be received by a Resident Holder that is a corporation will generally be deductible in computing the corporation’s taxable income, subject to all relevant restrictions under the Canadian Tax Act.</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Resident Holder that is a private corporation (as defined in the Canadian Tax Act), or any other corporation controlled, whether because of a beneficial interest in one or more trusts or otherwise, by or for the benefit of an individual (other than a trust) or related group of individuals (other than trusts) will generally be liable to pay a refundable tax under Part IV of the Canadian Tax Act on dividends received or deemed to be received on our common shares to the extent such dividends are deductible in computing the Resident Holder’s taxable income for the taxation year.</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Dispositions of our Common Shares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Generally, a Resident Holder who disposes of or is deemed to have disposed of our common shares (other than to us) will realize a capital gain (or capital loss) equal to the amount, if any, by which the proceeds of disposition, net of any reasonable costs of disposition, exceed (or are less than) the adjusted cost base to the Resident Holder of the common share immediately before the disposition or deemed disposition. See “</w:t>
      </w:r>
      <w:r>
        <w:rPr>
          <w:rFonts w:ascii="Arial" w:cs="Arial" w:eastAsia="Arial" w:hAnsi="Arial"/>
          <w:sz w:val="18"/>
          <w:szCs w:val="18"/>
          <w:i w:val="1"/>
          <w:iCs w:val="1"/>
          <w:color w:val="auto"/>
        </w:rPr>
        <w:t>Material Canadian Federal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 — Taxation of Capital Gains and Capital Losses</w:t>
      </w:r>
      <w:r>
        <w:rPr>
          <w:rFonts w:ascii="Arial" w:cs="Arial" w:eastAsia="Arial" w:hAnsi="Arial"/>
          <w:sz w:val="18"/>
          <w:szCs w:val="18"/>
          <w:color w:val="auto"/>
        </w:rPr>
        <w:t>”.</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cost to a Resident Holder of our common shares for purposes of the Canadian Tax Act acquired pursuant to this offering will be the price paid for such common shares. For the purpose of computing the adjusted cost base of such common shares to the Resident Holder, the cost of such common shares will be averaged with the adjusted cost base of all other of our common shares held by the Resident Holder as capital property at that time.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Alternative Minimum Tax</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general terms, a Resident Holder who is an individual (other than certain trusts) that receives or is deemed to have received taxable dividends on our common shares or realizes a capital gain on the disposition or deemed disposition of our common shares may be liable for alternative minimum tax under the Canadian Tax Act. Resident Holders that are individuals should consult their own Canadian tax advisors in this regard.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Capital Gains and Capital Losses</w:t>
      </w:r>
    </w:p>
    <w:p>
      <w:pPr>
        <w:spacing w:after="0" w:line="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Generally, a Resident Holder is required to include in computing its income for a taxation year one-half of the amount of any capital gain (a “</w:t>
      </w:r>
      <w:r>
        <w:rPr>
          <w:rFonts w:ascii="Arial" w:cs="Arial" w:eastAsia="Arial" w:hAnsi="Arial"/>
          <w:sz w:val="18"/>
          <w:szCs w:val="18"/>
          <w:b w:val="1"/>
          <w:bCs w:val="1"/>
          <w:color w:val="auto"/>
        </w:rPr>
        <w:t>taxable</w:t>
      </w:r>
      <w:r>
        <w:rPr>
          <w:rFonts w:ascii="Arial" w:cs="Arial" w:eastAsia="Arial" w:hAnsi="Arial"/>
          <w:sz w:val="18"/>
          <w:szCs w:val="18"/>
          <w:color w:val="auto"/>
        </w:rPr>
        <w:t xml:space="preserve"> </w:t>
      </w:r>
      <w:r>
        <w:rPr>
          <w:rFonts w:ascii="Arial" w:cs="Arial" w:eastAsia="Arial" w:hAnsi="Arial"/>
          <w:sz w:val="18"/>
          <w:szCs w:val="18"/>
          <w:b w:val="1"/>
          <w:bCs w:val="1"/>
          <w:color w:val="auto"/>
        </w:rPr>
        <w:t>capital gain</w:t>
      </w:r>
      <w:r>
        <w:rPr>
          <w:rFonts w:ascii="Arial" w:cs="Arial" w:eastAsia="Arial" w:hAnsi="Arial"/>
          <w:sz w:val="18"/>
          <w:szCs w:val="18"/>
          <w:color w:val="auto"/>
        </w:rPr>
        <w:t>”) realized in the year. Subject to and in accordance with the provisions of the Canadian Tax Act, a Resident Holder is required to deduct one-half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any capital loss (an “</w:t>
      </w:r>
      <w:r>
        <w:rPr>
          <w:rFonts w:ascii="Arial" w:cs="Arial" w:eastAsia="Arial" w:hAnsi="Arial"/>
          <w:sz w:val="18"/>
          <w:szCs w:val="18"/>
          <w:b w:val="1"/>
          <w:bCs w:val="1"/>
          <w:color w:val="auto"/>
        </w:rPr>
        <w:t>allowable capital loss</w:t>
      </w:r>
      <w:r>
        <w:rPr>
          <w:rFonts w:ascii="Arial" w:cs="Arial" w:eastAsia="Arial" w:hAnsi="Arial"/>
          <w:sz w:val="18"/>
          <w:szCs w:val="18"/>
          <w:color w:val="auto"/>
        </w:rPr>
        <w:t>”) realized in a taxation year from taxable capital gains realized by the Resident Holder in the year. Allowable capital losses in excess of taxable capital gains for the year may be carried back and deducted in any of the three preceding taxation years or carried forward and deducted in any subsequent taxation year against net taxable capital gains realized in such years, to the extent and under the circumstances described in the Canadian Tax Act.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 of any capital loss realized on the disposition or deemed disposition of a common share by a Resident Holder that is a corporation may, in certain circumstances, be reduced by the amount of dividends received or deemed to have been received by it on such common shares, to the extent and under the circumstances specified in the Canadian Tax Act. Similar rules may apply where a corporation is a member of a partnership or a beneficiary of a trust that owns common shares, directly or indirectly, through a partnership or trust. Resident Holders to whom these rules may be relevant should consult their own Canadian tax advisors.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Resident Holder that is throughout the relevant taxation year a “Canadian-controlled private corporation” (as defined in the Canadian Tax Act) may be liable to pay a refundable tax on any taxable capital gains.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Eligibility for Investment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Provided that they are listed on a “designated stock exchange” as defined in the Canadian Tax Act (which includes the NYSE) our shares will be qualified investments under the Canadian Tax Act for a trust governed by a “registered retirement savings plan” (“</w:t>
      </w:r>
      <w:r>
        <w:rPr>
          <w:rFonts w:ascii="Arial" w:cs="Arial" w:eastAsia="Arial" w:hAnsi="Arial"/>
          <w:sz w:val="16"/>
          <w:szCs w:val="16"/>
          <w:b w:val="1"/>
          <w:bCs w:val="1"/>
          <w:color w:val="auto"/>
        </w:rPr>
        <w:t>RRSP</w:t>
      </w:r>
      <w:r>
        <w:rPr>
          <w:rFonts w:ascii="Arial" w:cs="Arial" w:eastAsia="Arial" w:hAnsi="Arial"/>
          <w:sz w:val="16"/>
          <w:szCs w:val="16"/>
          <w:color w:val="auto"/>
        </w:rPr>
        <w:t>”), “registered retirement income fund” (“</w:t>
      </w:r>
      <w:r>
        <w:rPr>
          <w:rFonts w:ascii="Arial" w:cs="Arial" w:eastAsia="Arial" w:hAnsi="Arial"/>
          <w:sz w:val="16"/>
          <w:szCs w:val="16"/>
          <w:b w:val="1"/>
          <w:bCs w:val="1"/>
          <w:color w:val="auto"/>
        </w:rPr>
        <w:t>RRIF</w:t>
      </w:r>
      <w:r>
        <w:rPr>
          <w:rFonts w:ascii="Arial" w:cs="Arial" w:eastAsia="Arial" w:hAnsi="Arial"/>
          <w:sz w:val="16"/>
          <w:szCs w:val="16"/>
          <w:color w:val="auto"/>
        </w:rPr>
        <w:t>”), “tax-free savings account” (“</w:t>
      </w:r>
      <w:r>
        <w:rPr>
          <w:rFonts w:ascii="Arial" w:cs="Arial" w:eastAsia="Arial" w:hAnsi="Arial"/>
          <w:sz w:val="16"/>
          <w:szCs w:val="16"/>
          <w:b w:val="1"/>
          <w:bCs w:val="1"/>
          <w:color w:val="auto"/>
        </w:rPr>
        <w:t>TFSA</w:t>
      </w:r>
      <w:r>
        <w:rPr>
          <w:rFonts w:ascii="Arial" w:cs="Arial" w:eastAsia="Arial" w:hAnsi="Arial"/>
          <w:sz w:val="16"/>
          <w:szCs w:val="16"/>
          <w:color w:val="auto"/>
        </w:rPr>
        <w:t>”), “registered education savings plan”, “deferred profit sharing plan” or “registered disability savings plan” (as those terms are defined in the Canadian Tax Act). However, the holder of a TFSA, or the annuitant under a RRSP or RRIF which holds our common shares will be subject to penalty taxes as set out in the Canadian Tax Act if the holder or annuitant, as the case may be, does not deal at arm’s length with us or has a “significant interest” in us, all as defined in and for purposes of the Tax Act. Holders who intend to hold our common shares in their RRSP, RRIF or TFSA should consult their own Canadian tax advisers regarding their particular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Canadian Federal Income Tax Consequences to Holders Not Resident in Canada</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This portion of the summary is generally applicable to a Holder who at all relevant times, for the purposes of the Canadian Tax Act and any relevant income tax treaty or convention: (i) is not, and is not deemed to be, resident in Canada; (ii) does not use or hold, and is not deemed to use or hold, any of our common shares in a business carried on in Canada; and (iii) is not an insurer who carries on an insurance business in Canada and elsewhere or an authorized foreign bank (a “</w:t>
      </w:r>
      <w:r>
        <w:rPr>
          <w:rFonts w:ascii="Arial" w:cs="Arial" w:eastAsia="Arial" w:hAnsi="Arial"/>
          <w:sz w:val="18"/>
          <w:szCs w:val="18"/>
          <w:b w:val="1"/>
          <w:bCs w:val="1"/>
          <w:color w:val="auto"/>
        </w:rPr>
        <w:t>Non-Resident Holder</w:t>
      </w:r>
      <w:r>
        <w:rPr>
          <w:rFonts w:ascii="Arial" w:cs="Arial" w:eastAsia="Arial" w:hAnsi="Arial"/>
          <w:sz w:val="18"/>
          <w:szCs w:val="18"/>
          <w:color w:val="auto"/>
        </w:rPr>
        <w: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Disposition of our Common Shares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 Non-Resident Holder will not be subject to tax under the Canadian Tax Act on any capital gains realized on the disposition or deemed disposition of our common shares (other than to us) unless the common shares are “taxable Canadian property” to the Non-Resident Holder for the purposes of the Canadian Tax Act and the Non-Resident Holder is not entitled to relief under an applicable income tax treaty or convention between Canada and the country in which the Non-Resident Holder is resident such as under the Canada-United States Income Tax Convention (1980) (the “</w:t>
      </w:r>
      <w:r>
        <w:rPr>
          <w:rFonts w:ascii="Arial" w:cs="Arial" w:eastAsia="Arial" w:hAnsi="Arial"/>
          <w:sz w:val="16"/>
          <w:szCs w:val="16"/>
          <w:b w:val="1"/>
          <w:bCs w:val="1"/>
          <w:color w:val="auto"/>
        </w:rPr>
        <w:t>Treaty</w:t>
      </w:r>
      <w:r>
        <w:rPr>
          <w:rFonts w:ascii="Arial" w:cs="Arial" w:eastAsia="Arial" w:hAnsi="Arial"/>
          <w:sz w:val="16"/>
          <w:szCs w:val="16"/>
          <w:color w:val="auto"/>
        </w:rPr>
        <w:t>”).</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Generally, our common shares will not constitute taxable Canadian property to a Non-Resident Holder at a particular time provided that: (a) the common shares are listed at that time on a designated stock exchange (as defined in the Canadian Tax Act) (which currently includes the NYSE); and (b) either: (i) the Non-Resident Holder, persons with whom the Non-Resident Holder does not deal with at arm’s length, one or more partnerships in which the Non-Resident Holder, or any such persons hold a membership interest (either directly or indirectly through one or more partnerships), or any combination of the forgoing, have not owned 25% or more of any class or series of our capital stock at any time during the 60-month period that ends at that time; or (ii) the common shares, at all times during the 60-month period that ends at that time did not derive, directly or indirectly, more than 50% of their fair market value from one or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combination of: (i) real or immovable property situated in Canada; (ii) “Canadian resource properties” (as defined in the Canadian Tax Act); (iii) “timber resource properties” (as defined in the Canadian Tax Act); and (iv) options in respect of, or an interest in, or for civil law a right in, a property described in (i) to (iii).</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Taxation of Dividends on our Common Shares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Dividends paid or credited or deemed to be paid or credited to a Non-Resident Holder on our common shares will be subject to Canadian withholding tax under the Canadian Tax Act at a rate of 25% of the gross amount of the dividend, subject to reduction under the provisions of an applicable income tax treaty or convention. Under the Treaty, where the Non-Resident Holder is a resident of the United States, is entitled to full benefits under the Treaty and is the beneficial owner of the dividends, the rate of Canadian withholding tax applicable to the dividends is generally reduced to 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UNDERWRITING (CONFLICTS OF INTEREST)</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Under the terms of an underwriting agreement, which we will file as an exhibit to a Current Report on Form 8-K and which will be incorporated by reference into this prospectus supplement and the accompanying base prospectus, the underwriter named below has agreed to purchase from us the number of common shares shown opposite its name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Underwriter</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7"/>
        </w:trPr>
        <w:tc>
          <w:tcPr>
            <w:tcW w:w="10260" w:type="dxa"/>
            <w:vAlign w:val="bottom"/>
            <w:gridSpan w:val="2"/>
            <w:vMerge w:val="continue"/>
          </w:tcPr>
          <w:p>
            <w:pPr>
              <w:spacing w:after="0"/>
              <w:rPr>
                <w:sz w:val="18"/>
                <w:szCs w:val="18"/>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93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Capital Markets, LLC.</w:t>
            </w:r>
          </w:p>
        </w:tc>
        <w:tc>
          <w:tcPr>
            <w:tcW w:w="1040" w:type="dxa"/>
            <w:vAlign w:val="bottom"/>
            <w:tcBorders>
              <w:bottom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6"/>
              </w:rPr>
              <w:t>20,000,000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6"/>
              </w:rPr>
              <w:t>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common shares depends on the satisfaction of the conditions contained in the underwriting agreement, including:</w:t>
      </w:r>
    </w:p>
    <w:p>
      <w:pPr>
        <w:spacing w:after="0" w:line="51" w:lineRule="exact"/>
        <w:rPr>
          <w:sz w:val="20"/>
          <w:szCs w:val="20"/>
          <w:color w:val="auto"/>
        </w:rPr>
      </w:pPr>
    </w:p>
    <w:p>
      <w:pPr>
        <w:ind w:left="660" w:right="8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 to purchase all of the common shares offered hereby (other than those common shares covered by its option to purchase additional shares as described below), if any of the shares are purchased;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 are true;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delivery of customary closing documents to the underwriter.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that we will pay to the underwriter. These amounts are shown assuming both no exercise and full exercise of the underwriter’s option to purchase additional shares. The underwriting fee is the difference between the initial price to the public and the amount the underwriter pays to us for the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2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No Exercise</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5"/>
              </w:rPr>
              <w:t>Full Exercise</w:t>
            </w:r>
          </w:p>
        </w:tc>
      </w:tr>
      <w:tr>
        <w:trPr>
          <w:trHeight w:val="212"/>
        </w:trPr>
        <w:tc>
          <w:tcPr>
            <w:tcW w:w="87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Per Share</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720" w:type="dxa"/>
            <w:vAlign w:val="bottom"/>
          </w:tcPr>
          <w:p>
            <w:pPr>
              <w:spacing w:after="0"/>
              <w:rPr>
                <w:sz w:val="20"/>
                <w:szCs w:val="20"/>
                <w:color w:val="auto"/>
              </w:rPr>
            </w:pPr>
            <w:r>
              <w:rPr>
                <w:rFonts w:ascii="Arial" w:cs="Arial" w:eastAsia="Arial" w:hAnsi="Arial"/>
                <w:sz w:val="18"/>
                <w:szCs w:val="18"/>
                <w:color w:val="auto"/>
              </w:rPr>
              <w:t>Total (in thousands)</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underwriter has advised us that it proposes to offer our common shares directly to the public at the public offering price on the cover of this prospectus supplement and to selected dealers at such offering price less a selling concession not in excess of $ per share. After this offering, the underwriter may change the offering price and other selling terms. Sales of common shares made outside of the United States may be made by affiliates of the underwriter. The offering of the shares by the underwriter is subject to receipt and acceptance and subject to the underwriter’s right to reject any order in whole or in part.</w:t>
      </w:r>
    </w:p>
    <w:p>
      <w:pPr>
        <w:spacing w:after="0" w:line="32" w:lineRule="exact"/>
        <w:rPr>
          <w:sz w:val="20"/>
          <w:szCs w:val="20"/>
          <w:color w:val="auto"/>
        </w:rPr>
      </w:pPr>
    </w:p>
    <w:p>
      <w:pPr>
        <w:ind w:left="460"/>
        <w:spacing w:after="0"/>
        <w:tabs>
          <w:tab w:leader="none" w:pos="7060" w:val="left"/>
        </w:tabs>
        <w:rPr>
          <w:sz w:val="20"/>
          <w:szCs w:val="20"/>
          <w:color w:val="auto"/>
        </w:rPr>
      </w:pPr>
      <w:r>
        <w:rPr>
          <w:rFonts w:ascii="Arial" w:cs="Arial" w:eastAsia="Arial" w:hAnsi="Arial"/>
          <w:sz w:val="18"/>
          <w:szCs w:val="18"/>
          <w:color w:val="auto"/>
        </w:rPr>
        <w:t>The expenses of this offering that are payable by us are estimated to be approximately $</w:t>
      </w:r>
      <w:r>
        <w:rPr>
          <w:sz w:val="20"/>
          <w:szCs w:val="20"/>
          <w:color w:val="auto"/>
        </w:rPr>
        <w:tab/>
      </w:r>
      <w:r>
        <w:rPr>
          <w:rFonts w:ascii="Arial" w:cs="Arial" w:eastAsia="Arial" w:hAnsi="Arial"/>
          <w:sz w:val="16"/>
          <w:szCs w:val="16"/>
          <w:color w:val="auto"/>
        </w:rPr>
        <w:t>(excluding underwriting discounts and commissions).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granted the underwriter an option exercisable for 30 days after the date of this prospectus to purchase, from time to time, in whole or in part, up to an aggregate of 3,000,000 additional shares at the public offering price less underwriting discounts and commissions.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all of our directors and executive officers have agreed or will agree that, for a period of 60 days after the date of this prospectus, we and they will not directly or indirectly, without the prior written consent of RBC Capital Markets, LLC,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of our common shares or any securities convertible into, or exercisable or exchangeable for such capital stock, or publicly announce an intention to effect any such transaction, subject to specified exceptions.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to contribute to payments that the underwriter may be required to make for these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underwriter may engage in stabilizing transactions, short sales and purchases to cover positions created by short sales and penalty bids or purchases for the purpose of pegging, fixing or maintaining the price of our common shares, in accordance with Regulation M under the Exchange Act:</w:t>
      </w:r>
    </w:p>
    <w:p>
      <w:pPr>
        <w:spacing w:after="0" w:line="4"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660" w:right="20" w:hanging="206"/>
        <w:spacing w:after="0" w:line="28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 of shares in excess of the number of shares the underwriter is obligated to purchase in this offering, which creates the syndicate short position. This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their option to purchase additional shares and/or purchasing shares in the open market. In determining the source of shares to close out the short position, the underwriter will consider, among other things, the price of shares available for purchase in the open market as compared to the price at which they may purchase shares through the option to purchase additional shares. A naked short position is more likely to be created if the underwriter is concerned that there could be downward pressure on the price of the shares in the open market after pricing that could adversely affect investors who purchase in this offering.</w:t>
      </w:r>
    </w:p>
    <w:p>
      <w:pPr>
        <w:spacing w:after="0" w:line="41"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common shares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Penalty bids permit the underwriter to reclaim a selling concession from a syndicate member when the common shares originally sold by the syndicate member are purchased in a stabilizing or syndicate covering transaction to cover syndicate short positions.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These transactions may be effected on the NYSE or otherwise and, if commenced, may be discontinued at any time.</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Neither we nor the underwriter makes any representation or prediction as to the direction or magnitude of any effect that the transactions described above may have on the price of our common shares. In addition, neither we nor the underwriter makes any representation that the underwriter will engage in these stabilizing transactions or that any transaction, once commenced, will not be discontinued without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NYSE under the symbol “CVEO”.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you purchase common shares offered by this prospectus, you may be required to pay stamp taxes and other charges under the laws and practices of the country of purchase, in addition to the offering price.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may in the future receive customary fees and expenses.</w:t>
      </w:r>
    </w:p>
    <w:p>
      <w:pPr>
        <w:spacing w:after="0" w:line="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 and certain of its affiliates may make or hold a broad array of investments and actively trade debt and equity securities (or related derivative securities), currencies, commodities, credit default swaps and other financial instruments (including bank loans) for their own account and for the accounts of their customers, and such investment and securities activities may involve securities and/or instruments of ours or our affiliates.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Affiliates of RBC Capital Markets, LLC serve as administrative agents, collateral agents and lenders under our revolving credit facilities and will receive more than 5% of the net proceeds of this offering. Such underwriter is deemed to have a “conflict of interest” under FINRA Rule 5121. Accordingly, this offering is being made in compliance with the requirements of FINRA Rule 5121. The appointment of a “qualified independent underwriter” is not required in connection with this offering as a “bona fide public market,” as defined in FINRA Rule 5121, exists for our common shares. In accordance with FINRA Rule 5121, no underwriter will confirm any sales to any account over which it exercises discretionary authority without the specific written approval of the transaction from the account holder. See “Use of Proceeds.”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the underwriter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 may agree with us to allocate a specific number of shares for sale to online brokerage account holders. Any such allocation for online distributions will be made by the underwriter on the same basis as other allocations. Other than the prospectus in electronic format, the information on the underwriter’s or selling group member’s web site and any information contained in any other web site maintained by the underwriter or selling group member is not part of the prospectus or the registration statement of which this prospectus forms a part, has not been approved and/or endorsed by us or the underwriter or selling group member in its capacity as underwriter or selling group member and should not be relied upon by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our common shares or possession or distribution of this prospectus or any other offering or publicity material relating to our common shares in any country or jurisdiction (other than the United States) where any such action for that purpose is required. Accordingly, the underwriter has undertaken that it will not, directly or indirectly, offer or sell any of our common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our common shares by it will be made on the same terms.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European Economic Area</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the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4" w:lineRule="exact"/>
        <w:rPr>
          <w:sz w:val="20"/>
          <w:szCs w:val="20"/>
          <w:color w:val="auto"/>
        </w:rPr>
      </w:pPr>
    </w:p>
    <w:p>
      <w:pPr>
        <w:ind w:left="660" w:right="32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50" w:lineRule="exact"/>
        <w:rPr>
          <w:rFonts w:ascii="Arial" w:cs="Arial" w:eastAsia="Arial" w:hAnsi="Arial"/>
          <w:sz w:val="18"/>
          <w:szCs w:val="18"/>
          <w:color w:val="auto"/>
        </w:rPr>
      </w:pPr>
    </w:p>
    <w:p>
      <w:pPr>
        <w:ind w:left="66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€ 43,000,000 and (3) an annual net turnover of more than € 50,000,000, as shown in its last annual or consolidated accounts;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8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underwriter for any such offer;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United Kingdom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 has represented and agreed that:</w:t>
      </w:r>
    </w:p>
    <w:p>
      <w:pPr>
        <w:spacing w:after="0" w:line="90" w:lineRule="exact"/>
        <w:rPr>
          <w:sz w:val="20"/>
          <w:szCs w:val="20"/>
          <w:color w:val="auto"/>
        </w:rPr>
      </w:pPr>
    </w:p>
    <w:p>
      <w:pPr>
        <w:ind w:left="660" w:hanging="206"/>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in circumstances in which Section 21(1) of the FSMA does not apply to the Issuer; and</w:t>
      </w:r>
    </w:p>
    <w:p>
      <w:pPr>
        <w:spacing w:after="0" w:line="25"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Hong Kong</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Singapore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Japan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LEGAL MATTERS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Certain legal matters related to the offering will be passed upon for us by Baker Botts L.L.P., Houston, Texas. The validity of the issue of common shares to be sold in this offering is being passed upon for us by Dentons Canada LLP, Vancouver, British Columbia, Canada. Certain legal matters in connection with the offering will be passed upon for the underwriter by Vinson &amp; Elkins L.L.P., Houston, Texas and Bennett Jones LLP, Calgary, Alberta, Canada.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EXPERTS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of Civeo Corporation appearing in Civeo Corporation’s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the effectiveness of Civeo Corporation’s internal control over financial reporting as of December 31, 2015 have been audited by Ernst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Young LLP, an independent registered public accounting firm, as set forth in their reports thereon, included therein, and incorporated herein by reference.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are incorporated herein by reference in reliance upon such reports given on the authority of such firm as experts in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auditing.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172085</wp:posOffset>
            </wp:positionV>
            <wp:extent cx="2478405" cy="12522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CIVEO CORPORATION</w:t>
      </w: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$300,000,000</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Preferred Shares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may issue and sell from time to time securities described in this prospectus for a total initial offering price of up to $300,000,000. This prospectus contains summaries of the general terms of the securities. At the time of each offering, we will provide the specific terms of the offering and the securities in supplements to this prospectus. You should read this prospectus and any prospectus supplement carefully before you invest. Our common shares are listed on the New York Stock Exchange (the “NYSE”) under the symbol “CVEO.” The last reported sale price of our common shares on July 28, 2016, as reported by the NYSE, was $1.37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20" w:firstLine="456"/>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Please carefully review the information under the heading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 In addition, risks associated with any investment in our securities may be described in the applicable prospectus supplement and certain of our filings with the Securities and Exchange Commission, as described in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217805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4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date of this prospectus is August 22, 2016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880" w:type="dxa"/>
            <w:vAlign w:val="bottom"/>
            <w:gridSpan w:val="1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About Civeo Corporation</w:t>
              </w:r>
            </w:hyperlink>
          </w:p>
        </w:tc>
        <w:tc>
          <w:tcPr>
            <w:tcW w:w="816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56"/>
        </w:trPr>
        <w:tc>
          <w:tcPr>
            <w:tcW w:w="2880" w:type="dxa"/>
            <w:vAlign w:val="bottom"/>
            <w:gridSpan w:val="12"/>
            <w:vMerge w:val="continue"/>
          </w:tcPr>
          <w:p>
            <w:pPr>
              <w:spacing w:after="0"/>
              <w:rPr>
                <w:sz w:val="13"/>
                <w:szCs w:val="13"/>
                <w:color w:val="auto"/>
              </w:rPr>
            </w:pPr>
          </w:p>
        </w:tc>
        <w:tc>
          <w:tcPr>
            <w:tcW w:w="816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920" w:type="dxa"/>
            <w:vAlign w:val="bottom"/>
            <w:tcBorders>
              <w:top w:val="single" w:sz="8" w:color="0000EE"/>
            </w:tcBorders>
            <w:gridSpan w:val="5"/>
          </w:tcPr>
          <w:p>
            <w:pPr>
              <w:spacing w:after="0"/>
              <w:rPr>
                <w:sz w:val="18"/>
                <w:szCs w:val="18"/>
                <w:color w:val="auto"/>
              </w:rPr>
            </w:pPr>
          </w:p>
        </w:tc>
        <w:tc>
          <w:tcPr>
            <w:tcW w:w="1040" w:type="dxa"/>
            <w:vAlign w:val="bottom"/>
            <w:gridSpan w:val="5"/>
          </w:tcPr>
          <w:p>
            <w:pPr>
              <w:spacing w:after="0"/>
              <w:rPr>
                <w:sz w:val="18"/>
                <w:szCs w:val="18"/>
                <w:color w:val="auto"/>
              </w:rPr>
            </w:pPr>
          </w:p>
        </w:tc>
        <w:tc>
          <w:tcPr>
            <w:tcW w:w="84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Forward-Looking Information</w:t>
              </w:r>
            </w:hyperlink>
          </w:p>
        </w:tc>
        <w:tc>
          <w:tcPr>
            <w:tcW w:w="660" w:type="dxa"/>
            <w:vAlign w:val="bottom"/>
            <w:gridSpan w:val="2"/>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1700" w:type="dxa"/>
            <w:vAlign w:val="bottom"/>
            <w:gridSpan w:val="8"/>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88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 of Earnings to Fixed Charges</w:t>
              </w:r>
            </w:hyperlink>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Description of Debt Securities</w:t>
              </w:r>
            </w:hyperlink>
          </w:p>
        </w:tc>
        <w:tc>
          <w:tcPr>
            <w:tcW w:w="340" w:type="dxa"/>
            <w:vAlign w:val="bottom"/>
            <w:tcBorders>
              <w:top w:val="single" w:sz="8" w:color="0000EE"/>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84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80" w:type="dxa"/>
            <w:vAlign w:val="bottom"/>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Share Capital</w:t>
              </w:r>
            </w:hyperlink>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Description of Warrants</w:t>
              </w:r>
            </w:hyperlink>
          </w:p>
        </w:tc>
        <w:tc>
          <w:tcPr>
            <w:tcW w:w="320" w:type="dxa"/>
            <w:vAlign w:val="bottom"/>
            <w:tcBorders>
              <w:top w:val="single" w:sz="8" w:color="0000EE"/>
            </w:tcBorders>
            <w:gridSpan w:val="2"/>
          </w:tcPr>
          <w:p>
            <w:pPr>
              <w:spacing w:after="0"/>
              <w:rPr>
                <w:sz w:val="17"/>
                <w:szCs w:val="17"/>
                <w:color w:val="auto"/>
              </w:rPr>
            </w:pPr>
          </w:p>
        </w:tc>
        <w:tc>
          <w:tcPr>
            <w:tcW w:w="820" w:type="dxa"/>
            <w:vAlign w:val="bottom"/>
            <w:gridSpan w:val="4"/>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Plan of Distribution</w:t>
              </w:r>
            </w:hyperlink>
          </w:p>
        </w:tc>
        <w:tc>
          <w:tcPr>
            <w:tcW w:w="1440" w:type="dxa"/>
            <w:vAlign w:val="bottom"/>
            <w:gridSpan w:val="7"/>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Legal Matters</w:t>
              </w:r>
            </w:hyperlink>
          </w:p>
        </w:tc>
        <w:tc>
          <w:tcPr>
            <w:tcW w:w="1860" w:type="dxa"/>
            <w:vAlign w:val="bottom"/>
            <w:gridSpan w:val="9"/>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Experts</w:t>
              </w:r>
            </w:hyperlink>
          </w:p>
        </w:tc>
        <w:tc>
          <w:tcPr>
            <w:tcW w:w="2320" w:type="dxa"/>
            <w:vAlign w:val="bottom"/>
            <w:gridSpan w:val="11"/>
          </w:tcPr>
          <w:p>
            <w:pPr>
              <w:spacing w:after="0"/>
              <w:rPr>
                <w:sz w:val="17"/>
                <w:szCs w:val="17"/>
                <w:color w:val="auto"/>
              </w:rPr>
            </w:pPr>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Where You Can Find More Information</w:t>
              </w:r>
            </w:hyperlink>
          </w:p>
        </w:tc>
        <w:tc>
          <w:tcPr>
            <w:tcW w:w="8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using a “shelf” registration process. Under this shelf registration process, we may offer any combination of the securities described in this prospectus in one or more offerings with a total initial offering price of up to $300,000,000. This prospectus provides you with a general description of the securities we may offer. Each time we use this prospectus to offer securities, we will provide a prospectus supplement that will contain specific information about the terms of that offering and the securities being offered. The prospectus supplement may also add to, update or change the information contained in this prospectus. You should read both this prospectus and any prospectus supplement together with additional information described under the heading “Where You Can Find More Information.”</w:t>
      </w:r>
    </w:p>
    <w:p>
      <w:pPr>
        <w:spacing w:after="0" w:line="161"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We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may only be used where it is legal to sell the offered securities. You should assume that the information in this prospectus is accurate only as of the date on the front cover of this prospectus and that the information incorporated by reference in this prospectus is accurate only as of the date the respective information was filed with the SEC. Our business, financial condition, results of operations and prospects may have changed since those dates.</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CIVEO CORPORATION</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We operate in some of the world’s most active oil, coal, natural gas and iron ore producing regions, including Canada, Australia and the U.S. We have established a leadership position in providing a fully integrated service offering to our customers, which include major and independent oil and natural gas companies, mining companies and oilfield and mining service companies.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July 17, 2015, we completed a change in our legal domicile from Delaware to British Columbia, Canada. Our former Delaware parent company, which we refer to as “Civeo US,” entered into a merger transaction, which we refer to as the “redomicile transaction,” with Civeo US Merger Co, a newly formed Delaware corporation and our wholly owned subsidiary, which was approved by Civeo US’s stockholders and whereby Civeo US became our wholly owned subsidiary. As a result of the redomicile transaction, we became the parent company of the Civeo group of companies. Any references in this prospectus to “Civeo,” the “company,” “we,” “us” or “our” or any similar references relating to dates or periods before the redomicile transaction refer to Civeo US and its subsidiaries or, if the context so requires, Civeo US alone.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executive offices are located at Three Allen Center, 333 Clay Street, Suite 4980, Houston, Texas 77002, and our telephone number is (713) 510-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2400.</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If any of these risks were to occur, our business, financial condition, results of operations or cash flows could be adversely affected. You could lose all or part of your investment. When we offer and sell any securities pursuant to a prospectus supplement, we may include additional risk factors relevant to that offering in the prospectus supplement.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and cost of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realize expected benefits from our recent redomicile to Canada;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factors identified under “Risk Factors” above.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Unless we inform you otherwise in an applicable prospectus supplement, we expect to use the net proceeds from the sale of securities offered by us under this prospectus for general corporate purposes. These purposes may include:</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repayment, refinancing or redemption of indebtedness or other securities.</w:t>
      </w:r>
    </w:p>
    <w:p>
      <w:pPr>
        <w:spacing w:after="0" w:line="225" w:lineRule="exact"/>
        <w:rPr>
          <w:sz w:val="20"/>
          <w:szCs w:val="20"/>
          <w:color w:val="auto"/>
        </w:rPr>
      </w:pPr>
    </w:p>
    <w:p>
      <w:pPr>
        <w:jc w:val="center"/>
        <w:spacing w:after="0" w:line="449" w:lineRule="auto"/>
        <w:rPr>
          <w:sz w:val="20"/>
          <w:szCs w:val="20"/>
          <w:color w:val="auto"/>
        </w:rPr>
      </w:pPr>
      <w:r>
        <w:rPr>
          <w:rFonts w:ascii="Arial" w:cs="Arial" w:eastAsia="Arial" w:hAnsi="Arial"/>
          <w:sz w:val="18"/>
          <w:szCs w:val="18"/>
          <w:color w:val="auto"/>
        </w:rPr>
        <w:t>Pending any specific application, we may initially invest funds in short-term marketable securities or apply them to the reduction of short-term indebtedness. 3</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 sets forth our historical ratio of earnings to fixed charges, or deficiency of earnings, for each of the periods indicated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Six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w w:val="92"/>
              </w:rPr>
              <w:t>Year ended December 31,</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Ended June 30,</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9"/>
              <w:spacing w:after="0" w:line="142" w:lineRule="exact"/>
              <w:rPr>
                <w:sz w:val="20"/>
                <w:szCs w:val="20"/>
                <w:color w:val="auto"/>
              </w:rPr>
            </w:pPr>
            <w:r>
              <w:rPr>
                <w:rFonts w:ascii="Arial" w:cs="Arial" w:eastAsia="Arial" w:hAnsi="Arial"/>
                <w:sz w:val="14"/>
                <w:szCs w:val="14"/>
                <w:b w:val="1"/>
                <w:bCs w:val="1"/>
                <w:color w:val="auto"/>
                <w:w w:val="91"/>
              </w:rPr>
              <w:t>2016(a)</w:t>
            </w:r>
          </w:p>
        </w:tc>
        <w:tc>
          <w:tcPr>
            <w:tcW w:w="30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2015(b)</w:t>
            </w:r>
          </w:p>
        </w:tc>
        <w:tc>
          <w:tcPr>
            <w:tcW w:w="1000" w:type="dxa"/>
            <w:vAlign w:val="bottom"/>
            <w:tcBorders>
              <w:top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2014(c)</w:t>
            </w: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2"/>
              </w:rPr>
              <w:t>9.5x</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10.8x</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2"/>
              </w:rPr>
              <w:t>8.7x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Deficiency of earnings available to cover fixed charges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43,364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$165,535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$159,069</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six months ended June 30, 2016, we recorded an $8.4 million pre-tax loss from impairments of our long-lived assets.</w:t>
      </w:r>
    </w:p>
    <w:p>
      <w:pPr>
        <w:spacing w:after="0" w:line="23" w:lineRule="exact"/>
        <w:rPr>
          <w:rFonts w:ascii="Arial" w:cs="Arial" w:eastAsia="Arial" w:hAnsi="Arial"/>
          <w:sz w:val="18"/>
          <w:szCs w:val="18"/>
          <w:color w:val="auto"/>
        </w:rPr>
      </w:pPr>
    </w:p>
    <w:p>
      <w:pPr>
        <w:ind w:left="460" w:right="4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2015, we recorded a $43.2 million pre-tax loss from goodwill impairments and a $79.7 million pre-tax loss from impairments of our long-lived assets, including intangible assets.</w:t>
      </w:r>
    </w:p>
    <w:p>
      <w:pPr>
        <w:ind w:left="460" w:right="2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2014, we recorded a $202.7 million pre-tax loss from goodwill impairments and an $87.8 million pre-tax loss from impairments of our long-lived assets, including intangible assets.</w:t>
      </w:r>
    </w:p>
    <w:p>
      <w:pPr>
        <w:spacing w:after="0" w:line="18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For purposes of determining the ratio of earnings to fixed charges, earnings are defined as pretax income or loss, plus fixed charges (excluding capitalized interest), plus amortization of capitalized interest, less noncontrolling interests in subsidiaries that have not incurred fixed charges. Fixed charges consist of interest expensed, capitalized interest, amortization of debt issue costs and an estimate of the interest within rental expense.</w:t>
      </w:r>
    </w:p>
    <w:p>
      <w:pPr>
        <w:spacing w:after="0" w:line="166"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earnings were insufficient to cover fixed charges by $43.4 million for the six months ended June 30, 2016 and $165.5 million and $159.1 million for the years ended December 31, 2015 and 2014, respectively. As a result, the ratio of earnings to fixed charges was less than 1.0 for these years. The deficiencies of earnings to fixed charges for these years are presented in the table above.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had no preferred shares outstanding for any period presented, and accordingly, the ratio of earnings to fixed charges and preferred share dividends is the same as the ratio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under an indenture to be entered into between us and a trustee we will name in the prospectus supplement relating to senior debt securities. We refer to this indenture as the senior indenture. We will issue subordinated debt securities under an indenture to be entered into between us and a trustee we will name in the prospectus supplement relating to subordinated debt securities. We refer to this indenture as the subordinated indenture. We refer to the senior indenture and the subordinated indenture collectively as the indentures. The indentures will be substantially identical, except for provisions relating to subordination.</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We have filed the forms of indentures with the SEC as exhibits to the registration statement, and you should read the indentures for provisions that may be important to you. Please read “Where You Can Find More Information.”</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this summary description of the debt securities, unless we state otherwise or the context clearly indicates otherwise, all references to “we,” “us” or “our” refer to Civeo Corporation only and not to any of its subsidiaries.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senior debt securities will constitute our senior unsecured indebtedness and will rank equally in right of payment with all of our other unsecured and unsubordinated debt and senior in right of payment to all of our subordinated indebtedness. The senior debt securities will be effectively subordinated to, and thus have a junior position to, our secured indebtedness with respect to the assets securing that indebtedness. The subordinated debt securities will rank junior to all of our senior indebtedness and may rank equally with or senior to other subordinated indebtedness we may issue from time to time.</w:t>
      </w:r>
    </w:p>
    <w:p>
      <w:pPr>
        <w:spacing w:after="0" w:line="154"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currently conduct our operations through subsidiaries, and our operating income and cash flow are generated by our subsidiaries. As a result, cash we obtain from our subsidiaries is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debt securities. In addition, holders of the debt securities will have a junior position to the claims of creditors, including trade creditors and tort claimants, of our subsidiaries on their assets and earnings.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Neither indenture contains any covenants or other provisions designed to protect holders of the debt securities in the event we participate in a highly leveraged transaction or upon a change of control. The indentures also do not contain provisions that give holders of the debt securities the right to require us to repurchase their securities in the event of a decline in our credit rating for any reason, including as a result of a takeover, recapitalization or similar restructuring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prospectus supplement relating to any series of debt securities being offered will include specific terms relating to the offering. These terms will include some or all of the following:</w:t>
      </w:r>
    </w:p>
    <w:p>
      <w:pPr>
        <w:spacing w:after="0" w:line="7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at which we will issue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or in the form of temporary or permanent global securities held by a depositary on behalf of 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with respect to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purchase or repay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denominations in which we will issue the debt securities if other than $1,000 and integral multiples of $1,000;</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 or another form and whether payments will be payable by reference to any index or formula;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53" w:lineRule="exact"/>
        <w:rPr>
          <w:rFonts w:ascii="Arial" w:cs="Arial" w:eastAsia="Arial" w:hAnsi="Arial"/>
          <w:sz w:val="16"/>
          <w:szCs w:val="16"/>
          <w:color w:val="auto"/>
        </w:rPr>
      </w:pPr>
    </w:p>
    <w:p>
      <w:pPr>
        <w:ind w:left="900" w:right="4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Under the subordinated indenture, payment of the principal of and any premium and interest on the subordinated debt securities will generally be subordinated and junior in right of payment to the prior payment in full of all Senior Debt (as defined below). Unless we inform you otherwise in the prospectus supplement, we may not make any payment of principal of or any premium or interest on the subordinated debt securities if:</w:t>
      </w:r>
    </w:p>
    <w:p>
      <w:pPr>
        <w:spacing w:after="0" w:line="52" w:lineRule="exact"/>
        <w:rPr>
          <w:sz w:val="20"/>
          <w:szCs w:val="20"/>
          <w:color w:val="auto"/>
        </w:rPr>
      </w:pPr>
    </w:p>
    <w:p>
      <w:pPr>
        <w:ind w:left="5660" w:right="3240" w:hanging="5085"/>
        <w:spacing w:after="0" w:line="449" w:lineRule="auto"/>
        <w:tabs>
          <w:tab w:leader="none" w:pos="8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pay the principal, interest, premium or any other amounts on any Senior Debt when due; or 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default in performing any other covenant (a “covenant default”) on any Senior Debt that we have designated if the covenant default allows the holders of that Senior Debt to accelerate the maturity of the Senior Debt they hold.</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we inform you otherwise in the prospectus supplement, a covenant default will prevent us from paying the subordinated debt securities only for up to 179 days after holders of the designated Senior Debt give the trustee for the subordinated debt securities notice of the covenant default.</w:t>
      </w:r>
    </w:p>
    <w:p>
      <w:pPr>
        <w:spacing w:after="0" w:line="14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subordination does not affect our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124"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subordinated indenture does not limit the amount of Senior Debt that we may incur. As a result of the subordination of the subordinated debt securities, if we become insolvent, holders of subordinated debt securities may receive less on a proportionate basis than other creditors.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Unless we inform you otherwise in the prospectus supplement, “Senior Debt” will mean all of our indebtedness, including guarantees, unless the indebtedness states that it is not senior to the subordinated debt securities or our other junior debt. Senior Debt with respect to a series of subordinated debt securities could include other series of debt securities issued under the subordinated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Sales of Assets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indentures generally permit a consolidation, amalgamation or merger involving us. They also permit us to sell, lease, convey, assign, transfer or otherwise dispose of all or substantially all of our assets. We have agreed, however, that we will not consolidate or amalgamate with or merge into any entity or sell, lease, convey, assign, transfer or dispose of all or substantially all of our assets to any entity unless:</w:t>
      </w:r>
    </w:p>
    <w:p>
      <w:pPr>
        <w:spacing w:after="0" w:line="7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we are the continuing entity, or</w:t>
      </w:r>
    </w:p>
    <w:p>
      <w:pPr>
        <w:spacing w:after="0" w:line="130" w:lineRule="exact"/>
        <w:rPr>
          <w:rFonts w:ascii="Arial" w:cs="Arial" w:eastAsia="Arial" w:hAnsi="Arial"/>
          <w:sz w:val="18"/>
          <w:szCs w:val="18"/>
          <w:color w:val="auto"/>
        </w:rPr>
      </w:pPr>
    </w:p>
    <w:p>
      <w:pPr>
        <w:ind w:left="1480" w:hanging="446"/>
        <w:spacing w:after="0" w:line="255"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we are not the continuing entity, the resulting entity is organized under the laws of the United States, Australia, the Bahamas, Barbados, Bermuda, the British Virgin Islands, Canada, the Cayman Islands, any of the Channel Islands, the United Kingdom, any member of the European Union (as constituted on the date of the indenture) or any other member of the European Union that becomes a member after that date, the Netherlands Antilles or any state, province or political subdivision of any of the foregoing, and assumes by a supplemental indenture the due and punctual payments on the debt securities and the performance of our covenants and obligations under the indentures, and</w:t>
      </w:r>
    </w:p>
    <w:p>
      <w:pPr>
        <w:spacing w:after="0" w:line="98"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under the indentures has occurred and is continuing or would result from the transaction.</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This covenant will not apply to any merger of another entity into us. Upon any transaction of the type described in and effected in accordance with this section, the resulting entity will succeed to and be substituted for us and may exercise all of our rights and powers under the applicable indenture and the debt securities with the same effect as if the resulting entity had been named as us in the indenture. In the case of any asset transfer or disposition other than a lease, when the resulting entity assumes all of our obligations and covenants under the applicable indenture and the debt securities, we will be relieved of all such obligations.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inform you otherwise in the applicable prospectus supplement, the following are events of default with respect to a series of debt securities:</w:t>
      </w:r>
    </w:p>
    <w:p>
      <w:pPr>
        <w:spacing w:after="0" w:line="15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pay interest on any debt security of that series for 30 days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pay principal of or any premium on any debt security of that series when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deposit any sinking fund payment for 30 days when due;</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to comply with any covenant or agreement in that series of debt securities or the applicable indenture (other than an agreement or covenant that has been included in the indenture solely for the benefit of other series of debt securities) for 90 days after written notice by the trustee or by the holders of at least 25% in principal amount of the outstanding debt securities issued under that indenture that are affected by that failure;</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of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 default under one series of debt securities will not necessarily be a default under any other series. If a default or event of default for any series of debt securities occurs, is continuing and is known to the trustee, the 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immediately. If an event of default relating to certain events of bankruptcy, insolvency or reorganization of our company occurs, the principal of and accrued and unpaid interest on all the debt securities issued under the applicable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 and its consequences.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offer to the trustee an indemnity satisfactory to the trustee against any loss, liability or expense;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offer of indemnity;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own affairs.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indentures require us to furnish to the trustee annually a statement as to our performance of certain of our obligations under the indentures and as to any default in performance.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and the trustee may supplement or amend each indenture with the consent of the holders of at least a majority in principal amount of the outstanding debt securities of all series issued under that indenture that are affected by the amendment or supplement (voting as one class). Without the consent of the holder of each debt security affected, however, no modification may:</w:t>
      </w:r>
    </w:p>
    <w:p>
      <w:pPr>
        <w:spacing w:after="0" w:line="87"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 respect to the subordinated indenture, modify the provisions relating to the subordination of any subordinated debt security in a manner adverse to the holder of that security;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debt security.</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and the trustee may supplement or amend each indenture or waive any provision of that indenture without the consent of any holders of debt securities issued under that indenture in certain circumstances, including:</w:t>
      </w:r>
    </w:p>
    <w:p>
      <w:pPr>
        <w:spacing w:after="0" w:line="7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provide for the assumption of our obligations under the indenture by a successor upon any merger, consolidation, amalgamation or asset transfer permitted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or to provide for bearer debt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obligors on, any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that indenture under the Trust Indenture Act of 1939;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debt securities or to surrender any rights we have under the indenture;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add events of default with respect to any series of debt securities;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outstanding debt securities of any series issued under that indenture in any material respect;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establish the form or terms of any debt securities and to accept the appointment of a successor trustee, each as permitted under the indenture.</w:t>
      </w:r>
    </w:p>
    <w:p>
      <w:pPr>
        <w:spacing w:after="0" w:line="24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an indenture. If we deposit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under an indenture any combination of money or government securities sufficient to make payments on the debt securities of a series issued under that indenture on the dates those payments are due, then, at our option, either of the following will occur:</w:t>
      </w:r>
    </w:p>
    <w:p>
      <w:pPr>
        <w:spacing w:after="0" w:line="8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(“legal defeasance”);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specified restrictive covenants with respect to the debt securities of that series, the covenant described under “—Consolidation, Merger and Sales of Assets” and other specified covenants under the applicable indenture, and the related events of default will no longer apply (“covenant defeasance”).</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our obligation to pay principal, premium and interest on the debt securities will also survive.</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Under current U.S. federal income tax law, legal defeasance would likely be treated as a taxable exchange of debt securities to be defeased for interests in the defeasance trust. As a consequence, a United States holder would recognize gain or loss equal to the difference between the holder’s cost or other tax basis for the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securities and the value of the holder’s interest in the defeasance trust, and thereafter would be required to include in income a share of the income, gain or loss of the defeasance trust. Under current U.S. federal income tax law, covenant defeasance would not be treated as a taxable exchange of such debt securities.</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 xml:space="preserve">Satisfaction and Discharge. </w:t>
      </w:r>
      <w:r>
        <w:rPr>
          <w:rFonts w:ascii="Arial" w:cs="Arial" w:eastAsia="Arial" w:hAnsi="Arial"/>
          <w:sz w:val="18"/>
          <w:szCs w:val="18"/>
          <w:color w:val="auto"/>
        </w:rPr>
        <w:t>In addition, an indenture will cease to be of further effect with respect to the debt securities of a series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subject to exceptions relating to compensation and indemnity of the trustee under that indenture and repayment to us of excess money or government securities, when:</w:t>
      </w:r>
    </w:p>
    <w:p>
      <w:pPr>
        <w:spacing w:after="0" w:line="87"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outstanding debt securities of that series have been delivered to the trustee for cancellation;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outstanding debt securities of that series not delivered to the trustee for cancellation either: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are to be called for redemption within one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deposited with the trustee any combination of money or government securities in trust sufficient to pay the entire indebtedness on the debt securities of that series when due;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paid all other sums payable by us with respect to the debt securities of that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law will govern the indentures and the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will name the trustee under the applicable indenture in the prospectus supplement. Each indenture contains limitations on the right of the trustee, if it or any of its affiliates is then our creditor, to obtain payment of claims or to realize on certain property received for any such claim, as security or otherwise. The trustee and its affiliates are permitted to engage in other transactions with us. If, however, the trustee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Unless we inform you otherwise in a prospectus supplement, we will make payments on the debt securities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we will make interest payments to the person in whose name the debt security is registered at the close of business on the record date for the interest payment.</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issue the debt securities in registered form, without interest coupons. 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designated by us. The security registrar or transfer agent will effect the transfer or exchange if its requirements and the requirements of the applicable indenture are met. We will not charge a service charge for any registration of transfer or exchange of the debt securities. We may, however, require payment of any transfer tax or similar governmental charge payable for that registration.</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will appoint the trustee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the case of any redemption of debt securities of a series or any repurchase of debt securities of a series required under the terms of the series, we will not be required to register the transfer or exchange of:</w:t>
      </w:r>
    </w:p>
    <w:p>
      <w:pPr>
        <w:spacing w:after="0" w:line="76" w:lineRule="exact"/>
        <w:rPr>
          <w:sz w:val="20"/>
          <w:szCs w:val="20"/>
          <w:color w:val="auto"/>
        </w:rPr>
      </w:pPr>
    </w:p>
    <w:p>
      <w:pPr>
        <w:ind w:left="900" w:right="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of that series during a period beginning 15 business days prior to the mailing of the relevant notice of redemption or repurchase and ending on the close of business on the day of mailing of such notice; 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of that series that has been called for redemption in whole or in part, except the unredeemed portion of any debt security being redeemed in part.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following describes our common shares, preferred shares, notice of articles and articles. This description is a summary only. We encourage you to read the complete text of our notice of articles and articles, which we have filed as exhibits to the registration statement of which this prospectus is a part.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rights and restrictions to which the common shares are subject are set out in our articles. Our notice of articles and articles permit the board of directors,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Except as provided by law or pursuant to the rights that the directors may attach to the Class A Series 1 Preferred Shares,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(the “BCA”).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Subject to prior rights and preferences that may be applicable to the Class A Series 1 Preferred Shares,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Sinking Fund, Redemption, Liquidation and Preemption Rights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Class A Series 1 Preferred Shares and Class B Series 1 Preferred Shares of up to 50,000,000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7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preferred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dividend rate or the method of calculating the dividend, the date from which dividends will accrue and whether dividends will be cumulative;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shares for other securities of us or any other entity;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 and Articles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other things, our notice of articles and articles:</w:t>
      </w:r>
    </w:p>
    <w:p>
      <w:pPr>
        <w:spacing w:after="0" w:line="131" w:lineRule="exact"/>
        <w:rPr>
          <w:sz w:val="20"/>
          <w:szCs w:val="20"/>
          <w:color w:val="auto"/>
        </w:rPr>
      </w:pPr>
    </w:p>
    <w:p>
      <w:pPr>
        <w:ind w:left="900" w:right="320" w:hanging="325"/>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70"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75" w:lineRule="exact"/>
        <w:rPr>
          <w:rFonts w:ascii="Arial" w:cs="Arial" w:eastAsia="Arial" w:hAnsi="Arial"/>
          <w:sz w:val="18"/>
          <w:szCs w:val="18"/>
          <w:color w:val="auto"/>
        </w:rPr>
      </w:pPr>
    </w:p>
    <w:p>
      <w:pPr>
        <w:ind w:left="900" w:hanging="325"/>
        <w:spacing w:after="0" w:line="273"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83" w:lineRule="exact"/>
        <w:rPr>
          <w:rFonts w:ascii="Arial" w:cs="Arial" w:eastAsia="Arial" w:hAnsi="Arial"/>
          <w:sz w:val="17"/>
          <w:szCs w:val="17"/>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75"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92"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92" w:lineRule="exact"/>
        <w:rPr>
          <w:sz w:val="20"/>
          <w:szCs w:val="20"/>
          <w:color w:val="auto"/>
        </w:rPr>
      </w:pPr>
    </w:p>
    <w:p>
      <w:pPr>
        <w:ind w:left="900" w:right="80" w:hanging="325"/>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51"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75"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92"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shares is Computershare Investor Services,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“CVEO.”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issue warrants to purchase any combination of debt securities, common shares, preferred shares or other securities of our company or any other entity. We may issue warrants independently or together with other securities. Warrants sold with other securities may be attached to or separate from the other securities. We will issue warrants under one or more warrant agreements between us and a warrant agent that we will name in the prospectus supplement.</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common shares, preferred shares or other securities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if any, on and after which the warrants and the other security will be separately transferable;</w:t>
      </w:r>
    </w:p>
    <w:p>
      <w:pPr>
        <w:spacing w:after="0" w:line="75"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may sell the securities on a delayed or continuous basis in and outside the United States through underwriters or dealers as designated from time to time, directly to purchasers, through agents or through a combination of these methods.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and except as described below, the obligations of the underwriters to purchase the securities will be subject to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Underwriters may sell our common shares under this prospectus by any method permitted by law deemed to be an “at the market” offering as defined in Rule 415 under the Securities Act, which includes sales made directly on the NYSE, on any other existing trading market for our common shares or to or through a market maker, or in privately negotiated transactions. Unless we inform you otherwise in the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prospectus supplement the amount of any compensation to be received by the sales agent.</w:t>
      </w:r>
    </w:p>
    <w:p>
      <w:pPr>
        <w:spacing w:after="0" w:line="19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Remarketing</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offer and sell any of the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will be identified in the applicable prospectus supplement or in a post-effective amendment to the registration statement of which this prospectus forms a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legal matters in connection with the warrants and debt securities offered by this prospectus will be passed upon for us by Baker Botts L.L.P., Houston, Texas. Certain legal matters in connection with the common shares and preferred shares offered by this prospectus will be passed upon for us by Dentons Canada LLP, Vancouver, British Columbia, Canada. Any underwriters will be advised about other issues relating to any offering by their own legal counsel.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The consolidated financial statements of Civeo Corporation appearing in Civeo Corporation’s Annual Report on Form 10-K for the year ended December 31, 2015, and the effectiveness of Civeo Corporation’s internal control over financial reporting as of December 31, 2015 have been audited by Ernst &amp; Young LLP, an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we file annual, quarterly and other reports, proxy statements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 13(a), 13(c), 14 or 15(d) of the Securities Exchange Act of 1934 (excluding information deemed to be furnished and not filed with the SEC) until all offerings under this registration statement are completed or terminated:</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(the “Form 10-K”);</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2016 annual and special general meeting of shareholders to the extent incorporated by reference in Part III of the Form 10-K;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reports on Form 10-Q filed on April 28, 2016 and July 29, 2016;</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24, 2016 (relating to the Second Amendment to Syndicated Facility Agreement), March 1, 2016 and May 13, 2016 (in each case, excluding information deemed to be furnished and not filed with the SEC); and</w:t>
      </w:r>
    </w:p>
    <w:p>
      <w:pPr>
        <w:spacing w:after="0" w:line="51" w:lineRule="exact"/>
        <w:rPr>
          <w:rFonts w:ascii="Arial" w:cs="Arial" w:eastAsia="Arial" w:hAnsi="Arial"/>
          <w:sz w:val="17"/>
          <w:szCs w:val="17"/>
          <w:color w:val="auto"/>
        </w:rPr>
      </w:pPr>
    </w:p>
    <w:p>
      <w:pPr>
        <w:ind w:left="900" w:right="5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Current Report on Form 8-K12B, filed on July 17, 2015, as that description may be updated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Suite 4980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(713) 510-2400</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0"/>
        <w:spacing w:after="0"/>
        <w:rPr>
          <w:sz w:val="20"/>
          <w:szCs w:val="20"/>
          <w:color w:val="auto"/>
        </w:rPr>
      </w:pPr>
      <w:r>
        <w:rPr>
          <w:rFonts w:ascii="Arial" w:cs="Arial" w:eastAsia="Arial" w:hAnsi="Arial"/>
          <w:sz w:val="28"/>
          <w:szCs w:val="28"/>
          <w:b w:val="1"/>
          <w:bCs w:val="1"/>
          <w:color w:val="auto"/>
        </w:rPr>
        <w:t>20,000,000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310515</wp:posOffset>
            </wp:positionV>
            <wp:extent cx="2478405" cy="12522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840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40"/>
        <w:spacing w:after="0"/>
        <w:tabs>
          <w:tab w:leader="none" w:pos="5740" w:val="left"/>
        </w:tabs>
        <w:rPr>
          <w:sz w:val="20"/>
          <w:szCs w:val="20"/>
          <w:color w:val="auto"/>
        </w:rPr>
      </w:pPr>
      <w:r>
        <w:rPr>
          <w:rFonts w:ascii="Arial" w:cs="Arial" w:eastAsia="Arial" w:hAnsi="Arial"/>
          <w:sz w:val="18"/>
          <w:szCs w:val="18"/>
          <w:color w:val="auto"/>
        </w:rPr>
        <w:t>P r o s p e c t u s</w:t>
      </w:r>
      <w:r>
        <w:rPr>
          <w:sz w:val="20"/>
          <w:szCs w:val="20"/>
          <w:color w:val="auto"/>
        </w:rPr>
        <w:tab/>
      </w:r>
      <w:r>
        <w:rPr>
          <w:rFonts w:ascii="Arial" w:cs="Arial" w:eastAsia="Arial" w:hAnsi="Arial"/>
          <w:sz w:val="15"/>
          <w:szCs w:val="15"/>
          <w:color w:val="auto"/>
        </w:rPr>
        <w:t>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88265</wp:posOffset>
            </wp:positionV>
            <wp:extent cx="13804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RBC C</w:t>
      </w:r>
      <w:r>
        <w:rPr>
          <w:rFonts w:ascii="Arial" w:cs="Arial" w:eastAsia="Arial" w:hAnsi="Arial"/>
          <w:sz w:val="27"/>
          <w:szCs w:val="27"/>
          <w:b w:val="1"/>
          <w:bCs w:val="1"/>
          <w:color w:val="auto"/>
        </w:rPr>
        <w:t>APITAL</w:t>
      </w:r>
      <w:r>
        <w:rPr>
          <w:rFonts w:ascii="Arial" w:cs="Arial" w:eastAsia="Arial" w:hAnsi="Arial"/>
          <w:sz w:val="32"/>
          <w:szCs w:val="32"/>
          <w:b w:val="1"/>
          <w:bCs w:val="1"/>
          <w:color w:val="auto"/>
        </w:rPr>
        <w:t xml:space="preserve"> M</w:t>
      </w:r>
      <w:r>
        <w:rPr>
          <w:rFonts w:ascii="Arial" w:cs="Arial" w:eastAsia="Arial" w:hAnsi="Arial"/>
          <w:sz w:val="27"/>
          <w:szCs w:val="27"/>
          <w:b w:val="1"/>
          <w:bCs w:val="1"/>
          <w:color w:val="auto"/>
        </w:rPr>
        <w:t>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60"/>
        <w:spacing w:after="0"/>
        <w:tabs>
          <w:tab w:leader="none" w:pos="5900" w:val="left"/>
        </w:tabs>
        <w:rPr>
          <w:sz w:val="20"/>
          <w:szCs w:val="20"/>
          <w:color w:val="auto"/>
        </w:rPr>
      </w:pPr>
      <w:r>
        <w:rPr>
          <w:rFonts w:ascii="Arial" w:cs="Arial" w:eastAsia="Arial" w:hAnsi="Arial"/>
          <w:sz w:val="18"/>
          <w:szCs w:val="18"/>
          <w:color w:val="auto"/>
        </w:rPr>
        <w:t>February</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3"/>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lvl w:ilvl="1">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2019-12-07T21:30:17Z</dcterms:created>
  <dcterms:modified xsi:type="dcterms:W3CDTF">2019-12-07T21:30:17Z</dcterms:modified>
</cp:coreProperties>
</file>