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3)*</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17878Y108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31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2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Credit Partners,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94"/>
              </w:rPr>
              <w:t>Delaware</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1,977,729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1,977,729</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1,977,729</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1.5%</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3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Credit Partners General Partner,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94"/>
              </w:rPr>
              <w:t>Delaware</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1,977,729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1,977,729</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1,977,729</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1.5%</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4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Credit Partners Master,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Cayman Islands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3,548,858</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3,548,858</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3,548,858</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2.7%</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5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80" w:type="dxa"/>
            <w:vAlign w:val="bottom"/>
            <w:tcBorders>
              <w:left w:val="single" w:sz="8" w:color="auto"/>
              <w:right w:val="single" w:sz="8" w:color="auto"/>
            </w:tcBorders>
          </w:tcPr>
          <w:p>
            <w:pPr>
              <w:spacing w:after="0"/>
              <w:rPr>
                <w:sz w:val="24"/>
                <w:szCs w:val="24"/>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Credit Partners Offshore General Partner, L.P.</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94"/>
              </w:rPr>
              <w:t>Delaware</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3,548,858</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3,548,858</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3,548,858</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2.7%</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6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80" w:type="dxa"/>
            <w:vAlign w:val="bottom"/>
            <w:tcBorders>
              <w:left w:val="single" w:sz="8" w:color="auto"/>
              <w:right w:val="single" w:sz="8" w:color="auto"/>
            </w:tcBorders>
          </w:tcPr>
          <w:p>
            <w:pPr>
              <w:spacing w:after="0"/>
              <w:rPr>
                <w:sz w:val="24"/>
                <w:szCs w:val="24"/>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Credit Cayman GP Ltd.</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Cayman Islands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5,526,587</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5,526,587</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5,526,587</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4.2%</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CO</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7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Special Credit Partners III,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94"/>
              </w:rPr>
              <w:t>Delaware</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307,676</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0.2%</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8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Centerbridge Special Credit Partners General Partner III,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94"/>
              </w:rPr>
              <w:t>Delaware</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307,676</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0.2%</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PN</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64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9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CSCP III Cayman GP Ltd.</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(a)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543"/>
              <w:spacing w:after="0" w:line="230" w:lineRule="exact"/>
              <w:rPr>
                <w:sz w:val="20"/>
                <w:szCs w:val="20"/>
                <w:color w:val="auto"/>
              </w:rPr>
            </w:pPr>
            <w:r>
              <w:rPr>
                <w:rFonts w:ascii="Arial" w:cs="Arial" w:eastAsia="Arial" w:hAnsi="Arial"/>
                <w:sz w:val="20"/>
                <w:szCs w:val="20"/>
                <w:color w:val="auto"/>
                <w:w w:val="87"/>
              </w:rPr>
              <w:t xml:space="preserve">(b) </w:t>
            </w:r>
            <w:r>
              <w:rPr>
                <w:rFonts w:ascii="MS PGothic" w:cs="MS PGothic" w:eastAsia="MS PGothic" w:hAnsi="MS PGothic"/>
                <w:sz w:val="20"/>
                <w:szCs w:val="20"/>
                <w:color w:val="auto"/>
                <w:w w:val="87"/>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Cayman Islands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6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64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64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6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64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4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6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640" w:type="dxa"/>
            <w:vAlign w:val="bottom"/>
          </w:tcPr>
          <w:p>
            <w:pPr>
              <w:ind w:left="420"/>
              <w:spacing w:after="0"/>
              <w:rPr>
                <w:sz w:val="20"/>
                <w:szCs w:val="20"/>
                <w:color w:val="auto"/>
              </w:rPr>
            </w:pPr>
            <w:r>
              <w:rPr>
                <w:rFonts w:ascii="Arial" w:cs="Arial" w:eastAsia="Arial" w:hAnsi="Arial"/>
                <w:sz w:val="20"/>
                <w:szCs w:val="20"/>
                <w:color w:val="auto"/>
              </w:rPr>
              <w:t>307,676</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307,676</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right w:val="single" w:sz="8" w:color="auto"/>
            </w:tcBorders>
          </w:tcPr>
          <w:p>
            <w:pPr>
              <w:jc w:val="center"/>
              <w:ind w:right="583"/>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0.2%</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CO</w:t>
            </w:r>
          </w:p>
        </w:tc>
        <w:tc>
          <w:tcPr>
            <w:tcW w:w="66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32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760" w:type="dxa"/>
            <w:vAlign w:val="bottom"/>
          </w:tcPr>
          <w:p>
            <w:pPr>
              <w:ind w:left="260"/>
              <w:spacing w:after="0"/>
              <w:rPr>
                <w:sz w:val="20"/>
                <w:szCs w:val="20"/>
                <w:color w:val="auto"/>
              </w:rPr>
            </w:pPr>
            <w:r>
              <w:rPr>
                <w:rFonts w:ascii="Arial" w:cs="Arial" w:eastAsia="Arial" w:hAnsi="Arial"/>
                <w:sz w:val="18"/>
                <w:szCs w:val="18"/>
                <w:b w:val="1"/>
                <w:bCs w:val="1"/>
                <w:color w:val="auto"/>
                <w:w w:val="84"/>
              </w:rPr>
              <w:t>Page 10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80" w:type="dxa"/>
            <w:vAlign w:val="bottom"/>
            <w:tcBorders>
              <w:left w:val="single" w:sz="8" w:color="auto"/>
              <w:right w:val="single" w:sz="8" w:color="auto"/>
            </w:tcBorders>
          </w:tcPr>
          <w:p>
            <w:pPr>
              <w:spacing w:after="0"/>
              <w:rPr>
                <w:sz w:val="24"/>
                <w:szCs w:val="24"/>
                <w:color w:val="auto"/>
              </w:rPr>
            </w:pPr>
          </w:p>
        </w:tc>
        <w:tc>
          <w:tcPr>
            <w:tcW w:w="7580" w:type="dxa"/>
            <w:vAlign w:val="bottom"/>
            <w:gridSpan w:val="2"/>
          </w:tcPr>
          <w:p>
            <w:pPr>
              <w:ind w:left="420"/>
              <w:spacing w:after="0"/>
              <w:rPr>
                <w:sz w:val="20"/>
                <w:szCs w:val="20"/>
                <w:color w:val="auto"/>
              </w:rPr>
            </w:pPr>
            <w:r>
              <w:rPr>
                <w:rFonts w:ascii="Arial" w:cs="Arial" w:eastAsia="Arial" w:hAnsi="Arial"/>
                <w:sz w:val="20"/>
                <w:szCs w:val="20"/>
                <w:color w:val="auto"/>
              </w:rPr>
              <w:t>Mark T. Gallogly</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5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760" w:type="dxa"/>
            <w:vAlign w:val="bottom"/>
            <w:tcBorders>
              <w:right w:val="single" w:sz="8" w:color="auto"/>
            </w:tcBorders>
          </w:tcPr>
          <w:p>
            <w:pPr>
              <w:ind w:left="5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ind w:left="5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5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580" w:type="dxa"/>
            <w:vAlign w:val="bottom"/>
            <w:gridSpan w:val="2"/>
          </w:tcPr>
          <w:p>
            <w:pPr>
              <w:ind w:left="420"/>
              <w:spacing w:after="0"/>
              <w:rPr>
                <w:sz w:val="20"/>
                <w:szCs w:val="20"/>
                <w:color w:val="auto"/>
              </w:rPr>
            </w:pPr>
            <w:r>
              <w:rPr>
                <w:rFonts w:ascii="Arial" w:cs="Arial" w:eastAsia="Arial" w:hAnsi="Arial"/>
                <w:sz w:val="20"/>
                <w:szCs w:val="20"/>
                <w:color w:val="auto"/>
              </w:rPr>
              <w:t>United States</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32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320" w:type="dxa"/>
            <w:vAlign w:val="bottom"/>
            <w:vMerge w:val="continue"/>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5,834,263</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320" w:type="dxa"/>
            <w:vAlign w:val="bottom"/>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320" w:type="dxa"/>
            <w:vAlign w:val="bottom"/>
            <w:vMerge w:val="continue"/>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320" w:type="dxa"/>
            <w:vAlign w:val="bottom"/>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20" w:type="dxa"/>
            <w:vAlign w:val="bottom"/>
            <w:vMerge w:val="continue"/>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5,834,263</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w w:val="98"/>
              </w:rPr>
              <w:t>AGGREGATE AMOUNT BENEFICIALLY OWNED BY EACH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5,834,263</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9340" w:type="dxa"/>
            <w:vAlign w:val="bottom"/>
            <w:tcBorders>
              <w:right w:val="single" w:sz="8" w:color="auto"/>
            </w:tcBorders>
            <w:gridSpan w:val="3"/>
          </w:tcPr>
          <w:p>
            <w:pPr>
              <w:ind w:left="100"/>
              <w:spacing w:after="0" w:line="230" w:lineRule="exact"/>
              <w:rPr>
                <w:sz w:val="20"/>
                <w:szCs w:val="20"/>
                <w:color w:val="auto"/>
              </w:rPr>
            </w:pPr>
            <w:r>
              <w:rPr>
                <w:rFonts w:ascii="Arial" w:cs="Arial" w:eastAsia="Arial" w:hAnsi="Arial"/>
                <w:sz w:val="20"/>
                <w:szCs w:val="20"/>
                <w:color w:val="auto"/>
              </w:rPr>
              <w:t xml:space="preserve">CHECK BOX IF THE AGGREGATE AMOUNT IN ROW (9) EXCLUDES CERTAIN SHARES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4.4%</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IN</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CUSIP No. 17878Y108</w:t>
            </w:r>
          </w:p>
        </w:tc>
        <w:tc>
          <w:tcPr>
            <w:tcW w:w="1260" w:type="dxa"/>
            <w:vAlign w:val="bottom"/>
          </w:tcPr>
          <w:p>
            <w:pPr>
              <w:spacing w:after="0"/>
              <w:rPr>
                <w:sz w:val="20"/>
                <w:szCs w:val="20"/>
                <w:color w:val="auto"/>
              </w:rPr>
            </w:pPr>
          </w:p>
        </w:tc>
        <w:tc>
          <w:tcPr>
            <w:tcW w:w="6320" w:type="dxa"/>
            <w:vAlign w:val="bottom"/>
          </w:tcPr>
          <w:p>
            <w:pPr>
              <w:ind w:left="2140"/>
              <w:spacing w:after="0"/>
              <w:rPr>
                <w:sz w:val="20"/>
                <w:szCs w:val="20"/>
                <w:color w:val="auto"/>
              </w:rPr>
            </w:pPr>
            <w:r>
              <w:rPr>
                <w:rFonts w:ascii="Arial" w:cs="Arial" w:eastAsia="Arial" w:hAnsi="Arial"/>
                <w:sz w:val="18"/>
                <w:szCs w:val="18"/>
                <w:b w:val="1"/>
                <w:bCs w:val="1"/>
                <w:color w:val="auto"/>
              </w:rPr>
              <w:t>13G/A</w:t>
            </w:r>
          </w:p>
        </w:tc>
        <w:tc>
          <w:tcPr>
            <w:tcW w:w="1760" w:type="dxa"/>
            <w:vAlign w:val="bottom"/>
          </w:tcPr>
          <w:p>
            <w:pPr>
              <w:ind w:left="280"/>
              <w:spacing w:after="0"/>
              <w:rPr>
                <w:sz w:val="20"/>
                <w:szCs w:val="20"/>
                <w:color w:val="auto"/>
              </w:rPr>
            </w:pPr>
            <w:r>
              <w:rPr>
                <w:rFonts w:ascii="Arial" w:cs="Arial" w:eastAsia="Arial" w:hAnsi="Arial"/>
                <w:sz w:val="18"/>
                <w:szCs w:val="18"/>
                <w:b w:val="1"/>
                <w:bCs w:val="1"/>
                <w:color w:val="auto"/>
                <w:w w:val="83"/>
              </w:rPr>
              <w:t>Page 11 of 17 Pages</w:t>
            </w:r>
          </w:p>
        </w:tc>
        <w:tc>
          <w:tcPr>
            <w:tcW w:w="0" w:type="dxa"/>
            <w:vAlign w:val="bottom"/>
          </w:tcPr>
          <w:p>
            <w:pPr>
              <w:spacing w:after="0"/>
              <w:rPr>
                <w:sz w:val="1"/>
                <w:szCs w:val="1"/>
                <w:color w:val="auto"/>
              </w:rPr>
            </w:pPr>
          </w:p>
        </w:tc>
      </w:tr>
      <w:tr>
        <w:trPr>
          <w:trHeight w:val="338"/>
        </w:trPr>
        <w:tc>
          <w:tcPr>
            <w:tcW w:w="20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80" w:type="dxa"/>
            <w:vAlign w:val="bottom"/>
            <w:tcBorders>
              <w:left w:val="single" w:sz="8" w:color="auto"/>
              <w:right w:val="single" w:sz="8" w:color="auto"/>
            </w:tcBorders>
          </w:tcPr>
          <w:p>
            <w:pPr>
              <w:spacing w:after="0"/>
              <w:rPr>
                <w:sz w:val="24"/>
                <w:szCs w:val="24"/>
                <w:color w:val="auto"/>
              </w:rPr>
            </w:pPr>
          </w:p>
        </w:tc>
        <w:tc>
          <w:tcPr>
            <w:tcW w:w="7580" w:type="dxa"/>
            <w:vAlign w:val="bottom"/>
            <w:gridSpan w:val="2"/>
          </w:tcPr>
          <w:p>
            <w:pPr>
              <w:ind w:left="420"/>
              <w:spacing w:after="0"/>
              <w:rPr>
                <w:sz w:val="20"/>
                <w:szCs w:val="20"/>
                <w:color w:val="auto"/>
              </w:rPr>
            </w:pPr>
            <w:r>
              <w:rPr>
                <w:rFonts w:ascii="Arial" w:cs="Arial" w:eastAsia="Arial" w:hAnsi="Arial"/>
                <w:sz w:val="20"/>
                <w:szCs w:val="20"/>
                <w:color w:val="auto"/>
              </w:rPr>
              <w:t>Jeffrey H. Aronson</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5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760" w:type="dxa"/>
            <w:vAlign w:val="bottom"/>
            <w:tcBorders>
              <w:right w:val="single" w:sz="8" w:color="auto"/>
            </w:tcBorders>
          </w:tcPr>
          <w:p>
            <w:pPr>
              <w:ind w:left="50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ind w:left="500"/>
              <w:spacing w:after="0" w:line="230"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5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580" w:type="dxa"/>
            <w:vAlign w:val="bottom"/>
            <w:gridSpan w:val="2"/>
          </w:tcPr>
          <w:p>
            <w:pPr>
              <w:ind w:left="420"/>
              <w:spacing w:after="0"/>
              <w:rPr>
                <w:sz w:val="20"/>
                <w:szCs w:val="20"/>
                <w:color w:val="auto"/>
              </w:rPr>
            </w:pPr>
            <w:r>
              <w:rPr>
                <w:rFonts w:ascii="Arial" w:cs="Arial" w:eastAsia="Arial" w:hAnsi="Arial"/>
                <w:sz w:val="20"/>
                <w:szCs w:val="20"/>
                <w:color w:val="auto"/>
              </w:rPr>
              <w:t>United States</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632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260" w:type="dxa"/>
            <w:vAlign w:val="bottom"/>
            <w:tcBorders>
              <w:right w:val="single" w:sz="8" w:color="auto"/>
            </w:tcBorders>
          </w:tcPr>
          <w:p>
            <w:pPr>
              <w:spacing w:after="0"/>
              <w:rPr>
                <w:sz w:val="21"/>
                <w:szCs w:val="21"/>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60" w:type="dxa"/>
            <w:vAlign w:val="bottom"/>
            <w:tcBorders>
              <w:right w:val="single" w:sz="8" w:color="auto"/>
            </w:tcBorders>
            <w:vMerge w:val="continue"/>
          </w:tcPr>
          <w:p>
            <w:pPr>
              <w:spacing w:after="0"/>
              <w:rPr>
                <w:sz w:val="17"/>
                <w:szCs w:val="17"/>
                <w:color w:val="auto"/>
              </w:rPr>
            </w:pPr>
          </w:p>
        </w:tc>
        <w:tc>
          <w:tcPr>
            <w:tcW w:w="6320" w:type="dxa"/>
            <w:vAlign w:val="bottom"/>
            <w:vMerge w:val="continue"/>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60" w:type="dxa"/>
            <w:vAlign w:val="bottom"/>
            <w:tcBorders>
              <w:right w:val="single" w:sz="8" w:color="auto"/>
            </w:tcBorders>
          </w:tcPr>
          <w:p>
            <w:pPr>
              <w:spacing w:after="0"/>
              <w:rPr>
                <w:sz w:val="22"/>
                <w:szCs w:val="22"/>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5,834,263</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60" w:type="dxa"/>
            <w:vAlign w:val="bottom"/>
            <w:tcBorders>
              <w:bottom w:val="single" w:sz="8" w:color="auto"/>
              <w:right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60" w:type="dxa"/>
            <w:vAlign w:val="bottom"/>
            <w:tcBorders>
              <w:right w:val="single" w:sz="8" w:color="auto"/>
            </w:tcBorders>
            <w:vMerge w:val="continue"/>
          </w:tcPr>
          <w:p>
            <w:pPr>
              <w:spacing w:after="0"/>
              <w:rPr>
                <w:sz w:val="12"/>
                <w:szCs w:val="12"/>
                <w:color w:val="auto"/>
              </w:rPr>
            </w:pPr>
          </w:p>
        </w:tc>
        <w:tc>
          <w:tcPr>
            <w:tcW w:w="6320" w:type="dxa"/>
            <w:vAlign w:val="bottom"/>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632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60" w:type="dxa"/>
            <w:vAlign w:val="bottom"/>
            <w:tcBorders>
              <w:right w:val="single" w:sz="8" w:color="auto"/>
            </w:tcBorders>
          </w:tcPr>
          <w:p>
            <w:pPr>
              <w:spacing w:after="0"/>
              <w:rPr>
                <w:sz w:val="14"/>
                <w:szCs w:val="14"/>
                <w:color w:val="auto"/>
              </w:rPr>
            </w:pPr>
          </w:p>
        </w:tc>
        <w:tc>
          <w:tcPr>
            <w:tcW w:w="6320" w:type="dxa"/>
            <w:vAlign w:val="bottom"/>
            <w:vMerge w:val="continue"/>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320" w:type="dxa"/>
            <w:vAlign w:val="bottom"/>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3"/>
              </w:rPr>
              <w:t>PERSON WITH</w:t>
            </w:r>
          </w:p>
        </w:tc>
        <w:tc>
          <w:tcPr>
            <w:tcW w:w="1260" w:type="dxa"/>
            <w:vAlign w:val="bottom"/>
            <w:tcBorders>
              <w:bottom w:val="single" w:sz="8" w:color="auto"/>
              <w:right w:val="single" w:sz="8" w:color="auto"/>
            </w:tcBorders>
          </w:tcPr>
          <w:p>
            <w:pPr>
              <w:spacing w:after="0"/>
              <w:rPr>
                <w:sz w:val="3"/>
                <w:szCs w:val="3"/>
                <w:color w:val="auto"/>
              </w:rPr>
            </w:pPr>
          </w:p>
        </w:tc>
        <w:tc>
          <w:tcPr>
            <w:tcW w:w="6320" w:type="dxa"/>
            <w:vAlign w:val="bottom"/>
            <w:tcBorders>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632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20" w:type="dxa"/>
            <w:vAlign w:val="bottom"/>
            <w:vMerge w:val="continue"/>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320" w:type="dxa"/>
            <w:vAlign w:val="bottom"/>
          </w:tcPr>
          <w:p>
            <w:pPr>
              <w:ind w:left="420"/>
              <w:spacing w:after="0"/>
              <w:rPr>
                <w:sz w:val="20"/>
                <w:szCs w:val="20"/>
                <w:color w:val="auto"/>
              </w:rPr>
            </w:pPr>
            <w:r>
              <w:rPr>
                <w:rFonts w:ascii="Arial" w:cs="Arial" w:eastAsia="Arial" w:hAnsi="Arial"/>
                <w:sz w:val="20"/>
                <w:szCs w:val="20"/>
                <w:color w:val="auto"/>
              </w:rPr>
              <w:t>5,834,263</w:t>
            </w: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w w:val="98"/>
              </w:rPr>
              <w:t>AGGREGATE AMOUNT BENEFICIALLY OWNED BY EACH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w w:val="89"/>
              </w:rPr>
              <w:t>5,834,263</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9340" w:type="dxa"/>
            <w:vAlign w:val="bottom"/>
            <w:tcBorders>
              <w:right w:val="single" w:sz="8" w:color="auto"/>
            </w:tcBorders>
            <w:gridSpan w:val="3"/>
          </w:tcPr>
          <w:p>
            <w:pPr>
              <w:ind w:left="100"/>
              <w:spacing w:after="0" w:line="230" w:lineRule="exact"/>
              <w:rPr>
                <w:sz w:val="20"/>
                <w:szCs w:val="20"/>
                <w:color w:val="auto"/>
              </w:rPr>
            </w:pPr>
            <w:r>
              <w:rPr>
                <w:rFonts w:ascii="Arial" w:cs="Arial" w:eastAsia="Arial" w:hAnsi="Arial"/>
                <w:sz w:val="20"/>
                <w:szCs w:val="20"/>
                <w:color w:val="auto"/>
              </w:rPr>
              <w:t xml:space="preserve">CHECK BOX IF THE AGGREGATE AMOUNT IN ROW (9) EXCLUDES CERTAIN SHARES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82"/>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4.4%</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260" w:type="dxa"/>
            <w:vAlign w:val="bottom"/>
          </w:tcPr>
          <w:p>
            <w:pPr>
              <w:ind w:left="420"/>
              <w:spacing w:after="0"/>
              <w:rPr>
                <w:sz w:val="20"/>
                <w:szCs w:val="20"/>
                <w:color w:val="auto"/>
              </w:rPr>
            </w:pPr>
            <w:r>
              <w:rPr>
                <w:rFonts w:ascii="Arial" w:cs="Arial" w:eastAsia="Arial" w:hAnsi="Arial"/>
                <w:sz w:val="20"/>
                <w:szCs w:val="20"/>
                <w:color w:val="auto"/>
              </w:rPr>
              <w:t>IN</w:t>
            </w:r>
          </w:p>
        </w:tc>
        <w:tc>
          <w:tcPr>
            <w:tcW w:w="632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1" w:name="page12"/>
    <w:bookmarkEnd w:id="1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12 of 17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00" w:type="dxa"/>
            <w:vAlign w:val="bottom"/>
            <w:gridSpan w:val="24"/>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rPr>
              <w:t>The name of the issuer is Civeo Corporation (the "Company").</w:t>
            </w:r>
          </w:p>
        </w:tc>
      </w:tr>
      <w:tr>
        <w:trPr>
          <w:trHeight w:val="20"/>
        </w:trPr>
        <w:tc>
          <w:tcPr>
            <w:tcW w:w="12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00" w:type="dxa"/>
            <w:vAlign w:val="bottom"/>
            <w:gridSpan w:val="2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w w:val="92"/>
              </w:rPr>
              <w:t>The Company's principal executive offices are located at Three Allen Center, 333 Clay Street, Suite 4980, Houston,</w:t>
            </w:r>
          </w:p>
        </w:tc>
      </w:tr>
      <w:tr>
        <w:trPr>
          <w:trHeight w:val="250"/>
        </w:trPr>
        <w:tc>
          <w:tcPr>
            <w:tcW w:w="1280" w:type="dxa"/>
            <w:vAlign w:val="bottom"/>
          </w:tcPr>
          <w:p>
            <w:pPr>
              <w:spacing w:after="0"/>
              <w:rPr>
                <w:sz w:val="21"/>
                <w:szCs w:val="21"/>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rPr>
              <w:t>Texas 77002.</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00" w:type="dxa"/>
            <w:vAlign w:val="bottom"/>
            <w:gridSpan w:val="24"/>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5"/>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23"/>
          </w:tcPr>
          <w:p>
            <w:pPr>
              <w:ind w:left="120"/>
              <w:spacing w:after="0"/>
              <w:rPr>
                <w:sz w:val="20"/>
                <w:szCs w:val="20"/>
                <w:color w:val="auto"/>
              </w:rPr>
            </w:pPr>
            <w:r>
              <w:rPr>
                <w:rFonts w:ascii="Arial" w:cs="Arial" w:eastAsia="Arial" w:hAnsi="Arial"/>
                <w:sz w:val="20"/>
                <w:szCs w:val="20"/>
                <w:color w:val="auto"/>
                <w:w w:val="87"/>
              </w:rPr>
              <w:t>Centerbridge Credit Partners, L.P., a Delaware limited partnership ("CCP"), with respect to the Common Shares</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20" w:type="dxa"/>
            <w:vAlign w:val="bottom"/>
            <w:gridSpan w:val="7"/>
          </w:tcPr>
          <w:p>
            <w:pPr>
              <w:ind w:left="120"/>
              <w:spacing w:after="0"/>
              <w:rPr>
                <w:sz w:val="20"/>
                <w:szCs w:val="20"/>
                <w:color w:val="auto"/>
              </w:rPr>
            </w:pPr>
            <w:r>
              <w:rPr>
                <w:rFonts w:ascii="Arial" w:cs="Arial" w:eastAsia="Arial" w:hAnsi="Arial"/>
                <w:sz w:val="20"/>
                <w:szCs w:val="20"/>
                <w:color w:val="auto"/>
              </w:rPr>
              <w:t>(as defined in Item 2(d) below) beneficially owned by it;</w:t>
            </w:r>
          </w:p>
        </w:tc>
        <w:tc>
          <w:tcPr>
            <w:tcW w:w="360" w:type="dxa"/>
            <w:vAlign w:val="bottom"/>
            <w:tcBorders>
              <w:top w:val="single" w:sz="8" w:color="auto"/>
            </w:tcBorders>
            <w:gridSpan w:val="3"/>
          </w:tcPr>
          <w:p>
            <w:pPr>
              <w:spacing w:after="0"/>
              <w:rPr>
                <w:sz w:val="20"/>
                <w:szCs w:val="20"/>
                <w:color w:val="auto"/>
              </w:rPr>
            </w:pPr>
          </w:p>
        </w:tc>
        <w:tc>
          <w:tcPr>
            <w:tcW w:w="3000" w:type="dxa"/>
            <w:vAlign w:val="bottom"/>
            <w:gridSpan w:val="13"/>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(ii)</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91"/>
              </w:rPr>
              <w:t>Centerbridge Credit Partners General Partner, L.P., a Delaware limited partnership ("CCPGP"), as general</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80" w:type="dxa"/>
            <w:vAlign w:val="bottom"/>
            <w:gridSpan w:val="13"/>
          </w:tcPr>
          <w:p>
            <w:pPr>
              <w:ind w:left="120"/>
              <w:spacing w:after="0"/>
              <w:rPr>
                <w:sz w:val="20"/>
                <w:szCs w:val="20"/>
                <w:color w:val="auto"/>
              </w:rPr>
            </w:pPr>
            <w:r>
              <w:rPr>
                <w:rFonts w:ascii="Arial" w:cs="Arial" w:eastAsia="Arial" w:hAnsi="Arial"/>
                <w:sz w:val="20"/>
                <w:szCs w:val="20"/>
                <w:color w:val="auto"/>
                <w:w w:val="91"/>
              </w:rPr>
              <w:t>partner of CCP, with respect to the Common Shares beneficially owned by CCP;</w:t>
            </w:r>
          </w:p>
        </w:tc>
        <w:tc>
          <w:tcPr>
            <w:tcW w:w="620" w:type="dxa"/>
            <w:vAlign w:val="bottom"/>
            <w:tcBorders>
              <w:top w:val="single" w:sz="8" w:color="auto"/>
            </w:tcBorders>
            <w:gridSpan w:val="4"/>
          </w:tcPr>
          <w:p>
            <w:pPr>
              <w:spacing w:after="0"/>
              <w:rPr>
                <w:sz w:val="20"/>
                <w:szCs w:val="20"/>
                <w:color w:val="auto"/>
              </w:rPr>
            </w:pPr>
          </w:p>
        </w:tc>
        <w:tc>
          <w:tcPr>
            <w:tcW w:w="1480" w:type="dxa"/>
            <w:vAlign w:val="bottom"/>
            <w:gridSpan w:val="6"/>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(iii)</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91"/>
              </w:rPr>
              <w:t>Centerbridge Credit Partners Master, L.P., a Cayman Islands exempted limited partnership ("CCPM"), with</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300" w:type="dxa"/>
            <w:vAlign w:val="bottom"/>
            <w:gridSpan w:val="17"/>
          </w:tcPr>
          <w:p>
            <w:pPr>
              <w:ind w:left="120"/>
              <w:spacing w:after="0"/>
              <w:rPr>
                <w:sz w:val="20"/>
                <w:szCs w:val="20"/>
                <w:color w:val="auto"/>
              </w:rPr>
            </w:pPr>
            <w:r>
              <w:rPr>
                <w:rFonts w:ascii="Arial" w:cs="Arial" w:eastAsia="Arial" w:hAnsi="Arial"/>
                <w:sz w:val="20"/>
                <w:szCs w:val="20"/>
                <w:color w:val="auto"/>
              </w:rPr>
              <w:t>respect to the Common Shares beneficially owned by it;</w:t>
            </w:r>
          </w:p>
        </w:tc>
        <w:tc>
          <w:tcPr>
            <w:tcW w:w="540" w:type="dxa"/>
            <w:vAlign w:val="bottom"/>
            <w:tcBorders>
              <w:top w:val="single" w:sz="8" w:color="auto"/>
            </w:tcBorders>
            <w:gridSpan w:val="3"/>
          </w:tcPr>
          <w:p>
            <w:pPr>
              <w:spacing w:after="0"/>
              <w:rPr>
                <w:sz w:val="20"/>
                <w:szCs w:val="20"/>
                <w:color w:val="auto"/>
              </w:rPr>
            </w:pPr>
          </w:p>
        </w:tc>
        <w:tc>
          <w:tcPr>
            <w:tcW w:w="940" w:type="dxa"/>
            <w:vAlign w:val="bottom"/>
            <w:gridSpan w:val="3"/>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(iv)</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88"/>
              </w:rPr>
              <w:t>Centerbridge Credit Partners Offshore General Partner, L.P., a Delaware limited partnership ("CCPOGP"), with</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0" w:type="dxa"/>
            <w:vAlign w:val="bottom"/>
            <w:gridSpan w:val="18"/>
          </w:tcPr>
          <w:p>
            <w:pPr>
              <w:ind w:left="120"/>
              <w:spacing w:after="0"/>
              <w:rPr>
                <w:sz w:val="20"/>
                <w:szCs w:val="20"/>
                <w:color w:val="auto"/>
              </w:rPr>
            </w:pPr>
            <w:r>
              <w:rPr>
                <w:rFonts w:ascii="Arial" w:cs="Arial" w:eastAsia="Arial" w:hAnsi="Arial"/>
                <w:sz w:val="20"/>
                <w:szCs w:val="20"/>
                <w:color w:val="auto"/>
              </w:rPr>
              <w:t>respect to the Common Shares beneficially owned by CCPM;</w:t>
            </w:r>
          </w:p>
        </w:tc>
        <w:tc>
          <w:tcPr>
            <w:tcW w:w="760" w:type="dxa"/>
            <w:vAlign w:val="bottom"/>
            <w:tcBorders>
              <w:top w:val="single" w:sz="8" w:color="auto"/>
            </w:tcBorders>
            <w:gridSpan w:val="3"/>
          </w:tcPr>
          <w:p>
            <w:pPr>
              <w:spacing w:after="0"/>
              <w:rPr>
                <w:sz w:val="20"/>
                <w:szCs w:val="20"/>
                <w:color w:val="auto"/>
              </w:rPr>
            </w:pPr>
          </w:p>
        </w:tc>
        <w:tc>
          <w:tcPr>
            <w:tcW w:w="620" w:type="dxa"/>
            <w:vAlign w:val="bottom"/>
            <w:gridSpan w:val="2"/>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88"/>
              </w:rPr>
              <w:t>Centerbridge Credit Cayman GP Ltd., a Cayman Islands exempted company ("CCCGP") as general partner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80" w:type="dxa"/>
            <w:vAlign w:val="bottom"/>
            <w:gridSpan w:val="23"/>
          </w:tcPr>
          <w:p>
            <w:pPr>
              <w:ind w:left="120"/>
              <w:spacing w:after="0"/>
              <w:rPr>
                <w:sz w:val="20"/>
                <w:szCs w:val="20"/>
                <w:color w:val="auto"/>
              </w:rPr>
            </w:pPr>
            <w:r>
              <w:rPr>
                <w:rFonts w:ascii="Arial" w:cs="Arial" w:eastAsia="Arial" w:hAnsi="Arial"/>
                <w:sz w:val="20"/>
                <w:szCs w:val="20"/>
                <w:color w:val="auto"/>
                <w:w w:val="90"/>
              </w:rPr>
              <w:t>each of CCPGP and CCPOGP, with respect to the Common Shares beneficially owned by CCP and CCPM;</w:t>
            </w: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90"/>
              </w:rPr>
              <w:t>Centerbridge Special Credit Partners III, L.P., a Delaware limited partnership ("CSCPIII"), with respect to the</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80" w:type="dxa"/>
            <w:vAlign w:val="bottom"/>
            <w:gridSpan w:val="11"/>
          </w:tcPr>
          <w:p>
            <w:pPr>
              <w:ind w:left="120"/>
              <w:spacing w:after="0"/>
              <w:rPr>
                <w:sz w:val="20"/>
                <w:szCs w:val="20"/>
                <w:color w:val="auto"/>
              </w:rPr>
            </w:pPr>
            <w:r>
              <w:rPr>
                <w:rFonts w:ascii="Arial" w:cs="Arial" w:eastAsia="Arial" w:hAnsi="Arial"/>
                <w:sz w:val="20"/>
                <w:szCs w:val="20"/>
                <w:color w:val="auto"/>
              </w:rPr>
              <w:t>Common Shares beneficially owned by it;</w:t>
            </w:r>
          </w:p>
        </w:tc>
        <w:tc>
          <w:tcPr>
            <w:tcW w:w="660" w:type="dxa"/>
            <w:vAlign w:val="bottom"/>
            <w:tcBorders>
              <w:top w:val="single" w:sz="8" w:color="auto"/>
            </w:tcBorders>
            <w:gridSpan w:val="4"/>
          </w:tcPr>
          <w:p>
            <w:pPr>
              <w:spacing w:after="0"/>
              <w:rPr>
                <w:sz w:val="20"/>
                <w:szCs w:val="20"/>
                <w:color w:val="auto"/>
              </w:rPr>
            </w:pPr>
          </w:p>
        </w:tc>
        <w:tc>
          <w:tcPr>
            <w:tcW w:w="1840" w:type="dxa"/>
            <w:vAlign w:val="bottom"/>
            <w:gridSpan w:val="8"/>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(vii)</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89"/>
              </w:rPr>
              <w:t>Centerbridge Special Credit Partners General Partner III, L.P., a Delaware limited partnership ("CSCPGPIII"),</w:t>
            </w: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40" w:type="dxa"/>
            <w:vAlign w:val="bottom"/>
            <w:gridSpan w:val="19"/>
          </w:tcPr>
          <w:p>
            <w:pPr>
              <w:ind w:left="120"/>
              <w:spacing w:after="0"/>
              <w:rPr>
                <w:sz w:val="20"/>
                <w:szCs w:val="20"/>
                <w:color w:val="auto"/>
              </w:rPr>
            </w:pPr>
            <w:r>
              <w:rPr>
                <w:rFonts w:ascii="Arial" w:cs="Arial" w:eastAsia="Arial" w:hAnsi="Arial"/>
                <w:sz w:val="20"/>
                <w:szCs w:val="20"/>
                <w:color w:val="auto"/>
              </w:rPr>
              <w:t>with respect to the Common Shares beneficially owned by CSCPIII;</w:t>
            </w:r>
          </w:p>
        </w:tc>
        <w:tc>
          <w:tcPr>
            <w:tcW w:w="920" w:type="dxa"/>
            <w:vAlign w:val="bottom"/>
            <w:tcBorders>
              <w:top w:val="single" w:sz="8" w:color="auto"/>
            </w:tcBorders>
            <w:gridSpan w:val="3"/>
          </w:tcPr>
          <w:p>
            <w:pPr>
              <w:spacing w:after="0"/>
              <w:rPr>
                <w:sz w:val="20"/>
                <w:szCs w:val="20"/>
                <w:color w:val="auto"/>
              </w:rPr>
            </w:pPr>
          </w:p>
        </w:tc>
        <w:tc>
          <w:tcPr>
            <w:tcW w:w="320" w:type="dxa"/>
            <w:vAlign w:val="bottom"/>
          </w:tcPr>
          <w:p>
            <w:pPr>
              <w:spacing w:after="0"/>
              <w:rPr>
                <w:sz w:val="20"/>
                <w:szCs w:val="20"/>
                <w:color w:val="auto"/>
              </w:rPr>
            </w:pP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(viii)</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93"/>
              </w:rPr>
              <w:t>CSCP III Cayman GP Ltd., a Cayman Islands exempted company ("CSCPIIICGP") as general partner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80" w:type="dxa"/>
            <w:vAlign w:val="bottom"/>
            <w:gridSpan w:val="23"/>
          </w:tcPr>
          <w:p>
            <w:pPr>
              <w:ind w:left="120"/>
              <w:spacing w:after="0"/>
              <w:rPr>
                <w:sz w:val="20"/>
                <w:szCs w:val="20"/>
                <w:color w:val="auto"/>
              </w:rPr>
            </w:pPr>
            <w:r>
              <w:rPr>
                <w:rFonts w:ascii="Arial" w:cs="Arial" w:eastAsia="Arial" w:hAnsi="Arial"/>
                <w:sz w:val="20"/>
                <w:szCs w:val="20"/>
                <w:color w:val="auto"/>
              </w:rPr>
              <w:t>CSCPGPIII, with respect to the Common Shares beneficially owned by CSCPIII;</w:t>
            </w: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(ix)</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89"/>
              </w:rPr>
              <w:t>Mark T. Gallogly ("Mr. Gallogly"), a United States citizen, who indirectly, through various intermediate entities</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80" w:type="dxa"/>
            <w:vAlign w:val="bottom"/>
            <w:gridSpan w:val="23"/>
          </w:tcPr>
          <w:p>
            <w:pPr>
              <w:ind w:left="120"/>
              <w:spacing w:after="0"/>
              <w:rPr>
                <w:sz w:val="20"/>
                <w:szCs w:val="20"/>
                <w:color w:val="auto"/>
              </w:rPr>
            </w:pPr>
            <w:r>
              <w:rPr>
                <w:rFonts w:ascii="Arial" w:cs="Arial" w:eastAsia="Arial" w:hAnsi="Arial"/>
                <w:sz w:val="20"/>
                <w:szCs w:val="20"/>
                <w:color w:val="auto"/>
              </w:rPr>
              <w:t>controls CCP , CCPM and CSCPIII; and</w:t>
            </w:r>
          </w:p>
        </w:tc>
      </w:tr>
      <w:tr>
        <w:trPr>
          <w:trHeight w:val="206"/>
        </w:trPr>
        <w:tc>
          <w:tcPr>
            <w:tcW w:w="1280" w:type="dxa"/>
            <w:vAlign w:val="bottom"/>
          </w:tcPr>
          <w:p>
            <w:pPr>
              <w:spacing w:after="0"/>
              <w:rPr>
                <w:sz w:val="17"/>
                <w:szCs w:val="17"/>
                <w:color w:val="auto"/>
              </w:rPr>
            </w:pPr>
          </w:p>
        </w:tc>
        <w:tc>
          <w:tcPr>
            <w:tcW w:w="1120" w:type="dxa"/>
            <w:vAlign w:val="bottom"/>
          </w:tcPr>
          <w:p>
            <w:pPr>
              <w:ind w:left="440"/>
              <w:spacing w:after="0" w:line="206" w:lineRule="exact"/>
              <w:rPr>
                <w:sz w:val="20"/>
                <w:szCs w:val="20"/>
                <w:color w:val="auto"/>
              </w:rPr>
            </w:pPr>
            <w:r>
              <w:rPr>
                <w:rFonts w:ascii="Arial" w:cs="Arial" w:eastAsia="Arial" w:hAnsi="Arial"/>
                <w:sz w:val="20"/>
                <w:szCs w:val="20"/>
                <w:color w:val="auto"/>
              </w:rPr>
              <w:t>(x)</w:t>
            </w:r>
          </w:p>
        </w:tc>
        <w:tc>
          <w:tcPr>
            <w:tcW w:w="8780" w:type="dxa"/>
            <w:vAlign w:val="bottom"/>
            <w:gridSpan w:val="23"/>
          </w:tcPr>
          <w:p>
            <w:pPr>
              <w:ind w:left="120"/>
              <w:spacing w:after="0" w:line="206" w:lineRule="exact"/>
              <w:rPr>
                <w:sz w:val="20"/>
                <w:szCs w:val="20"/>
                <w:color w:val="auto"/>
              </w:rPr>
            </w:pPr>
            <w:r>
              <w:rPr>
                <w:rFonts w:ascii="Arial" w:cs="Arial" w:eastAsia="Arial" w:hAnsi="Arial"/>
                <w:sz w:val="20"/>
                <w:szCs w:val="20"/>
                <w:color w:val="auto"/>
                <w:w w:val="94"/>
              </w:rPr>
              <w:t>Jeffrey H. Aronson ("Mr. Aronson"), a United States citizen, who indirectly, through various intermediate</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780" w:type="dxa"/>
            <w:vAlign w:val="bottom"/>
            <w:gridSpan w:val="23"/>
          </w:tcPr>
          <w:p>
            <w:pPr>
              <w:ind w:left="120"/>
              <w:spacing w:after="0"/>
              <w:rPr>
                <w:sz w:val="20"/>
                <w:szCs w:val="20"/>
                <w:color w:val="auto"/>
              </w:rPr>
            </w:pPr>
            <w:r>
              <w:rPr>
                <w:rFonts w:ascii="Arial" w:cs="Arial" w:eastAsia="Arial" w:hAnsi="Arial"/>
                <w:sz w:val="20"/>
                <w:szCs w:val="20"/>
                <w:color w:val="auto"/>
              </w:rPr>
              <w:t>entities controls CCP, CCPM and CSCP III.</w:t>
            </w:r>
          </w:p>
        </w:tc>
      </w:tr>
      <w:tr>
        <w:trPr>
          <w:trHeight w:val="415"/>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w w:val="94"/>
              </w:rPr>
              <w:t>herein with respect to persons other than the Reporting Persons are made on information and belief after making</w:t>
            </w:r>
          </w:p>
        </w:tc>
      </w:tr>
      <w:tr>
        <w:trPr>
          <w:trHeight w:val="250"/>
        </w:trPr>
        <w:tc>
          <w:tcPr>
            <w:tcW w:w="1280" w:type="dxa"/>
            <w:vAlign w:val="bottom"/>
          </w:tcPr>
          <w:p>
            <w:pPr>
              <w:spacing w:after="0"/>
              <w:rPr>
                <w:sz w:val="21"/>
                <w:szCs w:val="21"/>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00" w:type="dxa"/>
            <w:vAlign w:val="bottom"/>
            <w:gridSpan w:val="24"/>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80" w:type="dxa"/>
            <w:vAlign w:val="bottom"/>
          </w:tcPr>
          <w:p>
            <w:pPr>
              <w:spacing w:after="0"/>
              <w:rPr>
                <w:sz w:val="24"/>
                <w:szCs w:val="24"/>
                <w:color w:val="auto"/>
              </w:rPr>
            </w:pPr>
          </w:p>
        </w:tc>
        <w:tc>
          <w:tcPr>
            <w:tcW w:w="9900" w:type="dxa"/>
            <w:vAlign w:val="bottom"/>
            <w:gridSpan w:val="24"/>
          </w:tcPr>
          <w:p>
            <w:pPr>
              <w:ind w:left="440"/>
              <w:spacing w:after="0"/>
              <w:rPr>
                <w:sz w:val="20"/>
                <w:szCs w:val="20"/>
                <w:color w:val="auto"/>
              </w:rPr>
            </w:pPr>
            <w:r>
              <w:rPr>
                <w:rFonts w:ascii="Arial" w:cs="Arial" w:eastAsia="Arial" w:hAnsi="Arial"/>
                <w:sz w:val="20"/>
                <w:szCs w:val="20"/>
                <w:color w:val="auto"/>
                <w:w w:val="92"/>
              </w:rPr>
              <w:t>The address of the business office of each of the Reporting Persons is 375 Park Avenue, 12th Floor, New York, NY</w:t>
            </w:r>
          </w:p>
        </w:tc>
      </w:tr>
      <w:tr>
        <w:trPr>
          <w:trHeight w:val="250"/>
        </w:trPr>
        <w:tc>
          <w:tcPr>
            <w:tcW w:w="1280" w:type="dxa"/>
            <w:vAlign w:val="bottom"/>
          </w:tcPr>
          <w:p>
            <w:pPr>
              <w:spacing w:after="0"/>
              <w:rPr>
                <w:sz w:val="21"/>
                <w:szCs w:val="21"/>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10152.</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ectPr>
          <w:pgSz w:w="11900" w:h="16838" w:orient="portrait"/>
          <w:cols w:equalWidth="0" w:num="1">
            <w:col w:w="11420"/>
          </w:cols>
          <w:pgMar w:left="240" w:top="229" w:right="239" w:bottom="1440" w:gutter="0" w:footer="0" w:header="0"/>
          <w:type w:val="continuous"/>
        </w:sectPr>
      </w:pPr>
    </w:p>
    <w:bookmarkStart w:id="12" w:name="page13"/>
    <w:bookmarkEnd w:id="1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13 of 17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235" w:lineRule="exact"/>
        <w:rPr>
          <w:sz w:val="20"/>
          <w:szCs w:val="20"/>
          <w:color w:val="auto"/>
        </w:rPr>
      </w:pPr>
    </w:p>
    <w:p>
      <w:pPr>
        <w:ind w:left="1820" w:right="340"/>
        <w:spacing w:after="0" w:line="246" w:lineRule="auto"/>
        <w:rPr>
          <w:sz w:val="20"/>
          <w:szCs w:val="20"/>
          <w:color w:val="auto"/>
        </w:rPr>
      </w:pPr>
      <w:r>
        <w:rPr>
          <w:rFonts w:ascii="Arial" w:cs="Arial" w:eastAsia="Arial" w:hAnsi="Arial"/>
          <w:sz w:val="20"/>
          <w:szCs w:val="20"/>
          <w:color w:val="auto"/>
        </w:rPr>
        <w:t>CCP, CCPGP, CCPOGP, CSCPIII and CSCPGPIII are limited partnerships organized under the laws of the State of Delaware. CCPM is an exempted limited partnership organized under the laws of the Cayman Islands. CCCGP and CSCPIIICGP are exempted companies organized under the laws of the Cayman Islands. Messrs. Gallogly and Aronson are citizens of the United States.</w:t>
      </w:r>
    </w:p>
    <w:p>
      <w:pPr>
        <w:spacing w:after="0" w:line="19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80" w:type="dxa"/>
            <w:vAlign w:val="bottom"/>
          </w:tcPr>
          <w:p>
            <w:pPr>
              <w:spacing w:after="0"/>
              <w:rPr>
                <w:sz w:val="24"/>
                <w:szCs w:val="24"/>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color w:val="auto"/>
              </w:rPr>
              <w:t>Common Shares, no par value (the "Common Shares").</w:t>
            </w: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3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320" w:type="dxa"/>
            <w:vAlign w:val="bottom"/>
            <w:tcBorders>
              <w:top w:val="single" w:sz="8" w:color="auto"/>
            </w:tcBorders>
          </w:tcPr>
          <w:p>
            <w:pPr>
              <w:spacing w:after="0"/>
              <w:rPr>
                <w:sz w:val="24"/>
                <w:szCs w:val="24"/>
                <w:color w:val="auto"/>
              </w:rPr>
            </w:pPr>
          </w:p>
        </w:tc>
        <w:tc>
          <w:tcPr>
            <w:tcW w:w="526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Arial" w:cs="Arial" w:eastAsia="Arial" w:hAnsi="Arial"/>
                <w:sz w:val="20"/>
                <w:szCs w:val="20"/>
                <w:color w:val="auto"/>
              </w:rPr>
              <w:t>17878Y108</w:t>
            </w: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6"/>
        </w:trPr>
        <w:tc>
          <w:tcPr>
            <w:tcW w:w="1280" w:type="dxa"/>
            <w:vAlign w:val="bottom"/>
          </w:tcPr>
          <w:p>
            <w:pPr>
              <w:spacing w:after="0"/>
              <w:rPr>
                <w:sz w:val="22"/>
                <w:szCs w:val="22"/>
                <w:color w:val="auto"/>
              </w:rPr>
            </w:pPr>
          </w:p>
        </w:tc>
        <w:tc>
          <w:tcPr>
            <w:tcW w:w="994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the Investment Company Act;</w:t>
            </w:r>
          </w:p>
        </w:tc>
      </w:tr>
      <w:tr>
        <w:trPr>
          <w:trHeight w:val="481"/>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8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gridSpan w:val="3"/>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20" w:right="304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3" w:name="page14"/>
    <w:bookmarkEnd w:id="1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14 of 17 Pages</w:t>
      </w:r>
    </w:p>
    <w:p>
      <w:pPr>
        <w:sectPr>
          <w:pgSz w:w="11900" w:h="16838" w:orient="portrait"/>
          <w:cols w:equalWidth="0" w:num="1">
            <w:col w:w="11420"/>
          </w:cols>
          <w:pgMar w:left="240" w:top="229" w:right="239" w:bottom="1440" w:gutter="0" w:footer="0" w:header="0"/>
        </w:sectPr>
      </w:pPr>
    </w:p>
    <w:p>
      <w:pPr>
        <w:spacing w:after="0" w:line="248"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740" w:right="200"/>
        <w:spacing w:after="0" w:line="260" w:lineRule="auto"/>
        <w:rPr>
          <w:sz w:val="20"/>
          <w:szCs w:val="20"/>
          <w:color w:val="auto"/>
        </w:rPr>
      </w:pPr>
      <w:r>
        <w:rPr>
          <w:rFonts w:ascii="Arial" w:cs="Arial" w:eastAsia="Arial" w:hAnsi="Arial"/>
          <w:sz w:val="20"/>
          <w:szCs w:val="20"/>
          <w:color w:val="auto"/>
        </w:rPr>
        <w:t>This Schedule 13G/A reports beneficial ownership of the Common Shares beneficially owned by the Reporting Persons as of December 31, 2017.</w:t>
      </w:r>
    </w:p>
    <w:p>
      <w:pPr>
        <w:spacing w:after="0" w:line="190" w:lineRule="exact"/>
        <w:rPr>
          <w:sz w:val="20"/>
          <w:szCs w:val="20"/>
          <w:color w:val="auto"/>
        </w:rPr>
      </w:pPr>
    </w:p>
    <w:p>
      <w:pPr>
        <w:ind w:left="1740" w:hanging="818"/>
        <w:spacing w:after="0"/>
        <w:tabs>
          <w:tab w:leader="none" w:pos="1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Centerbridge Credit Partners, L.P. and Centerbridge Credit Partners General Partner, L.P.</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2"/>
        </w:numPr>
        <w:rPr>
          <w:rFonts w:ascii="Arial" w:cs="Arial" w:eastAsia="Arial" w:hAnsi="Arial"/>
          <w:sz w:val="20"/>
          <w:szCs w:val="20"/>
          <w:color w:val="auto"/>
        </w:rPr>
      </w:pPr>
      <w:r>
        <w:rPr>
          <w:rFonts w:ascii="Arial" w:cs="Arial" w:eastAsia="Arial" w:hAnsi="Arial"/>
          <w:sz w:val="20"/>
          <w:szCs w:val="20"/>
          <w:color w:val="auto"/>
        </w:rPr>
        <w:t>Amount beneficially owned: 1,977,729</w:t>
      </w:r>
    </w:p>
    <w:p>
      <w:pPr>
        <w:jc w:val="both"/>
        <w:ind w:left="2860" w:right="100" w:hanging="561"/>
        <w:spacing w:after="0" w:line="252" w:lineRule="auto"/>
        <w:tabs>
          <w:tab w:leader="none" w:pos="2860" w:val="left"/>
        </w:tabs>
        <w:numPr>
          <w:ilvl w:val="1"/>
          <w:numId w:val="2"/>
        </w:numPr>
        <w:rPr>
          <w:rFonts w:ascii="Arial" w:cs="Arial" w:eastAsia="Arial" w:hAnsi="Arial"/>
          <w:sz w:val="19"/>
          <w:szCs w:val="19"/>
          <w:color w:val="auto"/>
        </w:rPr>
      </w:pPr>
      <w:r>
        <w:rPr>
          <w:rFonts w:ascii="Arial" w:cs="Arial" w:eastAsia="Arial" w:hAnsi="Arial"/>
          <w:sz w:val="19"/>
          <w:szCs w:val="19"/>
          <w:color w:val="auto"/>
        </w:rPr>
        <w:t>Percent of class: 1.5%. The percentages used herein and in the rest of this Schedule 13G/A are calculated based upon the 132,259,000 Common Shares issued and outstanding as of October 23, 2017, as disclosed in the Company's Quarterly Report on Form 10-Q for the quarterly period ended September 30, 2017 filed with the Securities and Exchange Commission on October 26, 2017.</w:t>
      </w:r>
    </w:p>
    <w:p>
      <w:pPr>
        <w:ind w:left="2860" w:hanging="561"/>
        <w:spacing w:after="0"/>
        <w:tabs>
          <w:tab w:leader="none" w:pos="2860" w:val="left"/>
        </w:tabs>
        <w:numPr>
          <w:ilvl w:val="1"/>
          <w:numId w:val="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vote or direct the vote: 1,977,729</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1,977,729</w:t>
      </w:r>
    </w:p>
    <w:p>
      <w:pPr>
        <w:spacing w:after="0" w:line="227" w:lineRule="exact"/>
        <w:rPr>
          <w:sz w:val="20"/>
          <w:szCs w:val="20"/>
          <w:color w:val="auto"/>
        </w:rPr>
      </w:pPr>
    </w:p>
    <w:p>
      <w:pPr>
        <w:ind w:left="1720" w:right="140"/>
        <w:spacing w:after="0" w:line="274" w:lineRule="auto"/>
        <w:rPr>
          <w:sz w:val="20"/>
          <w:szCs w:val="20"/>
          <w:color w:val="auto"/>
        </w:rPr>
      </w:pPr>
      <w:r>
        <w:rPr>
          <w:rFonts w:ascii="Arial" w:cs="Arial" w:eastAsia="Arial" w:hAnsi="Arial"/>
          <w:sz w:val="18"/>
          <w:szCs w:val="18"/>
          <w:color w:val="auto"/>
        </w:rPr>
        <w:t>CCP has the power to dispose of and the power to vote the Common Shares beneficially owned by it, which powers may also be exercised by CCPGP, its general partner and by CCCGP, the general partner of CCPGP. Neither of CCPGP nor CCCGP directly owns any of the Common Shares. By reason of the provisions of Rule 13d-3 of the Act, each may be deemed to beneficially own the Common Shares beneficially owned by CCP. However, none of the foregoing should be construed in and of itself as an admission by CCPGP or CCCGP or by any Reporting Person as to beneficial ownership of the Common Shares owned by another Reporting Person. In addition, each of CCPGP and CCCGP expressly disclaims beneficial ownership of the Common Shares owned by CCP.</w:t>
      </w:r>
    </w:p>
    <w:p>
      <w:pPr>
        <w:spacing w:after="0" w:line="183" w:lineRule="exact"/>
        <w:rPr>
          <w:sz w:val="20"/>
          <w:szCs w:val="20"/>
          <w:color w:val="auto"/>
        </w:rPr>
      </w:pPr>
    </w:p>
    <w:p>
      <w:pPr>
        <w:ind w:left="1740" w:hanging="818"/>
        <w:spacing w:after="0"/>
        <w:tabs>
          <w:tab w:leader="none" w:pos="1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Centerbridge Credit Partners Master, L.P. and Centerbridge Credit Partners Offshore General Partner, L.P.</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Amount beneficially owned: 3,548,858</w:t>
      </w: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Percent of class: 2.7%</w:t>
      </w:r>
    </w:p>
    <w:p>
      <w:pPr>
        <w:ind w:left="2980" w:hanging="681"/>
        <w:spacing w:after="0"/>
        <w:tabs>
          <w:tab w:leader="none" w:pos="2980" w:val="left"/>
        </w:tabs>
        <w:numPr>
          <w:ilvl w:val="1"/>
          <w:numId w:val="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vote or direct the vote: 3,548,858</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672"/>
        <w:spacing w:after="0"/>
        <w:tabs>
          <w:tab w:leader="none" w:pos="364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3,548,858</w:t>
      </w:r>
    </w:p>
    <w:p>
      <w:pPr>
        <w:spacing w:after="0" w:line="213" w:lineRule="exact"/>
        <w:rPr>
          <w:sz w:val="20"/>
          <w:szCs w:val="20"/>
          <w:color w:val="auto"/>
        </w:rPr>
      </w:pPr>
    </w:p>
    <w:p>
      <w:pPr>
        <w:ind w:left="1720" w:right="180"/>
        <w:spacing w:after="0" w:line="274" w:lineRule="auto"/>
        <w:rPr>
          <w:sz w:val="20"/>
          <w:szCs w:val="20"/>
          <w:color w:val="auto"/>
        </w:rPr>
      </w:pPr>
      <w:r>
        <w:rPr>
          <w:rFonts w:ascii="Arial" w:cs="Arial" w:eastAsia="Arial" w:hAnsi="Arial"/>
          <w:sz w:val="18"/>
          <w:szCs w:val="18"/>
          <w:color w:val="auto"/>
        </w:rPr>
        <w:t>CCPM has the power to dispose of and the power to vote the Common Shares beneficially owned by it, which powers may also be exercised by CCPOGP, its general partner, and CCCGP, the general partner of CCPOGP. Neither CCPOGP nor CCCGP directly owns any of the Common Shares. By reason of the provisions of Rule 13d-3 of the Act, each may be deemed to beneficially own the Common Shares beneficially owned by CCPM. However, none of the foregoing should be construed in and of itself as an admission by CCPOGP or CCCGP or by any Reporting Person as to beneficial ownership of Common Shares owned by another Reporting Person. In addition, each of CCPOGP and CCCGP expressly disclaims beneficial ownership of Common Shares owned by CCPM.</w:t>
      </w:r>
    </w:p>
    <w:p>
      <w:pPr>
        <w:spacing w:after="0" w:line="183" w:lineRule="exact"/>
        <w:rPr>
          <w:sz w:val="20"/>
          <w:szCs w:val="20"/>
          <w:color w:val="auto"/>
        </w:rPr>
      </w:pPr>
    </w:p>
    <w:p>
      <w:pPr>
        <w:ind w:left="1740" w:hanging="818"/>
        <w:spacing w:after="0"/>
        <w:tabs>
          <w:tab w:leader="none" w:pos="1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Centerbridge Credit Cayman GP Ltd.</w:t>
      </w:r>
    </w:p>
    <w:p>
      <w:pPr>
        <w:spacing w:after="0" w:line="15" w:lineRule="exact"/>
        <w:rPr>
          <w:rFonts w:ascii="Arial" w:cs="Arial" w:eastAsia="Arial" w:hAnsi="Arial"/>
          <w:sz w:val="20"/>
          <w:szCs w:val="20"/>
          <w:color w:val="auto"/>
        </w:rPr>
      </w:pPr>
    </w:p>
    <w:p>
      <w:pPr>
        <w:ind w:left="2980" w:hanging="681"/>
        <w:spacing w:after="0"/>
        <w:tabs>
          <w:tab w:leader="none" w:pos="2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Amount beneficially owned: 5,526,587</w:t>
      </w:r>
    </w:p>
    <w:p>
      <w:pPr>
        <w:ind w:left="2980" w:hanging="681"/>
        <w:spacing w:after="0"/>
        <w:tabs>
          <w:tab w:leader="none" w:pos="2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Percent of class: 4.2%</w:t>
      </w:r>
    </w:p>
    <w:p>
      <w:pPr>
        <w:ind w:left="2980" w:hanging="681"/>
        <w:spacing w:after="0"/>
        <w:tabs>
          <w:tab w:leader="none" w:pos="2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640" w:hanging="672"/>
        <w:spacing w:after="0"/>
        <w:tabs>
          <w:tab w:leader="none" w:pos="3640" w:val="left"/>
        </w:tabs>
        <w:numPr>
          <w:ilvl w:val="2"/>
          <w:numId w:val="4"/>
        </w:numPr>
        <w:rPr>
          <w:rFonts w:ascii="Arial" w:cs="Arial" w:eastAsia="Arial" w:hAnsi="Arial"/>
          <w:sz w:val="20"/>
          <w:szCs w:val="20"/>
          <w:color w:val="auto"/>
        </w:rPr>
      </w:pPr>
      <w:r>
        <w:rPr>
          <w:rFonts w:ascii="Arial" w:cs="Arial" w:eastAsia="Arial" w:hAnsi="Arial"/>
          <w:sz w:val="20"/>
          <w:szCs w:val="20"/>
          <w:color w:val="auto"/>
        </w:rPr>
        <w:t>Shared power to vote or direct the vote: 5,526,587</w:t>
      </w:r>
    </w:p>
    <w:p>
      <w:pPr>
        <w:sectPr>
          <w:pgSz w:w="11900" w:h="16838" w:orient="portrait"/>
          <w:cols w:equalWidth="0" w:num="1">
            <w:col w:w="11420"/>
          </w:cols>
          <w:pgMar w:left="240" w:top="229" w:right="239" w:bottom="1440" w:gutter="0" w:footer="0" w:header="0"/>
          <w:type w:val="continuous"/>
        </w:sectPr>
      </w:pPr>
    </w:p>
    <w:bookmarkStart w:id="14" w:name="page15"/>
    <w:bookmarkEnd w:id="1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15 of 17 Pages</w:t>
      </w:r>
    </w:p>
    <w:p>
      <w:pPr>
        <w:sectPr>
          <w:pgSz w:w="11900" w:h="16838" w:orient="portrait"/>
          <w:cols w:equalWidth="0" w:num="1">
            <w:col w:w="11420"/>
          </w:cols>
          <w:pgMar w:left="240" w:top="229" w:right="239" w:bottom="1440" w:gutter="0" w:footer="0" w:header="0"/>
        </w:sectPr>
      </w:pPr>
    </w:p>
    <w:p>
      <w:pPr>
        <w:spacing w:after="0" w:line="348" w:lineRule="exact"/>
        <w:rPr>
          <w:sz w:val="20"/>
          <w:szCs w:val="20"/>
          <w:color w:val="auto"/>
        </w:rPr>
      </w:pPr>
    </w:p>
    <w:p>
      <w:pPr>
        <w:ind w:left="3640" w:hanging="672"/>
        <w:spacing w:after="0"/>
        <w:tabs>
          <w:tab w:leader="none" w:pos="3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pacing w:after="0" w:line="15" w:lineRule="exact"/>
        <w:rPr>
          <w:rFonts w:ascii="Arial" w:cs="Arial" w:eastAsia="Arial" w:hAnsi="Arial"/>
          <w:sz w:val="20"/>
          <w:szCs w:val="20"/>
          <w:color w:val="auto"/>
        </w:rPr>
      </w:pPr>
    </w:p>
    <w:p>
      <w:pPr>
        <w:ind w:left="3640" w:hanging="672"/>
        <w:spacing w:after="0"/>
        <w:tabs>
          <w:tab w:leader="none" w:pos="3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5,526,587</w:t>
      </w:r>
    </w:p>
    <w:p>
      <w:pPr>
        <w:spacing w:after="0" w:line="213" w:lineRule="exact"/>
        <w:rPr>
          <w:sz w:val="20"/>
          <w:szCs w:val="20"/>
          <w:color w:val="auto"/>
        </w:rPr>
      </w:pPr>
    </w:p>
    <w:p>
      <w:pPr>
        <w:ind w:left="1720" w:right="340"/>
        <w:spacing w:after="0" w:line="258" w:lineRule="auto"/>
        <w:rPr>
          <w:sz w:val="20"/>
          <w:szCs w:val="20"/>
          <w:color w:val="auto"/>
        </w:rPr>
      </w:pPr>
      <w:r>
        <w:rPr>
          <w:rFonts w:ascii="Arial" w:cs="Arial" w:eastAsia="Arial" w:hAnsi="Arial"/>
          <w:sz w:val="19"/>
          <w:szCs w:val="19"/>
          <w:color w:val="auto"/>
        </w:rPr>
        <w:t>CCCGP, the general partner of CCPGP and CCPOGP, the general partners of CCP and CCPM, respectively, has the power to dispose of and the power to vote the Common Shares beneficially owned by CCP and CCPM. CCCGP does not directly own any of the Common Shares. By reason of the provisions of Rule 13d-3 of the Act, CCCGP may be deemed to beneficially own the Common Shares beneficially owned by CCP and CCPM. However, none of the foregoing should be construed in and of itself as an admission by CCCGP or by any Reporting Person as to beneficial ownership of Common Shares owned by another Reporting Person. In addition, CCCGP expressly disclaims beneficial ownership of Common Shares owned by CCP and CCPM.</w:t>
      </w:r>
    </w:p>
    <w:p>
      <w:pPr>
        <w:spacing w:after="0" w:line="193" w:lineRule="exact"/>
        <w:rPr>
          <w:sz w:val="20"/>
          <w:szCs w:val="20"/>
          <w:color w:val="auto"/>
        </w:rPr>
      </w:pPr>
    </w:p>
    <w:p>
      <w:pPr>
        <w:ind w:left="1740" w:right="140" w:hanging="818"/>
        <w:spacing w:after="0" w:line="247" w:lineRule="auto"/>
        <w:tabs>
          <w:tab w:leader="none" w:pos="17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Centerbridge Special Credit Partners III, L.P., Centerbridge Special Credit Partners General Partner III, L.P. and CSCP III Cayman GP Ltd.</w:t>
      </w:r>
    </w:p>
    <w:p>
      <w:pPr>
        <w:spacing w:after="0" w:line="1" w:lineRule="exact"/>
        <w:rPr>
          <w:rFonts w:ascii="Arial" w:cs="Arial" w:eastAsia="Arial" w:hAnsi="Arial"/>
          <w:sz w:val="20"/>
          <w:szCs w:val="20"/>
          <w:color w:val="auto"/>
        </w:rPr>
      </w:pPr>
    </w:p>
    <w:p>
      <w:pPr>
        <w:ind w:left="2860" w:hanging="561"/>
        <w:spacing w:after="0"/>
        <w:tabs>
          <w:tab w:leader="none" w:pos="2860" w:val="left"/>
        </w:tabs>
        <w:numPr>
          <w:ilvl w:val="1"/>
          <w:numId w:val="6"/>
        </w:numPr>
        <w:rPr>
          <w:rFonts w:ascii="Arial" w:cs="Arial" w:eastAsia="Arial" w:hAnsi="Arial"/>
          <w:sz w:val="20"/>
          <w:szCs w:val="20"/>
          <w:color w:val="auto"/>
        </w:rPr>
      </w:pPr>
      <w:r>
        <w:rPr>
          <w:rFonts w:ascii="Arial" w:cs="Arial" w:eastAsia="Arial" w:hAnsi="Arial"/>
          <w:sz w:val="20"/>
          <w:szCs w:val="20"/>
          <w:color w:val="auto"/>
        </w:rPr>
        <w:t>Amount beneficially owned: 307,676</w:t>
      </w:r>
    </w:p>
    <w:p>
      <w:pPr>
        <w:ind w:left="2860" w:hanging="561"/>
        <w:spacing w:after="0"/>
        <w:tabs>
          <w:tab w:leader="none" w:pos="2860" w:val="left"/>
        </w:tabs>
        <w:numPr>
          <w:ilvl w:val="1"/>
          <w:numId w:val="6"/>
        </w:numPr>
        <w:rPr>
          <w:rFonts w:ascii="Arial" w:cs="Arial" w:eastAsia="Arial" w:hAnsi="Arial"/>
          <w:sz w:val="20"/>
          <w:szCs w:val="20"/>
          <w:color w:val="auto"/>
        </w:rPr>
      </w:pPr>
      <w:r>
        <w:rPr>
          <w:rFonts w:ascii="Arial" w:cs="Arial" w:eastAsia="Arial" w:hAnsi="Arial"/>
          <w:sz w:val="20"/>
          <w:szCs w:val="20"/>
          <w:color w:val="auto"/>
        </w:rPr>
        <w:t>Percent of class: 0.2%.</w:t>
      </w:r>
    </w:p>
    <w:p>
      <w:pPr>
        <w:ind w:left="2860" w:hanging="561"/>
        <w:spacing w:after="0"/>
        <w:tabs>
          <w:tab w:leader="none" w:pos="2860" w:val="left"/>
        </w:tabs>
        <w:numPr>
          <w:ilvl w:val="1"/>
          <w:numId w:val="6"/>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6"/>
        </w:numPr>
        <w:rPr>
          <w:rFonts w:ascii="Arial" w:cs="Arial" w:eastAsia="Arial" w:hAnsi="Arial"/>
          <w:sz w:val="20"/>
          <w:szCs w:val="20"/>
          <w:color w:val="auto"/>
        </w:rPr>
      </w:pPr>
      <w:r>
        <w:rPr>
          <w:rFonts w:ascii="Arial" w:cs="Arial" w:eastAsia="Arial" w:hAnsi="Arial"/>
          <w:sz w:val="20"/>
          <w:szCs w:val="20"/>
          <w:color w:val="auto"/>
        </w:rPr>
        <w:t>Shared power to vote or direct the vote: 307,676</w:t>
      </w:r>
    </w:p>
    <w:p>
      <w:pPr>
        <w:ind w:left="3540" w:hanging="673"/>
        <w:spacing w:after="0"/>
        <w:tabs>
          <w:tab w:leader="none" w:pos="3540" w:val="left"/>
        </w:tabs>
        <w:numPr>
          <w:ilvl w:val="2"/>
          <w:numId w:val="6"/>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6"/>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307,676</w:t>
      </w:r>
    </w:p>
    <w:p>
      <w:pPr>
        <w:spacing w:after="0" w:line="213" w:lineRule="exact"/>
        <w:rPr>
          <w:sz w:val="20"/>
          <w:szCs w:val="20"/>
          <w:color w:val="auto"/>
        </w:rPr>
      </w:pPr>
    </w:p>
    <w:p>
      <w:pPr>
        <w:ind w:left="1720" w:right="220"/>
        <w:spacing w:after="0" w:line="260" w:lineRule="auto"/>
        <w:rPr>
          <w:sz w:val="20"/>
          <w:szCs w:val="20"/>
          <w:color w:val="auto"/>
        </w:rPr>
      </w:pPr>
      <w:r>
        <w:rPr>
          <w:rFonts w:ascii="Arial" w:cs="Arial" w:eastAsia="Arial" w:hAnsi="Arial"/>
          <w:sz w:val="19"/>
          <w:szCs w:val="19"/>
          <w:color w:val="auto"/>
        </w:rPr>
        <w:t>CSCPIII has the power to dispose of and the power to vote the Common Shares beneficially owned by it, which powers may also be exercised by CSCPGPIII, its general partner and by CSCPIIICGP, the general partner of</w:t>
      </w:r>
    </w:p>
    <w:p>
      <w:pPr>
        <w:spacing w:after="0" w:line="2" w:lineRule="exact"/>
        <w:rPr>
          <w:sz w:val="20"/>
          <w:szCs w:val="20"/>
          <w:color w:val="auto"/>
        </w:rPr>
      </w:pPr>
    </w:p>
    <w:p>
      <w:pPr>
        <w:ind w:left="1720" w:right="220"/>
        <w:spacing w:after="0"/>
        <w:rPr>
          <w:sz w:val="20"/>
          <w:szCs w:val="20"/>
          <w:color w:val="auto"/>
        </w:rPr>
      </w:pPr>
      <w:r>
        <w:rPr>
          <w:rFonts w:ascii="Arial" w:cs="Arial" w:eastAsia="Arial" w:hAnsi="Arial"/>
          <w:sz w:val="20"/>
          <w:szCs w:val="20"/>
          <w:color w:val="auto"/>
        </w:rPr>
        <w:t>CSCPGPIII. Neither of CSCPGPIII nor CSCPIIICGP directly owns any of the Common Shares. By reason of the provisions of Rule 13d-3 of the Act, each may be deemed to beneficially own the Common Shares beneficially owned by CSCPIII. However, none of the foregoing should be construed in and of itself as an admission by CSCPGPIII or CSCPIIICGP or by any Reporting Person as to beneficial ownership of the Common Shares owned by another Reporting Person. In addition, each of CSCPGPIII and CSCPIIICGP expressly disclaims beneficial ownership of the Common Shares owned by CSCPIII.</w:t>
      </w:r>
    </w:p>
    <w:p>
      <w:pPr>
        <w:spacing w:after="0" w:line="211" w:lineRule="exact"/>
        <w:rPr>
          <w:sz w:val="20"/>
          <w:szCs w:val="20"/>
          <w:color w:val="auto"/>
        </w:rPr>
      </w:pPr>
    </w:p>
    <w:p>
      <w:pPr>
        <w:ind w:left="1740" w:hanging="818"/>
        <w:spacing w:after="0"/>
        <w:tabs>
          <w:tab w:leader="none" w:pos="1740" w:val="left"/>
        </w:tabs>
        <w:numPr>
          <w:ilvl w:val="0"/>
          <w:numId w:val="7"/>
        </w:numPr>
        <w:rPr>
          <w:rFonts w:ascii="Arial" w:cs="Arial" w:eastAsia="Arial" w:hAnsi="Arial"/>
          <w:sz w:val="20"/>
          <w:szCs w:val="20"/>
          <w:color w:val="auto"/>
        </w:rPr>
      </w:pPr>
      <w:r>
        <w:rPr>
          <w:rFonts w:ascii="Arial" w:cs="Arial" w:eastAsia="Arial" w:hAnsi="Arial"/>
          <w:sz w:val="20"/>
          <w:szCs w:val="20"/>
          <w:color w:val="auto"/>
        </w:rPr>
        <w:t>Mark T. Gallogly and Jeffrey Aronson</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Amount beneficially owned: 5,834,263</w:t>
      </w: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Percent of class: 4.4%</w:t>
      </w: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vote or direct the vote: 5,834,263</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5,834,263</w:t>
      </w:r>
    </w:p>
    <w:p>
      <w:pPr>
        <w:spacing w:after="0" w:line="213" w:lineRule="exact"/>
        <w:rPr>
          <w:sz w:val="20"/>
          <w:szCs w:val="20"/>
          <w:color w:val="auto"/>
        </w:rPr>
      </w:pPr>
    </w:p>
    <w:p>
      <w:pPr>
        <w:ind w:left="1720" w:right="200"/>
        <w:spacing w:after="0" w:line="257" w:lineRule="auto"/>
        <w:rPr>
          <w:sz w:val="20"/>
          <w:szCs w:val="20"/>
          <w:color w:val="auto"/>
        </w:rPr>
      </w:pPr>
      <w:r>
        <w:rPr>
          <w:rFonts w:ascii="Arial" w:cs="Arial" w:eastAsia="Arial" w:hAnsi="Arial"/>
          <w:sz w:val="19"/>
          <w:szCs w:val="19"/>
          <w:color w:val="auto"/>
        </w:rPr>
        <w:t>Messrs. Gallogly and Aronson, indirectly, through various intermediate entities controls CCP, CCPM and CSCPIII and, share power to vote the Common Shares beneficially owned by CCP, CCPM and CSCPIII. Neither Mr. Gallogly nor Mr. Aronson directly owns any of the Common Shares. By reason of the provisions of Rule 13d-3 of the Act, each may be deemed to beneficially own the Common Shares beneficially owned by CCP, CCPM and CSCPIII. However, none of the foregoing should be construed in and of itself as an admission by Messrs. Gallogly or Aronson or by any Reporting Person as to beneficial ownership of the Common Shares owned by another Reporting Person. In addition, each of Mr. Gallogly and Mr. Aronson expressly disclaims beneficial ownership of the Common Shares owned by any of CCP, CCPM and CSCPIII.</w:t>
      </w:r>
    </w:p>
    <w:p>
      <w:pPr>
        <w:sectPr>
          <w:pgSz w:w="11900" w:h="16838" w:orient="portrait"/>
          <w:cols w:equalWidth="0" w:num="1">
            <w:col w:w="11420"/>
          </w:cols>
          <w:pgMar w:left="240" w:top="229" w:right="239" w:bottom="1440" w:gutter="0" w:footer="0" w:header="0"/>
          <w:type w:val="continuous"/>
        </w:sectPr>
      </w:pPr>
    </w:p>
    <w:bookmarkStart w:id="15" w:name="page16"/>
    <w:bookmarkEnd w:id="1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16 of 17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20" w:right="34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160"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p>
      <w:pPr>
        <w:spacing w:after="0" w:line="213"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60"/>
        <w:spacing w:after="0" w:line="246" w:lineRule="auto"/>
        <w:rPr>
          <w:sz w:val="20"/>
          <w:szCs w:val="20"/>
          <w:color w:val="auto"/>
        </w:rPr>
      </w:pPr>
      <w:r>
        <w:rPr>
          <w:rFonts w:ascii="Arial" w:cs="Arial" w:eastAsia="Arial" w:hAnsi="Arial"/>
          <w:sz w:val="20"/>
          <w:szCs w:val="20"/>
          <w:color w:val="auto"/>
        </w:rPr>
        <w:t>By signing below each of the Reporting Persons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16" w:name="page17"/>
    <w:bookmarkEnd w:id="1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17878Y108</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17 of 17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2018</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PARTNERS, L.P.</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By: Centerbridge Credit Partners General Partner, L.P., its general</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partner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CENTERBRIDGE CREDIT PARTNERS GENERAL PARTNER,</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L.P.</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CENTERBRIDGE CREDIT PARTNERS</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MASTER, L.P.</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Centerbridge Credit Partners Offshore General Partner, L.P., its</w:t>
      </w:r>
    </w:p>
    <w:p>
      <w:pPr>
        <w:spacing w:after="0" w:line="3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229" w:right="239" w:bottom="1440" w:gutter="0" w:footer="0" w:header="0"/>
        </w:sectPr>
      </w:pPr>
    </w:p>
    <w:bookmarkStart w:id="17" w:name="page18"/>
    <w:bookmarkEnd w:id="17"/>
    <w:p>
      <w:pPr>
        <w:ind w:left="4620" w:right="60"/>
        <w:spacing w:after="0" w:line="260" w:lineRule="auto"/>
        <w:rPr>
          <w:sz w:val="20"/>
          <w:szCs w:val="20"/>
          <w:color w:val="auto"/>
        </w:rPr>
      </w:pPr>
      <w:r>
        <w:rPr>
          <w:rFonts w:ascii="Arial" w:cs="Arial" w:eastAsia="Arial" w:hAnsi="Arial"/>
          <w:sz w:val="20"/>
          <w:szCs w:val="20"/>
          <w:color w:val="auto"/>
        </w:rPr>
        <w:t>CENTERBRIDGE CREDIT PARTNERS OFFSHORE GENERAL PARTNER, L.P.</w:t>
      </w:r>
    </w:p>
    <w:p>
      <w:pPr>
        <w:spacing w:after="0" w:line="19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 Centerbridge Credit Cayman GP Ltd., its general partner</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CENTERBRIDGE CREDIT CAYMAN GP LTD.</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CENTERBRIDGE SPECIAL CREDIT PARTNERS III, L.P.</w:t>
      </w:r>
    </w:p>
    <w:p>
      <w:pPr>
        <w:spacing w:after="0" w:line="229" w:lineRule="exact"/>
        <w:rPr>
          <w:sz w:val="20"/>
          <w:szCs w:val="20"/>
          <w:color w:val="auto"/>
        </w:rPr>
      </w:pPr>
    </w:p>
    <w:p>
      <w:pPr>
        <w:ind w:left="4620"/>
        <w:spacing w:after="0" w:line="260" w:lineRule="auto"/>
        <w:rPr>
          <w:sz w:val="20"/>
          <w:szCs w:val="20"/>
          <w:color w:val="auto"/>
        </w:rPr>
      </w:pPr>
      <w:r>
        <w:rPr>
          <w:rFonts w:ascii="Arial" w:cs="Arial" w:eastAsia="Arial" w:hAnsi="Arial"/>
          <w:sz w:val="20"/>
          <w:szCs w:val="20"/>
          <w:color w:val="auto"/>
        </w:rPr>
        <w:t>By: Centerbridge Special Credit Partners General Partner III, L.P., its general partner</w:t>
      </w:r>
    </w:p>
    <w:p>
      <w:pPr>
        <w:spacing w:after="0" w:line="19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right="360"/>
        <w:spacing w:after="0" w:line="260" w:lineRule="auto"/>
        <w:rPr>
          <w:sz w:val="20"/>
          <w:szCs w:val="20"/>
          <w:color w:val="auto"/>
        </w:rPr>
      </w:pPr>
      <w:r>
        <w:rPr>
          <w:rFonts w:ascii="Arial" w:cs="Arial" w:eastAsia="Arial" w:hAnsi="Arial"/>
          <w:sz w:val="20"/>
          <w:szCs w:val="20"/>
          <w:color w:val="auto"/>
        </w:rPr>
        <w:t>CENTERBRIDGE SPECIAL CREDIT PARTNERS GENERAL PARTNER III, L.P.</w:t>
      </w:r>
    </w:p>
    <w:p>
      <w:pPr>
        <w:spacing w:after="0" w:line="19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 CSCP III Cayman GP Ltd., its general partner</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CSCP III CAYMAN GP LTD.</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20"/>
          <w:szCs w:val="20"/>
          <w:color w:val="auto"/>
        </w:rPr>
        <w:t>Name: Jeffrey H. Aronson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020"/>
          </w:cols>
          <w:pgMar w:left="1440" w:top="703" w:right="439" w:bottom="1440" w:gutter="0" w:footer="0" w:header="0"/>
        </w:sectPr>
      </w:pPr>
    </w:p>
    <w:bookmarkStart w:id="18" w:name="page19"/>
    <w:bookmarkEnd w:id="18"/>
    <w:p>
      <w:pPr>
        <w:ind w:left="4620"/>
        <w:spacing w:after="0"/>
        <w:rPr>
          <w:sz w:val="20"/>
          <w:szCs w:val="20"/>
          <w:color w:val="auto"/>
        </w:rPr>
      </w:pPr>
      <w:r>
        <w:rPr>
          <w:rFonts w:ascii="Arial" w:cs="Arial" w:eastAsia="Arial" w:hAnsi="Arial"/>
          <w:sz w:val="20"/>
          <w:szCs w:val="20"/>
          <w:color w:val="auto"/>
        </w:rPr>
        <w:t>MARK T. GALLOGLY</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Mark T. Gallogly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JEFFREY H. ARONSON</w:t>
      </w: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10160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sectPr>
      <w:pgSz w:w="11900" w:h="16838" w:orient="portrait"/>
      <w:cols w:equalWidth="0" w:num="1">
        <w:col w:w="9019"/>
      </w:cols>
      <w:pgMar w:left="1440" w:top="7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46E87CC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
    <w:nsid w:val="3D1B58B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abstractNum>
  <w:abstractNum w:abstractNumId="6">
    <w:nsid w:val="41B71EF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2019-12-16T08:43:24Z</dcterms:created>
  <dcterms:modified xsi:type="dcterms:W3CDTF">2019-12-16T08:43:24Z</dcterms:modified>
</cp:coreProperties>
</file>