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14, 2025</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4400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5.07 Submission of Matters to a Vote of Security Holders.</w:t>
      </w:r>
    </w:p>
    <w:p>
      <w:pPr>
        <w:spacing w:after="0" w:line="200" w:lineRule="exact"/>
        <w:rPr>
          <w:sz w:val="20"/>
          <w:szCs w:val="20"/>
          <w:color w:val="auto"/>
        </w:rPr>
      </w:pPr>
    </w:p>
    <w:p>
      <w:pPr>
        <w:spacing w:after="0" w:line="253"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At the 2025 Annual General Meeting of Shareholders of Civeo Corporation (“Civeo”), the shareholders of Civeo: (1) elected three Class II nominees to the Board; (2) voted, on an advisory basis, in favor of the compensation of the persons listed as named executive officers in the Proxy Statement; and (3) ratified the appointment of Ernst &amp; Young LLP as Civeo’s independent registered public accounting firm for the year ending December 31, 2025 and until the next annual general meeting of shareholders and authorized the directors of Civeo, acting through the Audit Committee, to determine the remuneration to be paid to Ernst &amp; Young LLP for 2025. The proposals related to each matter are described in detail in the Proxy Statement. The voting results for each proposal are as follows: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Proposal 1 - To elect the three Class II nominees to the Board: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960" w:type="dxa"/>
            <w:vAlign w:val="bottom"/>
          </w:tcPr>
          <w:p>
            <w:pPr>
              <w:spacing w:after="0"/>
              <w:rPr>
                <w:sz w:val="24"/>
                <w:szCs w:val="24"/>
                <w:color w:val="auto"/>
              </w:rPr>
            </w:pPr>
          </w:p>
        </w:tc>
        <w:tc>
          <w:tcPr>
            <w:tcW w:w="2520" w:type="dxa"/>
            <w:vAlign w:val="bottom"/>
            <w:gridSpan w:val="2"/>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9"/>
              </w:rPr>
              <w:t>For</w:t>
            </w:r>
          </w:p>
        </w:tc>
        <w:tc>
          <w:tcPr>
            <w:tcW w:w="2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Withheld</w:t>
            </w:r>
          </w:p>
        </w:tc>
        <w:tc>
          <w:tcPr>
            <w:tcW w:w="2700" w:type="dxa"/>
            <w:vAlign w:val="bottom"/>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Broker Non-Votes</w:t>
            </w:r>
          </w:p>
        </w:tc>
      </w:tr>
      <w:tr>
        <w:trPr>
          <w:trHeight w:val="297"/>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Richard A. Navarre</w:t>
            </w: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8,867,483</w:t>
            </w:r>
          </w:p>
        </w:tc>
        <w:tc>
          <w:tcPr>
            <w:tcW w:w="200" w:type="dxa"/>
            <w:vAlign w:val="bottom"/>
            <w:tcBorders>
              <w:top w:val="single" w:sz="8" w:color="CCEEFF"/>
            </w:tcBorders>
            <w:shd w:val="clear" w:color="auto" w:fill="CCEEFF"/>
          </w:tcPr>
          <w:p>
            <w:pPr>
              <w:spacing w:after="0"/>
              <w:rPr>
                <w:sz w:val="24"/>
                <w:szCs w:val="24"/>
                <w:color w:val="auto"/>
              </w:rPr>
            </w:pPr>
          </w:p>
        </w:tc>
        <w:tc>
          <w:tcPr>
            <w:tcW w:w="2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522,501</w:t>
            </w:r>
          </w:p>
        </w:tc>
        <w:tc>
          <w:tcPr>
            <w:tcW w:w="2700" w:type="dxa"/>
            <w:vAlign w:val="bottom"/>
            <w:tcBorders>
              <w:top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22"/>
                <w:szCs w:val="22"/>
                <w:color w:val="auto"/>
              </w:rPr>
              <w:t>1,789,516</w:t>
            </w:r>
          </w:p>
        </w:tc>
      </w:tr>
      <w:tr>
        <w:trPr>
          <w:trHeight w:val="290"/>
        </w:trPr>
        <w:tc>
          <w:tcPr>
            <w:tcW w:w="2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Martin A. Lambert</w:t>
            </w:r>
          </w:p>
        </w:tc>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9,023,656</w:t>
            </w:r>
          </w:p>
        </w:tc>
        <w:tc>
          <w:tcPr>
            <w:tcW w:w="2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366,328</w:t>
            </w:r>
          </w:p>
        </w:tc>
        <w:tc>
          <w:tcPr>
            <w:tcW w:w="27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1,789,516</w:t>
            </w:r>
          </w:p>
        </w:tc>
      </w:tr>
      <w:tr>
        <w:trPr>
          <w:trHeight w:val="30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Constance B. Moore</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8,898,857</w:t>
            </w:r>
          </w:p>
        </w:tc>
        <w:tc>
          <w:tcPr>
            <w:tcW w:w="200" w:type="dxa"/>
            <w:vAlign w:val="bottom"/>
            <w:shd w:val="clear" w:color="auto" w:fill="CCEEFF"/>
          </w:tcPr>
          <w:p>
            <w:pPr>
              <w:spacing w:after="0"/>
              <w:rPr>
                <w:sz w:val="24"/>
                <w:szCs w:val="24"/>
                <w:color w:val="auto"/>
              </w:rPr>
            </w:pP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491,127</w:t>
            </w:r>
          </w:p>
        </w:tc>
        <w:tc>
          <w:tcPr>
            <w:tcW w:w="270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22"/>
                <w:szCs w:val="22"/>
                <w:color w:val="auto"/>
              </w:rPr>
              <w:t>1,789,516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-573405</wp:posOffset>
            </wp:positionV>
            <wp:extent cx="51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Proposal 2 - To approve, on an advisory basis, the compensation of the named executive officers: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9"/>
              </w:rPr>
              <w:t>For</w:t>
            </w:r>
          </w:p>
        </w:tc>
        <w:tc>
          <w:tcPr>
            <w:tcW w:w="3020" w:type="dxa"/>
            <w:vAlign w:val="bottom"/>
            <w:gridSpan w:val="2"/>
          </w:tcPr>
          <w:p>
            <w:pPr>
              <w:ind w:left="940"/>
              <w:spacing w:after="0"/>
              <w:rPr>
                <w:sz w:val="20"/>
                <w:szCs w:val="20"/>
                <w:color w:val="auto"/>
              </w:rPr>
            </w:pPr>
            <w:r>
              <w:rPr>
                <w:rFonts w:ascii="Times New Roman" w:cs="Times New Roman" w:eastAsia="Times New Roman" w:hAnsi="Times New Roman"/>
                <w:sz w:val="22"/>
                <w:szCs w:val="22"/>
                <w:b w:val="1"/>
                <w:bCs w:val="1"/>
                <w:color w:val="auto"/>
              </w:rPr>
              <w:t>Against</w:t>
            </w:r>
          </w:p>
        </w:tc>
        <w:tc>
          <w:tcPr>
            <w:tcW w:w="2120" w:type="dxa"/>
            <w:vAlign w:val="bottom"/>
          </w:tcPr>
          <w:p>
            <w:pPr>
              <w:ind w:left="620"/>
              <w:spacing w:after="0"/>
              <w:rPr>
                <w:sz w:val="20"/>
                <w:szCs w:val="20"/>
                <w:color w:val="auto"/>
              </w:rPr>
            </w:pPr>
            <w:r>
              <w:rPr>
                <w:rFonts w:ascii="Times New Roman" w:cs="Times New Roman" w:eastAsia="Times New Roman" w:hAnsi="Times New Roman"/>
                <w:sz w:val="22"/>
                <w:szCs w:val="22"/>
                <w:b w:val="1"/>
                <w:bCs w:val="1"/>
                <w:color w:val="auto"/>
              </w:rPr>
              <w:t>Abstain</w:t>
            </w:r>
          </w:p>
        </w:tc>
        <w:tc>
          <w:tcPr>
            <w:tcW w:w="296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270"/>
        </w:trPr>
        <w:tc>
          <w:tcPr>
            <w:tcW w:w="1980" w:type="dxa"/>
            <w:vAlign w:val="bottom"/>
            <w:tcBorders>
              <w:top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22"/>
                <w:szCs w:val="22"/>
                <w:color w:val="auto"/>
              </w:rPr>
              <w:t>8,553,973</w:t>
            </w:r>
          </w:p>
        </w:tc>
        <w:tc>
          <w:tcPr>
            <w:tcW w:w="340" w:type="dxa"/>
            <w:vAlign w:val="bottom"/>
            <w:tcBorders>
              <w:top w:val="single" w:sz="8" w:color="CCEEFF"/>
            </w:tcBorders>
            <w:shd w:val="clear" w:color="auto" w:fill="CCEEFF"/>
          </w:tcPr>
          <w:p>
            <w:pPr>
              <w:spacing w:after="0"/>
              <w:rPr>
                <w:sz w:val="23"/>
                <w:szCs w:val="23"/>
                <w:color w:val="auto"/>
              </w:rPr>
            </w:pPr>
          </w:p>
        </w:tc>
        <w:tc>
          <w:tcPr>
            <w:tcW w:w="25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22"/>
                <w:szCs w:val="22"/>
                <w:color w:val="auto"/>
              </w:rPr>
              <w:t>381,889</w:t>
            </w:r>
          </w:p>
        </w:tc>
        <w:tc>
          <w:tcPr>
            <w:tcW w:w="440" w:type="dxa"/>
            <w:vAlign w:val="bottom"/>
            <w:tcBorders>
              <w:top w:val="single" w:sz="8" w:color="CCEEFF"/>
            </w:tcBorders>
            <w:shd w:val="clear" w:color="auto" w:fill="CCEEFF"/>
          </w:tcPr>
          <w:p>
            <w:pPr>
              <w:spacing w:after="0"/>
              <w:rPr>
                <w:sz w:val="23"/>
                <w:szCs w:val="23"/>
                <w:color w:val="auto"/>
              </w:rPr>
            </w:pPr>
          </w:p>
        </w:tc>
        <w:tc>
          <w:tcPr>
            <w:tcW w:w="21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22"/>
                <w:szCs w:val="22"/>
                <w:color w:val="auto"/>
              </w:rPr>
              <w:t>454,122</w:t>
            </w:r>
          </w:p>
        </w:tc>
        <w:tc>
          <w:tcPr>
            <w:tcW w:w="2960" w:type="dxa"/>
            <w:vAlign w:val="bottom"/>
            <w:tcBorders>
              <w:top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22"/>
                <w:szCs w:val="22"/>
                <w:color w:val="auto"/>
              </w:rPr>
              <w:t>1,789,516</w:t>
            </w:r>
          </w:p>
        </w:tc>
      </w:tr>
    </w:tbl>
    <w:p>
      <w:pPr>
        <w:spacing w:after="0" w:line="29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Proposal 3 - To ratify the appointment of Ernst &amp; Young LLP as Civeo’s independent registered public accounting firm for the year ending December 31, 2025 and until the next annual general meeting of shareholders and to authorize the directors of Civeo, acting through the Audit Committee, to determine the remuneration to be paid to Ernst &amp; Young LLP for 2025: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9"/>
              </w:rPr>
              <w:t>For</w:t>
            </w:r>
          </w:p>
        </w:tc>
        <w:tc>
          <w:tcPr>
            <w:tcW w:w="2580" w:type="dxa"/>
            <w:vAlign w:val="bottom"/>
            <w:gridSpan w:val="2"/>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7"/>
              </w:rPr>
              <w:t>Withheld</w:t>
            </w:r>
          </w:p>
        </w:tc>
        <w:tc>
          <w:tcPr>
            <w:tcW w:w="6460" w:type="dxa"/>
            <w:vAlign w:val="bottom"/>
            <w:gridSpan w:val="3"/>
          </w:tcPr>
          <w:p>
            <w:pPr>
              <w:jc w:val="center"/>
              <w:ind w:right="4240"/>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297"/>
        </w:trPr>
        <w:tc>
          <w:tcPr>
            <w:tcW w:w="1960" w:type="dxa"/>
            <w:vAlign w:val="bottom"/>
            <w:tcBorders>
              <w:top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22"/>
                <w:szCs w:val="22"/>
                <w:color w:val="auto"/>
              </w:rPr>
              <w:t>11,103,285</w:t>
            </w:r>
          </w:p>
        </w:tc>
        <w:tc>
          <w:tcPr>
            <w:tcW w:w="240" w:type="dxa"/>
            <w:vAlign w:val="bottom"/>
            <w:tcBorders>
              <w:top w:val="single" w:sz="8" w:color="CCEEFF"/>
            </w:tcBorders>
            <w:shd w:val="clear" w:color="auto" w:fill="CCEEFF"/>
          </w:tcPr>
          <w:p>
            <w:pPr>
              <w:spacing w:after="0"/>
              <w:rPr>
                <w:sz w:val="24"/>
                <w:szCs w:val="24"/>
                <w:color w:val="auto"/>
              </w:rPr>
            </w:pPr>
          </w:p>
        </w:tc>
        <w:tc>
          <w:tcPr>
            <w:tcW w:w="2240" w:type="dxa"/>
            <w:vAlign w:val="bottom"/>
            <w:tcBorders>
              <w:top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22"/>
                <w:szCs w:val="22"/>
                <w:color w:val="auto"/>
              </w:rPr>
              <w:t>76,215</w:t>
            </w:r>
          </w:p>
        </w:tc>
        <w:tc>
          <w:tcPr>
            <w:tcW w:w="340" w:type="dxa"/>
            <w:vAlign w:val="bottom"/>
            <w:tcBorders>
              <w:top w:val="single" w:sz="8" w:color="CCEEFF"/>
            </w:tcBorders>
            <w:shd w:val="clear" w:color="auto" w:fill="CCEEFF"/>
          </w:tcPr>
          <w:p>
            <w:pPr>
              <w:spacing w:after="0"/>
              <w:rPr>
                <w:sz w:val="24"/>
                <w:szCs w:val="24"/>
                <w:color w:val="auto"/>
              </w:rPr>
            </w:pPr>
          </w:p>
        </w:tc>
        <w:tc>
          <w:tcPr>
            <w:tcW w:w="2200" w:type="dxa"/>
            <w:vAlign w:val="bottom"/>
            <w:tcBorders>
              <w:top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Borders>
              <w:top w:val="single" w:sz="8" w:color="CCEEFF"/>
            </w:tcBorders>
            <w:shd w:val="clear" w:color="auto" w:fill="CCEEFF"/>
          </w:tcPr>
          <w:p>
            <w:pPr>
              <w:spacing w:after="0"/>
              <w:rPr>
                <w:sz w:val="24"/>
                <w:szCs w:val="24"/>
                <w:color w:val="auto"/>
              </w:rPr>
            </w:pPr>
          </w:p>
        </w:tc>
        <w:tc>
          <w:tcPr>
            <w:tcW w:w="4000" w:type="dxa"/>
            <w:vAlign w:val="bottom"/>
          </w:tcPr>
          <w:p>
            <w:pPr>
              <w:spacing w:after="0"/>
              <w:rPr>
                <w:sz w:val="24"/>
                <w:szCs w:val="24"/>
                <w:color w:val="auto"/>
              </w:rPr>
            </w:pPr>
          </w:p>
        </w:tc>
      </w:tr>
      <w:tr>
        <w:trPr>
          <w:trHeight w:val="2113"/>
        </w:trPr>
        <w:tc>
          <w:tcPr>
            <w:tcW w:w="1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14, 2025</w:t>
      </w:r>
    </w:p>
    <w:p>
      <w:pPr>
        <w:spacing w:after="0" w:line="2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By: /s/ E. Collin Gerry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-13970</wp:posOffset>
            </wp:positionV>
            <wp:extent cx="1082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8" w:lineRule="exact"/>
        <w:rPr>
          <w:sz w:val="20"/>
          <w:szCs w:val="20"/>
          <w:color w:val="auto"/>
        </w:rPr>
      </w:pPr>
    </w:p>
    <w:p>
      <w:pPr>
        <w:ind w:left="1740"/>
        <w:spacing w:after="0"/>
        <w:tabs>
          <w:tab w:leader="none" w:pos="25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 Collin Gerry</w:t>
      </w:r>
    </w:p>
    <w:p>
      <w:pPr>
        <w:spacing w:after="0" w:line="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 Chief Financial Officer and Treasurer</w:t>
      </w:r>
    </w:p>
    <w:sectPr>
      <w:pgSz w:w="11900" w:h="16838" w:orient="portrait"/>
      <w:cols w:equalWidth="0" w:num="1">
        <w:col w:w="11220"/>
      </w:cols>
      <w:pgMar w:left="320" w:top="12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2025-05-14T16:20:34Z</dcterms:created>
  <dcterms:modified xsi:type="dcterms:W3CDTF">2025-05-14T16:20:34Z</dcterms:modified>
</cp:coreProperties>
</file>