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ind w:left="4980"/>
        <w:spacing w:after="0"/>
        <w:rPr>
          <w:sz w:val="20"/>
          <w:szCs w:val="20"/>
          <w:color w:val="auto"/>
        </w:rPr>
      </w:pPr>
      <w:r>
        <w:rPr>
          <w:rFonts w:ascii="Arial" w:cs="Arial" w:eastAsia="Arial" w:hAnsi="Arial"/>
          <w:sz w:val="17"/>
          <w:szCs w:val="17"/>
          <w:color w:val="auto"/>
        </w:rPr>
        <w:t>UNITED STATES</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Washington, D.C. 20549</w:t>
      </w:r>
    </w:p>
    <w:p>
      <w:pPr>
        <w:spacing w:after="0" w:line="15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45"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QUARTERLY REPORT PURSUANT TO SECTION 13 OR 15(d) OF THE SECURITIES EXCHANGE ACT OF 1934</w:t>
      </w:r>
    </w:p>
    <w:p>
      <w:pPr>
        <w:spacing w:after="0" w:line="111" w:lineRule="exact"/>
        <w:rPr>
          <w:sz w:val="24"/>
          <w:szCs w:val="24"/>
          <w:color w:val="auto"/>
        </w:rPr>
      </w:pPr>
    </w:p>
    <w:p>
      <w:pPr>
        <w:ind w:left="640"/>
        <w:spacing w:after="0"/>
        <w:rPr>
          <w:sz w:val="20"/>
          <w:szCs w:val="20"/>
          <w:color w:val="auto"/>
        </w:rPr>
      </w:pPr>
      <w:r>
        <w:rPr>
          <w:rFonts w:ascii="Arial" w:cs="Arial" w:eastAsia="Arial" w:hAnsi="Arial"/>
          <w:sz w:val="17"/>
          <w:szCs w:val="17"/>
          <w:color w:val="auto"/>
        </w:rPr>
        <w:t>For the quarterly period ended September 30, 2021</w:t>
      </w:r>
    </w:p>
    <w:p>
      <w:pPr>
        <w:spacing w:after="0" w:line="66" w:lineRule="exact"/>
        <w:rPr>
          <w:sz w:val="24"/>
          <w:szCs w:val="24"/>
          <w:color w:val="auto"/>
        </w:rPr>
      </w:pPr>
    </w:p>
    <w:p>
      <w:pPr>
        <w:jc w:val="center"/>
        <w:ind w:left="460"/>
        <w:spacing w:after="0"/>
        <w:rPr>
          <w:sz w:val="20"/>
          <w:szCs w:val="20"/>
          <w:color w:val="auto"/>
        </w:rPr>
      </w:pPr>
      <w:r>
        <w:rPr>
          <w:rFonts w:ascii="Arial" w:cs="Arial" w:eastAsia="Arial" w:hAnsi="Arial"/>
          <w:sz w:val="17"/>
          <w:szCs w:val="17"/>
          <w:color w:val="auto"/>
        </w:rPr>
        <w:t>OR</w:t>
      </w:r>
    </w:p>
    <w:p>
      <w:pPr>
        <w:spacing w:after="0" w:line="106" w:lineRule="exact"/>
        <w:rPr>
          <w:sz w:val="24"/>
          <w:szCs w:val="24"/>
          <w:color w:val="auto"/>
        </w:rPr>
      </w:pPr>
    </w:p>
    <w:p>
      <w:pPr>
        <w:ind w:left="1760" w:hanging="795"/>
        <w:spacing w:after="0"/>
        <w:tabs>
          <w:tab w:leader="none" w:pos="1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61"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For the transition period from _________________________ to _________________________</w:t>
      </w:r>
    </w:p>
    <w:p>
      <w:pPr>
        <w:spacing w:after="0" w:line="119"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u w:val="single" w:color="auto"/>
          <w:color w:val="auto"/>
        </w:rPr>
        <w:t>001-36246</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2939415</wp:posOffset>
            </wp:positionH>
            <wp:positionV relativeFrom="paragraph">
              <wp:posOffset>30480</wp:posOffset>
            </wp:positionV>
            <wp:extent cx="1363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6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4"/>
              </w:rPr>
              <w:t>British Columbia, Canada</w:t>
            </w:r>
          </w:p>
        </w:tc>
        <w:tc>
          <w:tcPr>
            <w:tcW w:w="1100" w:type="dxa"/>
            <w:vAlign w:val="bottom"/>
          </w:tcPr>
          <w:p>
            <w:pPr>
              <w:spacing w:after="0"/>
              <w:rPr>
                <w:sz w:val="16"/>
                <w:szCs w:val="16"/>
                <w:color w:val="auto"/>
              </w:rPr>
            </w:pPr>
          </w:p>
        </w:tc>
        <w:tc>
          <w:tcPr>
            <w:tcW w:w="4240" w:type="dxa"/>
            <w:vAlign w:val="bottom"/>
            <w:gridSpan w:val="5"/>
          </w:tcPr>
          <w:p>
            <w:pPr>
              <w:jc w:val="right"/>
              <w:ind w:right="240"/>
              <w:spacing w:after="0"/>
              <w:rPr>
                <w:sz w:val="20"/>
                <w:szCs w:val="20"/>
                <w:color w:val="auto"/>
              </w:rPr>
            </w:pPr>
            <w:r>
              <w:rPr>
                <w:rFonts w:ascii="Arial" w:cs="Arial" w:eastAsia="Arial" w:hAnsi="Arial"/>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2"/>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5"/>
              </w:rPr>
              <w:t>(State or other jurisdiction of</w:t>
            </w:r>
          </w:p>
        </w:tc>
        <w:tc>
          <w:tcPr>
            <w:tcW w:w="4240" w:type="dxa"/>
            <w:vAlign w:val="bottom"/>
            <w:gridSpan w:val="5"/>
          </w:tcPr>
          <w:p>
            <w:pPr>
              <w:jc w:val="center"/>
              <w:ind w:left="2833"/>
              <w:spacing w:after="0"/>
              <w:rPr>
                <w:sz w:val="20"/>
                <w:szCs w:val="20"/>
                <w:color w:val="auto"/>
              </w:rPr>
            </w:pPr>
            <w:r>
              <w:rPr>
                <w:rFonts w:ascii="Arial" w:cs="Arial" w:eastAsia="Arial" w:hAnsi="Arial"/>
                <w:sz w:val="17"/>
                <w:szCs w:val="17"/>
                <w:color w:val="auto"/>
                <w:w w:val="96"/>
              </w:rPr>
              <w:t>(I.R.S. Employer</w:t>
            </w:r>
          </w:p>
        </w:tc>
      </w:tr>
      <w:tr>
        <w:trPr>
          <w:trHeight w:val="223"/>
        </w:trPr>
        <w:tc>
          <w:tcPr>
            <w:tcW w:w="3720" w:type="dxa"/>
            <w:vAlign w:val="bottom"/>
            <w:gridSpan w:val="3"/>
          </w:tcPr>
          <w:p>
            <w:pPr>
              <w:jc w:val="center"/>
              <w:ind w:right="300"/>
              <w:spacing w:after="0"/>
              <w:rPr>
                <w:sz w:val="20"/>
                <w:szCs w:val="20"/>
                <w:color w:val="auto"/>
              </w:rPr>
            </w:pPr>
            <w:r>
              <w:rPr>
                <w:rFonts w:ascii="Arial" w:cs="Arial" w:eastAsia="Arial" w:hAnsi="Arial"/>
                <w:sz w:val="17"/>
                <w:szCs w:val="17"/>
                <w:color w:val="auto"/>
                <w:w w:val="94"/>
              </w:rPr>
              <w:t>incorporation or organization)</w:t>
            </w:r>
          </w:p>
        </w:tc>
        <w:tc>
          <w:tcPr>
            <w:tcW w:w="4240" w:type="dxa"/>
            <w:vAlign w:val="bottom"/>
            <w:gridSpan w:val="5"/>
          </w:tcPr>
          <w:p>
            <w:pPr>
              <w:jc w:val="center"/>
              <w:ind w:left="2853"/>
              <w:spacing w:after="0"/>
              <w:rPr>
                <w:sz w:val="20"/>
                <w:szCs w:val="20"/>
                <w:color w:val="auto"/>
              </w:rPr>
            </w:pPr>
            <w:r>
              <w:rPr>
                <w:rFonts w:ascii="Arial" w:cs="Arial" w:eastAsia="Arial" w:hAnsi="Arial"/>
                <w:sz w:val="17"/>
                <w:szCs w:val="17"/>
                <w:color w:val="auto"/>
                <w:w w:val="98"/>
              </w:rPr>
              <w:t>Identification No.)</w:t>
            </w:r>
          </w:p>
        </w:tc>
      </w:tr>
      <w:tr>
        <w:trPr>
          <w:trHeight w:val="406"/>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3"/>
              </w:rPr>
              <w:t>Three Allen Center, 333 Clay Street, Suite 4980,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2"/>
        </w:trPr>
        <w:tc>
          <w:tcPr>
            <w:tcW w:w="800" w:type="dxa"/>
            <w:vAlign w:val="bottom"/>
          </w:tcPr>
          <w:p>
            <w:pPr>
              <w:spacing w:after="0"/>
              <w:rPr>
                <w:sz w:val="21"/>
                <w:szCs w:val="21"/>
                <w:color w:val="auto"/>
              </w:rPr>
            </w:pPr>
          </w:p>
        </w:tc>
        <w:tc>
          <w:tcPr>
            <w:tcW w:w="2920" w:type="dxa"/>
            <w:vAlign w:val="bottom"/>
            <w:gridSpan w:val="2"/>
          </w:tcPr>
          <w:p>
            <w:pPr>
              <w:jc w:val="center"/>
              <w:ind w:right="1120"/>
              <w:spacing w:after="0"/>
              <w:rPr>
                <w:sz w:val="20"/>
                <w:szCs w:val="20"/>
                <w:color w:val="auto"/>
              </w:rPr>
            </w:pPr>
            <w:r>
              <w:rPr>
                <w:rFonts w:ascii="Arial" w:cs="Arial" w:eastAsia="Arial" w:hAnsi="Arial"/>
                <w:sz w:val="17"/>
                <w:szCs w:val="17"/>
                <w:color w:val="auto"/>
                <w:w w:val="90"/>
              </w:rPr>
              <w:t>Houston, Texas</w:t>
            </w:r>
          </w:p>
        </w:tc>
        <w:tc>
          <w:tcPr>
            <w:tcW w:w="3160" w:type="dxa"/>
            <w:vAlign w:val="bottom"/>
          </w:tcPr>
          <w:p>
            <w:pPr>
              <w:spacing w:after="0"/>
              <w:rPr>
                <w:sz w:val="21"/>
                <w:szCs w:val="21"/>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7"/>
                <w:szCs w:val="17"/>
                <w:color w:val="auto"/>
                <w:w w:val="94"/>
              </w:rPr>
              <w:t>(Zip Code)</w:t>
            </w:r>
          </w:p>
        </w:tc>
      </w:tr>
      <w:tr>
        <w:trPr>
          <w:trHeight w:val="223"/>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4"/>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88"/>
        </w:trPr>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Arial" w:cs="Arial" w:eastAsia="Arial" w:hAnsi="Arial"/>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93"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(Registrant’s telephone number, including area code)</w:t>
      </w:r>
    </w:p>
    <w:p>
      <w:pPr>
        <w:spacing w:after="0" w:line="11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1" w:lineRule="exact"/>
        <w:rPr>
          <w:sz w:val="24"/>
          <w:szCs w:val="24"/>
          <w:color w:val="auto"/>
        </w:rPr>
      </w:pPr>
    </w:p>
    <w:p>
      <w:pPr>
        <w:jc w:val="center"/>
        <w:ind w:left="820"/>
        <w:spacing w:after="0"/>
        <w:rPr>
          <w:sz w:val="20"/>
          <w:szCs w:val="20"/>
          <w:color w:val="auto"/>
        </w:rPr>
      </w:pPr>
      <w:r>
        <w:rPr>
          <w:rFonts w:ascii="Arial" w:cs="Arial" w:eastAsia="Arial" w:hAnsi="Arial"/>
          <w:sz w:val="16"/>
          <w:szCs w:val="16"/>
          <w:color w:val="auto"/>
        </w:rPr>
        <w:t>Title of Each Class</w:t>
      </w:r>
    </w:p>
    <w:p>
      <w:pPr>
        <w:spacing w:after="0" w:line="26" w:lineRule="exact"/>
        <w:rPr>
          <w:sz w:val="24"/>
          <w:szCs w:val="24"/>
          <w:color w:val="auto"/>
        </w:rPr>
      </w:pPr>
    </w:p>
    <w:p>
      <w:pPr>
        <w:jc w:val="center"/>
        <w:ind w:left="820"/>
        <w:spacing w:after="0"/>
        <w:rPr>
          <w:sz w:val="20"/>
          <w:szCs w:val="20"/>
          <w:color w:val="auto"/>
        </w:rPr>
      </w:pPr>
      <w:r>
        <w:rPr>
          <w:rFonts w:ascii="Arial" w:cs="Arial" w:eastAsia="Arial" w:hAnsi="Arial"/>
          <w:sz w:val="13"/>
          <w:szCs w:val="13"/>
          <w:color w:val="auto"/>
        </w:rPr>
        <w:t>Common Shares, no par value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740"/>
        <w:spacing w:after="0"/>
        <w:rPr>
          <w:sz w:val="20"/>
          <w:szCs w:val="20"/>
          <w:color w:val="auto"/>
        </w:rPr>
      </w:pPr>
      <w:r>
        <w:rPr>
          <w:rFonts w:ascii="Arial" w:cs="Arial" w:eastAsia="Arial" w:hAnsi="Arial"/>
          <w:sz w:val="13"/>
          <w:szCs w:val="13"/>
          <w:color w:val="auto"/>
        </w:rPr>
        <w:t>Trading Symbol</w:t>
      </w:r>
    </w:p>
    <w:p>
      <w:pPr>
        <w:spacing w:after="0" w:line="60"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CVEO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540"/>
        <w:spacing w:after="0"/>
        <w:rPr>
          <w:sz w:val="20"/>
          <w:szCs w:val="20"/>
          <w:color w:val="auto"/>
        </w:rPr>
      </w:pPr>
      <w:r>
        <w:rPr>
          <w:rFonts w:ascii="Arial" w:cs="Arial" w:eastAsia="Arial" w:hAnsi="Arial"/>
          <w:sz w:val="13"/>
          <w:szCs w:val="13"/>
          <w:color w:val="auto"/>
        </w:rPr>
        <w:t>Name of Each Exchange on Which Registered</w:t>
      </w:r>
    </w:p>
    <w:p>
      <w:pPr>
        <w:spacing w:after="0" w:line="60"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New York Stock Exchange</w:t>
      </w:r>
    </w:p>
    <w:p>
      <w:pPr>
        <w:spacing w:after="0" w:line="109" w:lineRule="exact"/>
        <w:rPr>
          <w:sz w:val="24"/>
          <w:szCs w:val="24"/>
          <w:color w:val="auto"/>
        </w:rPr>
      </w:pPr>
    </w:p>
    <w:p>
      <w:pPr>
        <w:sectPr>
          <w:pgSz w:w="11900" w:h="16838" w:orient="portrait"/>
          <w:cols w:equalWidth="0" w:num="3">
            <w:col w:w="3560" w:space="720"/>
            <w:col w:w="1760" w:space="720"/>
            <w:col w:w="4480"/>
          </w:cols>
          <w:pgMar w:left="320" w:top="1440" w:right="339" w:bottom="1440" w:gutter="0" w:footer="0" w:header="0"/>
          <w:type w:val="continuous"/>
        </w:sectPr>
      </w:pPr>
    </w:p>
    <w:p>
      <w:pPr>
        <w:ind w:right="260"/>
        <w:spacing w:after="0" w:line="25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85" w:lineRule="exact"/>
        <w:rPr>
          <w:sz w:val="24"/>
          <w:szCs w:val="24"/>
          <w:color w:val="auto"/>
        </w:rPr>
      </w:pPr>
    </w:p>
    <w:p>
      <w:pPr>
        <w:spacing w:after="0" w:line="260"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4" w:lineRule="exact"/>
        <w:rPr>
          <w:sz w:val="24"/>
          <w:szCs w:val="24"/>
          <w:color w:val="auto"/>
        </w:rPr>
      </w:pPr>
    </w:p>
    <w:p>
      <w:pPr>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9"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6">
            <w:col w:w="1340" w:space="560"/>
            <w:col w:w="160" w:space="420"/>
            <w:col w:w="1540" w:space="720"/>
            <w:col w:w="140" w:space="460"/>
            <w:col w:w="2240" w:space="720"/>
            <w:col w:w="2940"/>
          </w:cols>
          <w:pgMar w:left="320" w:top="1440" w:right="339" w:bottom="1440" w:gutter="0" w:footer="0" w:header="0"/>
          <w:type w:val="continuous"/>
        </w:sectPr>
      </w:pPr>
    </w:p>
    <w:p>
      <w:pPr>
        <w:spacing w:after="0" w:line="68"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75"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48" w:lineRule="exact"/>
        <w:rPr>
          <w:sz w:val="24"/>
          <w:szCs w:val="24"/>
          <w:color w:val="auto"/>
        </w:rPr>
      </w:pPr>
    </w:p>
    <w:p>
      <w:pPr>
        <w:ind w:right="32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561975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63" w:lineRule="exact"/>
        <w:rPr>
          <w:sz w:val="20"/>
          <w:szCs w:val="20"/>
          <w:color w:val="auto"/>
        </w:rPr>
      </w:pPr>
    </w:p>
    <w:p>
      <w:pPr>
        <w:jc w:val="both"/>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14,250,180 common shares outstanding as of October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561975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7"/>
          <w:szCs w:val="17"/>
          <w:color w:val="auto"/>
        </w:rPr>
        <w:t>CIVEO CORPORATION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INDEX</w:t>
      </w:r>
    </w:p>
    <w:p>
      <w:pPr>
        <w:spacing w:after="0" w:line="148" w:lineRule="exact"/>
        <w:rPr>
          <w:sz w:val="20"/>
          <w:szCs w:val="20"/>
          <w:color w:val="auto"/>
        </w:rPr>
      </w:pPr>
    </w:p>
    <w:p>
      <w:pPr>
        <w:ind w:left="10460"/>
        <w:spacing w:after="0"/>
        <w:rPr>
          <w:sz w:val="20"/>
          <w:szCs w:val="20"/>
          <w:color w:val="auto"/>
        </w:rPr>
      </w:pPr>
      <w:r>
        <w:rPr>
          <w:rFonts w:ascii="Arial" w:cs="Arial" w:eastAsia="Arial" w:hAnsi="Arial"/>
          <w:sz w:val="14"/>
          <w:szCs w:val="14"/>
          <w:b w:val="1"/>
          <w:bCs w:val="1"/>
          <w:u w:val="single" w:color="auto"/>
          <w:color w:val="auto"/>
        </w:rPr>
        <w:t>Page No.</w:t>
      </w:r>
    </w:p>
    <w:p>
      <w:pPr>
        <w:spacing w:after="0" w:line="2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19620" cy="116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9620" cy="11620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19620" cy="116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9620" cy="11620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 w:type="dxa"/>
            <w:vAlign w:val="bottom"/>
            <w:shd w:val="clear" w:color="auto" w:fill="CCEEFF"/>
          </w:tcPr>
          <w:p>
            <w:pPr>
              <w:spacing w:after="0"/>
              <w:rPr>
                <w:sz w:val="15"/>
                <w:szCs w:val="15"/>
                <w:color w:val="auto"/>
              </w:rPr>
            </w:pPr>
          </w:p>
        </w:tc>
        <w:tc>
          <w:tcPr>
            <w:tcW w:w="10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Consolidated Financial Statements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Unaudited Consolidated Statements of Operations for the Three and Nine Months Ended September 30, 2021 and 2020</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4">
              <w:r>
                <w:rPr>
                  <w:rFonts w:ascii="Arial" w:cs="Arial" w:eastAsia="Arial" w:hAnsi="Arial"/>
                  <w:sz w:val="14"/>
                  <w:szCs w:val="14"/>
                  <w:color w:val="0000FF"/>
                  <w:w w:val="76"/>
                </w:rPr>
                <w:t>4</w:t>
              </w:r>
            </w:hyperlink>
          </w:p>
        </w:tc>
        <w:tc>
          <w:tcPr>
            <w:tcW w:w="20" w:type="dxa"/>
            <w:vAlign w:val="bottom"/>
          </w:tcPr>
          <w:p>
            <w:pPr>
              <w:spacing w:after="0"/>
              <w:rPr>
                <w:sz w:val="13"/>
                <w:szCs w:val="13"/>
                <w:color w:val="auto"/>
              </w:rPr>
            </w:pPr>
          </w:p>
        </w:tc>
      </w:tr>
      <w:tr>
        <w:trPr>
          <w:trHeight w:val="173"/>
        </w:trPr>
        <w:tc>
          <w:tcPr>
            <w:tcW w:w="460" w:type="dxa"/>
            <w:vAlign w:val="bottom"/>
            <w:tcBorders>
              <w:bottom w:val="single" w:sz="8" w:color="CCEEFF"/>
            </w:tcBorders>
            <w:shd w:val="clear" w:color="auto" w:fill="CCEEFF"/>
          </w:tcPr>
          <w:p>
            <w:pPr>
              <w:spacing w:after="0"/>
              <w:rPr>
                <w:sz w:val="15"/>
                <w:szCs w:val="15"/>
                <w:color w:val="auto"/>
              </w:rPr>
            </w:pPr>
          </w:p>
        </w:tc>
        <w:tc>
          <w:tcPr>
            <w:tcW w:w="10600" w:type="dxa"/>
            <w:vAlign w:val="bottom"/>
            <w:tcBorders>
              <w:bottom w:val="single" w:sz="8" w:color="CCEEFF"/>
            </w:tcBorders>
            <w:shd w:val="clear" w:color="auto" w:fill="CCEEFF"/>
          </w:tcPr>
          <w:p>
            <w:pPr>
              <w:ind w:left="300"/>
              <w:spacing w:after="0" w:line="154" w:lineRule="exact"/>
              <w:rPr>
                <w:sz w:val="20"/>
                <w:szCs w:val="20"/>
                <w:color w:val="auto"/>
              </w:rPr>
            </w:pPr>
            <w:r>
              <w:rPr>
                <w:rFonts w:ascii="Arial" w:cs="Arial" w:eastAsia="Arial" w:hAnsi="Arial"/>
                <w:sz w:val="14"/>
                <w:szCs w:val="14"/>
                <w:color w:val="auto"/>
              </w:rPr>
              <w:t>Unaudited Consolidated Statements of Comprehensive Income (Loss) for the Three and Nine Months Ended September 30, 2021 and 2020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right"/>
              <w:spacing w:after="0" w:line="154" w:lineRule="exact"/>
              <w:rPr>
                <w:rFonts w:ascii="Arial" w:cs="Arial" w:eastAsia="Arial" w:hAnsi="Arial"/>
                <w:sz w:val="14"/>
                <w:szCs w:val="14"/>
                <w:color w:val="0000FF"/>
                <w:w w:val="76"/>
              </w:rPr>
            </w:pPr>
            <w:hyperlink w:anchor="page4">
              <w:r>
                <w:rPr>
                  <w:rFonts w:ascii="Arial" w:cs="Arial" w:eastAsia="Arial" w:hAnsi="Arial"/>
                  <w:sz w:val="14"/>
                  <w:szCs w:val="14"/>
                  <w:color w:val="0000FF"/>
                  <w:w w:val="76"/>
                </w:rPr>
                <w:t>5</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Consolidated Balance Sheets – as of September 30, 2021 (unaudited) and December 31, 2020</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5">
              <w:r>
                <w:rPr>
                  <w:rFonts w:ascii="Arial" w:cs="Arial" w:eastAsia="Arial" w:hAnsi="Arial"/>
                  <w:sz w:val="14"/>
                  <w:szCs w:val="14"/>
                  <w:color w:val="0000FF"/>
                  <w:w w:val="76"/>
                </w:rPr>
                <w:t>6</w:t>
              </w:r>
            </w:hyperlink>
          </w:p>
        </w:tc>
        <w:tc>
          <w:tcPr>
            <w:tcW w:w="20" w:type="dxa"/>
            <w:vAlign w:val="bottom"/>
          </w:tcPr>
          <w:p>
            <w:pPr>
              <w:spacing w:after="0"/>
              <w:rPr>
                <w:sz w:val="13"/>
                <w:szCs w:val="13"/>
                <w:color w:val="auto"/>
              </w:rPr>
            </w:pPr>
          </w:p>
        </w:tc>
      </w:tr>
      <w:tr>
        <w:trPr>
          <w:trHeight w:val="173"/>
        </w:trPr>
        <w:tc>
          <w:tcPr>
            <w:tcW w:w="460" w:type="dxa"/>
            <w:vAlign w:val="bottom"/>
            <w:tcBorders>
              <w:bottom w:val="single" w:sz="8" w:color="CCEEFF"/>
            </w:tcBorders>
            <w:shd w:val="clear" w:color="auto" w:fill="CCEEFF"/>
          </w:tcPr>
          <w:p>
            <w:pPr>
              <w:spacing w:after="0"/>
              <w:rPr>
                <w:sz w:val="15"/>
                <w:szCs w:val="15"/>
                <w:color w:val="auto"/>
              </w:rPr>
            </w:pPr>
          </w:p>
        </w:tc>
        <w:tc>
          <w:tcPr>
            <w:tcW w:w="10600" w:type="dxa"/>
            <w:vAlign w:val="bottom"/>
            <w:tcBorders>
              <w:bottom w:val="single" w:sz="8" w:color="CCEEFF"/>
            </w:tcBorders>
            <w:shd w:val="clear" w:color="auto" w:fill="CCEEFF"/>
          </w:tcPr>
          <w:p>
            <w:pPr>
              <w:ind w:left="300"/>
              <w:spacing w:after="0" w:line="154" w:lineRule="exact"/>
              <w:rPr>
                <w:sz w:val="20"/>
                <w:szCs w:val="20"/>
                <w:color w:val="auto"/>
              </w:rPr>
            </w:pPr>
            <w:r>
              <w:rPr>
                <w:rFonts w:ascii="Arial" w:cs="Arial" w:eastAsia="Arial" w:hAnsi="Arial"/>
                <w:sz w:val="14"/>
                <w:szCs w:val="14"/>
                <w:color w:val="auto"/>
              </w:rPr>
              <w:t>Unaudited Consolidated Statements of Changes in Shareholders’ Equity for the Three and Nine Months Ended September 30, 2021 and 2020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right"/>
              <w:spacing w:after="0" w:line="154" w:lineRule="exact"/>
              <w:rPr>
                <w:rFonts w:ascii="Arial" w:cs="Arial" w:eastAsia="Arial" w:hAnsi="Arial"/>
                <w:sz w:val="14"/>
                <w:szCs w:val="14"/>
                <w:color w:val="0000FF"/>
                <w:w w:val="76"/>
              </w:rPr>
            </w:pPr>
            <w:hyperlink w:anchor="page6">
              <w:r>
                <w:rPr>
                  <w:rFonts w:ascii="Arial" w:cs="Arial" w:eastAsia="Arial" w:hAnsi="Arial"/>
                  <w:sz w:val="14"/>
                  <w:szCs w:val="14"/>
                  <w:color w:val="0000FF"/>
                  <w:w w:val="76"/>
                </w:rPr>
                <w:t>7</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Unaudited Consolidated Statements of Cash Flows for the Nine Months Ended September 30, 2021 and 2020</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7">
              <w:r>
                <w:rPr>
                  <w:rFonts w:ascii="Arial" w:cs="Arial" w:eastAsia="Arial" w:hAnsi="Arial"/>
                  <w:sz w:val="14"/>
                  <w:szCs w:val="14"/>
                  <w:color w:val="0000FF"/>
                  <w:w w:val="76"/>
                </w:rPr>
                <w:t>8</w:t>
              </w:r>
            </w:hyperlink>
          </w:p>
        </w:tc>
        <w:tc>
          <w:tcPr>
            <w:tcW w:w="20" w:type="dxa"/>
            <w:vAlign w:val="bottom"/>
          </w:tcPr>
          <w:p>
            <w:pPr>
              <w:spacing w:after="0"/>
              <w:rPr>
                <w:sz w:val="13"/>
                <w:szCs w:val="13"/>
                <w:color w:val="auto"/>
              </w:rPr>
            </w:pPr>
          </w:p>
        </w:tc>
      </w:tr>
      <w:tr>
        <w:trPr>
          <w:trHeight w:val="173"/>
        </w:trPr>
        <w:tc>
          <w:tcPr>
            <w:tcW w:w="460" w:type="dxa"/>
            <w:vAlign w:val="bottom"/>
            <w:shd w:val="clear" w:color="auto" w:fill="CCEEFF"/>
          </w:tcPr>
          <w:p>
            <w:pPr>
              <w:spacing w:after="0"/>
              <w:rPr>
                <w:sz w:val="15"/>
                <w:szCs w:val="15"/>
                <w:color w:val="auto"/>
              </w:rPr>
            </w:pPr>
          </w:p>
        </w:tc>
        <w:tc>
          <w:tcPr>
            <w:tcW w:w="10600" w:type="dxa"/>
            <w:vAlign w:val="bottom"/>
            <w:shd w:val="clear" w:color="auto" w:fill="CCEEFF"/>
          </w:tcPr>
          <w:p>
            <w:pPr>
              <w:ind w:left="200"/>
              <w:spacing w:after="0" w:line="154" w:lineRule="exact"/>
              <w:rPr>
                <w:sz w:val="20"/>
                <w:szCs w:val="20"/>
                <w:color w:val="auto"/>
              </w:rPr>
            </w:pPr>
            <w:r>
              <w:rPr>
                <w:rFonts w:ascii="Arial" w:cs="Arial" w:eastAsia="Arial" w:hAnsi="Arial"/>
                <w:sz w:val="14"/>
                <w:szCs w:val="14"/>
                <w:color w:val="auto"/>
              </w:rPr>
              <w:t>Notes to Unaudited Consolidated Financial Statements</w:t>
            </w:r>
          </w:p>
        </w:tc>
        <w:tc>
          <w:tcPr>
            <w:tcW w:w="140" w:type="dxa"/>
            <w:vAlign w:val="bottom"/>
            <w:gridSpan w:val="2"/>
            <w:shd w:val="clear" w:color="auto" w:fill="CCEEFF"/>
          </w:tcPr>
          <w:p>
            <w:pPr>
              <w:jc w:val="right"/>
              <w:spacing w:after="0" w:line="154" w:lineRule="exact"/>
              <w:rPr>
                <w:rFonts w:ascii="Arial" w:cs="Arial" w:eastAsia="Arial" w:hAnsi="Arial"/>
                <w:sz w:val="14"/>
                <w:szCs w:val="14"/>
                <w:color w:val="0000FF"/>
              </w:rPr>
            </w:pPr>
            <w:hyperlink w:anchor="page8">
              <w:r>
                <w:rPr>
                  <w:rFonts w:ascii="Arial" w:cs="Arial" w:eastAsia="Arial" w:hAnsi="Arial"/>
                  <w:sz w:val="14"/>
                  <w:szCs w:val="14"/>
                  <w:color w:val="0000FF"/>
                </w:rPr>
                <w:t>9</w:t>
              </w:r>
            </w:hyperlink>
          </w:p>
        </w:tc>
        <w:tc>
          <w:tcPr>
            <w:tcW w:w="20" w:type="dxa"/>
            <w:vAlign w:val="bottom"/>
            <w:shd w:val="clear" w:color="auto" w:fill="CCEEFF"/>
          </w:tcPr>
          <w:p>
            <w:pPr>
              <w:spacing w:after="0"/>
              <w:rPr>
                <w:sz w:val="15"/>
                <w:szCs w:val="15"/>
                <w:color w:val="auto"/>
              </w:rPr>
            </w:pPr>
          </w:p>
        </w:tc>
      </w:tr>
      <w:tr>
        <w:trPr>
          <w:trHeight w:val="210"/>
        </w:trPr>
        <w:tc>
          <w:tcPr>
            <w:tcW w:w="1106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63"/>
        </w:trPr>
        <w:tc>
          <w:tcPr>
            <w:tcW w:w="110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19">
              <w:r>
                <w:rPr>
                  <w:rFonts w:ascii="Arial" w:cs="Arial" w:eastAsia="Arial" w:hAnsi="Arial"/>
                  <w:sz w:val="14"/>
                  <w:szCs w:val="14"/>
                  <w:color w:val="0000FF"/>
                  <w:w w:val="76"/>
                </w:rPr>
                <w:t>20</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110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110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20">
              <w:r>
                <w:rPr>
                  <w:rFonts w:ascii="Arial" w:cs="Arial" w:eastAsia="Arial" w:hAnsi="Arial"/>
                  <w:sz w:val="14"/>
                  <w:szCs w:val="14"/>
                  <w:color w:val="0000FF"/>
                  <w:w w:val="76"/>
                </w:rPr>
                <w:t>20</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110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110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37">
              <w:r>
                <w:rPr>
                  <w:rFonts w:ascii="Arial" w:cs="Arial" w:eastAsia="Arial" w:hAnsi="Arial"/>
                  <w:sz w:val="14"/>
                  <w:szCs w:val="14"/>
                  <w:color w:val="0000FF"/>
                  <w:w w:val="76"/>
                </w:rPr>
                <w:t>38</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46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w w:val="98"/>
              </w:rPr>
              <w:t>Item 4.</w:t>
            </w:r>
          </w:p>
        </w:tc>
        <w:tc>
          <w:tcPr>
            <w:tcW w:w="10600" w:type="dxa"/>
            <w:vAlign w:val="bottom"/>
            <w:tcBorders>
              <w:bottom w:val="single" w:sz="8" w:color="CCEEFF"/>
            </w:tcBorders>
            <w:shd w:val="clear" w:color="auto" w:fill="CCEEFF"/>
          </w:tcPr>
          <w:p>
            <w:pPr>
              <w:ind w:left="60"/>
              <w:spacing w:after="0" w:line="144" w:lineRule="exact"/>
              <w:rPr>
                <w:sz w:val="20"/>
                <w:szCs w:val="20"/>
                <w:color w:val="auto"/>
              </w:rPr>
            </w:pPr>
            <w:r>
              <w:rPr>
                <w:rFonts w:ascii="Arial" w:cs="Arial" w:eastAsia="Arial" w:hAnsi="Arial"/>
                <w:sz w:val="14"/>
                <w:szCs w:val="14"/>
                <w:color w:val="auto"/>
              </w:rPr>
              <w:t>Controls and Procedures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38">
              <w:r>
                <w:rPr>
                  <w:rFonts w:ascii="Arial" w:cs="Arial" w:eastAsia="Arial" w:hAnsi="Arial"/>
                  <w:sz w:val="14"/>
                  <w:szCs w:val="14"/>
                  <w:color w:val="0000FF"/>
                  <w:w w:val="76"/>
                </w:rPr>
                <w:t>38</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1"/>
        </w:trPr>
        <w:tc>
          <w:tcPr>
            <w:tcW w:w="460" w:type="dxa"/>
            <w:vAlign w:val="bottom"/>
          </w:tcPr>
          <w:p>
            <w:pPr>
              <w:spacing w:after="0"/>
              <w:rPr>
                <w:sz w:val="15"/>
                <w:szCs w:val="15"/>
                <w:color w:val="auto"/>
              </w:rPr>
            </w:pPr>
          </w:p>
        </w:tc>
        <w:tc>
          <w:tcPr>
            <w:tcW w:w="10600" w:type="dxa"/>
            <w:vAlign w:val="bottom"/>
          </w:tcPr>
          <w:p>
            <w:pPr>
              <w:ind w:left="940"/>
              <w:spacing w:after="0"/>
              <w:rPr>
                <w:sz w:val="20"/>
                <w:szCs w:val="20"/>
                <w:color w:val="auto"/>
              </w:rPr>
            </w:pPr>
            <w:r>
              <w:rPr>
                <w:rFonts w:ascii="Arial" w:cs="Arial" w:eastAsia="Arial" w:hAnsi="Arial"/>
                <w:sz w:val="14"/>
                <w:szCs w:val="14"/>
                <w:color w:val="auto"/>
              </w:rPr>
              <w:t>Part II -- OTHER INFORMATION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4"/>
        </w:trPr>
        <w:tc>
          <w:tcPr>
            <w:tcW w:w="460" w:type="dxa"/>
            <w:vAlign w:val="bottom"/>
          </w:tcPr>
          <w:p>
            <w:pPr>
              <w:ind w:left="20"/>
              <w:spacing w:after="0" w:line="144" w:lineRule="exact"/>
              <w:rPr>
                <w:sz w:val="20"/>
                <w:szCs w:val="20"/>
                <w:color w:val="auto"/>
              </w:rPr>
            </w:pPr>
            <w:r>
              <w:rPr>
                <w:rFonts w:ascii="Arial" w:cs="Arial" w:eastAsia="Arial" w:hAnsi="Arial"/>
                <w:sz w:val="14"/>
                <w:szCs w:val="14"/>
                <w:color w:val="auto"/>
                <w:w w:val="98"/>
              </w:rPr>
              <w:t>Item 1.</w:t>
            </w:r>
          </w:p>
        </w:tc>
        <w:tc>
          <w:tcPr>
            <w:tcW w:w="10600" w:type="dxa"/>
            <w:vAlign w:val="bottom"/>
          </w:tcPr>
          <w:p>
            <w:pPr>
              <w:ind w:left="140"/>
              <w:spacing w:after="0" w:line="144" w:lineRule="exact"/>
              <w:rPr>
                <w:sz w:val="20"/>
                <w:szCs w:val="20"/>
                <w:color w:val="auto"/>
              </w:rPr>
            </w:pPr>
            <w:r>
              <w:rPr>
                <w:rFonts w:ascii="Arial" w:cs="Arial" w:eastAsia="Arial" w:hAnsi="Arial"/>
                <w:sz w:val="14"/>
                <w:szCs w:val="14"/>
                <w:color w:val="auto"/>
              </w:rPr>
              <w:t>Legal Proceedings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9">
              <w:r>
                <w:rPr>
                  <w:rFonts w:ascii="Arial" w:cs="Arial" w:eastAsia="Arial" w:hAnsi="Arial"/>
                  <w:sz w:val="14"/>
                  <w:szCs w:val="14"/>
                  <w:color w:val="0000FF"/>
                  <w:w w:val="76"/>
                </w:rPr>
                <w:t>39</w:t>
              </w:r>
            </w:hyperlink>
          </w:p>
        </w:tc>
        <w:tc>
          <w:tcPr>
            <w:tcW w:w="20" w:type="dxa"/>
            <w:vAlign w:val="bottom"/>
          </w:tcPr>
          <w:p>
            <w:pPr>
              <w:spacing w:after="0"/>
              <w:rPr>
                <w:sz w:val="13"/>
                <w:szCs w:val="13"/>
                <w:color w:val="auto"/>
              </w:rPr>
            </w:pPr>
          </w:p>
        </w:tc>
      </w:tr>
      <w:tr>
        <w:trPr>
          <w:trHeight w:val="219"/>
        </w:trPr>
        <w:tc>
          <w:tcPr>
            <w:tcW w:w="1106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110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Item 1A. Risk Factors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9">
              <w:r>
                <w:rPr>
                  <w:rFonts w:ascii="Arial" w:cs="Arial" w:eastAsia="Arial" w:hAnsi="Arial"/>
                  <w:sz w:val="14"/>
                  <w:szCs w:val="14"/>
                  <w:color w:val="0000FF"/>
                  <w:w w:val="76"/>
                </w:rPr>
                <w:t>39</w:t>
              </w:r>
            </w:hyperlink>
          </w:p>
        </w:tc>
        <w:tc>
          <w:tcPr>
            <w:tcW w:w="20" w:type="dxa"/>
            <w:vAlign w:val="bottom"/>
          </w:tcPr>
          <w:p>
            <w:pPr>
              <w:spacing w:after="0"/>
              <w:rPr>
                <w:sz w:val="13"/>
                <w:szCs w:val="13"/>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460" w:type="dxa"/>
            <w:vAlign w:val="bottom"/>
          </w:tcPr>
          <w:p>
            <w:pPr>
              <w:ind w:left="20"/>
              <w:spacing w:after="0" w:line="144" w:lineRule="exact"/>
              <w:rPr>
                <w:sz w:val="20"/>
                <w:szCs w:val="20"/>
                <w:color w:val="auto"/>
              </w:rPr>
            </w:pPr>
            <w:r>
              <w:rPr>
                <w:rFonts w:ascii="Arial" w:cs="Arial" w:eastAsia="Arial" w:hAnsi="Arial"/>
                <w:sz w:val="14"/>
                <w:szCs w:val="14"/>
                <w:color w:val="auto"/>
                <w:w w:val="98"/>
              </w:rPr>
              <w:t>Item 2.</w:t>
            </w:r>
          </w:p>
        </w:tc>
        <w:tc>
          <w:tcPr>
            <w:tcW w:w="10600" w:type="dxa"/>
            <w:vAlign w:val="bottom"/>
          </w:tcPr>
          <w:p>
            <w:pPr>
              <w:ind w:left="20"/>
              <w:spacing w:after="0" w:line="144" w:lineRule="exact"/>
              <w:rPr>
                <w:sz w:val="20"/>
                <w:szCs w:val="20"/>
                <w:color w:val="auto"/>
              </w:rPr>
            </w:pPr>
            <w:r>
              <w:rPr>
                <w:rFonts w:ascii="Arial" w:cs="Arial" w:eastAsia="Arial" w:hAnsi="Arial"/>
                <w:sz w:val="14"/>
                <w:szCs w:val="14"/>
                <w:color w:val="auto"/>
              </w:rPr>
              <w:t>Unregistered Sales of Equity Securities and Use of Proceeds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9">
              <w:r>
                <w:rPr>
                  <w:rFonts w:ascii="Arial" w:cs="Arial" w:eastAsia="Arial" w:hAnsi="Arial"/>
                  <w:sz w:val="14"/>
                  <w:szCs w:val="14"/>
                  <w:color w:val="0000FF"/>
                  <w:w w:val="76"/>
                </w:rPr>
                <w:t>39</w:t>
              </w:r>
            </w:hyperlink>
          </w:p>
        </w:tc>
        <w:tc>
          <w:tcPr>
            <w:tcW w:w="20" w:type="dxa"/>
            <w:vAlign w:val="bottom"/>
          </w:tcPr>
          <w:p>
            <w:pPr>
              <w:spacing w:after="0"/>
              <w:rPr>
                <w:sz w:val="13"/>
                <w:szCs w:val="13"/>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460" w:type="dxa"/>
            <w:vAlign w:val="bottom"/>
          </w:tcPr>
          <w:p>
            <w:pPr>
              <w:ind w:left="20"/>
              <w:spacing w:after="0" w:line="144" w:lineRule="exact"/>
              <w:rPr>
                <w:sz w:val="20"/>
                <w:szCs w:val="20"/>
                <w:color w:val="auto"/>
              </w:rPr>
            </w:pPr>
            <w:r>
              <w:rPr>
                <w:rFonts w:ascii="Arial" w:cs="Arial" w:eastAsia="Arial" w:hAnsi="Arial"/>
                <w:sz w:val="14"/>
                <w:szCs w:val="14"/>
                <w:color w:val="auto"/>
                <w:w w:val="98"/>
              </w:rPr>
              <w:t>Item 6.</w:t>
            </w:r>
          </w:p>
        </w:tc>
        <w:tc>
          <w:tcPr>
            <w:tcW w:w="10600" w:type="dxa"/>
            <w:vAlign w:val="bottom"/>
          </w:tcPr>
          <w:p>
            <w:pPr>
              <w:ind w:left="140"/>
              <w:spacing w:after="0" w:line="144" w:lineRule="exact"/>
              <w:rPr>
                <w:sz w:val="20"/>
                <w:szCs w:val="20"/>
                <w:color w:val="auto"/>
              </w:rPr>
            </w:pPr>
            <w:r>
              <w:rPr>
                <w:rFonts w:ascii="Arial" w:cs="Arial" w:eastAsia="Arial" w:hAnsi="Arial"/>
                <w:sz w:val="14"/>
                <w:szCs w:val="14"/>
                <w:color w:val="auto"/>
              </w:rPr>
              <w:t>Exhibits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9">
              <w:r>
                <w:rPr>
                  <w:rFonts w:ascii="Arial" w:cs="Arial" w:eastAsia="Arial" w:hAnsi="Arial"/>
                  <w:sz w:val="14"/>
                  <w:szCs w:val="14"/>
                  <w:color w:val="0000FF"/>
                  <w:w w:val="76"/>
                </w:rPr>
                <w:t>40</w:t>
              </w:r>
            </w:hyperlink>
          </w:p>
        </w:tc>
        <w:tc>
          <w:tcPr>
            <w:tcW w:w="20" w:type="dxa"/>
            <w:vAlign w:val="bottom"/>
          </w:tcPr>
          <w:p>
            <w:pPr>
              <w:spacing w:after="0"/>
              <w:rPr>
                <w:sz w:val="13"/>
                <w:szCs w:val="13"/>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(a) Index of Exhibits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9">
              <w:r>
                <w:rPr>
                  <w:rFonts w:ascii="Arial" w:cs="Arial" w:eastAsia="Arial" w:hAnsi="Arial"/>
                  <w:sz w:val="14"/>
                  <w:szCs w:val="14"/>
                  <w:color w:val="0000FF"/>
                  <w:w w:val="76"/>
                </w:rPr>
                <w:t>40</w:t>
              </w:r>
            </w:hyperlink>
          </w:p>
        </w:tc>
        <w:tc>
          <w:tcPr>
            <w:tcW w:w="20" w:type="dxa"/>
            <w:vAlign w:val="bottom"/>
          </w:tcPr>
          <w:p>
            <w:pPr>
              <w:spacing w:after="0"/>
              <w:rPr>
                <w:sz w:val="13"/>
                <w:szCs w:val="13"/>
                <w:color w:val="auto"/>
              </w:rPr>
            </w:pPr>
          </w:p>
        </w:tc>
      </w:tr>
      <w:tr>
        <w:trPr>
          <w:trHeight w:val="219"/>
        </w:trPr>
        <w:tc>
          <w:tcPr>
            <w:tcW w:w="1106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4"/>
        </w:trPr>
        <w:tc>
          <w:tcPr>
            <w:tcW w:w="110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Signature Page</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41">
              <w:r>
                <w:rPr>
                  <w:rFonts w:ascii="Arial" w:cs="Arial" w:eastAsia="Arial" w:hAnsi="Arial"/>
                  <w:sz w:val="14"/>
                  <w:szCs w:val="14"/>
                  <w:color w:val="0000FF"/>
                  <w:w w:val="76"/>
                </w:rPr>
                <w:t>42</w:t>
              </w:r>
            </w:hyperlink>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85" w:right="359" w:bottom="1440" w:gutter="0" w:footer="0" w:header="0"/>
        </w:sectPr>
      </w:pPr>
    </w:p>
    <w:bookmarkStart w:id="3" w:name="page4"/>
    <w:bookmarkEnd w:id="3"/>
    <w:p>
      <w:pPr>
        <w:jc w:val="center"/>
        <w:ind w:right="-154"/>
        <w:spacing w:after="0"/>
        <w:rPr>
          <w:sz w:val="20"/>
          <w:szCs w:val="20"/>
          <w:color w:val="auto"/>
        </w:rPr>
      </w:pPr>
      <w:r>
        <w:rPr>
          <w:rFonts w:ascii="Arial" w:cs="Arial" w:eastAsia="Arial" w:hAnsi="Arial"/>
          <w:sz w:val="17"/>
          <w:szCs w:val="17"/>
          <w:b w:val="1"/>
          <w:bCs w:val="1"/>
          <w:color w:val="auto"/>
        </w:rPr>
        <w:t>PART I -- FINANCIAL INFORMATION</w:t>
      </w:r>
    </w:p>
    <w:p>
      <w:pPr>
        <w:spacing w:after="0" w:line="32" w:lineRule="exact"/>
        <w:rPr>
          <w:sz w:val="20"/>
          <w:szCs w:val="20"/>
          <w:color w:val="auto"/>
        </w:rPr>
      </w:pPr>
    </w:p>
    <w:p>
      <w:pPr>
        <w:ind w:left="155"/>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232" w:lineRule="exact"/>
        <w:rPr>
          <w:sz w:val="20"/>
          <w:szCs w:val="20"/>
          <w:color w:val="auto"/>
        </w:rPr>
      </w:pPr>
    </w:p>
    <w:p>
      <w:pPr>
        <w:jc w:val="center"/>
        <w:ind w:right="-14"/>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4"/>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32" w:lineRule="exact"/>
        <w:rPr>
          <w:sz w:val="20"/>
          <w:szCs w:val="20"/>
          <w:color w:val="auto"/>
        </w:rPr>
      </w:pPr>
    </w:p>
    <w:p>
      <w:pPr>
        <w:jc w:val="center"/>
        <w:ind w:right="-154"/>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12" w:lineRule="exact"/>
        <w:rPr>
          <w:sz w:val="20"/>
          <w:szCs w:val="20"/>
          <w:color w:val="auto"/>
        </w:rPr>
      </w:pPr>
    </w:p>
    <w:tbl>
      <w:tblPr>
        <w:tblLayout w:type="fixed"/>
        <w:tblInd w:w="175"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6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r>
      <w:tr>
        <w:trPr>
          <w:trHeight w:val="176"/>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w w:val="89"/>
              </w:rPr>
              <w:t>2020</w:t>
            </w:r>
          </w:p>
        </w:tc>
      </w:tr>
      <w:tr>
        <w:trPr>
          <w:trHeight w:val="17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150,081</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136,523</w:t>
            </w:r>
          </w:p>
        </w:tc>
        <w:tc>
          <w:tcPr>
            <w:tcW w:w="10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419,861</w:t>
            </w:r>
          </w:p>
        </w:tc>
        <w:tc>
          <w:tcPr>
            <w:tcW w:w="12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375,928</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13,261</w:t>
            </w:r>
          </w:p>
        </w:tc>
      </w:tr>
      <w:tr>
        <w:trPr>
          <w:trHeight w:val="181"/>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7,162</w:t>
            </w:r>
          </w:p>
        </w:tc>
      </w:tr>
      <w:tr>
        <w:trPr>
          <w:trHeight w:val="179"/>
        </w:trPr>
        <w:tc>
          <w:tcPr>
            <w:tcW w:w="60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155,063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142,857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434,669</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396,351</w:t>
            </w:r>
          </w:p>
        </w:tc>
      </w:tr>
      <w:tr>
        <w:trPr>
          <w:trHeight w:val="161"/>
        </w:trPr>
        <w:tc>
          <w:tcPr>
            <w:tcW w:w="6020" w:type="dxa"/>
            <w:vAlign w:val="bottom"/>
          </w:tcPr>
          <w:p>
            <w:pPr>
              <w:ind w:left="20"/>
              <w:spacing w:after="0" w:line="159" w:lineRule="exact"/>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107,287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307,198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267,051</w:t>
            </w: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3,892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11,559</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17,320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46,204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38,889</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72,527</w:t>
            </w: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7,935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144,120</w:t>
            </w:r>
          </w:p>
        </w:tc>
      </w:tr>
      <w:tr>
        <w:trPr>
          <w:trHeight w:val="183"/>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expense</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r>
      <w:tr>
        <w:trPr>
          <w:trHeight w:val="176"/>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149,053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135,767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436,431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540,171</w:t>
            </w:r>
          </w:p>
        </w:tc>
      </w:tr>
      <w:tr>
        <w:trPr>
          <w:trHeight w:val="17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(143,820)</w:t>
            </w: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(13,095)</w:t>
            </w: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(383)</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1"/>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6,066</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17,209</w:t>
            </w:r>
          </w:p>
        </w:tc>
      </w:tr>
      <w:tr>
        <w:trPr>
          <w:trHeight w:val="179"/>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(140,069)</w:t>
            </w:r>
          </w:p>
        </w:tc>
      </w:tr>
      <w:tr>
        <w:trPr>
          <w:trHeight w:val="181"/>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8,509</w:t>
            </w:r>
          </w:p>
        </w:tc>
      </w:tr>
      <w:tr>
        <w:trPr>
          <w:trHeight w:val="17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(131,560)</w:t>
            </w:r>
          </w:p>
        </w:tc>
      </w:tr>
      <w:tr>
        <w:trPr>
          <w:trHeight w:val="181"/>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r>
      <w:tr>
        <w:trPr>
          <w:trHeight w:val="17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(132,474)</w:t>
            </w:r>
          </w:p>
        </w:tc>
      </w:tr>
      <w:tr>
        <w:trPr>
          <w:trHeight w:val="181"/>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w:t>
            </w:r>
          </w:p>
        </w:tc>
      </w:tr>
      <w:tr>
        <w:trPr>
          <w:trHeight w:val="20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common shareholders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(133,885)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10"/>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3"/>
        </w:trPr>
        <w:tc>
          <w:tcPr>
            <w:tcW w:w="6020" w:type="dxa"/>
            <w:vAlign w:val="bottom"/>
          </w:tcPr>
          <w:p>
            <w:pPr>
              <w:ind w:left="20"/>
              <w:spacing w:after="0" w:line="183" w:lineRule="exact"/>
              <w:rPr>
                <w:sz w:val="20"/>
                <w:szCs w:val="20"/>
                <w:color w:val="auto"/>
              </w:rPr>
            </w:pPr>
            <w:r>
              <w:rPr>
                <w:rFonts w:ascii="Arial" w:cs="Arial" w:eastAsia="Arial" w:hAnsi="Arial"/>
                <w:sz w:val="14"/>
                <w:szCs w:val="14"/>
                <w:b w:val="1"/>
                <w:bCs w:val="1"/>
                <w:color w:val="auto"/>
              </w:rPr>
              <w:t xml:space="preserve">Per Share Data (see Note 8) </w:t>
            </w:r>
            <w:r>
              <w:rPr>
                <w:rFonts w:ascii="Arial" w:cs="Arial" w:eastAsia="Arial" w:hAnsi="Arial"/>
                <w:sz w:val="18"/>
                <w:szCs w:val="18"/>
                <w:b w:val="1"/>
                <w:bCs w:val="1"/>
                <w:color w:val="auto"/>
                <w:vertAlign w:val="superscript"/>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14,255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14,118</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14,118</w:t>
            </w:r>
          </w:p>
        </w:tc>
      </w:tr>
    </w:tbl>
    <w:p>
      <w:pPr>
        <w:spacing w:after="0" w:line="139" w:lineRule="exact"/>
        <w:rPr>
          <w:sz w:val="20"/>
          <w:szCs w:val="20"/>
          <w:color w:val="auto"/>
        </w:rPr>
      </w:pPr>
    </w:p>
    <w:p>
      <w:pPr>
        <w:ind w:left="395" w:hanging="395"/>
        <w:spacing w:after="0" w:line="260" w:lineRule="auto"/>
        <w:tabs>
          <w:tab w:leader="none" w:pos="394" w:val="left"/>
        </w:tabs>
        <w:numPr>
          <w:ilvl w:val="0"/>
          <w:numId w:val="3"/>
        </w:numPr>
        <w:rPr>
          <w:rFonts w:ascii="Arial" w:cs="Arial" w:eastAsia="Arial" w:hAnsi="Arial"/>
          <w:sz w:val="12"/>
          <w:szCs w:val="12"/>
          <w:color w:val="auto"/>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129" w:lineRule="exact"/>
        <w:rPr>
          <w:sz w:val="20"/>
          <w:szCs w:val="20"/>
          <w:color w:val="auto"/>
        </w:rPr>
      </w:pPr>
    </w:p>
    <w:p>
      <w:pPr>
        <w:jc w:val="center"/>
        <w:ind w:right="-154"/>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35"/>
          </w:cols>
          <w:pgMar w:left="325" w:top="1379" w:right="3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UNAUDITED CONSOLIDATED STATEMENTS OF COMPREHENSIVE INCOME (LOSS)</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r>
      <w:tr>
        <w:trPr>
          <w:trHeight w:val="176"/>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w w:val="96"/>
              </w:rPr>
              <w:t>2020</w:t>
            </w:r>
          </w:p>
        </w:tc>
      </w:tr>
      <w:tr>
        <w:trPr>
          <w:trHeight w:val="229"/>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1"/>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(131,560)</w:t>
            </w:r>
          </w:p>
        </w:tc>
      </w:tr>
      <w:tr>
        <w:trPr>
          <w:trHeight w:val="127"/>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83"/>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 net of taxes: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1"/>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Foreign currency translation adjustment, net of zero taxes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(8,025)</w:t>
            </w:r>
          </w:p>
        </w:tc>
      </w:tr>
      <w:tr>
        <w:trPr>
          <w:trHeight w:val="176"/>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Total other comprehensive income (loss), net of taxes</w:t>
            </w: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(15,417)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(8,025)</w:t>
            </w:r>
          </w:p>
        </w:tc>
      </w:tr>
      <w:tr>
        <w:trPr>
          <w:trHeight w:val="127"/>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83"/>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(139,585)</w:t>
            </w:r>
          </w:p>
        </w:tc>
      </w:tr>
      <w:tr>
        <w:trPr>
          <w:trHeight w:val="181"/>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Comprehensive (loss) income attributable to noncontrolling interest</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450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w:t>
            </w:r>
          </w:p>
        </w:tc>
      </w:tr>
      <w:tr>
        <w:trPr>
          <w:trHeight w:val="20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(loss) income attributable to Civeo Corporation</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(24,298)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(140,513)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53975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1379" w:right="5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(In Thousands, Excluding Share Amounts)</w:t>
      </w:r>
    </w:p>
    <w:p>
      <w:pPr>
        <w:sectPr>
          <w:pgSz w:w="11900" w:h="16838" w:orient="portrait"/>
          <w:cols w:equalWidth="0" w:num="1">
            <w:col w:w="11340"/>
          </w:cols>
          <w:pgMar w:left="320" w:top="13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assets: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Cash and cash equivalents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receivable, net</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Inventories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Prepaid expenses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 current assets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Assets held for sale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Total current assets</w:t>
      </w:r>
    </w:p>
    <w:p>
      <w:pPr>
        <w:spacing w:after="0" w:line="180" w:lineRule="exact"/>
        <w:rPr>
          <w:sz w:val="20"/>
          <w:szCs w:val="20"/>
          <w:color w:val="auto"/>
        </w:rPr>
      </w:pPr>
    </w:p>
    <w:p>
      <w:pPr>
        <w:ind w:left="340"/>
        <w:spacing w:after="0" w:line="273" w:lineRule="auto"/>
        <w:rPr>
          <w:sz w:val="20"/>
          <w:szCs w:val="20"/>
          <w:color w:val="auto"/>
        </w:rPr>
      </w:pPr>
      <w:r>
        <w:rPr>
          <w:rFonts w:ascii="Arial" w:cs="Arial" w:eastAsia="Arial" w:hAnsi="Arial"/>
          <w:sz w:val="14"/>
          <w:szCs w:val="14"/>
          <w:color w:val="auto"/>
        </w:rPr>
        <w:t>Property, plant and equipment, net Goodwill</w:t>
      </w:r>
    </w:p>
    <w:p>
      <w:pPr>
        <w:ind w:left="340"/>
        <w:spacing w:after="0"/>
        <w:rPr>
          <w:sz w:val="20"/>
          <w:szCs w:val="20"/>
          <w:color w:val="auto"/>
        </w:rPr>
      </w:pPr>
      <w:r>
        <w:rPr>
          <w:rFonts w:ascii="Arial" w:cs="Arial" w:eastAsia="Arial" w:hAnsi="Arial"/>
          <w:sz w:val="14"/>
          <w:szCs w:val="14"/>
          <w:color w:val="auto"/>
        </w:rPr>
        <w:t>Other intangible assets, net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Operating lease right-of-use assets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noncurrent assets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Pr>
          <w:p>
            <w:pPr>
              <w:spacing w:after="0"/>
              <w:rPr>
                <w:sz w:val="16"/>
                <w:szCs w:val="16"/>
                <w:color w:val="auto"/>
              </w:rPr>
            </w:pPr>
          </w:p>
        </w:tc>
        <w:tc>
          <w:tcPr>
            <w:tcW w:w="1440" w:type="dxa"/>
            <w:vAlign w:val="bottom"/>
          </w:tcPr>
          <w:p>
            <w:pPr>
              <w:jc w:val="right"/>
              <w:ind w:right="150"/>
              <w:spacing w:after="0"/>
              <w:rPr>
                <w:sz w:val="20"/>
                <w:szCs w:val="20"/>
                <w:color w:val="auto"/>
              </w:rPr>
            </w:pPr>
            <w:r>
              <w:rPr>
                <w:rFonts w:ascii="Arial" w:cs="Arial" w:eastAsia="Arial" w:hAnsi="Arial"/>
                <w:sz w:val="14"/>
                <w:szCs w:val="14"/>
                <w:b w:val="1"/>
                <w:bCs w:val="1"/>
                <w:color w:val="auto"/>
                <w:w w:val="95"/>
              </w:rPr>
              <w:t>December 31, 2020</w:t>
            </w:r>
          </w:p>
        </w:tc>
      </w:tr>
      <w:tr>
        <w:trPr>
          <w:trHeight w:val="176"/>
        </w:trPr>
        <w:tc>
          <w:tcPr>
            <w:tcW w:w="39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78"/>
        </w:trPr>
        <w:tc>
          <w:tcPr>
            <w:tcW w:w="4260" w:type="dxa"/>
            <w:vAlign w:val="bottom"/>
            <w:gridSpan w:val="2"/>
          </w:tcPr>
          <w:p>
            <w:pPr>
              <w:jc w:val="right"/>
              <w:ind w:right="3670"/>
              <w:spacing w:after="0"/>
              <w:rPr>
                <w:sz w:val="20"/>
                <w:szCs w:val="20"/>
                <w:color w:val="auto"/>
              </w:rPr>
            </w:pPr>
            <w:r>
              <w:rPr>
                <w:rFonts w:ascii="Arial" w:cs="Arial" w:eastAsia="Arial" w:hAnsi="Arial"/>
                <w:sz w:val="14"/>
                <w:szCs w:val="14"/>
                <w:color w:val="auto"/>
                <w:w w:val="90"/>
              </w:rPr>
              <w:t>ASSETS</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24"/>
        </w:trPr>
        <w:tc>
          <w:tcPr>
            <w:tcW w:w="4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4,948</w:t>
            </w:r>
          </w:p>
        </w:tc>
        <w:tc>
          <w:tcPr>
            <w:tcW w:w="10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6,155</w:t>
            </w:r>
          </w:p>
        </w:tc>
      </w:tr>
      <w:tr>
        <w:trPr>
          <w:trHeight w:val="183"/>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108,058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89,782</w:t>
            </w:r>
          </w:p>
        </w:tc>
      </w:tr>
      <w:tr>
        <w:trPr>
          <w:trHeight w:val="183"/>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6,089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6,181</w:t>
            </w:r>
          </w:p>
        </w:tc>
      </w:tr>
      <w:tr>
        <w:trPr>
          <w:trHeight w:val="183"/>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10,823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7,020</w:t>
            </w:r>
          </w:p>
        </w:tc>
      </w:tr>
      <w:tr>
        <w:trPr>
          <w:trHeight w:val="183"/>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12,575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6,165</w:t>
            </w:r>
          </w:p>
        </w:tc>
      </w:tr>
      <w:tr>
        <w:trPr>
          <w:trHeight w:val="189"/>
        </w:trPr>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3,910</w:t>
            </w:r>
          </w:p>
        </w:tc>
      </w:tr>
      <w:tr>
        <w:trPr>
          <w:trHeight w:val="177"/>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158,023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119,213</w:t>
            </w:r>
          </w:p>
        </w:tc>
      </w:tr>
      <w:tr>
        <w:trPr>
          <w:trHeight w:val="335"/>
        </w:trPr>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399,962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486,930</w:t>
            </w:r>
          </w:p>
        </w:tc>
      </w:tr>
      <w:tr>
        <w:trPr>
          <w:trHeight w:val="183"/>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8,729</w:t>
            </w:r>
          </w:p>
        </w:tc>
      </w:tr>
      <w:tr>
        <w:trPr>
          <w:trHeight w:val="183"/>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94,680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99,749</w:t>
            </w:r>
          </w:p>
        </w:tc>
      </w:tr>
      <w:tr>
        <w:trPr>
          <w:trHeight w:val="183"/>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19,265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22,606</w:t>
            </w:r>
          </w:p>
        </w:tc>
      </w:tr>
      <w:tr>
        <w:trPr>
          <w:trHeight w:val="189"/>
        </w:trPr>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w:t>
            </w:r>
          </w:p>
        </w:tc>
      </w:tr>
      <w:tr>
        <w:trPr>
          <w:trHeight w:val="179"/>
        </w:trPr>
        <w:tc>
          <w:tcPr>
            <w:tcW w:w="39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684,042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740,853</w:t>
            </w:r>
          </w:p>
        </w:tc>
      </w:tr>
      <w:tr>
        <w:trPr>
          <w:trHeight w:val="22"/>
        </w:trPr>
        <w:tc>
          <w:tcPr>
            <w:tcW w:w="3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-1995805</wp:posOffset>
            </wp:positionV>
            <wp:extent cx="7098030" cy="116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-1779270</wp:posOffset>
            </wp:positionV>
            <wp:extent cx="7098030" cy="116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-1546225</wp:posOffset>
            </wp:positionV>
            <wp:extent cx="7098030" cy="116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-1313815</wp:posOffset>
            </wp:positionV>
            <wp:extent cx="7098030" cy="116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-1080770</wp:posOffset>
            </wp:positionV>
            <wp:extent cx="7098030" cy="116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-839470</wp:posOffset>
            </wp:positionV>
            <wp:extent cx="7098030"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9969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-622935</wp:posOffset>
            </wp:positionV>
            <wp:extent cx="7098030" cy="116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-390525</wp:posOffset>
            </wp:positionV>
            <wp:extent cx="7098030" cy="116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-157480</wp:posOffset>
            </wp:positionV>
            <wp:extent cx="7098030" cy="141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160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-98425</wp:posOffset>
            </wp:positionV>
            <wp:extent cx="7098030" cy="116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1620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260" w:space="320"/>
            <w:col w:w="8760"/>
          </w:cols>
          <w:pgMar w:left="320" w:top="1379" w:right="239" w:bottom="1440" w:gutter="0" w:footer="0" w:header="0"/>
          <w:type w:val="continuous"/>
        </w:sectPr>
      </w:pPr>
    </w:p>
    <w:tbl>
      <w:tblPr>
        <w:tblLayout w:type="fixed"/>
        <w:tblInd w:w="160" w:type="dxa"/>
        <w:tblCellMar>
          <w:top w:w="0" w:type="dxa"/>
          <w:left w:w="0" w:type="dxa"/>
          <w:bottom w:w="0" w:type="dxa"/>
          <w:right w:w="0" w:type="dxa"/>
        </w:tblCellMar>
      </w:tblP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liabilities:</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68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45,193</w:t>
            </w:r>
          </w:p>
        </w:tc>
        <w:tc>
          <w:tcPr>
            <w:tcW w:w="100" w:type="dxa"/>
            <w:vAlign w:val="bottom"/>
          </w:tcPr>
          <w:p>
            <w:pPr>
              <w:spacing w:after="0"/>
              <w:rPr>
                <w:sz w:val="15"/>
                <w:szCs w:val="15"/>
                <w:color w:val="auto"/>
              </w:rPr>
            </w:pPr>
          </w:p>
        </w:tc>
        <w:tc>
          <w:tcPr>
            <w:tcW w:w="70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42,056</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liabilities</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27,349</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Income taxes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Current portion of long-term debt</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30,473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34,585</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Deferred revenue</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24,219</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current liabilities</w:t>
            </w:r>
          </w:p>
        </w:tc>
        <w:tc>
          <w:tcPr>
            <w:tcW w:w="6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5,718</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5,760</w:t>
            </w:r>
          </w:p>
        </w:tc>
        <w:tc>
          <w:tcPr>
            <w:tcW w:w="0" w:type="dxa"/>
            <w:vAlign w:val="bottom"/>
          </w:tcPr>
          <w:p>
            <w:pPr>
              <w:spacing w:after="0"/>
              <w:rPr>
                <w:sz w:val="1"/>
                <w:szCs w:val="1"/>
                <w:color w:val="auto"/>
              </w:rPr>
            </w:pPr>
          </w:p>
        </w:tc>
      </w:tr>
      <w:tr>
        <w:trPr>
          <w:trHeight w:val="174"/>
        </w:trPr>
        <w:tc>
          <w:tcPr>
            <w:tcW w:w="75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136,948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116,765</w:t>
            </w:r>
          </w:p>
        </w:tc>
        <w:tc>
          <w:tcPr>
            <w:tcW w:w="0" w:type="dxa"/>
            <w:vAlign w:val="bottom"/>
          </w:tcPr>
          <w:p>
            <w:pPr>
              <w:spacing w:after="0"/>
              <w:rPr>
                <w:sz w:val="1"/>
                <w:szCs w:val="1"/>
                <w:color w:val="auto"/>
              </w:rPr>
            </w:pPr>
          </w:p>
        </w:tc>
      </w:tr>
      <w:tr>
        <w:trPr>
          <w:trHeight w:val="160"/>
        </w:trPr>
        <w:tc>
          <w:tcPr>
            <w:tcW w:w="75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180"/>
              <w:spacing w:after="0"/>
              <w:rPr>
                <w:sz w:val="20"/>
                <w:szCs w:val="20"/>
                <w:color w:val="auto"/>
              </w:rPr>
            </w:pPr>
            <w:r>
              <w:rPr>
                <w:rFonts w:ascii="Arial" w:cs="Arial" w:eastAsia="Arial" w:hAnsi="Arial"/>
                <w:sz w:val="14"/>
                <w:szCs w:val="14"/>
                <w:color w:val="auto"/>
              </w:rPr>
              <w:t>Long-term debt, less current maturities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162,689</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214,000</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liabilities</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19,834</w:t>
            </w:r>
          </w:p>
        </w:tc>
        <w:tc>
          <w:tcPr>
            <w:tcW w:w="0" w:type="dxa"/>
            <w:vAlign w:val="bottom"/>
          </w:tcPr>
          <w:p>
            <w:pPr>
              <w:spacing w:after="0"/>
              <w:rPr>
                <w:sz w:val="1"/>
                <w:szCs w:val="1"/>
                <w:color w:val="auto"/>
              </w:rPr>
            </w:pPr>
          </w:p>
        </w:tc>
      </w:tr>
      <w:tr>
        <w:trPr>
          <w:trHeight w:val="181"/>
        </w:trPr>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noncurrent liabilities</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15,238</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14,897</w:t>
            </w:r>
          </w:p>
        </w:tc>
        <w:tc>
          <w:tcPr>
            <w:tcW w:w="0" w:type="dxa"/>
            <w:vAlign w:val="bottom"/>
          </w:tcPr>
          <w:p>
            <w:pPr>
              <w:spacing w:after="0"/>
              <w:rPr>
                <w:sz w:val="1"/>
                <w:szCs w:val="1"/>
                <w:color w:val="auto"/>
              </w:rPr>
            </w:pPr>
          </w:p>
        </w:tc>
      </w:tr>
      <w:tr>
        <w:trPr>
          <w:trHeight w:val="179"/>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liabilities</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365,496</w:t>
            </w: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Commitments and contingencies (Note 11)</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Shareholders’ Equity:</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560" w:type="dxa"/>
            <w:vAlign w:val="bottom"/>
          </w:tcPr>
          <w:p>
            <w:pPr>
              <w:ind w:left="300"/>
              <w:spacing w:after="0" w:line="131" w:lineRule="exact"/>
              <w:rPr>
                <w:sz w:val="20"/>
                <w:szCs w:val="20"/>
                <w:color w:val="auto"/>
              </w:rPr>
            </w:pPr>
            <w:r>
              <w:rPr>
                <w:rFonts w:ascii="Arial" w:cs="Arial" w:eastAsia="Arial" w:hAnsi="Arial"/>
                <w:sz w:val="14"/>
                <w:szCs w:val="14"/>
                <w:color w:val="auto"/>
                <w:w w:val="88"/>
              </w:rPr>
              <w:t>Preferred shares (Class A Series 1, no par value; 50,000,000 shares authorized, 9,042 shares issued and outstanding, respectively;</w:t>
            </w:r>
          </w:p>
        </w:tc>
        <w:tc>
          <w:tcPr>
            <w:tcW w:w="6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61,456</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60,016</w:t>
            </w:r>
          </w:p>
        </w:tc>
        <w:tc>
          <w:tcPr>
            <w:tcW w:w="0" w:type="dxa"/>
            <w:vAlign w:val="bottom"/>
          </w:tcPr>
          <w:p>
            <w:pPr>
              <w:spacing w:after="0"/>
              <w:rPr>
                <w:sz w:val="1"/>
                <w:szCs w:val="1"/>
                <w:color w:val="auto"/>
              </w:rPr>
            </w:pPr>
          </w:p>
        </w:tc>
      </w:tr>
      <w:tr>
        <w:trPr>
          <w:trHeight w:val="181"/>
        </w:trPr>
        <w:tc>
          <w:tcPr>
            <w:tcW w:w="7560" w:type="dxa"/>
            <w:vAlign w:val="bottom"/>
          </w:tcPr>
          <w:p>
            <w:pPr>
              <w:ind w:left="140"/>
              <w:spacing w:after="0"/>
              <w:rPr>
                <w:sz w:val="20"/>
                <w:szCs w:val="20"/>
                <w:color w:val="auto"/>
              </w:rPr>
            </w:pPr>
            <w:r>
              <w:rPr>
                <w:rFonts w:ascii="Arial" w:cs="Arial" w:eastAsia="Arial" w:hAnsi="Arial"/>
                <w:sz w:val="14"/>
                <w:szCs w:val="14"/>
                <w:color w:val="auto"/>
              </w:rPr>
              <w:t>aggregate liquidation preference of $96,953,917 and $95,514,031 as of September 30, 2021 and December 31, 2020)</w:t>
            </w:r>
          </w:p>
        </w:tc>
        <w:tc>
          <w:tcPr>
            <w:tcW w:w="6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560" w:type="dxa"/>
            <w:vAlign w:val="bottom"/>
            <w:shd w:val="clear" w:color="auto" w:fill="CCEEFF"/>
          </w:tcPr>
          <w:p>
            <w:pPr>
              <w:ind w:left="300"/>
              <w:spacing w:after="0" w:line="133" w:lineRule="exact"/>
              <w:rPr>
                <w:sz w:val="20"/>
                <w:szCs w:val="20"/>
                <w:color w:val="auto"/>
              </w:rPr>
            </w:pPr>
            <w:r>
              <w:rPr>
                <w:rFonts w:ascii="Arial" w:cs="Arial" w:eastAsia="Arial" w:hAnsi="Arial"/>
                <w:sz w:val="14"/>
                <w:szCs w:val="14"/>
                <w:color w:val="auto"/>
                <w:w w:val="89"/>
              </w:rPr>
              <w:t>Common shares (no par value; 46,000,000 shares authorized, 14,628,404 shares and 14,478,878 shares issued, respectively, and</w:t>
            </w:r>
          </w:p>
        </w:tc>
        <w:tc>
          <w:tcPr>
            <w:tcW w:w="6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140"/>
              <w:spacing w:after="0" w:line="183" w:lineRule="exact"/>
              <w:rPr>
                <w:sz w:val="20"/>
                <w:szCs w:val="20"/>
                <w:color w:val="auto"/>
              </w:rPr>
            </w:pPr>
            <w:r>
              <w:rPr>
                <w:rFonts w:ascii="Arial" w:cs="Arial" w:eastAsia="Arial" w:hAnsi="Arial"/>
                <w:sz w:val="14"/>
                <w:szCs w:val="14"/>
                <w:color w:val="auto"/>
              </w:rPr>
              <w:t xml:space="preserve">14,307,806 shares and 14,215,169 shares outstanding, respectively) </w:t>
            </w:r>
            <w:r>
              <w:rPr>
                <w:rFonts w:ascii="Arial" w:cs="Arial" w:eastAsia="Arial" w:hAnsi="Arial"/>
                <w:sz w:val="18"/>
                <w:szCs w:val="18"/>
                <w:color w:val="auto"/>
                <w:vertAlign w:val="superscript"/>
              </w:rPr>
              <w:t>(1)</w:t>
            </w:r>
          </w:p>
        </w:tc>
        <w:tc>
          <w:tcPr>
            <w:tcW w:w="6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Additional paid-in capital</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1,581,248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1,578,315</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Accumulated deficit</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(918,539)</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(907,727)</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Common shares held in treasury at cost, 320,598 and 263,709 shares, respectively</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(8,050)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(6,930)</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Accumulated other comprehensive loss</w:t>
            </w:r>
          </w:p>
        </w:tc>
        <w:tc>
          <w:tcPr>
            <w:tcW w:w="6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(364,360)</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(348,989)</w:t>
            </w:r>
          </w:p>
        </w:tc>
        <w:tc>
          <w:tcPr>
            <w:tcW w:w="0" w:type="dxa"/>
            <w:vAlign w:val="bottom"/>
          </w:tcPr>
          <w:p>
            <w:pPr>
              <w:spacing w:after="0"/>
              <w:rPr>
                <w:sz w:val="1"/>
                <w:szCs w:val="1"/>
                <w:color w:val="auto"/>
              </w:rPr>
            </w:pPr>
          </w:p>
        </w:tc>
      </w:tr>
      <w:tr>
        <w:trPr>
          <w:trHeight w:val="174"/>
        </w:trPr>
        <w:tc>
          <w:tcPr>
            <w:tcW w:w="7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Civeo Corporation shareholders’ equity</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351,755</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374,685</w:t>
            </w:r>
          </w:p>
        </w:tc>
        <w:tc>
          <w:tcPr>
            <w:tcW w:w="0" w:type="dxa"/>
            <w:vAlign w:val="bottom"/>
          </w:tcPr>
          <w:p>
            <w:pPr>
              <w:spacing w:after="0"/>
              <w:rPr>
                <w:sz w:val="1"/>
                <w:szCs w:val="1"/>
                <w:color w:val="auto"/>
              </w:rPr>
            </w:pPr>
          </w:p>
        </w:tc>
      </w:tr>
      <w:tr>
        <w:trPr>
          <w:trHeight w:val="179"/>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w:t>
            </w:r>
          </w:p>
        </w:tc>
        <w:tc>
          <w:tcPr>
            <w:tcW w:w="6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74"/>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shareholders’ equity</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352,785</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375,357</w:t>
            </w:r>
          </w:p>
        </w:tc>
        <w:tc>
          <w:tcPr>
            <w:tcW w:w="0" w:type="dxa"/>
            <w:vAlign w:val="bottom"/>
          </w:tcPr>
          <w:p>
            <w:pPr>
              <w:spacing w:after="0"/>
              <w:rPr>
                <w:sz w:val="1"/>
                <w:szCs w:val="1"/>
                <w:color w:val="auto"/>
              </w:rPr>
            </w:pPr>
          </w:p>
        </w:tc>
      </w:tr>
      <w:tr>
        <w:trPr>
          <w:trHeight w:val="204"/>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shareholders’ equity</w:t>
            </w:r>
          </w:p>
        </w:tc>
        <w:tc>
          <w:tcPr>
            <w:tcW w:w="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684,042</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740,853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00" w:right="420" w:hanging="395"/>
        <w:spacing w:after="0" w:line="218" w:lineRule="auto"/>
        <w:tabs>
          <w:tab w:leader="none" w:pos="38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79" w:right="239" w:bottom="1440" w:gutter="0" w:footer="0" w:header="0"/>
          <w:type w:val="continuous"/>
        </w:sectPr>
      </w:pPr>
    </w:p>
    <w:bookmarkStart w:id="6" w:name="page7"/>
    <w:bookmarkEnd w:id="6"/>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 CONSOLIDATED STATEMENTS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CHANGES IN SHAREHOLDERS’ EQUITY</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w:t>
      </w:r>
    </w:p>
    <w:p>
      <w:pPr>
        <w:spacing w:after="0" w:line="337" w:lineRule="exact"/>
        <w:rPr>
          <w:sz w:val="20"/>
          <w:szCs w:val="20"/>
          <w:color w:val="auto"/>
        </w:rPr>
      </w:pPr>
    </w:p>
    <w:tbl>
      <w:tblPr>
        <w:tblLayout w:type="fixed"/>
        <w:tblInd w:w="2640" w:type="dxa"/>
        <w:tblCellMar>
          <w:top w:w="0" w:type="dxa"/>
          <w:left w:w="0" w:type="dxa"/>
          <w:bottom w:w="0" w:type="dxa"/>
          <w:right w:w="0" w:type="dxa"/>
        </w:tblCellMar>
      </w:tblPr>
      <w:tr>
        <w:trPr>
          <w:trHeight w:val="168"/>
        </w:trPr>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660"/>
              <w:spacing w:after="0"/>
              <w:rPr>
                <w:sz w:val="20"/>
                <w:szCs w:val="20"/>
                <w:color w:val="auto"/>
              </w:rPr>
            </w:pPr>
            <w:r>
              <w:rPr>
                <w:rFonts w:ascii="Arial" w:cs="Arial" w:eastAsia="Arial" w:hAnsi="Arial"/>
                <w:sz w:val="12"/>
                <w:szCs w:val="12"/>
                <w:b w:val="1"/>
                <w:bCs w:val="1"/>
                <w:color w:val="auto"/>
              </w:rPr>
              <w:t>Attributable to Civeo</w:t>
            </w: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gridSpan w:val="2"/>
          </w:tcPr>
          <w:p>
            <w:pPr>
              <w:jc w:val="center"/>
              <w:ind w:right="100"/>
              <w:spacing w:after="0" w:line="118" w:lineRule="exact"/>
              <w:rPr>
                <w:sz w:val="20"/>
                <w:szCs w:val="20"/>
                <w:color w:val="auto"/>
              </w:rPr>
            </w:pPr>
            <w:r>
              <w:rPr>
                <w:rFonts w:ascii="Arial" w:cs="Arial" w:eastAsia="Arial" w:hAnsi="Arial"/>
                <w:sz w:val="12"/>
                <w:szCs w:val="12"/>
                <w:b w:val="1"/>
                <w:bCs w:val="1"/>
                <w:color w:val="auto"/>
                <w:w w:val="93"/>
              </w:rPr>
              <w:t>Preferred</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2"/>
              </w:rPr>
              <w:t>Common</w:t>
            </w: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9"/>
              </w:rPr>
              <w:t>Shares</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Additional</w:t>
            </w: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2"/>
              </w:rPr>
              <w:t>Accumulated</w:t>
            </w:r>
          </w:p>
        </w:tc>
        <w:tc>
          <w:tcPr>
            <w:tcW w:w="1280" w:type="dxa"/>
            <w:vAlign w:val="bottom"/>
          </w:tcPr>
          <w:p>
            <w:pPr>
              <w:spacing w:after="0"/>
              <w:rPr>
                <w:sz w:val="9"/>
                <w:szCs w:val="9"/>
                <w:color w:val="auto"/>
              </w:rPr>
            </w:pPr>
          </w:p>
        </w:tc>
        <w:tc>
          <w:tcPr>
            <w:tcW w:w="960" w:type="dxa"/>
            <w:vAlign w:val="bottom"/>
            <w:vMerge w:val="restart"/>
          </w:tcPr>
          <w:p>
            <w:pPr>
              <w:jc w:val="center"/>
              <w:ind w:left="15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Treasury</w:t>
            </w:r>
          </w:p>
        </w:tc>
        <w:tc>
          <w:tcPr>
            <w:tcW w:w="11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3"/>
              </w:rPr>
              <w:t>Other</w:t>
            </w:r>
          </w:p>
        </w:tc>
        <w:tc>
          <w:tcPr>
            <w:tcW w:w="12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Noncontrolling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Amount</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Par Value</w:t>
            </w:r>
          </w:p>
        </w:tc>
        <w:tc>
          <w:tcPr>
            <w:tcW w:w="10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4"/>
              </w:rPr>
              <w:t>Paid-in</w:t>
            </w: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280" w:type="dxa"/>
            <w:vAlign w:val="bottom"/>
            <w:vMerge w:val="continue"/>
          </w:tcPr>
          <w:p>
            <w:pPr>
              <w:spacing w:after="0"/>
              <w:rPr>
                <w:sz w:val="10"/>
                <w:szCs w:val="10"/>
                <w:color w:val="auto"/>
              </w:rPr>
            </w:pPr>
          </w:p>
        </w:tc>
        <w:tc>
          <w:tcPr>
            <w:tcW w:w="960" w:type="dxa"/>
            <w:vAlign w:val="bottom"/>
          </w:tcPr>
          <w:p>
            <w:pPr>
              <w:jc w:val="center"/>
              <w:ind w:left="159"/>
              <w:spacing w:after="0" w:line="118" w:lineRule="exact"/>
              <w:rPr>
                <w:sz w:val="20"/>
                <w:szCs w:val="20"/>
                <w:color w:val="auto"/>
              </w:rPr>
            </w:pPr>
            <w:r>
              <w:rPr>
                <w:rFonts w:ascii="Arial" w:cs="Arial" w:eastAsia="Arial" w:hAnsi="Arial"/>
                <w:sz w:val="12"/>
                <w:szCs w:val="12"/>
                <w:b w:val="1"/>
                <w:bCs w:val="1"/>
                <w:color w:val="auto"/>
                <w:w w:val="92"/>
              </w:rPr>
              <w:t>Shareholders’</w:t>
            </w:r>
          </w:p>
        </w:tc>
        <w:tc>
          <w:tcPr>
            <w:tcW w:w="0" w:type="dxa"/>
            <w:vAlign w:val="bottom"/>
          </w:tcPr>
          <w:p>
            <w:pPr>
              <w:spacing w:after="0"/>
              <w:rPr>
                <w:sz w:val="1"/>
                <w:szCs w:val="1"/>
                <w:color w:val="auto"/>
              </w:rPr>
            </w:pPr>
          </w:p>
        </w:tc>
      </w:tr>
      <w:tr>
        <w:trPr>
          <w:trHeight w:val="159"/>
        </w:trPr>
        <w:tc>
          <w:tcPr>
            <w:tcW w:w="9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2"/>
              </w:rPr>
              <w:t>Deficit</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9"/>
              </w:rPr>
              <w:t>Shares</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1280" w:type="dxa"/>
            <w:vAlign w:val="bottom"/>
          </w:tcPr>
          <w:p>
            <w:pPr>
              <w:jc w:val="center"/>
              <w:ind w:left="19"/>
              <w:spacing w:after="0"/>
              <w:rPr>
                <w:sz w:val="20"/>
                <w:szCs w:val="20"/>
                <w:color w:val="auto"/>
              </w:rPr>
            </w:pPr>
            <w:r>
              <w:rPr>
                <w:rFonts w:ascii="Arial" w:cs="Arial" w:eastAsia="Arial" w:hAnsi="Arial"/>
                <w:sz w:val="12"/>
                <w:szCs w:val="12"/>
                <w:b w:val="1"/>
                <w:bCs w:val="1"/>
                <w:color w:val="auto"/>
                <w:w w:val="92"/>
              </w:rPr>
              <w:t>Interest</w:t>
            </w:r>
          </w:p>
        </w:tc>
        <w:tc>
          <w:tcPr>
            <w:tcW w:w="960" w:type="dxa"/>
            <w:vAlign w:val="bottom"/>
          </w:tcPr>
          <w:p>
            <w:pPr>
              <w:jc w:val="center"/>
              <w:ind w:left="15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078345" cy="124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8345" cy="12446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tbl>
      <w:tblPr>
        <w:tblLayout w:type="fixed"/>
        <w:tblInd w:w="20" w:type="dxa"/>
        <w:tblCellMar>
          <w:top w:w="0" w:type="dxa"/>
          <w:left w:w="0" w:type="dxa"/>
          <w:bottom w:w="0" w:type="dxa"/>
          <w:right w:w="0" w:type="dxa"/>
        </w:tblCellMar>
      </w:tblPr>
      <w:tr>
        <w:trPr>
          <w:trHeight w:val="182"/>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59,068</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1,575,788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line="141"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September, 30, 2020</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59,540</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1,577,053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60,974</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1,580,213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line="141"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Common shares repurchased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September 30, 2021</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61,456</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1,581,248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2019</w:t>
            </w: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58,129</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1,572,249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line="141"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September 30, 2020</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59,540</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1,577,053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60,016</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1,578,315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line="141"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Common shares repurchased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September 30, 2021</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61,456</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1,581,248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-3908425</wp:posOffset>
            </wp:positionV>
            <wp:extent cx="7078345" cy="116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-3675380</wp:posOffset>
            </wp:positionV>
            <wp:extent cx="7078345" cy="1993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8345"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-3151505</wp:posOffset>
            </wp:positionV>
            <wp:extent cx="7078345" cy="116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-2919095</wp:posOffset>
            </wp:positionV>
            <wp:extent cx="7078345" cy="116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-2686050</wp:posOffset>
            </wp:positionV>
            <wp:extent cx="7078345" cy="199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8345"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-2369820</wp:posOffset>
            </wp:positionV>
            <wp:extent cx="7078345" cy="116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-1929130</wp:posOffset>
            </wp:positionV>
            <wp:extent cx="7078345" cy="116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-1696085</wp:posOffset>
            </wp:positionV>
            <wp:extent cx="7078345" cy="116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-1379855</wp:posOffset>
            </wp:positionV>
            <wp:extent cx="7078345" cy="116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-939165</wp:posOffset>
            </wp:positionV>
            <wp:extent cx="7078345" cy="116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-706120</wp:posOffset>
            </wp:positionV>
            <wp:extent cx="7078345" cy="116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078345" cy="116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wp:posOffset>
            </wp:positionV>
            <wp:extent cx="7078345" cy="141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8345"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-1122045</wp:posOffset>
            </wp:positionV>
            <wp:extent cx="7078345" cy="66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8345" cy="66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-2112010</wp:posOffset>
            </wp:positionV>
            <wp:extent cx="7078345" cy="66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8345" cy="66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-3359785</wp:posOffset>
            </wp:positionV>
            <wp:extent cx="7078345" cy="141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8345" cy="14160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Preferred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Shares (in</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thousands)</w:t>
            </w:r>
            <w:r>
              <w:rPr>
                <w:rFonts w:ascii="Arial" w:cs="Arial" w:eastAsia="Arial" w:hAnsi="Arial"/>
                <w:sz w:val="9"/>
                <w:szCs w:val="9"/>
                <w:b w:val="1"/>
                <w:bCs w:val="1"/>
                <w:color w:val="auto"/>
                <w:w w:val="85"/>
              </w:rPr>
              <w:t>(1)</w:t>
            </w:r>
          </w:p>
        </w:tc>
        <w:tc>
          <w:tcPr>
            <w:tcW w:w="0" w:type="dxa"/>
            <w:vAlign w:val="bottom"/>
          </w:tcPr>
          <w:p>
            <w:pPr>
              <w:spacing w:after="0"/>
              <w:rPr>
                <w:sz w:val="1"/>
                <w:szCs w:val="1"/>
                <w:color w:val="auto"/>
              </w:rPr>
            </w:pPr>
          </w:p>
        </w:tc>
      </w:tr>
      <w:tr>
        <w:trPr>
          <w:trHeight w:val="177"/>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9,042</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14,215</w:t>
            </w:r>
          </w:p>
        </w:tc>
        <w:tc>
          <w:tcPr>
            <w:tcW w:w="0" w:type="dxa"/>
            <w:vAlign w:val="bottom"/>
          </w:tcPr>
          <w:p>
            <w:pPr>
              <w:spacing w:after="0"/>
              <w:rPr>
                <w:sz w:val="1"/>
                <w:szCs w:val="1"/>
                <w:color w:val="auto"/>
              </w:rPr>
            </w:pPr>
          </w:p>
        </w:tc>
      </w:tr>
      <w:tr>
        <w:trPr>
          <w:trHeight w:val="181"/>
        </w:trPr>
        <w:tc>
          <w:tcPr>
            <w:tcW w:w="28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9"/>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9,042</w:t>
            </w:r>
          </w:p>
        </w:tc>
        <w:tc>
          <w:tcPr>
            <w:tcW w:w="10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14,308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(911,992)</w:t>
            </w: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(382,315)</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624</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334,243</w:t>
            </w:r>
          </w:p>
        </w:tc>
      </w:tr>
      <w:tr>
        <w:trPr>
          <w:trHeight w:val="178"/>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6,989</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7,423</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11,103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11,131</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314"/>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(472)</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1,265</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(905,475)</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(371,212)</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353,612</w:t>
            </w:r>
          </w:p>
        </w:tc>
      </w:tr>
      <w:tr>
        <w:trPr>
          <w:trHeight w:val="20"/>
        </w:trPr>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(918,156)</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(8,050)</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(352,171)</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595</w:t>
            </w:r>
          </w:p>
        </w:tc>
        <w:tc>
          <w:tcPr>
            <w:tcW w:w="100" w:type="dxa"/>
            <w:vAlign w:val="bottom"/>
          </w:tcPr>
          <w:p>
            <w:pPr>
              <w:spacing w:after="0"/>
              <w:rPr>
                <w:sz w:val="21"/>
                <w:szCs w:val="21"/>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363,405</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544</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1,022</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(12,189)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(12,217)</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14"/>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(482)</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1,035</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(918,539)</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(8,050)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(364,360)</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352,785</w:t>
            </w:r>
          </w:p>
        </w:tc>
      </w:tr>
      <w:tr>
        <w:trPr>
          <w:trHeight w:val="20"/>
        </w:trPr>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(771,590)</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(5,472)</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(363,173)</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662</w:t>
            </w:r>
          </w:p>
        </w:tc>
        <w:tc>
          <w:tcPr>
            <w:tcW w:w="100" w:type="dxa"/>
            <w:vAlign w:val="bottom"/>
          </w:tcPr>
          <w:p>
            <w:pPr>
              <w:spacing w:after="0"/>
              <w:rPr>
                <w:sz w:val="21"/>
                <w:szCs w:val="21"/>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490,805</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color w:val="auto"/>
                <w:w w:val="86"/>
              </w:rPr>
              <w:t>(132,474)</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(131,560)</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(8,039)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(8,025)</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(954)</w:t>
            </w:r>
          </w:p>
        </w:tc>
      </w:tr>
      <w:tr>
        <w:trPr>
          <w:trHeight w:val="314"/>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(1,411)</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Arial" w:cs="Arial" w:eastAsia="Arial" w:hAnsi="Arial"/>
                <w:sz w:val="14"/>
                <w:szCs w:val="14"/>
                <w:color w:val="auto"/>
                <w:w w:val="94"/>
              </w:rPr>
              <w:t>(1,458)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3,346</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(905,475)</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(371,212)</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353,612</w:t>
            </w:r>
          </w:p>
        </w:tc>
      </w:tr>
      <w:tr>
        <w:trPr>
          <w:trHeight w:val="20"/>
        </w:trPr>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(907,727)</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(348,989)</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672</w:t>
            </w:r>
          </w:p>
        </w:tc>
        <w:tc>
          <w:tcPr>
            <w:tcW w:w="100" w:type="dxa"/>
            <w:vAlign w:val="bottom"/>
          </w:tcPr>
          <w:p>
            <w:pPr>
              <w:spacing w:after="0"/>
              <w:rPr>
                <w:sz w:val="21"/>
                <w:szCs w:val="21"/>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375,357</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(8,927)</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(8,393)</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(15,371)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(15,417)</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314"/>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(1,440)</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Arial" w:cs="Arial" w:eastAsia="Arial" w:hAnsi="Arial"/>
                <w:sz w:val="14"/>
                <w:szCs w:val="14"/>
                <w:color w:val="auto"/>
                <w:w w:val="94"/>
              </w:rPr>
              <w:t>(1,120)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1,813</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(918,539)</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(8,050)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(364,360)</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352,785</w:t>
            </w:r>
          </w:p>
        </w:tc>
      </w:tr>
      <w:tr>
        <w:trPr>
          <w:trHeight w:val="20"/>
        </w:trPr>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6407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-1138555</wp:posOffset>
            </wp:positionV>
            <wp:extent cx="640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-1263650</wp:posOffset>
            </wp:positionV>
            <wp:extent cx="640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-2128520</wp:posOffset>
            </wp:positionV>
            <wp:extent cx="6407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-2253615</wp:posOffset>
            </wp:positionV>
            <wp:extent cx="6407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-3209925</wp:posOffset>
            </wp:positionV>
            <wp:extent cx="6407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562" w:lineRule="exact"/>
        <w:rPr>
          <w:sz w:val="20"/>
          <w:szCs w:val="20"/>
          <w:color w:val="auto"/>
        </w:rPr>
      </w:pPr>
    </w:p>
    <w:p>
      <w:pPr>
        <w:sectPr>
          <w:pgSz w:w="11900" w:h="16838" w:orient="portrait"/>
          <w:cols w:equalWidth="0" w:num="2">
            <w:col w:w="5720" w:space="340"/>
            <w:col w:w="5180"/>
          </w:cols>
          <w:pgMar w:left="320" w:top="1379" w:right="339" w:bottom="1440" w:gutter="0" w:footer="0" w:header="0"/>
          <w:type w:val="continuous"/>
        </w:sectPr>
      </w:pPr>
    </w:p>
    <w:p>
      <w:pPr>
        <w:spacing w:after="0" w:line="30" w:lineRule="exact"/>
        <w:rPr>
          <w:sz w:val="20"/>
          <w:szCs w:val="20"/>
          <w:color w:val="auto"/>
        </w:rPr>
      </w:pPr>
    </w:p>
    <w:p>
      <w:pPr>
        <w:ind w:left="400" w:hanging="395"/>
        <w:spacing w:after="0" w:line="218" w:lineRule="auto"/>
        <w:tabs>
          <w:tab w:leader="none" w:pos="388"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type w:val="continuous"/>
        </w:sectPr>
      </w:pPr>
    </w:p>
    <w:bookmarkStart w:id="7" w:name="page8"/>
    <w:bookmarkEnd w:id="7"/>
    <w:p>
      <w:pPr>
        <w:jc w:val="center"/>
        <w:ind w:right="-43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3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w:t>
      </w:r>
    </w:p>
    <w:p>
      <w:pPr>
        <w:spacing w:after="0" w:line="319"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Nine Months Ended</w:t>
      </w:r>
    </w:p>
    <w:p>
      <w:pPr>
        <w:jc w:val="center"/>
        <w:ind w:left="7720"/>
        <w:spacing w:after="0"/>
        <w:rPr>
          <w:sz w:val="20"/>
          <w:szCs w:val="20"/>
          <w:color w:val="auto"/>
        </w:rPr>
      </w:pPr>
      <w:r>
        <w:rPr>
          <w:rFonts w:ascii="Arial" w:cs="Arial" w:eastAsia="Arial" w:hAnsi="Arial"/>
          <w:sz w:val="14"/>
          <w:szCs w:val="14"/>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r>
      <w:tr>
        <w:trPr>
          <w:trHeight w:val="177"/>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(8,393)</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(131,560)</w:t>
            </w: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62,928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72,527</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charges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144,120</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Loss on extinguishment of debt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expense (benefit)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(8,941)</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Non-cash compensation charge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4,804</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Gains on disposals of assets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(2,581)</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Provision for credit losses, net of recoveries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(21,516)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w:t>
            </w:r>
          </w:p>
        </w:tc>
      </w:tr>
      <w:tr>
        <w:trPr>
          <w:trHeight w:val="181"/>
        </w:trPr>
        <w:tc>
          <w:tcPr>
            <w:tcW w:w="800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r>
      <w:tr>
        <w:trPr>
          <w:trHeight w:val="181"/>
        </w:trPr>
        <w:tc>
          <w:tcPr>
            <w:tcW w:w="8000" w:type="dxa"/>
            <w:vAlign w:val="bottom"/>
          </w:tcPr>
          <w:p>
            <w:pPr>
              <w:ind w:left="340"/>
              <w:spacing w:after="0"/>
              <w:rPr>
                <w:sz w:val="20"/>
                <w:szCs w:val="20"/>
                <w:color w:val="auto"/>
              </w:rPr>
            </w:pPr>
            <w:r>
              <w:rPr>
                <w:rFonts w:ascii="Arial" w:cs="Arial" w:eastAsia="Arial" w:hAnsi="Arial"/>
                <w:sz w:val="14"/>
                <w:szCs w:val="14"/>
                <w:color w:val="auto"/>
              </w:rPr>
              <w:t>Taxes payable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and noncurrent assets and liabilities, net</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(2,239)</w:t>
            </w:r>
          </w:p>
        </w:tc>
      </w:tr>
      <w:tr>
        <w:trPr>
          <w:trHeight w:val="174"/>
        </w:trPr>
        <w:tc>
          <w:tcPr>
            <w:tcW w:w="8000" w:type="dxa"/>
            <w:vAlign w:val="bottom"/>
          </w:tcPr>
          <w:p>
            <w:pPr>
              <w:ind w:left="20"/>
              <w:spacing w:after="0"/>
              <w:rPr>
                <w:sz w:val="20"/>
                <w:szCs w:val="20"/>
                <w:color w:val="auto"/>
              </w:rPr>
            </w:pPr>
            <w:r>
              <w:rPr>
                <w:rFonts w:ascii="Arial" w:cs="Arial" w:eastAsia="Arial" w:hAnsi="Arial"/>
                <w:sz w:val="14"/>
                <w:szCs w:val="14"/>
                <w:color w:val="auto"/>
              </w:rPr>
              <w:t>Net cash flows provided by operating activities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63,241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80,675</w:t>
            </w:r>
          </w:p>
        </w:tc>
      </w:tr>
      <w:tr>
        <w:trPr>
          <w:trHeight w:val="107"/>
        </w:trPr>
        <w:tc>
          <w:tcPr>
            <w:tcW w:w="80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(6,244)</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Proceeds from disposition of property, plant and equipment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3,336</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w:t>
            </w:r>
          </w:p>
        </w:tc>
      </w:tr>
      <w:tr>
        <w:trPr>
          <w:trHeight w:val="174"/>
        </w:trPr>
        <w:tc>
          <w:tcPr>
            <w:tcW w:w="8000" w:type="dxa"/>
            <w:vAlign w:val="bottom"/>
          </w:tcPr>
          <w:p>
            <w:pPr>
              <w:ind w:left="340"/>
              <w:spacing w:after="0"/>
              <w:rPr>
                <w:sz w:val="20"/>
                <w:szCs w:val="20"/>
                <w:color w:val="auto"/>
              </w:rPr>
            </w:pPr>
            <w:r>
              <w:rPr>
                <w:rFonts w:ascii="Arial" w:cs="Arial" w:eastAsia="Arial" w:hAnsi="Arial"/>
                <w:sz w:val="14"/>
                <w:szCs w:val="14"/>
                <w:color w:val="auto"/>
              </w:rPr>
              <w:t>Net cash flows provided by (used in) investing activities</w:t>
            </w:r>
          </w:p>
        </w:tc>
        <w:tc>
          <w:tcPr>
            <w:tcW w:w="8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1,711</w:t>
            </w:r>
          </w:p>
        </w:tc>
      </w:tr>
      <w:tr>
        <w:trPr>
          <w:trHeight w:val="107"/>
        </w:trPr>
        <w:tc>
          <w:tcPr>
            <w:tcW w:w="80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Revolving credit borrowings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367,622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324,611</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Revolving credit repayments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6"/>
              </w:rPr>
              <w:t>(305,148)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(369,122)</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 loan repayments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(117,595)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(31,092)</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(2,583)</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shares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paid on vested shares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w:t>
            </w:r>
          </w:p>
        </w:tc>
      </w:tr>
      <w:tr>
        <w:trPr>
          <w:trHeight w:val="179"/>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flows used in financing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(61,093)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(79,644)</w:t>
            </w:r>
          </w:p>
        </w:tc>
      </w:tr>
      <w:tr>
        <w:trPr>
          <w:trHeight w:val="105"/>
        </w:trPr>
        <w:tc>
          <w:tcPr>
            <w:tcW w:w="8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8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r>
      <w:tr>
        <w:trPr>
          <w:trHeight w:val="174"/>
        </w:trPr>
        <w:tc>
          <w:tcPr>
            <w:tcW w:w="8000" w:type="dxa"/>
            <w:vAlign w:val="bottom"/>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3,607</w:t>
            </w:r>
          </w:p>
        </w:tc>
      </w:tr>
      <w:tr>
        <w:trPr>
          <w:trHeight w:val="18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3,331</w:t>
            </w:r>
          </w:p>
        </w:tc>
      </w:tr>
      <w:tr>
        <w:trPr>
          <w:trHeight w:val="87"/>
        </w:trPr>
        <w:tc>
          <w:tcPr>
            <w:tcW w:w="8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0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financing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8"/>
        </w:trPr>
        <w:tc>
          <w:tcPr>
            <w:tcW w:w="8000" w:type="dxa"/>
            <w:vAlign w:val="bottom"/>
          </w:tcPr>
          <w:p>
            <w:pPr>
              <w:ind w:left="140"/>
              <w:spacing w:after="0"/>
              <w:rPr>
                <w:sz w:val="20"/>
                <w:szCs w:val="20"/>
                <w:color w:val="auto"/>
              </w:rPr>
            </w:pPr>
            <w:r>
              <w:rPr>
                <w:rFonts w:ascii="Arial" w:cs="Arial" w:eastAsia="Arial" w:hAnsi="Arial"/>
                <w:sz w:val="14"/>
                <w:szCs w:val="14"/>
                <w:color w:val="auto"/>
              </w:rPr>
              <w:t>Preferred dividends paid-in-kind</w:t>
            </w:r>
          </w:p>
        </w:tc>
        <w:tc>
          <w:tcPr>
            <w:tcW w:w="86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1,411</w:t>
            </w:r>
          </w:p>
        </w:tc>
      </w:tr>
    </w:tbl>
    <w:p>
      <w:pPr>
        <w:spacing w:after="0" w:line="20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379" w:right="61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224"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We provide hospitality services to the natural resources industry in Canada, Australia and the U.S. We provide a full suite of hospitality services for our guests, including lodging, catering and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Share Split</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November 19, 2020, we effected a reverse share split where each twelve issued and outstanding common shares were</w:t>
      </w:r>
    </w:p>
    <w:p>
      <w:pPr>
        <w:spacing w:after="0" w:line="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converted into one common share. Our common shares began trading on a reverse share split adjusted basis on November 19, 2020. A total of 14,215,169 common shares were issued and outstanding immediately after the reverse share split. No fractional shares were outstanding following the reverse share split. In lieu of any fractional share, the aggregate number of common shares that a holder was entitled to was, if the fraction was less than half a common share, rounded down to the next closest whole number of common shares, and if the fraction was at least half of a common share, rounded up to one whole common share.</w:t>
      </w:r>
    </w:p>
    <w:p>
      <w:pPr>
        <w:spacing w:after="0" w:line="209"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The reverse share split did not affect the number of authorized or issued and outstanding shares of our preferred shares. As a result of the reverse share split, the conversion price for the Company’s outstanding Class A Series 1 preferred shares (Series A preferred shares) was automatically increased to $39.60 for each Series A preferred share (previously it was $3.30 per Series A preferred share).</w:t>
      </w:r>
    </w:p>
    <w:p>
      <w:pPr>
        <w:spacing w:after="0" w:line="197"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All authorized, issued and outstanding shares and per share amounts contained in the accompanying consolidated financial statements have been adjusted to reflect this reverse share split for all prior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58"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65" w:lineRule="exact"/>
        <w:rPr>
          <w:sz w:val="20"/>
          <w:szCs w:val="20"/>
          <w:color w:val="auto"/>
        </w:rPr>
      </w:pPr>
    </w:p>
    <w:p>
      <w:pPr>
        <w:jc w:val="both"/>
        <w:ind w:firstLine="472"/>
        <w:spacing w:after="0" w:line="314" w:lineRule="auto"/>
        <w:rPr>
          <w:sz w:val="20"/>
          <w:szCs w:val="20"/>
          <w:color w:val="auto"/>
        </w:rPr>
      </w:pPr>
      <w:r>
        <w:rPr>
          <w:rFonts w:ascii="Arial" w:cs="Arial" w:eastAsia="Arial" w:hAnsi="Arial"/>
          <w:sz w:val="15"/>
          <w:szCs w:val="15"/>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w:t>
      </w:r>
    </w:p>
    <w:p>
      <w:pPr>
        <w:spacing w:after="0" w:line="212" w:lineRule="exact"/>
        <w:rPr>
          <w:sz w:val="20"/>
          <w:szCs w:val="20"/>
          <w:color w:val="auto"/>
        </w:rPr>
      </w:pPr>
    </w:p>
    <w:p>
      <w:pPr>
        <w:ind w:right="100" w:firstLine="472"/>
        <w:spacing w:after="0" w:line="289" w:lineRule="auto"/>
        <w:rPr>
          <w:sz w:val="20"/>
          <w:szCs w:val="20"/>
          <w:color w:val="auto"/>
        </w:rPr>
      </w:pPr>
      <w:r>
        <w:rPr>
          <w:rFonts w:ascii="Arial" w:cs="Arial" w:eastAsia="Arial" w:hAnsi="Arial"/>
          <w:sz w:val="17"/>
          <w:szCs w:val="17"/>
          <w:color w:val="auto"/>
        </w:rPr>
        <w:t>The financial statements included in this report should be read in conjunction with our audited financial statements and accompanying notes included in our Annual Report on Form 10-K for the year ended December 31, 2020.</w:t>
      </w:r>
    </w:p>
    <w:p>
      <w:pPr>
        <w:spacing w:after="0" w:line="178"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jc w:val="both"/>
        <w:ind w:right="100" w:firstLine="472"/>
        <w:spacing w:after="0" w:line="273"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97" w:lineRule="exact"/>
        <w:rPr>
          <w:sz w:val="20"/>
          <w:szCs w:val="20"/>
          <w:color w:val="auto"/>
        </w:rPr>
      </w:pPr>
    </w:p>
    <w:p>
      <w:pPr>
        <w:jc w:val="both"/>
        <w:ind w:right="100" w:firstLine="472"/>
        <w:spacing w:after="0" w:line="262" w:lineRule="auto"/>
        <w:rPr>
          <w:sz w:val="20"/>
          <w:szCs w:val="20"/>
          <w:color w:val="auto"/>
        </w:rPr>
      </w:pPr>
      <w:r>
        <w:rPr>
          <w:rFonts w:ascii="Arial" w:cs="Arial" w:eastAsia="Arial" w:hAnsi="Arial"/>
          <w:sz w:val="17"/>
          <w:szCs w:val="17"/>
          <w:color w:val="auto"/>
        </w:rPr>
        <w:t>In December 2019, the FASB issued Accounting Standards Update (ASU) 2019-12, Income Taxes (Topic 740): Simplifying the Accounting for Income Taxes. The amendments in ASU 2019-12 remove certain exceptions to the general principles in Accounting Standards Codification (ASC) Topic 740. The amendments also clarify and amend existing guidance to improve consistent application. The amendments are effective for financial statements issued for reporting periods beginning after December 15, 2020 and interim periods within the reporting periods. The transition method (retrospective, modified retrospective or prospective basis) related to the amendments depends on the applicable guidance, and all amendments for which there is no transition guidance specified are to be applied on a prospective basis. We adopted ASU 2019-12 on January 1, 2021 and have applied the prospective basis. The adoption of this new standard did not have an impact on our consolidated financial statements.</w:t>
      </w:r>
    </w:p>
    <w:p>
      <w:pPr>
        <w:spacing w:after="0" w:line="203"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230" w:lineRule="exact"/>
        <w:rPr>
          <w:sz w:val="20"/>
          <w:szCs w:val="20"/>
          <w:color w:val="auto"/>
        </w:rPr>
      </w:pPr>
    </w:p>
    <w:p>
      <w:pPr>
        <w:ind w:right="440" w:firstLine="472"/>
        <w:spacing w:after="0" w:line="280" w:lineRule="auto"/>
        <w:rPr>
          <w:sz w:val="20"/>
          <w:szCs w:val="20"/>
          <w:color w:val="auto"/>
        </w:rPr>
      </w:pPr>
      <w:r>
        <w:rPr>
          <w:rFonts w:ascii="Arial" w:cs="Arial" w:eastAsia="Arial" w:hAnsi="Arial"/>
          <w:sz w:val="17"/>
          <w:szCs w:val="17"/>
          <w:color w:val="auto"/>
        </w:rPr>
        <w:t>The following table disaggregates our revenue by our three reportable segments: Canada, Australia and the U.S., and major categories for the periods indicated (in thousands):</w:t>
      </w:r>
    </w:p>
    <w:tbl>
      <w:tblPr>
        <w:tblLayout w:type="fixed"/>
        <w:tblInd w:w="480" w:type="dxa"/>
        <w:tblCellMar>
          <w:top w:w="0" w:type="dxa"/>
          <w:left w:w="0" w:type="dxa"/>
          <w:bottom w:w="0" w:type="dxa"/>
          <w:right w:w="0" w:type="dxa"/>
        </w:tblCellMar>
      </w:tblPr>
      <w:tr>
        <w:trPr>
          <w:trHeight w:val="159"/>
        </w:trPr>
        <w:tc>
          <w:tcPr>
            <w:tcW w:w="3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20" w:type="dxa"/>
            <w:vAlign w:val="bottom"/>
            <w:gridSpan w:val="4"/>
          </w:tcPr>
          <w:p>
            <w:pPr>
              <w:ind w:left="560"/>
              <w:spacing w:after="0" w:line="159" w:lineRule="exact"/>
              <w:rPr>
                <w:sz w:val="20"/>
                <w:szCs w:val="20"/>
                <w:color w:val="auto"/>
              </w:rPr>
            </w:pPr>
            <w:r>
              <w:rPr>
                <w:rFonts w:ascii="Arial" w:cs="Arial" w:eastAsia="Arial" w:hAnsi="Arial"/>
                <w:sz w:val="16"/>
                <w:szCs w:val="16"/>
                <w:b w:val="1"/>
                <w:bCs w:val="1"/>
                <w:color w:val="auto"/>
                <w:w w:val="90"/>
              </w:rPr>
              <w:t>Three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0" w:type="dxa"/>
            <w:vAlign w:val="bottom"/>
            <w:gridSpan w:val="4"/>
          </w:tcPr>
          <w:p>
            <w:pPr>
              <w:jc w:val="right"/>
              <w:spacing w:after="0" w:line="159" w:lineRule="exact"/>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3"/>
                <w:szCs w:val="13"/>
                <w:color w:val="auto"/>
              </w:rPr>
            </w:pPr>
          </w:p>
        </w:tc>
      </w:tr>
      <w:tr>
        <w:trPr>
          <w:trHeight w:val="207"/>
        </w:trPr>
        <w:tc>
          <w:tcPr>
            <w:tcW w:w="39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w w:val="87"/>
              </w:rPr>
              <w:t>September 30,</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203"/>
        </w:trPr>
        <w:tc>
          <w:tcPr>
            <w:tcW w:w="39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95"/>
              </w:rPr>
              <w:t>2020</w:t>
            </w:r>
          </w:p>
        </w:tc>
      </w:tr>
      <w:tr>
        <w:trPr>
          <w:trHeight w:val="205"/>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Canada</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6"/>
        </w:trPr>
        <w:tc>
          <w:tcPr>
            <w:tcW w:w="3920" w:type="dxa"/>
            <w:vAlign w:val="bottom"/>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60,511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49,798</w:t>
            </w:r>
          </w:p>
        </w:tc>
        <w:tc>
          <w:tcPr>
            <w:tcW w:w="100" w:type="dxa"/>
            <w:vAlign w:val="bottom"/>
          </w:tcPr>
          <w:p>
            <w:pPr>
              <w:spacing w:after="0"/>
              <w:rPr>
                <w:sz w:val="17"/>
                <w:szCs w:val="17"/>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176,800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Mobile facility rental revenues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6"/>
        </w:trPr>
        <w:tc>
          <w:tcPr>
            <w:tcW w:w="3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8,852</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14,183</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39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Canada revenues</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71,785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229,223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105"/>
        </w:trPr>
        <w:tc>
          <w:tcPr>
            <w:tcW w:w="3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10"/>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Australia</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6"/>
        </w:trPr>
        <w:tc>
          <w:tcPr>
            <w:tcW w:w="3920" w:type="dxa"/>
            <w:vAlign w:val="bottom"/>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38,104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39,470</w:t>
            </w:r>
          </w:p>
        </w:tc>
        <w:tc>
          <w:tcPr>
            <w:tcW w:w="100" w:type="dxa"/>
            <w:vAlign w:val="bottom"/>
          </w:tcPr>
          <w:p>
            <w:pPr>
              <w:spacing w:after="0"/>
              <w:rPr>
                <w:sz w:val="17"/>
                <w:szCs w:val="17"/>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109,559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25,215</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79,215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199"/>
        </w:trPr>
        <w:tc>
          <w:tcPr>
            <w:tcW w:w="3920" w:type="dxa"/>
            <w:vAlign w:val="bottom"/>
          </w:tcPr>
          <w:p>
            <w:pPr>
              <w:ind w:left="600"/>
              <w:spacing w:after="0"/>
              <w:rPr>
                <w:sz w:val="20"/>
                <w:szCs w:val="20"/>
                <w:color w:val="auto"/>
              </w:rPr>
            </w:pPr>
            <w:r>
              <w:rPr>
                <w:rFonts w:ascii="Arial" w:cs="Arial" w:eastAsia="Arial" w:hAnsi="Arial"/>
                <w:sz w:val="16"/>
                <w:szCs w:val="16"/>
                <w:color w:val="auto"/>
              </w:rPr>
              <w:t>Total Australia revenues</w:t>
            </w:r>
          </w:p>
        </w:tc>
        <w:tc>
          <w:tcPr>
            <w:tcW w:w="7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65,118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64,685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188,774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108"/>
        </w:trPr>
        <w:tc>
          <w:tcPr>
            <w:tcW w:w="3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r>
      <w:tr>
        <w:trPr>
          <w:trHeight w:val="207"/>
        </w:trPr>
        <w:tc>
          <w:tcPr>
            <w:tcW w:w="3920" w:type="dxa"/>
            <w:vAlign w:val="bottom"/>
          </w:tcPr>
          <w:p>
            <w:pPr>
              <w:ind w:left="480"/>
              <w:spacing w:after="0"/>
              <w:rPr>
                <w:sz w:val="20"/>
                <w:szCs w:val="20"/>
                <w:color w:val="auto"/>
              </w:rPr>
            </w:pPr>
            <w:r>
              <w:rPr>
                <w:rFonts w:ascii="Arial" w:cs="Arial" w:eastAsia="Arial" w:hAnsi="Arial"/>
                <w:sz w:val="16"/>
                <w:szCs w:val="16"/>
                <w:b w:val="1"/>
                <w:bCs w:val="1"/>
                <w:color w:val="auto"/>
              </w:rPr>
              <w:t>U.S.</w:t>
            </w: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2"/>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3920" w:type="dxa"/>
            <w:vAlign w:val="bottom"/>
          </w:tcPr>
          <w:p>
            <w:pPr>
              <w:ind w:left="480"/>
              <w:spacing w:after="0"/>
              <w:rPr>
                <w:sz w:val="20"/>
                <w:szCs w:val="20"/>
                <w:color w:val="auto"/>
              </w:rPr>
            </w:pPr>
            <w:r>
              <w:rPr>
                <w:rFonts w:ascii="Arial" w:cs="Arial" w:eastAsia="Arial" w:hAnsi="Arial"/>
                <w:sz w:val="16"/>
                <w:szCs w:val="16"/>
                <w:color w:val="auto"/>
              </w:rPr>
              <w:t>Mobile facility rental revenues</w:t>
            </w:r>
          </w:p>
        </w:tc>
        <w:tc>
          <w:tcPr>
            <w:tcW w:w="7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3,941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10,769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Manufacturing revenues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3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206"/>
        </w:trPr>
        <w:tc>
          <w:tcPr>
            <w:tcW w:w="39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U.S. revenues</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05"/>
        </w:trPr>
        <w:tc>
          <w:tcPr>
            <w:tcW w:w="392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228"/>
        </w:trPr>
        <w:tc>
          <w:tcPr>
            <w:tcW w:w="3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155,063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142,857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434,669</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100" w:firstLine="472"/>
        <w:spacing w:after="0" w:line="273" w:lineRule="auto"/>
        <w:rPr>
          <w:sz w:val="20"/>
          <w:szCs w:val="20"/>
          <w:color w:val="auto"/>
        </w:rPr>
      </w:pPr>
      <w:r>
        <w:rPr>
          <w:rFonts w:ascii="Arial" w:cs="Arial" w:eastAsia="Arial" w:hAnsi="Arial"/>
          <w:sz w:val="17"/>
          <w:szCs w:val="17"/>
          <w:color w:val="auto"/>
        </w:rPr>
        <w:t>Our payment terms vary by the type and location of our customer and the products or services offered. The term between invoicing and when our performance obligations are satisfied is not significant. Payment terms are generally within 30 days and do not extend beyond 60 days, unless otherwise agreed to. We do not have significant financing components or significant payment terms.</w:t>
      </w:r>
    </w:p>
    <w:p>
      <w:pPr>
        <w:spacing w:after="0" w:line="197" w:lineRule="exact"/>
        <w:rPr>
          <w:sz w:val="20"/>
          <w:szCs w:val="20"/>
          <w:color w:val="auto"/>
        </w:rPr>
      </w:pPr>
    </w:p>
    <w:p>
      <w:pPr>
        <w:jc w:val="both"/>
        <w:ind w:right="100" w:firstLine="472"/>
        <w:spacing w:after="0" w:line="273" w:lineRule="auto"/>
        <w:rPr>
          <w:sz w:val="20"/>
          <w:szCs w:val="20"/>
          <w:color w:val="auto"/>
        </w:rPr>
      </w:pPr>
      <w:r>
        <w:rPr>
          <w:rFonts w:ascii="Arial" w:cs="Arial" w:eastAsia="Arial" w:hAnsi="Arial"/>
          <w:sz w:val="17"/>
          <w:szCs w:val="17"/>
          <w:color w:val="auto"/>
        </w:rPr>
        <w:t>As of September 30, 2021,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 w:name="page11"/>
    <w:bookmarkEnd w:id="10"/>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right="21"/>
              <w:spacing w:after="0"/>
              <w:rPr>
                <w:sz w:val="20"/>
                <w:szCs w:val="20"/>
                <w:color w:val="auto"/>
              </w:rPr>
            </w:pPr>
            <w:r>
              <w:rPr>
                <w:rFonts w:ascii="Arial" w:cs="Arial" w:eastAsia="Arial" w:hAnsi="Arial"/>
                <w:sz w:val="16"/>
                <w:szCs w:val="16"/>
                <w:b w:val="1"/>
                <w:bCs w:val="1"/>
                <w:color w:val="auto"/>
                <w:w w:val="87"/>
              </w:rPr>
              <w:t>For the years ending 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740" w:type="dxa"/>
            <w:vAlign w:val="bottom"/>
          </w:tcPr>
          <w:p>
            <w:pPr>
              <w:spacing w:after="0"/>
              <w:rPr>
                <w:sz w:val="17"/>
                <w:szCs w:val="17"/>
                <w:color w:val="auto"/>
              </w:rPr>
            </w:pPr>
          </w:p>
        </w:tc>
        <w:tc>
          <w:tcPr>
            <w:tcW w:w="960" w:type="dxa"/>
            <w:vAlign w:val="bottom"/>
          </w:tcPr>
          <w:p>
            <w:pPr>
              <w:jc w:val="right"/>
              <w:ind w:right="3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3"/>
        </w:trPr>
        <w:tc>
          <w:tcPr>
            <w:tcW w:w="1960" w:type="dxa"/>
            <w:vAlign w:val="bottom"/>
            <w:tcBorders>
              <w:top w:val="single" w:sz="8" w:color="CCEEFF"/>
            </w:tcBorders>
            <w:shd w:val="clear" w:color="auto" w:fill="CCEEFF"/>
          </w:tcPr>
          <w:p>
            <w:pPr>
              <w:ind w:left="500"/>
              <w:spacing w:after="0" w:line="143" w:lineRule="exact"/>
              <w:rPr>
                <w:sz w:val="20"/>
                <w:szCs w:val="20"/>
                <w:color w:val="auto"/>
              </w:rPr>
            </w:pPr>
            <w:r>
              <w:rPr>
                <w:rFonts w:ascii="Arial" w:cs="Arial" w:eastAsia="Arial" w:hAnsi="Arial"/>
                <w:sz w:val="16"/>
                <w:szCs w:val="16"/>
                <w:color w:val="auto"/>
                <w:w w:val="95"/>
              </w:rPr>
              <w:t>Revenue expected to</w:t>
            </w:r>
          </w:p>
        </w:tc>
        <w:tc>
          <w:tcPr>
            <w:tcW w:w="7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be recognized as of</w:t>
            </w:r>
          </w:p>
        </w:tc>
        <w:tc>
          <w:tcPr>
            <w:tcW w:w="7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38,929</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97,897</w:t>
            </w: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25,598</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7,188</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169,612</w:t>
            </w:r>
          </w:p>
        </w:tc>
        <w:tc>
          <w:tcPr>
            <w:tcW w:w="0" w:type="dxa"/>
            <w:vAlign w:val="bottom"/>
          </w:tcPr>
          <w:p>
            <w:pPr>
              <w:spacing w:after="0"/>
              <w:rPr>
                <w:sz w:val="1"/>
                <w:szCs w:val="1"/>
                <w:color w:val="auto"/>
              </w:rPr>
            </w:pPr>
          </w:p>
        </w:tc>
      </w:tr>
      <w:tr>
        <w:trPr>
          <w:trHeight w:val="20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2021</w:t>
            </w:r>
          </w:p>
        </w:tc>
        <w:tc>
          <w:tcPr>
            <w:tcW w:w="72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8"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58"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As of September 30, 2021 and December 31, 2020,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78"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During the first quarter of 2020, we recorded goodwill impairment charges related to one of our reporting units.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cash flows, oil, met coal and natural gas prices, anticipated spending by our customers, the cost of capital, and industry and/or local market conditions. We estimated the fair value when conducting the goodwill impairment test primarily using an income approach. The discount rates used to value our reporting units for the goodwill impairment test ranged between 10.5% and 14.0%.</w:t>
      </w:r>
    </w:p>
    <w:p>
      <w:pPr>
        <w:spacing w:after="0" w:line="192"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During the second quarter of 2021 and the first quarter of 2020, we wrote down certain long-lived assets to fair value. During the first quarter of 2020, we estimated the fair value when conducting the long-lived asset impairment tests primarily using an income approach. We used a variety of unobservable inputs and underlying assumptions consistent with those discussed above for purposes of our goodwill impairment test. The discount rates used to value our Canadian and U.S. segments long-lived asset impairment analysis ranged between 11.0% and 14.0%. During the second quarter of 2021, our estimate of the fair value of undeveloped land positions in Australia that were impaired was based on appraisals from third parties.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Note 6 – Impairment Charges for further information.</w:t>
      </w:r>
    </w:p>
    <w:p>
      <w:pPr>
        <w:spacing w:after="0" w:line="244"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SELECTED BALANCE SHEET ACCOUNTS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Additional information regarding selected balance sheet accounts at September 30, 2021 and December 31, 2020 is presented below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September 30, 2021</w:t>
            </w:r>
          </w:p>
        </w:tc>
        <w:tc>
          <w:tcPr>
            <w:tcW w:w="14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2"/>
              </w:rPr>
              <w:t>December 31, 2020</w:t>
            </w:r>
          </w:p>
        </w:tc>
      </w:tr>
      <w:tr>
        <w:trPr>
          <w:trHeight w:val="20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color w:val="auto"/>
              </w:rPr>
              <w:t>Trade</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72,616</w:t>
            </w:r>
          </w:p>
        </w:tc>
        <w:tc>
          <w:tcPr>
            <w:tcW w:w="100" w:type="dxa"/>
            <w:vAlign w:val="bottom"/>
          </w:tcPr>
          <w:p>
            <w:pPr>
              <w:spacing w:after="0"/>
              <w:rPr>
                <w:sz w:val="17"/>
                <w:szCs w:val="17"/>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66,071</w:t>
            </w:r>
          </w:p>
        </w:tc>
      </w:tr>
      <w:tr>
        <w:trPr>
          <w:trHeight w:val="21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22,565</w:t>
            </w:r>
          </w:p>
        </w:tc>
      </w:tr>
      <w:tr>
        <w:trPr>
          <w:trHeight w:val="20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w:t>
            </w:r>
          </w:p>
        </w:tc>
      </w:tr>
      <w:tr>
        <w:trPr>
          <w:trHeight w:val="206"/>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accounts receivable</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108,441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90,057</w:t>
            </w:r>
          </w:p>
        </w:tc>
      </w:tr>
      <w:tr>
        <w:trPr>
          <w:trHeight w:val="20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31"/>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receivable, net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108,058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89,782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6"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As of September 30, 2021 and December 31, 2020, Other accounts receivable included zero and $1.1 million, respectively, related to the Canada Emergency Wage Subsidy (CEWS), a subsidy implemented by the Canadian government in response to the COVID-19 pandemic. For the three months ended September 30, 2021 and 2020, Other income related to the CEWS was zero and $3.6 million, respectively. For the nine months ended September 30, 2021 and 2020, Other income related to the CEWS was $3.5 million and $9.7 million, respectively.</w:t>
      </w: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960" w:type="dxa"/>
            <w:vAlign w:val="bottom"/>
          </w:tcPr>
          <w:p>
            <w:pPr>
              <w:spacing w:after="0"/>
              <w:rPr>
                <w:sz w:val="18"/>
                <w:szCs w:val="18"/>
                <w:color w:val="auto"/>
              </w:rPr>
            </w:pPr>
          </w:p>
        </w:tc>
        <w:tc>
          <w:tcPr>
            <w:tcW w:w="1620" w:type="dxa"/>
            <w:vAlign w:val="bottom"/>
            <w:gridSpan w:val="3"/>
          </w:tcPr>
          <w:p>
            <w:pPr>
              <w:ind w:left="180"/>
              <w:spacing w:after="0"/>
              <w:rPr>
                <w:sz w:val="20"/>
                <w:szCs w:val="20"/>
                <w:color w:val="auto"/>
              </w:rPr>
            </w:pPr>
            <w:r>
              <w:rPr>
                <w:rFonts w:ascii="Arial" w:cs="Arial" w:eastAsia="Arial" w:hAnsi="Arial"/>
                <w:sz w:val="16"/>
                <w:szCs w:val="16"/>
                <w:b w:val="1"/>
                <w:bCs w:val="1"/>
                <w:color w:val="auto"/>
                <w:w w:val="95"/>
              </w:rPr>
              <w:t>September 30, 2021</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 2020</w:t>
            </w:r>
          </w:p>
        </w:tc>
      </w:tr>
      <w:tr>
        <w:trPr>
          <w:trHeight w:val="206"/>
        </w:trPr>
        <w:tc>
          <w:tcPr>
            <w:tcW w:w="6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Inventories:</w:t>
            </w:r>
          </w:p>
        </w:tc>
        <w:tc>
          <w:tcPr>
            <w:tcW w:w="6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06"/>
        </w:trPr>
        <w:tc>
          <w:tcPr>
            <w:tcW w:w="6960" w:type="dxa"/>
            <w:vAlign w:val="bottom"/>
          </w:tcPr>
          <w:p>
            <w:pPr>
              <w:ind w:left="180"/>
              <w:spacing w:after="0"/>
              <w:rPr>
                <w:sz w:val="20"/>
                <w:szCs w:val="20"/>
                <w:color w:val="auto"/>
              </w:rPr>
            </w:pPr>
            <w:r>
              <w:rPr>
                <w:rFonts w:ascii="Arial" w:cs="Arial" w:eastAsia="Arial" w:hAnsi="Arial"/>
                <w:sz w:val="16"/>
                <w:szCs w:val="16"/>
                <w:color w:val="auto"/>
              </w:rPr>
              <w:t>Finished goods and purchased products</w:t>
            </w:r>
          </w:p>
        </w:tc>
        <w:tc>
          <w:tcPr>
            <w:tcW w:w="68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4,882</w:t>
            </w:r>
          </w:p>
        </w:tc>
        <w:tc>
          <w:tcPr>
            <w:tcW w:w="100" w:type="dxa"/>
            <w:vAlign w:val="bottom"/>
          </w:tcPr>
          <w:p>
            <w:pPr>
              <w:spacing w:after="0"/>
              <w:rPr>
                <w:sz w:val="17"/>
                <w:szCs w:val="17"/>
                <w:color w:val="auto"/>
              </w:rPr>
            </w:pPr>
          </w:p>
        </w:tc>
        <w:tc>
          <w:tcPr>
            <w:tcW w:w="72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5,047</w:t>
            </w:r>
          </w:p>
        </w:tc>
      </w:tr>
      <w:tr>
        <w:trPr>
          <w:trHeight w:val="213"/>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Work in process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6"/>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Raw materials</w:t>
            </w:r>
          </w:p>
        </w:tc>
        <w:tc>
          <w:tcPr>
            <w:tcW w:w="6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r>
      <w:tr>
        <w:trPr>
          <w:trHeight w:val="231"/>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inventories</w:t>
            </w:r>
          </w:p>
        </w:tc>
        <w:tc>
          <w:tcPr>
            <w:tcW w:w="6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Arial" w:cs="Arial" w:eastAsia="Arial" w:hAnsi="Arial"/>
                <w:sz w:val="16"/>
                <w:szCs w:val="16"/>
                <w:b w:val="1"/>
                <w:bCs w:val="1"/>
                <w:color w:val="auto"/>
              </w:rPr>
              <w:t>Estimated</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060" w:type="dxa"/>
            <w:vAlign w:val="bottom"/>
            <w:gridSpan w:val="2"/>
          </w:tcPr>
          <w:p>
            <w:pPr>
              <w:ind w:left="300"/>
              <w:spacing w:after="0" w:line="158" w:lineRule="exact"/>
              <w:rPr>
                <w:sz w:val="20"/>
                <w:szCs w:val="20"/>
                <w:color w:val="auto"/>
              </w:rPr>
            </w:pPr>
            <w:r>
              <w:rPr>
                <w:rFonts w:ascii="Arial" w:cs="Arial" w:eastAsia="Arial" w:hAnsi="Arial"/>
                <w:sz w:val="16"/>
                <w:szCs w:val="16"/>
                <w:b w:val="1"/>
                <w:bCs w:val="1"/>
                <w:color w:val="auto"/>
                <w:w w:val="90"/>
              </w:rPr>
              <w:t>Useful Life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w w:val="96"/>
              </w:rPr>
              <w:t>September 30, 2021</w:t>
            </w:r>
          </w:p>
        </w:tc>
        <w:tc>
          <w:tcPr>
            <w:tcW w:w="156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Property, plant and equipment, net:</w:t>
            </w: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180"/>
              <w:spacing w:after="0"/>
              <w:rPr>
                <w:sz w:val="20"/>
                <w:szCs w:val="20"/>
                <w:color w:val="auto"/>
              </w:rPr>
            </w:pPr>
            <w:r>
              <w:rPr>
                <w:rFonts w:ascii="Arial" w:cs="Arial" w:eastAsia="Arial" w:hAnsi="Arial"/>
                <w:sz w:val="16"/>
                <w:szCs w:val="16"/>
                <w:color w:val="auto"/>
              </w:rPr>
              <w:t>Land</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30,328</w:t>
            </w:r>
          </w:p>
        </w:tc>
        <w:tc>
          <w:tcPr>
            <w:tcW w:w="120" w:type="dxa"/>
            <w:vAlign w:val="bottom"/>
          </w:tcPr>
          <w:p>
            <w:pPr>
              <w:spacing w:after="0"/>
              <w:rPr>
                <w:sz w:val="17"/>
                <w:szCs w:val="17"/>
                <w:color w:val="auto"/>
              </w:rPr>
            </w:pPr>
          </w:p>
        </w:tc>
        <w:tc>
          <w:tcPr>
            <w:tcW w:w="5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47,751</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Accommodations assets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1,658,053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1,737,620</w:t>
            </w:r>
          </w:p>
        </w:tc>
        <w:tc>
          <w:tcPr>
            <w:tcW w:w="0" w:type="dxa"/>
            <w:vAlign w:val="bottom"/>
          </w:tcPr>
          <w:p>
            <w:pPr>
              <w:spacing w:after="0"/>
              <w:rPr>
                <w:sz w:val="1"/>
                <w:szCs w:val="1"/>
                <w:color w:val="auto"/>
              </w:rPr>
            </w:pPr>
          </w:p>
        </w:tc>
      </w:tr>
      <w:tr>
        <w:trPr>
          <w:trHeight w:val="206"/>
        </w:trPr>
        <w:tc>
          <w:tcPr>
            <w:tcW w:w="5840" w:type="dxa"/>
            <w:vAlign w:val="bottom"/>
          </w:tcPr>
          <w:p>
            <w:pPr>
              <w:ind w:left="180"/>
              <w:spacing w:after="0"/>
              <w:rPr>
                <w:sz w:val="20"/>
                <w:szCs w:val="20"/>
                <w:color w:val="auto"/>
              </w:rPr>
            </w:pPr>
            <w:r>
              <w:rPr>
                <w:rFonts w:ascii="Arial" w:cs="Arial" w:eastAsia="Arial" w:hAnsi="Arial"/>
                <w:sz w:val="16"/>
                <w:szCs w:val="16"/>
                <w:color w:val="auto"/>
              </w:rPr>
              <w:t>Buildings and leasehold improvements</w:t>
            </w: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ind w:lef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24,024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28,831</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12,784</w:t>
            </w:r>
          </w:p>
        </w:tc>
        <w:tc>
          <w:tcPr>
            <w:tcW w:w="0" w:type="dxa"/>
            <w:vAlign w:val="bottom"/>
          </w:tcPr>
          <w:p>
            <w:pPr>
              <w:spacing w:after="0"/>
              <w:rPr>
                <w:sz w:val="1"/>
                <w:szCs w:val="1"/>
                <w:color w:val="auto"/>
              </w:rPr>
            </w:pPr>
          </w:p>
        </w:tc>
      </w:tr>
      <w:tr>
        <w:trPr>
          <w:trHeight w:val="206"/>
        </w:trPr>
        <w:tc>
          <w:tcPr>
            <w:tcW w:w="584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ind w:lef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62,201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61,850</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Vehicles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15,363</w:t>
            </w:r>
          </w:p>
        </w:tc>
        <w:tc>
          <w:tcPr>
            <w:tcW w:w="0" w:type="dxa"/>
            <w:vAlign w:val="bottom"/>
          </w:tcPr>
          <w:p>
            <w:pPr>
              <w:spacing w:after="0"/>
              <w:rPr>
                <w:sz w:val="1"/>
                <w:szCs w:val="1"/>
                <w:color w:val="auto"/>
              </w:rPr>
            </w:pPr>
          </w:p>
        </w:tc>
      </w:tr>
      <w:tr>
        <w:trPr>
          <w:trHeight w:val="206"/>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5,523</w:t>
            </w: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property, plant and equipment</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1,806,839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1,909,722</w:t>
            </w:r>
          </w:p>
        </w:tc>
        <w:tc>
          <w:tcPr>
            <w:tcW w:w="0" w:type="dxa"/>
            <w:vAlign w:val="bottom"/>
          </w:tcPr>
          <w:p>
            <w:pPr>
              <w:spacing w:after="0"/>
              <w:rPr>
                <w:sz w:val="1"/>
                <w:szCs w:val="1"/>
                <w:color w:val="auto"/>
              </w:rPr>
            </w:pPr>
          </w:p>
        </w:tc>
      </w:tr>
      <w:tr>
        <w:trPr>
          <w:trHeight w:val="206"/>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depreciation</w:t>
            </w:r>
          </w:p>
        </w:tc>
        <w:tc>
          <w:tcPr>
            <w:tcW w:w="3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(1,406,877)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(1,422,792)</w:t>
            </w:r>
          </w:p>
        </w:tc>
        <w:tc>
          <w:tcPr>
            <w:tcW w:w="0" w:type="dxa"/>
            <w:vAlign w:val="bottom"/>
          </w:tcPr>
          <w:p>
            <w:pPr>
              <w:spacing w:after="0"/>
              <w:rPr>
                <w:sz w:val="1"/>
                <w:szCs w:val="1"/>
                <w:color w:val="auto"/>
              </w:rPr>
            </w:pPr>
          </w:p>
        </w:tc>
      </w:tr>
      <w:tr>
        <w:trPr>
          <w:trHeight w:val="231"/>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property, plant and equipment, net</w:t>
            </w: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399,962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486,930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1960" w:type="dxa"/>
            <w:vAlign w:val="bottom"/>
            <w:gridSpan w:val="3"/>
          </w:tcPr>
          <w:p>
            <w:pPr>
              <w:ind w:left="500"/>
              <w:spacing w:after="0"/>
              <w:rPr>
                <w:sz w:val="20"/>
                <w:szCs w:val="20"/>
                <w:color w:val="auto"/>
              </w:rPr>
            </w:pPr>
            <w:r>
              <w:rPr>
                <w:rFonts w:ascii="Arial" w:cs="Arial" w:eastAsia="Arial" w:hAnsi="Arial"/>
                <w:sz w:val="16"/>
                <w:szCs w:val="16"/>
                <w:b w:val="1"/>
                <w:bCs w:val="1"/>
                <w:color w:val="auto"/>
                <w:w w:val="96"/>
              </w:rPr>
              <w:t>September 30, 2021</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06"/>
        </w:trPr>
        <w:tc>
          <w:tcPr>
            <w:tcW w:w="63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Accrued liabilities:</w:t>
            </w: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6360" w:type="dxa"/>
            <w:vAlign w:val="bottom"/>
          </w:tcPr>
          <w:p>
            <w:pPr>
              <w:ind w:left="480"/>
              <w:spacing w:after="0"/>
              <w:rPr>
                <w:sz w:val="20"/>
                <w:szCs w:val="20"/>
                <w:color w:val="auto"/>
              </w:rPr>
            </w:pPr>
            <w:r>
              <w:rPr>
                <w:rFonts w:ascii="Arial" w:cs="Arial" w:eastAsia="Arial" w:hAnsi="Arial"/>
                <w:sz w:val="16"/>
                <w:szCs w:val="16"/>
                <w:color w:val="auto"/>
              </w:rPr>
              <w:t>Accrued compensation</w:t>
            </w:r>
          </w:p>
        </w:tc>
        <w:tc>
          <w:tcPr>
            <w:tcW w:w="960" w:type="dxa"/>
            <w:vAlign w:val="bottom"/>
          </w:tcPr>
          <w:p>
            <w:pPr>
              <w:ind w:left="5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25,919</w:t>
            </w:r>
          </w:p>
        </w:tc>
        <w:tc>
          <w:tcPr>
            <w:tcW w:w="100" w:type="dxa"/>
            <w:vAlign w:val="bottom"/>
          </w:tcPr>
          <w:p>
            <w:pPr>
              <w:spacing w:after="0"/>
              <w:rPr>
                <w:sz w:val="17"/>
                <w:szCs w:val="17"/>
                <w:color w:val="auto"/>
              </w:rPr>
            </w:pPr>
          </w:p>
        </w:tc>
        <w:tc>
          <w:tcPr>
            <w:tcW w:w="9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22,475</w:t>
            </w:r>
          </w:p>
        </w:tc>
      </w:tr>
      <w:tr>
        <w:trPr>
          <w:trHeight w:val="213"/>
        </w:trPr>
        <w:tc>
          <w:tcPr>
            <w:tcW w:w="6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taxes, other than income taxes</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06"/>
        </w:trPr>
        <w:tc>
          <w:tcPr>
            <w:tcW w:w="63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r>
      <w:tr>
        <w:trPr>
          <w:trHeight w:val="231"/>
        </w:trPr>
        <w:tc>
          <w:tcPr>
            <w:tcW w:w="6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accrued liabilities</w:t>
            </w: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31,084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IMPAIRMENT CHARGES</w:t>
      </w:r>
    </w:p>
    <w:p>
      <w:pPr>
        <w:spacing w:after="0" w:line="125"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i w:val="1"/>
          <w:iCs w:val="1"/>
          <w:color w:val="auto"/>
        </w:rPr>
        <w:t>Quarter ended June 30, 2021</w:t>
      </w:r>
      <w:r>
        <w:rPr>
          <w:rFonts w:ascii="Arial" w:cs="Arial" w:eastAsia="Arial" w:hAnsi="Arial"/>
          <w:sz w:val="17"/>
          <w:szCs w:val="17"/>
          <w:color w:val="auto"/>
        </w:rPr>
        <w:t>. During the second quarter of 2021, we recorded impairment expense of $7.9 million related to various undeveloped land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and related permitting costs in Australia. At June 30, 2021, we identified an impairment trigger related to certain of these properties due to the cancellation of a significant thermal coal project in Australia and our negative expectations related to other possible Australian thermal coal projects becoming viable in the near term. Accordingly, the assets were written down to their estimated fair value of $2.4 million. As of June 30, 2021, we concluded certain of the undeveloped land positions met the criteria to be classified as held for sale.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Quarter ended March 31, 2020</w:t>
      </w:r>
      <w:r>
        <w:rPr>
          <w:rFonts w:ascii="Arial" w:cs="Arial" w:eastAsia="Arial" w:hAnsi="Arial"/>
          <w:sz w:val="17"/>
          <w:szCs w:val="17"/>
          <w:color w:val="auto"/>
        </w:rPr>
        <w:t>. During the first quarter of 2020, we recorded impairment expense related to goodwill and long-lived assets.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The spread of the COVID-19 coronavirus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 operations in the U.S. and Canada, such as Civeo. As a result, we experienced a sustained reduction of our share price during the first quarter of 2020. Our market capitalization implied an enterprise value which was significantly less than the sum of the estimated fair values of our reporting units, and we determined that an indicator of a goodwill impairment was present as of March 31, 2020. Accordingly, we performed an interim goodwill impairment test as of March 31, 2020, and the carrying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spacing w:after="0" w:line="53"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certain long-lived assets in our Canadian segment.</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6"/>
          <w:szCs w:val="16"/>
          <w:color w:val="auto"/>
        </w:rPr>
        <w:t>Also, as a result of the decline in global oil prices and forecasts for a potentially protracted period of lower prices, we reviewed all asset groups in our U.S. segment to determine if an indicator of impairment had occurred that would indicate that the carrying values of the asset groups in the segment might not be recoverable. We determined that certain asset groups within the segment had experienced an indicator of impairment, and thus we assessed the carrying values of our long-lived assets in 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We recorded impairment expense of $12.4 million during the first quarter of 2020 related to our U.S. segment.</w:t>
      </w:r>
    </w:p>
    <w:p>
      <w:pPr>
        <w:spacing w:after="0" w:line="188"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ASSETS HELD FOR SALE</w:t>
      </w:r>
    </w:p>
    <w:p>
      <w:pPr>
        <w:spacing w:after="0" w:line="256"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During the third quarter of 2021, we committed to a plan to dispose of certain assets in our U.S. business segment, due to the risks associated with changing geographic and market needs. Accordingly, the assets met the criteria of held for sale and we have discontinued depreciation of the assets. Their estimated fair values less the costs to sell exceeded their carrying values as of September 30, 2021.</w:t>
      </w:r>
    </w:p>
    <w:p>
      <w:pPr>
        <w:spacing w:after="0" w:line="197"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In addition, as of September 30, 2021, assets held for sale included various non-operational land holdings in Australia. These assets were recorded at the estimated fair value less costs to sell of approximately $2.1 million.</w:t>
      </w:r>
    </w:p>
    <w:p>
      <w:pPr>
        <w:spacing w:after="0" w:line="158"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As of December 31, 2020, assets held for sale included $3.9 million related to our modular construction and manufacturing plant near Edmonton, Alberta, Canada. During the first quarter 2021, the manufacturing facility was sold.</w:t>
      </w:r>
    </w:p>
    <w:p>
      <w:pPr>
        <w:spacing w:after="0" w:line="158"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The following table summarizes the carrying amount as of September 30, 2021 and December 31, 2020 of the assets classified as held for sale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September 30, 2021</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1"/>
              </w:rPr>
              <w:t>December 31, 2020</w:t>
            </w:r>
          </w:p>
        </w:tc>
      </w:tr>
      <w:tr>
        <w:trPr>
          <w:trHeight w:val="20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Property, plant and equipment, net</w:t>
            </w: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15,530</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3,910</w:t>
            </w:r>
          </w:p>
        </w:tc>
      </w:tr>
      <w:tr>
        <w:trPr>
          <w:trHeight w:val="231"/>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held for sale</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15,530</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30"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As previously disclosed in Note 1 - Description of Business and Basis of Presentation, a 1-for-12 reverse share split became effective on November 19, 2020 for all authorized, issued and outstanding shares of Civeo common shares. Accordingly, all share and per share amounts have been adjusted to reflect this reverse stock split for all prior periods presented.</w:t>
      </w:r>
    </w:p>
    <w:p>
      <w:pPr>
        <w:spacing w:after="0" w:line="197"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We calculate basic and diluted earnings per share by applying the two-class method because we have participating securities in the form of Class A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share-based awards in the calculation of diluted earnings per share, if dilutive.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52"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7"/>
          <w:szCs w:val="17"/>
          <w:color w:val="auto"/>
        </w:rPr>
        <w:t>The calculation of earnings per share attributable to Civeo common shareholders is presented below for the periods indicated (in thousands, except per share amounts):</w:t>
      </w:r>
    </w:p>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3100" w:type="dxa"/>
            <w:vAlign w:val="bottom"/>
            <w:gridSpan w:val="6"/>
          </w:tcPr>
          <w:p>
            <w:pPr>
              <w:ind w:left="520"/>
              <w:spacing w:after="0"/>
              <w:rPr>
                <w:sz w:val="20"/>
                <w:szCs w:val="20"/>
                <w:color w:val="auto"/>
              </w:rPr>
            </w:pPr>
            <w:r>
              <w:rPr>
                <w:rFonts w:ascii="Arial" w:cs="Arial" w:eastAsia="Arial" w:hAnsi="Arial"/>
                <w:sz w:val="16"/>
                <w:szCs w:val="16"/>
                <w:b w:val="1"/>
                <w:bCs w:val="1"/>
                <w:color w:val="auto"/>
                <w:w w:val="94"/>
              </w:rPr>
              <w:t>Three Months Ended September 30,</w:t>
            </w:r>
          </w:p>
        </w:tc>
        <w:tc>
          <w:tcPr>
            <w:tcW w:w="660" w:type="dxa"/>
            <w:vAlign w:val="bottom"/>
          </w:tcPr>
          <w:p>
            <w:pPr>
              <w:spacing w:after="0"/>
              <w:rPr>
                <w:sz w:val="18"/>
                <w:szCs w:val="18"/>
                <w:color w:val="auto"/>
              </w:rPr>
            </w:pPr>
          </w:p>
        </w:tc>
        <w:tc>
          <w:tcPr>
            <w:tcW w:w="2740" w:type="dxa"/>
            <w:vAlign w:val="bottom"/>
            <w:gridSpan w:val="4"/>
          </w:tcPr>
          <w:p>
            <w:pPr>
              <w:jc w:val="right"/>
              <w:ind w:right="22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Numerator:</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480"/>
              <w:spacing w:after="0" w:line="161" w:lineRule="exact"/>
              <w:rPr>
                <w:sz w:val="20"/>
                <w:szCs w:val="20"/>
                <w:color w:val="auto"/>
              </w:rPr>
            </w:pPr>
            <w:r>
              <w:rPr>
                <w:rFonts w:ascii="Arial" w:cs="Arial" w:eastAsia="Arial" w:hAnsi="Arial"/>
                <w:sz w:val="16"/>
                <w:szCs w:val="16"/>
                <w:color w:val="auto"/>
                <w:w w:val="97"/>
              </w:rPr>
              <w:t>Net income (loss) attributable to Civeo common</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6,517</w:t>
            </w:r>
          </w:p>
        </w:tc>
        <w:tc>
          <w:tcPr>
            <w:tcW w:w="10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(10,367)</w:t>
            </w:r>
          </w:p>
        </w:tc>
        <w:tc>
          <w:tcPr>
            <w:tcW w:w="100" w:type="dxa"/>
            <w:vAlign w:val="bottom"/>
          </w:tcPr>
          <w:p>
            <w:pPr>
              <w:spacing w:after="0"/>
              <w:rPr>
                <w:sz w:val="13"/>
                <w:szCs w:val="13"/>
                <w:color w:val="auto"/>
              </w:rPr>
            </w:pPr>
          </w:p>
        </w:tc>
        <w:tc>
          <w:tcPr>
            <w:tcW w:w="7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(133,885)</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5"/>
              </w:rPr>
              <w:t>Less: income allocated to participating securities</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3780" w:type="dxa"/>
            <w:vAlign w:val="bottom"/>
          </w:tcPr>
          <w:p>
            <w:pPr>
              <w:ind w:left="480"/>
              <w:spacing w:after="0" w:line="141" w:lineRule="exact"/>
              <w:rPr>
                <w:sz w:val="20"/>
                <w:szCs w:val="20"/>
                <w:color w:val="auto"/>
              </w:rPr>
            </w:pPr>
            <w:r>
              <w:rPr>
                <w:rFonts w:ascii="Arial" w:cs="Arial" w:eastAsia="Arial" w:hAnsi="Arial"/>
                <w:sz w:val="16"/>
                <w:szCs w:val="16"/>
                <w:color w:val="auto"/>
              </w:rPr>
              <w:t>Basic net income (loss) attributable to Civeo</w:t>
            </w:r>
          </w:p>
        </w:tc>
        <w:tc>
          <w:tcPr>
            <w:tcW w:w="6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2"/>
                <w:szCs w:val="12"/>
                <w:color w:val="auto"/>
              </w:rPr>
            </w:pPr>
          </w:p>
        </w:tc>
        <w:tc>
          <w:tcPr>
            <w:tcW w:w="6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5,573</w:t>
            </w:r>
          </w:p>
        </w:tc>
        <w:tc>
          <w:tcPr>
            <w:tcW w:w="100" w:type="dxa"/>
            <w:vAlign w:val="bottom"/>
          </w:tcPr>
          <w:p>
            <w:pPr>
              <w:spacing w:after="0"/>
              <w:rPr>
                <w:sz w:val="12"/>
                <w:szCs w:val="12"/>
                <w:color w:val="auto"/>
              </w:rPr>
            </w:pPr>
          </w:p>
        </w:tc>
        <w:tc>
          <w:tcPr>
            <w:tcW w:w="6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(10,367)</w:t>
            </w:r>
          </w:p>
        </w:tc>
        <w:tc>
          <w:tcPr>
            <w:tcW w:w="100" w:type="dxa"/>
            <w:vAlign w:val="bottom"/>
          </w:tcPr>
          <w:p>
            <w:pPr>
              <w:spacing w:after="0"/>
              <w:rPr>
                <w:sz w:val="12"/>
                <w:szCs w:val="12"/>
                <w:color w:val="auto"/>
              </w:rPr>
            </w:pPr>
          </w:p>
        </w:tc>
        <w:tc>
          <w:tcPr>
            <w:tcW w:w="74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(133,885)</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Corporation common shareholders</w:t>
            </w: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ind w:left="480"/>
              <w:spacing w:after="0" w:line="164" w:lineRule="exact"/>
              <w:rPr>
                <w:sz w:val="20"/>
                <w:szCs w:val="20"/>
                <w:color w:val="auto"/>
              </w:rPr>
            </w:pPr>
            <w:r>
              <w:rPr>
                <w:rFonts w:ascii="Arial" w:cs="Arial" w:eastAsia="Arial" w:hAnsi="Arial"/>
                <w:sz w:val="16"/>
                <w:szCs w:val="16"/>
                <w:color w:val="auto"/>
              </w:rPr>
              <w:t>Add: undistributed income attributable to</w:t>
            </w:r>
          </w:p>
        </w:tc>
        <w:tc>
          <w:tcPr>
            <w:tcW w:w="6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participating securities</w:t>
            </w:r>
          </w:p>
        </w:tc>
        <w:tc>
          <w:tcPr>
            <w:tcW w:w="6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480"/>
              <w:spacing w:after="0" w:line="161" w:lineRule="exact"/>
              <w:rPr>
                <w:sz w:val="20"/>
                <w:szCs w:val="20"/>
                <w:color w:val="auto"/>
              </w:rPr>
            </w:pPr>
            <w:r>
              <w:rPr>
                <w:rFonts w:ascii="Arial" w:cs="Arial" w:eastAsia="Arial" w:hAnsi="Arial"/>
                <w:sz w:val="16"/>
                <w:szCs w:val="16"/>
                <w:color w:val="auto"/>
              </w:rPr>
              <w:t>Less: undistributed income reallocated to</w:t>
            </w:r>
          </w:p>
        </w:tc>
        <w:tc>
          <w:tcPr>
            <w:tcW w:w="6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participating securities</w:t>
            </w:r>
          </w:p>
        </w:tc>
        <w:tc>
          <w:tcPr>
            <w:tcW w:w="6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780" w:type="dxa"/>
            <w:vAlign w:val="bottom"/>
            <w:tcBorders>
              <w:top w:val="single" w:sz="8" w:color="CCEEFF"/>
            </w:tcBorders>
            <w:shd w:val="clear" w:color="auto" w:fill="CCEEFF"/>
          </w:tcPr>
          <w:p>
            <w:pPr>
              <w:ind w:left="480"/>
              <w:spacing w:after="0" w:line="144" w:lineRule="exact"/>
              <w:rPr>
                <w:sz w:val="20"/>
                <w:szCs w:val="20"/>
                <w:color w:val="auto"/>
              </w:rPr>
            </w:pPr>
            <w:r>
              <w:rPr>
                <w:rFonts w:ascii="Arial" w:cs="Arial" w:eastAsia="Arial" w:hAnsi="Arial"/>
                <w:sz w:val="16"/>
                <w:szCs w:val="16"/>
                <w:color w:val="auto"/>
              </w:rPr>
              <w:t>Diluted net income (loss) attributable to Civeo</w:t>
            </w:r>
          </w:p>
        </w:tc>
        <w:tc>
          <w:tcPr>
            <w:tcW w:w="68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5,575</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(10,367)</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(133,885)</w:t>
            </w:r>
          </w:p>
        </w:tc>
        <w:tc>
          <w:tcPr>
            <w:tcW w:w="0" w:type="dxa"/>
            <w:vAlign w:val="bottom"/>
          </w:tcPr>
          <w:p>
            <w:pPr>
              <w:spacing w:after="0"/>
              <w:rPr>
                <w:sz w:val="1"/>
                <w:szCs w:val="1"/>
                <w:color w:val="auto"/>
              </w:rPr>
            </w:pPr>
          </w:p>
        </w:tc>
      </w:tr>
      <w:tr>
        <w:trPr>
          <w:trHeight w:val="200"/>
        </w:trPr>
        <w:tc>
          <w:tcPr>
            <w:tcW w:w="37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Corporation common shareholders</w:t>
            </w: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3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Denominator:</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80"/>
              <w:spacing w:after="0"/>
              <w:rPr>
                <w:sz w:val="20"/>
                <w:szCs w:val="20"/>
                <w:color w:val="auto"/>
              </w:rPr>
            </w:pPr>
            <w:r>
              <w:rPr>
                <w:rFonts w:ascii="Arial" w:cs="Arial" w:eastAsia="Arial" w:hAnsi="Arial"/>
                <w:sz w:val="16"/>
                <w:szCs w:val="16"/>
                <w:color w:val="auto"/>
              </w:rPr>
              <w:t>Weighted average shares outstanding - basic</w:t>
            </w:r>
          </w:p>
        </w:tc>
        <w:tc>
          <w:tcPr>
            <w:tcW w:w="6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14,277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14,160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14,255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14,118</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Dilutive shares - share-based awards</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80" w:type="dxa"/>
            <w:vAlign w:val="bottom"/>
          </w:tcPr>
          <w:p>
            <w:pPr>
              <w:ind w:left="480"/>
              <w:spacing w:after="0"/>
              <w:rPr>
                <w:sz w:val="20"/>
                <w:szCs w:val="20"/>
                <w:color w:val="auto"/>
              </w:rPr>
            </w:pPr>
            <w:r>
              <w:rPr>
                <w:rFonts w:ascii="Arial" w:cs="Arial" w:eastAsia="Arial" w:hAnsi="Arial"/>
                <w:sz w:val="16"/>
                <w:szCs w:val="16"/>
                <w:color w:val="auto"/>
                <w:w w:val="99"/>
              </w:rPr>
              <w:t>Weighted average shares outstanding - diluted</w:t>
            </w:r>
          </w:p>
        </w:tc>
        <w:tc>
          <w:tcPr>
            <w:tcW w:w="6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14,361</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14,212</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14,255</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37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480"/>
              <w:spacing w:after="0" w:line="161" w:lineRule="exact"/>
              <w:rPr>
                <w:sz w:val="20"/>
                <w:szCs w:val="20"/>
                <w:color w:val="auto"/>
              </w:rPr>
            </w:pPr>
            <w:r>
              <w:rPr>
                <w:rFonts w:ascii="Arial" w:cs="Arial" w:eastAsia="Arial" w:hAnsi="Arial"/>
                <w:sz w:val="16"/>
                <w:szCs w:val="16"/>
                <w:color w:val="auto"/>
                <w:w w:val="96"/>
              </w:rPr>
              <w:t>Basic net income (loss) per share attributable to</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13"/>
                <w:szCs w:val="13"/>
                <w:color w:val="auto"/>
              </w:rPr>
            </w:pPr>
          </w:p>
        </w:tc>
        <w:tc>
          <w:tcPr>
            <w:tcW w:w="7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06"/>
        </w:trPr>
        <w:tc>
          <w:tcPr>
            <w:tcW w:w="378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Civeo Corporation common shareholders </w:t>
            </w:r>
            <w:r>
              <w:rPr>
                <w:rFonts w:ascii="Arial" w:cs="Arial" w:eastAsia="Arial" w:hAnsi="Arial"/>
                <w:sz w:val="20"/>
                <w:szCs w:val="20"/>
                <w:color w:val="auto"/>
                <w:vertAlign w:val="superscript"/>
              </w:rPr>
              <w:t>(1)</w:t>
            </w: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37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480"/>
              <w:spacing w:after="0" w:line="161" w:lineRule="exact"/>
              <w:rPr>
                <w:sz w:val="20"/>
                <w:szCs w:val="20"/>
                <w:color w:val="auto"/>
              </w:rPr>
            </w:pPr>
            <w:r>
              <w:rPr>
                <w:rFonts w:ascii="Arial" w:cs="Arial" w:eastAsia="Arial" w:hAnsi="Arial"/>
                <w:sz w:val="16"/>
                <w:szCs w:val="16"/>
                <w:color w:val="auto"/>
                <w:w w:val="93"/>
              </w:rPr>
              <w:t>Diluted net income (loss) per share attributable to</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13"/>
                <w:szCs w:val="13"/>
                <w:color w:val="auto"/>
              </w:rPr>
            </w:pPr>
          </w:p>
        </w:tc>
        <w:tc>
          <w:tcPr>
            <w:tcW w:w="7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68"/>
        </w:trPr>
        <w:tc>
          <w:tcPr>
            <w:tcW w:w="3780" w:type="dxa"/>
            <w:vAlign w:val="bottom"/>
          </w:tcPr>
          <w:p>
            <w:pPr>
              <w:ind w:left="20"/>
              <w:spacing w:after="0"/>
              <w:rPr>
                <w:sz w:val="20"/>
                <w:szCs w:val="20"/>
                <w:color w:val="auto"/>
              </w:rPr>
            </w:pPr>
            <w:r>
              <w:rPr>
                <w:rFonts w:ascii="Arial" w:cs="Arial" w:eastAsia="Arial" w:hAnsi="Arial"/>
                <w:sz w:val="16"/>
                <w:szCs w:val="16"/>
                <w:color w:val="auto"/>
              </w:rPr>
              <w:t xml:space="preserve">Civeo Corporation common shareholders </w:t>
            </w:r>
            <w:r>
              <w:rPr>
                <w:rFonts w:ascii="Arial" w:cs="Arial" w:eastAsia="Arial" w:hAnsi="Arial"/>
                <w:sz w:val="20"/>
                <w:szCs w:val="20"/>
                <w:color w:val="auto"/>
                <w:vertAlign w:val="superscript"/>
              </w:rPr>
              <w:t>(1)</w:t>
            </w:r>
          </w:p>
        </w:tc>
        <w:tc>
          <w:tcPr>
            <w:tcW w:w="680" w:type="dxa"/>
            <w:vAlign w:val="bottom"/>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129"/>
        </w:trPr>
        <w:tc>
          <w:tcPr>
            <w:tcW w:w="200" w:type="dxa"/>
            <w:vAlign w:val="bottom"/>
          </w:tcPr>
          <w:p>
            <w:pPr>
              <w:jc w:val="right"/>
              <w:ind w:right="29"/>
              <w:spacing w:after="0"/>
              <w:rPr>
                <w:sz w:val="20"/>
                <w:szCs w:val="20"/>
                <w:color w:val="auto"/>
              </w:rPr>
            </w:pPr>
            <w:r>
              <w:rPr>
                <w:rFonts w:ascii="Arial" w:cs="Arial" w:eastAsia="Arial" w:hAnsi="Arial"/>
                <w:sz w:val="10"/>
                <w:szCs w:val="10"/>
                <w:color w:val="auto"/>
                <w:w w:val="81"/>
              </w:rPr>
              <w:t>(1)</w:t>
            </w:r>
          </w:p>
        </w:tc>
        <w:tc>
          <w:tcPr>
            <w:tcW w:w="3180" w:type="dxa"/>
            <w:vAlign w:val="bottom"/>
            <w:vMerge w:val="restart"/>
          </w:tcPr>
          <w:p>
            <w:pPr>
              <w:ind w:left="100"/>
              <w:spacing w:after="0"/>
              <w:rPr>
                <w:sz w:val="20"/>
                <w:szCs w:val="20"/>
                <w:color w:val="auto"/>
              </w:rPr>
            </w:pPr>
            <w:r>
              <w:rPr>
                <w:rFonts w:ascii="Arial" w:cs="Arial" w:eastAsia="Arial" w:hAnsi="Arial"/>
                <w:sz w:val="16"/>
                <w:szCs w:val="16"/>
                <w:color w:val="auto"/>
                <w:w w:val="89"/>
              </w:rPr>
              <w:t>Computations may reflect rounding adjustments.</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For the three months ended September 30, 2021 and 2020, we excluded 0.1 million and 0.2 million share-based awards, respectively, from the computation of diluted earnings per share because their effect was anti-dilutive. When an entity has a net loss from continuing operations, it is prohibited from including potential common shares in the computation of diluted per share amounts. For the nine months ended September 30, 2021 and 2020, we excluded from the computation of diluted loss per share 0.2 million and 0.4 million share-based awards, respectively, since the effect would have been anti-dilutive. Additionally, for the three and nine months ended September 30, 2021 and 2020, we excluded from the computation the impact of converting the Preferred Shares into 2.4 million and 2.4 million common shares, respectively, since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0"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and December 31, 2020, long-term debt consisted of the following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September 30, 2021</w:t>
            </w:r>
          </w:p>
        </w:tc>
        <w:tc>
          <w:tcPr>
            <w:tcW w:w="14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0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Canadian term loan; weighted average interest rate of 4.2% for the nine month period ended September 30, 2021</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70,642</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187,530</w:t>
            </w: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U.S. revolving credit facility; weighted average interest rate of 5.8% for the nine month period ended September 30, 2021</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0"/>
              </w:rPr>
              <w:t>Canadian revolving credit facility; weighted average interest rate of 4.5% for the nine month period ended September 30,</w:t>
            </w:r>
          </w:p>
        </w:tc>
        <w:tc>
          <w:tcPr>
            <w:tcW w:w="4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113,809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45,789</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0"/>
              </w:rPr>
              <w:t>Australian revolving credit facility; weighted average interest rate of 3.6% for the nine month period ended September 30,</w:t>
            </w:r>
          </w:p>
        </w:tc>
        <w:tc>
          <w:tcPr>
            <w:tcW w:w="4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10,786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17,767</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195,237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251,086</w:t>
            </w: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199"/>
        </w:trPr>
        <w:tc>
          <w:tcPr>
            <w:tcW w:w="778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193,162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248,585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34,585</w:t>
            </w:r>
          </w:p>
        </w:tc>
        <w:tc>
          <w:tcPr>
            <w:tcW w:w="0" w:type="dxa"/>
            <w:vAlign w:val="bottom"/>
          </w:tcPr>
          <w:p>
            <w:pPr>
              <w:spacing w:after="0"/>
              <w:rPr>
                <w:sz w:val="1"/>
                <w:szCs w:val="1"/>
                <w:color w:val="auto"/>
              </w:rPr>
            </w:pPr>
          </w:p>
        </w:tc>
      </w:tr>
      <w:tr>
        <w:trPr>
          <w:trHeight w:val="206"/>
        </w:trPr>
        <w:tc>
          <w:tcPr>
            <w:tcW w:w="778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162,689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Credit Agreement</w:t>
      </w:r>
    </w:p>
    <w:p>
      <w:pPr>
        <w:spacing w:after="0" w:line="25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As of December 31, 2020, our Amended and Restated Credit Agreement provided for: (i)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(C) a $35.0 million senior secured revolving credit facility in favor of one of our Australian subsidiaries, as borrower; and (D) a $194.8 million term loan facility scheduled to mature on May 30, 2023 for certain lenders in favor of Civeo.</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Syndicated Facility Agreement</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September 8, 2021, we entered into a new Syndicated Facility Agreement (Credit Agreement), which, among other things, as compared to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Credit Agreement outstanding prior to the effectiveness of the Credit Agreement:</w:t>
      </w:r>
    </w:p>
    <w:p>
      <w:pPr>
        <w:spacing w:after="0" w:line="238" w:lineRule="exact"/>
        <w:rPr>
          <w:sz w:val="20"/>
          <w:szCs w:val="20"/>
          <w:color w:val="auto"/>
        </w:rPr>
      </w:pPr>
    </w:p>
    <w:p>
      <w:pPr>
        <w:jc w:val="both"/>
        <w:ind w:left="640" w:hanging="321"/>
        <w:spacing w:after="0" w:line="281" w:lineRule="auto"/>
        <w:tabs>
          <w:tab w:leader="none" w:pos="6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provided for the increase by $32.7 million of the aggregate revolving loan commitments under the Credit Agreement, to a maximum principal amount of $200.0 million, allocated as follows: (A) a $10.0 million senior secured revolving credit facility in favor of one of our U.S. subsidiaries, as borrower;</w:t>
      </w:r>
    </w:p>
    <w:p>
      <w:pPr>
        <w:ind w:left="640" w:hanging="6"/>
        <w:spacing w:after="0" w:line="274" w:lineRule="auto"/>
        <w:tabs>
          <w:tab w:leader="none" w:pos="932" w:val="left"/>
        </w:tabs>
        <w:numPr>
          <w:ilvl w:val="1"/>
          <w:numId w:val="15"/>
        </w:numPr>
        <w:rPr>
          <w:rFonts w:ascii="Arial" w:cs="Arial" w:eastAsia="Arial" w:hAnsi="Arial"/>
          <w:sz w:val="17"/>
          <w:szCs w:val="17"/>
          <w:color w:val="auto"/>
        </w:rPr>
      </w:pPr>
      <w:r>
        <w:rPr>
          <w:rFonts w:ascii="Arial" w:cs="Arial" w:eastAsia="Arial" w:hAnsi="Arial"/>
          <w:sz w:val="17"/>
          <w:szCs w:val="17"/>
          <w:color w:val="auto"/>
        </w:rPr>
        <w:t>a $155.0 million senior secured revolving credit facility in favor of Civeo, as borrower; and (C) a $35.0 million senior secured revolving credit facility in favor of one of our Australian subsidiaries, as borrower, scheduled to mature on September 8, 2025;</w:t>
      </w:r>
    </w:p>
    <w:p>
      <w:pPr>
        <w:spacing w:after="0" w:line="196" w:lineRule="exact"/>
        <w:rPr>
          <w:rFonts w:ascii="Arial" w:cs="Arial" w:eastAsia="Arial" w:hAnsi="Arial"/>
          <w:sz w:val="17"/>
          <w:szCs w:val="17"/>
          <w:color w:val="auto"/>
        </w:rPr>
      </w:pPr>
    </w:p>
    <w:p>
      <w:pPr>
        <w:ind w:left="620" w:hanging="301"/>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provided for a C$100.0 million term loan facility scheduled to be fully repaid on December 31, 2023 in favor of Civeo;</w:t>
      </w:r>
    </w:p>
    <w:p>
      <w:pPr>
        <w:spacing w:after="0" w:line="249" w:lineRule="exact"/>
        <w:rPr>
          <w:rFonts w:ascii="Arial" w:cs="Arial" w:eastAsia="Arial" w:hAnsi="Arial"/>
          <w:sz w:val="17"/>
          <w:szCs w:val="17"/>
          <w:color w:val="auto"/>
        </w:rPr>
      </w:pPr>
    </w:p>
    <w:p>
      <w:pPr>
        <w:jc w:val="both"/>
        <w:ind w:left="640" w:hanging="321"/>
        <w:spacing w:after="0" w:line="273"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the maximum leverage ratio to a maximum total net leverage ratio, and adjusted the level of the ratio to (i) 3.50 to 1.00 for the fiscal quarter ending September 30, 2021, 3.25 to 1.00 for the fiscal quarters ending December 31, 2021 and March 31, 2022 and 3.00 to 1.00 for each fiscal quarter ending thereafter and (ii) following a qualified offering of indebtedness, 3.50 to 1.00 for each fiscal quarter;</w:t>
      </w:r>
    </w:p>
    <w:p>
      <w:pPr>
        <w:spacing w:after="0" w:line="197" w:lineRule="exact"/>
        <w:rPr>
          <w:rFonts w:ascii="Arial" w:cs="Arial" w:eastAsia="Arial" w:hAnsi="Arial"/>
          <w:sz w:val="17"/>
          <w:szCs w:val="17"/>
          <w:color w:val="auto"/>
        </w:rPr>
      </w:pPr>
    </w:p>
    <w:p>
      <w:pPr>
        <w:ind w:left="640" w:hanging="321"/>
        <w:spacing w:after="0" w:line="289"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decreased amortization payments on the term loan facility from C$11.2 million per quarter to C$10.0 million per quarter beginning September 30, 2021;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6" w:lineRule="exact"/>
        <w:rPr>
          <w:sz w:val="20"/>
          <w:szCs w:val="20"/>
          <w:color w:val="auto"/>
        </w:rPr>
      </w:pPr>
    </w:p>
    <w:p>
      <w:pPr>
        <w:ind w:left="620" w:hanging="30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provided for other technical changes and amendments.</w:t>
      </w:r>
    </w:p>
    <w:p>
      <w:pPr>
        <w:spacing w:after="0" w:line="355"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As a result of entering into the Credit Agreement, we recognized a debt extinguishment loss during the third quarter of 2021 of approximately $0.4 million related to certain unamortized debt issuance costs from the Amended and Restated Credit Agreement, which is included in Loss on extinguishment of debt on the unaudited consolidated statements of operations. The remaining $3.0 million of unamortized debt issuance costs from the Amended and Restated Credit Agreement was not recognized as a loss as we concluded a significant portion of the Credit Agreement was a modification of the Amended and Restated Credit Agreement under ASC 740, "Debt."</w:t>
      </w:r>
    </w:p>
    <w:p>
      <w:pPr>
        <w:spacing w:after="0" w:line="73"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6"/>
          <w:szCs w:val="16"/>
          <w:color w:val="auto"/>
        </w:rPr>
        <w:t>U.S. dollar amounts outstanding under the facilities provided by the Credit Agreement bear interest at a variable rate equal to the London Inter-Bank Offered Rate (LIBOR) plus a margin of 3.00% to 4.00%, or a base rate plus 2.00% to 3.00%, in each case based on a ratio of our total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debt to consolidated EBITDA. Australian dollar amounts outstanding under the Credit Agreement bear interest at a variable rate equal to the Bank Bill Swap Bid Rate plus a margin of 3.00% to 4.00%, based on a ratio of our total net debt to consolidated EBITDA. The future transitions from LIBOR and CDOR as interest rate benchmarks are addressed in the Credit Agreement and at such time the transition from (i) LIBOR takes place, an alternate benchmark will be established based on the first alternative of the following, plus a benchmark replacement adjustment, Term SOFR, Daily Simple SOFR and an alternative benchmark selected by the administrative agent and the applicable borrowers giving due consideration to any selection or recommendation by a government body or any evolving or then-prevailing market convention for determining a benchmark rate as a replacement for the then-current Benchmark for U.S. dollar-denominated syndicated credit facilities at such time or (ii) CDOR takes place, we will endeavor with the administrative agent to establish an alternate rate of interest to CDOR that gives due consideration to any evolving or then existing convention for similar Canadian Dollar denominated syndicated credit facilities for the replacement of CDOR.</w:t>
      </w:r>
    </w:p>
    <w:p>
      <w:pPr>
        <w:spacing w:after="0" w:line="6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 the ratio of total net debt to consolidated EBITDA, of no greater than the levels set forth above. Following a qualified offering of indebtedness, we will be required to maintain a maximum leverage ratio of no greater than 3.50 to 1.00 and a maximum senior secured ratio less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September 30, 2021.</w:t>
      </w:r>
    </w:p>
    <w:p>
      <w:pPr>
        <w:spacing w:after="0" w:line="78"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Borrowings under the Credit Agreement are secured by a pledge of substantially all of our assets and the assets of our significant subsidiaries subject to customary exceptions. The obligations under the Credit Agreement are guaranteed by our significant subsidiaries. As of September 30, 2021, we had seven lenders that were parties to the Credit Agreement, with total commitments (including both revolving commitments and term commitments) ranging from $22.50 million to $52.0 million. As of September 30, 2021, we had outstanding letters of credit of $0.9 million under the U.S. facility, zero under the Australian facility and $1.2 million under the Canadian facility. We also had outstanding bank guarantees of A$0.8 million under the Australian facility.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25"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53"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We operate in three jurisdictions, Canada, Australia and the U.S., where statutory tax rates range from 21% to 30%. Our effective tax rate will vary from period to period based on changes in earnings mix between these different jurisdictions.</w:t>
      </w:r>
    </w:p>
    <w:p>
      <w:pPr>
        <w:spacing w:after="0" w:line="53"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September 30, 2021 and 2020, Canada and the U.S. were considered loss jurisdictions for tax accounting purposes and were removed from the annual effective tax rate computation for purposes of computing the interim tax provision.</w:t>
      </w:r>
    </w:p>
    <w:p>
      <w:pPr>
        <w:spacing w:after="0" w:line="184" w:lineRule="exact"/>
        <w:rPr>
          <w:sz w:val="20"/>
          <w:szCs w:val="20"/>
          <w:color w:val="auto"/>
        </w:rPr>
      </w:pPr>
    </w:p>
    <w:p>
      <w:pPr>
        <w:jc w:val="both"/>
        <w:ind w:firstLine="472"/>
        <w:spacing w:after="0" w:line="249" w:lineRule="auto"/>
        <w:rPr>
          <w:sz w:val="20"/>
          <w:szCs w:val="20"/>
          <w:color w:val="auto"/>
        </w:rPr>
      </w:pPr>
      <w:r>
        <w:rPr>
          <w:rFonts w:ascii="Arial" w:cs="Arial" w:eastAsia="Arial" w:hAnsi="Arial"/>
          <w:sz w:val="17"/>
          <w:szCs w:val="17"/>
          <w:color w:val="auto"/>
        </w:rPr>
        <w:t>Our income tax expense for the three months ended September 30, 2021 totaled $1.8 million, or 63.4% of pretax income, compared to tax expense of $0.2 million, or 2.4% of pretax income, for the three months ended September 30, 2020. Our effective tax rate for both the three months ended September 30, 2021 and 2020 was impacted by considering Canada and the U.S. loss jurisdictions that were removed from the annual effective tax rate computation for purposes of computing the interim tax provision. Under ASC 740-270, "Accounting for Income Taxes," the quarterly tax provision is based on our current estimate of the annual effective tax rate less the prior quarter's year-to-date provision.</w:t>
      </w:r>
    </w:p>
    <w:p>
      <w:pPr>
        <w:spacing w:after="0" w:line="204"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6"/>
          <w:szCs w:val="16"/>
          <w:color w:val="auto"/>
        </w:rPr>
        <w:t>Our income tax expense for the nine months ended September 30, 2021 totaled $2.4 million, or (39.0)% of pretax loss, compared to a benefit of $8.5 million, or 6.1% of pretax loss, for the nine months ended September 30, 2020. Our effective tax rate for the nine months ended September 30, 2021 and 2020 was impacted by considering Canada and the U.S. loss jurisdictions. Our effective tax rate for the nine months ended September 30, 2021 was impacted by an increase in the valuation allowance related to the impairment of land in Australia. Although Australia was not considered a loss jurisdiction for the nine months ended September 30, 2020, our effective tax rate was impacted by utilization of deferred tax assets and a release of the corresponding valuation allowance in Australia, resulting in no income tax expense for that jurisdiction. Additionally, our effective tax rate for the nine months ended September 30, 2020 was impacted by a deferred tax benefit of $9.0 million, offset by a valuation allowance of $0.1 million against the Canadian net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230"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ACCUMULATED OTHER COMPREHENSIVE LOSS</w:t>
      </w:r>
    </w:p>
    <w:p>
      <w:pPr>
        <w:spacing w:after="0" w:line="23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accumulated other comprehensive loss increased $15.4 million from $349.0 million at December 31, 2020 to $364.4 million at September 30, 2021, as a result of foreign currency exchange rate fluctuations. Changes in other comprehensive loss during the first nine months of 2021 were primarily driven by the Australian dollar decreasing in value compared to the U.S. dollar, partially offset by the Canadian dollar increasing in value compared to the U.S. dollar. Excluding intercompany balances, our Canadian dollar and Australian dollar functional currency net assets totaled approximately C$176 million and A$267 million, respectively, at September 30, 2021.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SHARE REPURCHASE PROGRAM</w:t>
      </w:r>
    </w:p>
    <w:p>
      <w:pPr>
        <w:spacing w:after="0" w:line="230" w:lineRule="exact"/>
        <w:rPr>
          <w:sz w:val="20"/>
          <w:szCs w:val="20"/>
          <w:color w:val="auto"/>
        </w:rPr>
      </w:pPr>
    </w:p>
    <w:p>
      <w:pPr>
        <w:jc w:val="both"/>
        <w:ind w:firstLine="472"/>
        <w:spacing w:after="0" w:line="314" w:lineRule="auto"/>
        <w:rPr>
          <w:sz w:val="20"/>
          <w:szCs w:val="20"/>
          <w:color w:val="auto"/>
        </w:rPr>
      </w:pPr>
      <w:r>
        <w:rPr>
          <w:rFonts w:ascii="Arial" w:cs="Arial" w:eastAsia="Arial" w:hAnsi="Arial"/>
          <w:sz w:val="15"/>
          <w:szCs w:val="15"/>
          <w:color w:val="auto"/>
        </w:rPr>
        <w:t>In August 2021, our Board of Directors (Board) authorized a common share repurchase program to repurchase up to 5.0% of our total common shares which are issued and outstanding, or approximately 715,000 common shares, over a twelve month period. The common share repurchase program commenced in September 2021 and will terminate no later than twelve months from date of commencement. The repurchase authorization allows repurchases from time to time in open market transactions, including pursuant to trading plans adopted in accordance with Rule 10b5-1 of the Securities Exchange Act of 1934.</w:t>
      </w:r>
    </w:p>
    <w:p>
      <w:pPr>
        <w:spacing w:after="0" w:line="171"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We intend to fund repurchases through cash on hand and cash generated from operations. Pursuant to our common share repurchase program, during the three months ended September 30, 2021, we repurchased an aggregate of 20,105 of our common shares outstanding at a weighted average price of $22.08 per share, for a total of approximately $0.4 million. The common shares repurchased under the program are cancelled in the periods they are acquired and the payment is accounted for as an increase to accumulated deficit in our Unaudited Consolidated Statements of Changes in Shareholders’ Equity in the period the payment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SHARE-BASED COMPENSATION</w:t>
      </w:r>
    </w:p>
    <w:p>
      <w:pPr>
        <w:spacing w:after="0" w:line="230"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grants of options, awards of restricted shares, performance awards, phantom share awards and dividend equivalents, awards of deferred shares, and share payments to our employees and non-employee directors. No more than 2.4 million Civeo common shares are authorized to be issued under the Civeo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Awards</w:t>
      </w:r>
    </w:p>
    <w:p>
      <w:pPr>
        <w:spacing w:after="0" w:line="22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b w:val="1"/>
          <w:bCs w:val="1"/>
          <w:i w:val="1"/>
          <w:iCs w:val="1"/>
          <w:color w:val="auto"/>
        </w:rPr>
        <w:t xml:space="preserve">Restricted Share Awards / Restricted Share Units / Deferred Share Awards. </w:t>
      </w:r>
      <w:r>
        <w:rPr>
          <w:rFonts w:ascii="Arial" w:cs="Arial" w:eastAsia="Arial" w:hAnsi="Arial"/>
          <w:sz w:val="17"/>
          <w:szCs w:val="17"/>
          <w:color w:val="auto"/>
        </w:rPr>
        <w:t>On May 19, 2021, we granted 45,762 restricted share awards to our non-employee directors, which vest in their entirety on May 19, 2022.</w:t>
      </w:r>
    </w:p>
    <w:p>
      <w:pPr>
        <w:spacing w:after="0" w:line="184"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Compensation expense associated with restricted share awards, restricted share units and deferred share awards recognized in the three months ended September 30, 2021 and 2020 totaled $0.4 million and $0.7 million, respectively. Compensation expense associated with restricted share awards, restricted share units and deferred share awards recognized in the nine months ended September 30, 2021 and 2020 totaled $1.2 million and $2.7 million, respectively. The total fair value of restricted share awards, restricted share units and deferred share awards that vested during the three months ended September 30, 2021 and 2020 was zero and less than $0.1 million, respectively. The total fair value of restricted share awards, restricted share units and deferred share awards that vested during the nine months ended September 30, 2021 and 2020 was $1.5 million and $2.6 million, respectively.</w:t>
      </w:r>
    </w:p>
    <w:p>
      <w:pPr>
        <w:spacing w:after="0" w:line="165"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At September 30, 2021, unrecognized compensation cost related to restricted share awards, restricted share units and deferred share awards was $1.0 million, which is expected to be recognized over a weighted average period of 0.6 years.</w:t>
      </w:r>
    </w:p>
    <w:p>
      <w:pPr>
        <w:spacing w:after="0" w:line="158"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b w:val="1"/>
          <w:bCs w:val="1"/>
          <w:i w:val="1"/>
          <w:iCs w:val="1"/>
          <w:color w:val="auto"/>
        </w:rPr>
        <w:t xml:space="preserve">Phantom Share Awards. </w:t>
      </w:r>
      <w:r>
        <w:rPr>
          <w:rFonts w:ascii="Arial" w:cs="Arial" w:eastAsia="Arial" w:hAnsi="Arial"/>
          <w:sz w:val="17"/>
          <w:szCs w:val="17"/>
          <w:color w:val="auto"/>
        </w:rPr>
        <w:t>On February 22, 2021, we granted 270,079 phantom share awards under the Civeo Plan, which vest in three equal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installments beginning on February 22, 2022. We also granted 81,774 phantom share awards under the Canadian Long-Term Incentive Plan, which vest in three equal annual installments beginning on February 22, 2022.</w:t>
      </w:r>
    </w:p>
    <w:p>
      <w:pPr>
        <w:spacing w:after="0" w:line="197"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During the three months ended September 30, 2021 and 2020, we recognized compensation expense associated with phantom shares totaling $2.1 million and $0.4 million, respectively. During the nine months ended September 30, 2021 and 2020, we recognized compensation expense associated with phantom shares totaling $5.0 million and $1.1 million, respectively. At September 30, 2021, unrecognized compensation cost related to phantom shares was $10.3 million, as remeasured at September 30, 2021, which is expected to be recognized over a weighted average period of 2.0 years.</w:t>
      </w:r>
    </w:p>
    <w:p>
      <w:pPr>
        <w:spacing w:after="0" w:line="162"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On February 22, 2021, we granted 129,754 performance awards under the Civeo Plan, which cliff vest in three years on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 2024. These awards will be earned in amounts between 0% and 200% of the participant’s target performance share award, based on (1) the payout percentage associated with Civeo’s relative total shareholder return rank among a peer group that includes 17 other companies and (2) the payout percentage associated with Civeo's cumulative free cash flow over the performance period relative to a preset target. The portion of the performance awards tied to cumulative free cash flow includes a performance-based vesting requirement. The fair value of these awards is based on the closing market price of our common shares on the date of grant. We evaluate the probability of achieving the performance criteria throughout the performance period and will adjust share-based compensation expense based on the number of shares expected to vest based on our estimate of the most probable performance outcome. The ultimate payout of the cumulative free cash flow component of the award can vary from 0% to 60% based on actual results.</w:t>
      </w:r>
    </w:p>
    <w:p>
      <w:pPr>
        <w:spacing w:after="0" w:line="195"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During the three months ended September 30, 2021 and 2020, we recognized compensation expense associated with performance awards totaling $0.6 million and $0.6 million, respectively. During the nine months ended September 30, 2021 and 2020, we recognized compensation expense associated with performance awards totaling $1.7 million and $2.1 million, respectively. The total fair value of performance share awards that vested during the three months ended September 30, 2021 and 2020 was zero. The total fair value of performance share awards that vested during the nine months ended September 30, 2021 and 2020 was $1.9 million and $1.9 million, respectively. At September 30, 2021, unrecognized compensation cost related to performance shares was $3.3 million, which is expected to be recognized over a weighted average period of 2.1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(Continued)</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AND RELATED INFORMATION</w:t>
      </w:r>
    </w:p>
    <w:p>
      <w:pPr>
        <w:spacing w:after="0" w:line="230" w:lineRule="exact"/>
        <w:rPr>
          <w:sz w:val="20"/>
          <w:szCs w:val="20"/>
          <w:color w:val="auto"/>
        </w:rPr>
      </w:pPr>
    </w:p>
    <w:p>
      <w:pPr>
        <w:ind w:firstLine="472"/>
        <w:spacing w:after="0" w:line="32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spacing w:after="0" w:line="135"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Financial information by business segment for each of the three and nine months ended September 30, 2021 and 2020 is summarized in the following table (in thousands):</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Depreciation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Operating</w:t>
            </w:r>
          </w:p>
        </w:tc>
        <w:tc>
          <w:tcPr>
            <w:tcW w:w="200" w:type="dxa"/>
            <w:vAlign w:val="bottom"/>
          </w:tcPr>
          <w:p>
            <w:pPr>
              <w:spacing w:after="0"/>
              <w:rPr>
                <w:sz w:val="16"/>
                <w:szCs w:val="16"/>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5"/>
              </w:rPr>
              <w:t>income</w:t>
            </w:r>
          </w:p>
        </w:tc>
        <w:tc>
          <w:tcPr>
            <w:tcW w:w="2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w w:val="95"/>
              </w:rPr>
              <w:t>Total assets</w:t>
            </w: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2"/>
              </w:rPr>
              <w:t>revenues</w:t>
            </w: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amortization</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(loss)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expenditures</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320" w:type="dxa"/>
            <w:vAlign w:val="bottom"/>
            <w:tcBorders>
              <w:top w:val="single" w:sz="8" w:color="CCEEFF"/>
            </w:tcBorders>
            <w:shd w:val="clear" w:color="auto" w:fill="CCEEFF"/>
          </w:tcPr>
          <w:p>
            <w:pPr>
              <w:ind w:left="20"/>
              <w:spacing w:after="0" w:line="140" w:lineRule="exact"/>
              <w:rPr>
                <w:sz w:val="20"/>
                <w:szCs w:val="20"/>
                <w:color w:val="auto"/>
              </w:rPr>
            </w:pPr>
            <w:r>
              <w:rPr>
                <w:rFonts w:ascii="Arial" w:cs="Arial" w:eastAsia="Arial" w:hAnsi="Arial"/>
                <w:sz w:val="16"/>
                <w:szCs w:val="16"/>
                <w:b w:val="1"/>
                <w:bCs w:val="1"/>
                <w:color w:val="auto"/>
                <w:w w:val="93"/>
              </w:rPr>
              <w:t>Three months ended September</w:t>
            </w:r>
          </w:p>
        </w:tc>
        <w:tc>
          <w:tcPr>
            <w:tcW w:w="2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30, 2021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84,057</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11,511</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6,131</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754,223</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231,427</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U.S.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26,699</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(328,307)</w:t>
            </w:r>
          </w:p>
        </w:tc>
        <w:tc>
          <w:tcPr>
            <w:tcW w:w="0" w:type="dxa"/>
            <w:vAlign w:val="bottom"/>
          </w:tcPr>
          <w:p>
            <w:pPr>
              <w:spacing w:after="0"/>
              <w:rPr>
                <w:sz w:val="1"/>
                <w:szCs w:val="1"/>
                <w:color w:val="auto"/>
              </w:rPr>
            </w:pPr>
          </w:p>
        </w:tc>
      </w:tr>
      <w:tr>
        <w:trPr>
          <w:trHeight w:val="206"/>
        </w:trPr>
        <w:tc>
          <w:tcPr>
            <w:tcW w:w="232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155,063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20,282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6,010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684,042</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20"/>
              <w:spacing w:after="0" w:line="158" w:lineRule="exact"/>
              <w:rPr>
                <w:sz w:val="20"/>
                <w:szCs w:val="20"/>
                <w:color w:val="auto"/>
              </w:rPr>
            </w:pPr>
            <w:r>
              <w:rPr>
                <w:rFonts w:ascii="Arial" w:cs="Arial" w:eastAsia="Arial" w:hAnsi="Arial"/>
                <w:sz w:val="16"/>
                <w:szCs w:val="16"/>
                <w:b w:val="1"/>
                <w:bCs w:val="1"/>
                <w:color w:val="auto"/>
                <w:w w:val="93"/>
              </w:rPr>
              <w:t>Three months ended September</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30, 2020</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691,634</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64,685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10,739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266,591</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27,017</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(252,306)</w:t>
            </w:r>
          </w:p>
        </w:tc>
        <w:tc>
          <w:tcPr>
            <w:tcW w:w="0" w:type="dxa"/>
            <w:vAlign w:val="bottom"/>
          </w:tcPr>
          <w:p>
            <w:pPr>
              <w:spacing w:after="0"/>
              <w:rPr>
                <w:sz w:val="1"/>
                <w:szCs w:val="1"/>
                <w:color w:val="auto"/>
              </w:rPr>
            </w:pPr>
          </w:p>
        </w:tc>
      </w:tr>
      <w:tr>
        <w:trPr>
          <w:trHeight w:val="231"/>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732,936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w w:val="96"/>
              </w:rPr>
              <w:t>Nine months ended September</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30, 2021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229,223</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35,750</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5,924</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3,667</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754,223</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231,427</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26,699</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(328,307)</w:t>
            </w:r>
          </w:p>
        </w:tc>
        <w:tc>
          <w:tcPr>
            <w:tcW w:w="0" w:type="dxa"/>
            <w:vAlign w:val="bottom"/>
          </w:tcPr>
          <w:p>
            <w:pPr>
              <w:spacing w:after="0"/>
              <w:rPr>
                <w:sz w:val="1"/>
                <w:szCs w:val="1"/>
                <w:color w:val="auto"/>
              </w:rPr>
            </w:pPr>
          </w:p>
        </w:tc>
      </w:tr>
      <w:tr>
        <w:trPr>
          <w:trHeight w:val="206"/>
        </w:trPr>
        <w:tc>
          <w:tcPr>
            <w:tcW w:w="232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434,669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62,928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9,645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684,042</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20"/>
              <w:spacing w:after="0" w:line="158" w:lineRule="exact"/>
              <w:rPr>
                <w:sz w:val="20"/>
                <w:szCs w:val="20"/>
                <w:color w:val="auto"/>
              </w:rPr>
            </w:pPr>
            <w:r>
              <w:rPr>
                <w:rFonts w:ascii="Arial" w:cs="Arial" w:eastAsia="Arial" w:hAnsi="Arial"/>
                <w:sz w:val="16"/>
                <w:szCs w:val="16"/>
                <w:b w:val="1"/>
                <w:bCs w:val="1"/>
                <w:color w:val="auto"/>
                <w:w w:val="96"/>
              </w:rPr>
              <w:t>Nine months ended September</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30, 2020</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691,634</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170,869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29,767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266,591</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27,017</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(252,306)</w:t>
            </w:r>
          </w:p>
        </w:tc>
        <w:tc>
          <w:tcPr>
            <w:tcW w:w="0" w:type="dxa"/>
            <w:vAlign w:val="bottom"/>
          </w:tcPr>
          <w:p>
            <w:pPr>
              <w:spacing w:after="0"/>
              <w:rPr>
                <w:sz w:val="1"/>
                <w:szCs w:val="1"/>
                <w:color w:val="auto"/>
              </w:rPr>
            </w:pPr>
          </w:p>
        </w:tc>
      </w:tr>
      <w:tr>
        <w:trPr>
          <w:trHeight w:val="231"/>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732,936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volatility in the price of and demand for oil, as well as our expectations about capital expenditures in 2021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2020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37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Reverse Share Split</w:t>
      </w:r>
    </w:p>
    <w:p>
      <w:pPr>
        <w:spacing w:after="0" w:line="151"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On November 19, 2020, we effected a reverse share split where each twelve issued and outstanding common shares were converted into one common share (Reverse Share Split). Our common shares began trading on a reverse share split adjusted basis on November 19, 2020. All common share and per common share data included in this quarterly report have been retroactively adjusted to reflect the Reverse Share Split.</w:t>
      </w:r>
    </w:p>
    <w:p>
      <w:pPr>
        <w:spacing w:after="0" w:line="106"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See Note 1 - Description of Business and Basis of Presentation to the notes to the unaudited consolidated financial statements included in Item 1 of this quarterly report for further discussion.</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Macroeconomic Environment</w:t>
      </w:r>
    </w:p>
    <w:p>
      <w:pPr>
        <w:spacing w:after="0" w:line="151"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oil, metallurgical (met) coal, liquefied natural gas (LNG) and iron ore. Other factors that can affect our business and financial results include the general global economic environment and regulatory changes 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Canada, Australia, the U.S. and other markets, including governmental measures introduced to fight climate change or to help slow the spread or mitigate the impact of COVID-19.</w:t>
      </w:r>
    </w:p>
    <w:p>
      <w:pPr>
        <w:spacing w:after="0" w:line="92"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66%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 day basis that covers lodging and meals and is based on the duration of customer needs, which can range from several weeks to several years. The remainder of our revenue is generated by our hospitality services at customer-owned locations in Canada and Australia, mobile assets in Canada and the U.S and our lodges in the U.S.</w:t>
      </w:r>
    </w:p>
    <w:p>
      <w:pPr>
        <w:spacing w:after="0" w:line="103"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Generally, our core Canadian oil sands and Australian mining customers make significant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93"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6"/>
          <w:szCs w:val="16"/>
          <w:color w:val="auto"/>
        </w:rPr>
        <w:t>The spread of COVID-19 and the response thereto have negatively impacted the global economy. The actions taken by governments and the private-sector to mitigate the spread of COVID-19 and the risk of infection, including government-imposed or voluntary social distancing and quarantining, reduced travel and remote work policies, have evolved with the introduction of vaccination efforts, and may continue to evolve as the surfacing of virus variants has added a degree of uncertainty to the continuing global impact of COVID-19. Additionally, 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In mid-April 2020, OPEC+ (the combination of historical OPEC members and other significant oil producers, such as Russia) announced production cuts of up to approximately 10 million barrels per day. However, oil prices remained at depressed levels throughout most of 2020, before modest improvement late in the year and into early 2021. Global oil demand has continued to recover throughout 2021 as COVID-19 lockdowns have begun to be lifted and other fossil fuels are experiencing supply shortages. Oil supply has not kept up with the increase in demand in 2021, exacerbated by the impacts of Hurricane Ida in the Gulf of Mexico earlier this year, resulting in falling inventories and a significant increase in oil prices continuing into October 2021. In July 2021, OPEC+ agreed to phase out 5.8 million barrels per day of oil production cuts by September 2022. In October 2021, OPEC+ declined requests from the Biden administration to accelerate production to help mitigate the growing deficit between oil supply and demand and address short-term fluctuations in the market.</w:t>
      </w:r>
    </w:p>
    <w:p>
      <w:pPr>
        <w:spacing w:after="0" w:line="108"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We continue to closely monitor the COVID-19 situation and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w:t>
      </w:r>
    </w:p>
    <w:p>
      <w:pPr>
        <w:spacing w:after="0" w:line="10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i w:val="1"/>
          <w:iCs w:val="1"/>
          <w:color w:val="auto"/>
        </w:rPr>
        <w:t xml:space="preserve">Alberta, Canada. </w:t>
      </w:r>
      <w:r>
        <w:rPr>
          <w:rFonts w:ascii="Arial" w:cs="Arial" w:eastAsia="Arial" w:hAnsi="Arial"/>
          <w:sz w:val="17"/>
          <w:szCs w:val="17"/>
          <w:color w:val="auto"/>
        </w:rPr>
        <w:t>In Canada, Western Canadian Select (WCS) crude is the benchmark price for our oil sands customers. Pricing for WCS is driven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factors, including the underlying price for West Texas Intermediate (WTI) crude, the availability of transportation infrastructure (consisting of pipelines and crude by railcar)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100"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Certain expansionary oil pipeline projects have the potential to both drive incremental demand for mobile assets and to improve take-away capacity for Canadian oil sands producers over the longer term. While these pipeline projects, including the Trans Mountain Pipeline (TMX), have recently received incremental regulatory approvals, it is still not certain if any of the proposed pipeline projects will ultimately be completed. Certain segments of the TMX pipeline have resumed construction without conflict at the present time. Recent legal issues with the Canadian government and First Nation groups have been resolved for the time being. The Canadian federal government acquired the TMX pipeline in 2018, approved the expansion of the project and is currently working through a revised construction timeline to adjust for recent delays related to legal hurdles, the COVID-19 pandemic and seasonal wildfires.</w:t>
      </w:r>
    </w:p>
    <w:p>
      <w:pPr>
        <w:spacing w:after="0" w:line="10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WCS prices in the third quarter of 2021 averaged $57.58 per barrel compared to an average of $31.15 in the third quarter of 2020. The WCS Differential decreased from $15.35 per barrel at the end of the fourth quarter of 2020 to $11.62 at the end 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third quarter of 2021. In 2018, the Government of Alberta announced it would mandate temporary curtailments of the province’s oil production. However, monthly production limits were put on hold in December 2020 until further notice, allowing operators to produce freely at their discretion while the government monitors production and inventory levels. Should forecasts show storage inventories approaching maximum capacity, the government may reintroduce production limits. As of October 25, 2021, the WTI price was $84.26 and the WCS price was $67.80, resulting in a WCS Differential of $16.46.</w:t>
      </w:r>
    </w:p>
    <w:p>
      <w:pPr>
        <w:spacing w:after="0" w:line="96"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Together with the initial spread of COVID-19, the depressed price levels of both WTI and WCS materially impacted 2020 maintenance and production spending and activity by Canadian operators and, therefore, demand for our hospitality services. Customers began increasing production activity in the fourth quarter of 2020 and into the first nine months of 2021. Continued uncertainty, including about the impact of COVID-19, and commodity price volatility and regulatory complications could cause our Canadian oil sands and pipeline customers to reduce production, delay expansionary and maintenance spending and defer additional investments in their oil sands assets. Additionally, if oil prices do not stabilize, the resulting impact could continue to negatively affect the value of our long-lived assets.</w:t>
      </w:r>
    </w:p>
    <w:p>
      <w:pPr>
        <w:spacing w:after="0" w:line="11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i w:val="1"/>
          <w:iCs w:val="1"/>
          <w:color w:val="auto"/>
        </w:rPr>
        <w:t xml:space="preserve">British Columbia, Canada. </w:t>
      </w:r>
      <w:r>
        <w:rPr>
          <w:rFonts w:ascii="Arial" w:cs="Arial" w:eastAsia="Arial" w:hAnsi="Arial"/>
          <w:sz w:val="17"/>
          <w:szCs w:val="17"/>
          <w:color w:val="auto"/>
        </w:rPr>
        <w:t>Our Sitka Lodge supports the LNG Canada project and related pipeline projects (see discussion below).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macroeconomic standpoint, LNG demand continued to grow despite the COVID-19 pandemic,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00"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portions of the related pipeline construction activity. The actual timing of when revenue is realized from the Coastal Gas Link pipeline and Sitka Lodge contracts could be impacted by any delays in the construction of the Kitimat LNG Facility or the pipeline, such as protest blockades and the COVID-19 pandemic.</w:t>
      </w:r>
    </w:p>
    <w:p>
      <w:pPr>
        <w:spacing w:after="0" w:line="103"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In late March 2020, LNGC announced steps being taken to reduce the spread of COVID-19, including reduction of the workforce at the project site to essential personnel only. This resulted in a reduction in occupancy at our Sitka Lodge during the second quarter of 2020, before returning to expected levels in the second half of 2020. In late December 2020, British Columbia’s public health officer issued a health order limiting workforce size at all large industrial projects across the province, including LNGC. This order once again reduced occupancy at our Sitka Lodge in the first quarter of 2021. In the second quarter of 2021, this order was repealed. It was replaced with less restrictive requirements focused on monitoring, allowing workforces to return to their optimal sizes.</w:t>
      </w:r>
    </w:p>
    <w:p>
      <w:pPr>
        <w:spacing w:after="0" w:line="10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i w:val="1"/>
          <w:iCs w:val="1"/>
          <w:color w:val="auto"/>
        </w:rPr>
        <w:t xml:space="preserve">Australia. </w:t>
      </w:r>
      <w:r>
        <w:rPr>
          <w:rFonts w:ascii="Arial" w:cs="Arial" w:eastAsia="Arial" w:hAnsi="Arial"/>
          <w:sz w:val="17"/>
          <w:szCs w:val="17"/>
          <w:color w:val="auto"/>
        </w:rPr>
        <w:t>In Australia, 82% of our rooms are located in the Bowen Basin of Queensland, Australia and primarily serve met coal mines in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region. Met coal pricing and production growth in the Bowen Basin region is predominantly influenced by the levels of global steel production, which increased by 7.8% during the first nine months of 2021 compared to the same period of 2020. As of October 25, 2021, met coal spot prices were $398 per metric tonne. Long-term demand for steel is expected to be driven by global infrastructure spending and increased steel consumption per capita in developing economies, such as China and India, whose current consumption per capita is a fraction of developed countries.</w:t>
      </w:r>
    </w:p>
    <w:p>
      <w:pPr>
        <w:spacing w:after="0" w:line="204" w:lineRule="exact"/>
        <w:rPr>
          <w:sz w:val="20"/>
          <w:szCs w:val="20"/>
          <w:color w:val="auto"/>
        </w:rPr>
      </w:pPr>
    </w:p>
    <w:p>
      <w:pPr>
        <w:jc w:val="both"/>
        <w:ind w:firstLine="472"/>
        <w:spacing w:after="0" w:line="299" w:lineRule="auto"/>
        <w:rPr>
          <w:sz w:val="20"/>
          <w:szCs w:val="20"/>
          <w:color w:val="auto"/>
        </w:rPr>
      </w:pPr>
      <w:r>
        <w:rPr>
          <w:rFonts w:ascii="Arial" w:cs="Arial" w:eastAsia="Arial" w:hAnsi="Arial"/>
          <w:sz w:val="16"/>
          <w:szCs w:val="16"/>
          <w:color w:val="auto"/>
        </w:rPr>
        <w:t>The Chinese embargo on Australian coal continues, without any resolution foreseeable in the near term. However, Australian met coal producers have found new markets, including India and Europe, for their premium product. This has led to a rebalancing of the market globally, with China relying on domestic</w:t>
      </w:r>
    </w:p>
    <w:p>
      <w:pPr>
        <w:jc w:val="both"/>
        <w:spacing w:after="0" w:line="267" w:lineRule="auto"/>
        <w:rPr>
          <w:sz w:val="20"/>
          <w:szCs w:val="20"/>
          <w:color w:val="auto"/>
        </w:rPr>
      </w:pPr>
      <w:r>
        <w:rPr>
          <w:rFonts w:ascii="Arial" w:cs="Arial" w:eastAsia="Arial" w:hAnsi="Arial"/>
          <w:sz w:val="17"/>
          <w:szCs w:val="17"/>
          <w:color w:val="auto"/>
        </w:rPr>
        <w:t>production along with much higher imports of U.S. and Canadian coal in 2021. With the backdrop of continuing strong steel demand and met coal supply constraints, the spot price for met coal has surged to record highs in October 2021. Analysts expect elevated met coal prices to persist in the short-term, while steel demand and prices remain strong and until met coal supply issues are resolved. Additionally, if the trade impasse with China remains unresolved, there remains a possibility of further volatility in the short-medium term.</w:t>
      </w:r>
    </w:p>
    <w:p>
      <w:pPr>
        <w:spacing w:after="0" w:line="99"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Civeo's activity in Western Australia is driven primarily by iron ore production, which is a key steel-making ingredient. As of October 22, 2021, iron ore spot prices were $119.70 per metric tonne.</w:t>
      </w:r>
    </w:p>
    <w:p>
      <w:pPr>
        <w:spacing w:after="0" w:line="92"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integrated services business provides catering and managed services to the mining industry in Western Australia. We have contracts to manage customer-owned villages in Western Australia which primarily support iron ore mines in addition 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gold, lithium and nickel mines. We believe iron ore prices are currently at a level that may contribute to increased activity over the long term if our customers view these price levels as sustainable.</w:t>
      </w:r>
    </w:p>
    <w:p>
      <w:pPr>
        <w:spacing w:after="0" w:line="92"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6"/>
          <w:szCs w:val="16"/>
          <w:b w:val="1"/>
          <w:bCs w:val="1"/>
          <w:i w:val="1"/>
          <w:iCs w:val="1"/>
          <w:color w:val="auto"/>
        </w:rPr>
        <w:t xml:space="preserve">U.S. </w:t>
      </w:r>
      <w:r>
        <w:rPr>
          <w:rFonts w:ascii="Arial" w:cs="Arial" w:eastAsia="Arial" w:hAnsi="Arial"/>
          <w:sz w:val="16"/>
          <w:szCs w:val="16"/>
          <w:color w:val="auto"/>
        </w:rPr>
        <w:t>Our U.S. business supports oil shale drilling and completion activity and is primarily tied to WTI oil prices in the U.S. shale formations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Permian Basin, the Mid-Continent, the Bakken and the Rockies. During 2019, the U.S. oil rig count and associated completion activity decreased due to the oil price decline in late 2018 and early 2019 coupled with other market dynamics negatively impacting exploration and production (E&amp;P) spending, finishing the year at 677 rigs. In 2020, the U.S. oil rig count and associated completion activity further decreased due to the global oil price decline discussed above. Only 267 oil rigs were active at the end of 2020. As oil prices began to recover in 2021, oil rig count and drilling activity recovered somewhat, with 421 oil rigs active at the end of the third quarter 2021. The Permian Basin remains the most active U.S. unconventional play, representing 62% of the oil rigs active in the U.S. at the end of the third quarter of 2021. The lower U.S. rig count and decline in oil prices resulted in decreased U.S. oil production from an average of 12.2 million barrels per day in 2019 to an average of 11.3 million barrels per day in 2020. For the first seven months of 2021, the average barrels per day stayed constant at 11.3 million. As of October 25, 2021, there were 443 active oil rigs in the U.S. (as measured by Bakerhughes.com). With the recent volatility in oil prices and a resulting reduction in spending by E&amp;P companies, we exited the Bakken and reduced our presence in the Rockies regions for our U.S. mobile assets. Those assets were either sold or transported to our Permian Basin and Mid-Continent district locations. U.S. oil shale drilling and completion activity will continue to be dependent on sustained higher WTI oil prices, pipeline capacity and sufficient capital to support E&amp;P drilling and completion plans. In addition, consolidation among our E&amp;P customer base in the U.S. has historically created short-term spending and activity dislocations. Should the current trend of industry consolidation continue, we may see activity, utilization and occupancy declines in the near term.</w:t>
      </w:r>
    </w:p>
    <w:p>
      <w:pPr>
        <w:spacing w:after="0" w:line="34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Recent Commodity Prices. </w:t>
      </w:r>
      <w:r>
        <w:rPr>
          <w:rFonts w:ascii="Arial" w:cs="Arial" w:eastAsia="Arial" w:hAnsi="Arial"/>
          <w:sz w:val="17"/>
          <w:szCs w:val="17"/>
          <w:color w:val="auto"/>
        </w:rPr>
        <w:t>Recent WTI crude, WCS crude, met coal and iron ore pricing trends are as follows:</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3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5"/>
          </w:tcPr>
          <w:p>
            <w:pPr>
              <w:ind w:left="860"/>
              <w:spacing w:after="0"/>
              <w:rPr>
                <w:sz w:val="20"/>
                <w:szCs w:val="20"/>
                <w:color w:val="auto"/>
              </w:rPr>
            </w:pPr>
            <w:r>
              <w:rPr>
                <w:rFonts w:ascii="Arial" w:cs="Arial" w:eastAsia="Arial" w:hAnsi="Arial"/>
                <w:sz w:val="17"/>
                <w:szCs w:val="17"/>
                <w:color w:val="auto"/>
              </w:rPr>
              <w:t xml:space="preserve">Average Price </w:t>
            </w:r>
            <w:r>
              <w:rPr>
                <w:rFonts w:ascii="Arial" w:cs="Arial" w:eastAsia="Arial" w:hAnsi="Arial"/>
                <w:sz w:val="22"/>
                <w:szCs w:val="22"/>
                <w:color w:val="auto"/>
                <w:vertAlign w:val="superscript"/>
              </w:rPr>
              <w:t>(1)</w:t>
            </w: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ind w:left="440"/>
              <w:spacing w:after="0"/>
              <w:rPr>
                <w:sz w:val="20"/>
                <w:szCs w:val="20"/>
                <w:color w:val="auto"/>
              </w:rPr>
            </w:pPr>
            <w:r>
              <w:rPr>
                <w:rFonts w:ascii="Arial" w:cs="Arial" w:eastAsia="Arial" w:hAnsi="Arial"/>
                <w:sz w:val="17"/>
                <w:szCs w:val="17"/>
                <w:color w:val="auto"/>
              </w:rPr>
              <w:t>WTI</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ind w:left="420"/>
              <w:spacing w:after="0"/>
              <w:rPr>
                <w:sz w:val="20"/>
                <w:szCs w:val="20"/>
                <w:color w:val="auto"/>
              </w:rPr>
            </w:pPr>
            <w:r>
              <w:rPr>
                <w:rFonts w:ascii="Arial" w:cs="Arial" w:eastAsia="Arial" w:hAnsi="Arial"/>
                <w:sz w:val="17"/>
                <w:szCs w:val="17"/>
                <w:color w:val="auto"/>
              </w:rPr>
              <w:t>WCS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Hard</w:t>
            </w:r>
          </w:p>
        </w:tc>
        <w:tc>
          <w:tcPr>
            <w:tcW w:w="1560" w:type="dxa"/>
            <w:vAlign w:val="bottom"/>
            <w:vMerge w:val="restart"/>
          </w:tcPr>
          <w:p>
            <w:pPr>
              <w:jc w:val="right"/>
              <w:ind w:right="713"/>
              <w:spacing w:after="0"/>
              <w:rPr>
                <w:sz w:val="20"/>
                <w:szCs w:val="20"/>
                <w:color w:val="auto"/>
              </w:rPr>
            </w:pPr>
            <w:r>
              <w:rPr>
                <w:rFonts w:ascii="Arial" w:cs="Arial" w:eastAsia="Arial" w:hAnsi="Arial"/>
                <w:sz w:val="17"/>
                <w:szCs w:val="17"/>
                <w:color w:val="auto"/>
              </w:rPr>
              <w:t>Iron</w:t>
            </w:r>
          </w:p>
        </w:tc>
        <w:tc>
          <w:tcPr>
            <w:tcW w:w="0" w:type="dxa"/>
            <w:vAlign w:val="bottom"/>
          </w:tcPr>
          <w:p>
            <w:pPr>
              <w:spacing w:after="0"/>
              <w:rPr>
                <w:sz w:val="1"/>
                <w:szCs w:val="1"/>
                <w:color w:val="auto"/>
              </w:rPr>
            </w:pPr>
          </w:p>
        </w:tc>
      </w:tr>
      <w:tr>
        <w:trPr>
          <w:trHeight w:val="170"/>
        </w:trPr>
        <w:tc>
          <w:tcPr>
            <w:tcW w:w="3180" w:type="dxa"/>
            <w:vAlign w:val="bottom"/>
            <w:vMerge w:val="restart"/>
          </w:tcPr>
          <w:p>
            <w:pPr>
              <w:jc w:val="center"/>
              <w:spacing w:after="0"/>
              <w:rPr>
                <w:sz w:val="20"/>
                <w:szCs w:val="20"/>
                <w:color w:val="auto"/>
              </w:rPr>
            </w:pPr>
            <w:r>
              <w:rPr>
                <w:rFonts w:ascii="Arial" w:cs="Arial" w:eastAsia="Arial" w:hAnsi="Arial"/>
                <w:sz w:val="17"/>
                <w:szCs w:val="17"/>
                <w:color w:val="auto"/>
                <w:w w:val="90"/>
              </w:rPr>
              <w:t>Quarter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ind w:left="300"/>
              <w:spacing w:after="0" w:line="171" w:lineRule="exact"/>
              <w:rPr>
                <w:sz w:val="20"/>
                <w:szCs w:val="20"/>
                <w:color w:val="auto"/>
              </w:rPr>
            </w:pPr>
            <w:r>
              <w:rPr>
                <w:rFonts w:ascii="Arial" w:cs="Arial" w:eastAsia="Arial" w:hAnsi="Arial"/>
                <w:sz w:val="17"/>
                <w:szCs w:val="17"/>
                <w:color w:val="auto"/>
              </w:rPr>
              <w:t>Coking Coal</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560"/>
              <w:spacing w:after="0" w:line="171" w:lineRule="exact"/>
              <w:rPr>
                <w:sz w:val="20"/>
                <w:szCs w:val="20"/>
                <w:color w:val="auto"/>
              </w:rPr>
            </w:pPr>
            <w:r>
              <w:rPr>
                <w:rFonts w:ascii="Arial" w:cs="Arial" w:eastAsia="Arial" w:hAnsi="Arial"/>
                <w:sz w:val="17"/>
                <w:szCs w:val="17"/>
                <w:color w:val="auto"/>
              </w:rPr>
              <w:t>Crude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373"/>
              <w:spacing w:after="0" w:line="171" w:lineRule="exact"/>
              <w:rPr>
                <w:sz w:val="20"/>
                <w:szCs w:val="20"/>
                <w:color w:val="auto"/>
              </w:rPr>
            </w:pPr>
            <w:r>
              <w:rPr>
                <w:rFonts w:ascii="Arial" w:cs="Arial" w:eastAsia="Arial" w:hAnsi="Arial"/>
                <w:sz w:val="17"/>
                <w:szCs w:val="17"/>
                <w:color w:val="auto"/>
                <w:w w:val="90"/>
              </w:rPr>
              <w:t>Crude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ind w:left="380"/>
              <w:spacing w:after="0" w:line="171" w:lineRule="exact"/>
              <w:rPr>
                <w:sz w:val="20"/>
                <w:szCs w:val="20"/>
                <w:color w:val="auto"/>
              </w:rPr>
            </w:pPr>
            <w:r>
              <w:rPr>
                <w:rFonts w:ascii="Arial" w:cs="Arial" w:eastAsia="Arial" w:hAnsi="Arial"/>
                <w:sz w:val="17"/>
                <w:szCs w:val="17"/>
                <w:color w:val="auto"/>
              </w:rPr>
              <w:t>(Met Coal)</w:t>
            </w:r>
          </w:p>
        </w:tc>
        <w:tc>
          <w:tcPr>
            <w:tcW w:w="1560" w:type="dxa"/>
            <w:vAlign w:val="bottom"/>
          </w:tcPr>
          <w:p>
            <w:pPr>
              <w:jc w:val="right"/>
              <w:ind w:right="573"/>
              <w:spacing w:after="0" w:line="171" w:lineRule="exact"/>
              <w:rPr>
                <w:sz w:val="20"/>
                <w:szCs w:val="20"/>
                <w:color w:val="auto"/>
              </w:rPr>
            </w:pPr>
            <w:r>
              <w:rPr>
                <w:rFonts w:ascii="Arial" w:cs="Arial" w:eastAsia="Arial" w:hAnsi="Arial"/>
                <w:sz w:val="17"/>
                <w:szCs w:val="17"/>
                <w:color w:val="auto"/>
              </w:rPr>
              <w:t>Ore</w:t>
            </w:r>
          </w:p>
        </w:tc>
        <w:tc>
          <w:tcPr>
            <w:tcW w:w="0" w:type="dxa"/>
            <w:vAlign w:val="bottom"/>
          </w:tcPr>
          <w:p>
            <w:pPr>
              <w:spacing w:after="0"/>
              <w:rPr>
                <w:sz w:val="1"/>
                <w:szCs w:val="1"/>
                <w:color w:val="auto"/>
              </w:rPr>
            </w:pPr>
          </w:p>
        </w:tc>
      </w:tr>
      <w:tr>
        <w:trPr>
          <w:trHeight w:val="222"/>
        </w:trPr>
        <w:tc>
          <w:tcPr>
            <w:tcW w:w="3180" w:type="dxa"/>
            <w:vAlign w:val="bottom"/>
          </w:tcPr>
          <w:p>
            <w:pPr>
              <w:ind w:left="1560"/>
              <w:spacing w:after="0"/>
              <w:rPr>
                <w:sz w:val="20"/>
                <w:szCs w:val="20"/>
                <w:color w:val="auto"/>
              </w:rPr>
            </w:pPr>
            <w:r>
              <w:rPr>
                <w:rFonts w:ascii="Arial" w:cs="Arial" w:eastAsia="Arial" w:hAnsi="Arial"/>
                <w:sz w:val="17"/>
                <w:szCs w:val="17"/>
                <w:color w:val="auto"/>
              </w:rPr>
              <w:t>ended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Arial" w:cs="Arial" w:eastAsia="Arial" w:hAnsi="Arial"/>
                <w:sz w:val="17"/>
                <w:szCs w:val="17"/>
                <w:color w:val="auto"/>
                <w:w w:val="94"/>
              </w:rPr>
              <w:t>(per bbl)</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373"/>
              <w:spacing w:after="0"/>
              <w:rPr>
                <w:sz w:val="20"/>
                <w:szCs w:val="20"/>
                <w:color w:val="auto"/>
              </w:rPr>
            </w:pPr>
            <w:r>
              <w:rPr>
                <w:rFonts w:ascii="Arial" w:cs="Arial" w:eastAsia="Arial" w:hAnsi="Arial"/>
                <w:sz w:val="17"/>
                <w:szCs w:val="17"/>
                <w:color w:val="auto"/>
                <w:w w:val="97"/>
              </w:rPr>
              <w:t>(per bbl)</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ind w:left="380"/>
              <w:spacing w:after="0"/>
              <w:rPr>
                <w:sz w:val="20"/>
                <w:szCs w:val="20"/>
                <w:color w:val="auto"/>
              </w:rPr>
            </w:pPr>
            <w:r>
              <w:rPr>
                <w:rFonts w:ascii="Arial" w:cs="Arial" w:eastAsia="Arial" w:hAnsi="Arial"/>
                <w:sz w:val="17"/>
                <w:szCs w:val="17"/>
                <w:color w:val="auto"/>
              </w:rPr>
              <w:t>(per tonne)</w:t>
            </w:r>
          </w:p>
        </w:tc>
        <w:tc>
          <w:tcPr>
            <w:tcW w:w="1560" w:type="dxa"/>
            <w:vAlign w:val="bottom"/>
          </w:tcPr>
          <w:p>
            <w:pPr>
              <w:jc w:val="right"/>
              <w:ind w:right="313"/>
              <w:spacing w:after="0"/>
              <w:rPr>
                <w:sz w:val="20"/>
                <w:szCs w:val="20"/>
                <w:color w:val="auto"/>
              </w:rPr>
            </w:pPr>
            <w:r>
              <w:rPr>
                <w:rFonts w:ascii="Arial" w:cs="Arial" w:eastAsia="Arial" w:hAnsi="Arial"/>
                <w:sz w:val="17"/>
                <w:szCs w:val="17"/>
                <w:color w:val="auto"/>
              </w:rPr>
              <w:t>(per tonne)</w:t>
            </w:r>
          </w:p>
        </w:tc>
        <w:tc>
          <w:tcPr>
            <w:tcW w:w="0" w:type="dxa"/>
            <w:vAlign w:val="bottom"/>
          </w:tcPr>
          <w:p>
            <w:pPr>
              <w:spacing w:after="0"/>
              <w:rPr>
                <w:sz w:val="1"/>
                <w:szCs w:val="1"/>
                <w:color w:val="auto"/>
              </w:rPr>
            </w:pPr>
          </w:p>
        </w:tc>
      </w:tr>
      <w:tr>
        <w:trPr>
          <w:trHeight w:val="216"/>
        </w:trPr>
        <w:tc>
          <w:tcPr>
            <w:tcW w:w="3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Fourth Quarter through October 25, 2021</w:t>
            </w:r>
          </w:p>
        </w:tc>
        <w:tc>
          <w:tcPr>
            <w:tcW w:w="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3"/>
              </w:rPr>
              <w:t>80.83$</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3"/>
              </w:rPr>
              <w:t>66.82$</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392.80$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124.27</w:t>
            </w:r>
          </w:p>
        </w:tc>
        <w:tc>
          <w:tcPr>
            <w:tcW w:w="0" w:type="dxa"/>
            <w:vAlign w:val="bottom"/>
          </w:tcPr>
          <w:p>
            <w:pPr>
              <w:spacing w:after="0"/>
              <w:rPr>
                <w:sz w:val="1"/>
                <w:szCs w:val="1"/>
                <w:color w:val="auto"/>
              </w:rPr>
            </w:pPr>
          </w:p>
        </w:tc>
      </w:tr>
      <w:tr>
        <w:trPr>
          <w:trHeight w:val="222"/>
        </w:trPr>
        <w:tc>
          <w:tcPr>
            <w:tcW w:w="3180" w:type="dxa"/>
            <w:vAlign w:val="bottom"/>
          </w:tcPr>
          <w:p>
            <w:pPr>
              <w:jc w:val="center"/>
              <w:spacing w:after="0"/>
              <w:rPr>
                <w:sz w:val="20"/>
                <w:szCs w:val="20"/>
                <w:color w:val="auto"/>
              </w:rPr>
            </w:pPr>
            <w:r>
              <w:rPr>
                <w:rFonts w:ascii="Arial" w:cs="Arial" w:eastAsia="Arial" w:hAnsi="Arial"/>
                <w:sz w:val="17"/>
                <w:szCs w:val="17"/>
                <w:color w:val="auto"/>
                <w:w w:val="95"/>
              </w:rPr>
              <w:t>9/30/2021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70.54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57.58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258.41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164.90</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6/30/2021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66.19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53.27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195.97</w:t>
            </w:r>
          </w:p>
        </w:tc>
        <w:tc>
          <w:tcPr>
            <w:tcW w:w="0" w:type="dxa"/>
            <w:vAlign w:val="bottom"/>
          </w:tcPr>
          <w:p>
            <w:pPr>
              <w:spacing w:after="0"/>
              <w:rPr>
                <w:sz w:val="1"/>
                <w:szCs w:val="1"/>
                <w:color w:val="auto"/>
              </w:rPr>
            </w:pPr>
          </w:p>
        </w:tc>
      </w:tr>
      <w:tr>
        <w:trPr>
          <w:trHeight w:val="222"/>
        </w:trPr>
        <w:tc>
          <w:tcPr>
            <w:tcW w:w="3180" w:type="dxa"/>
            <w:vAlign w:val="bottom"/>
          </w:tcPr>
          <w:p>
            <w:pPr>
              <w:jc w:val="center"/>
              <w:spacing w:after="0"/>
              <w:rPr>
                <w:sz w:val="20"/>
                <w:szCs w:val="20"/>
                <w:color w:val="auto"/>
              </w:rPr>
            </w:pPr>
            <w:r>
              <w:rPr>
                <w:rFonts w:ascii="Arial" w:cs="Arial" w:eastAsia="Arial" w:hAnsi="Arial"/>
                <w:sz w:val="17"/>
                <w:szCs w:val="17"/>
                <w:color w:val="auto"/>
                <w:w w:val="95"/>
              </w:rPr>
              <w:t>3/31/2021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58.13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46.28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127.95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159.83</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12/31/2020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42.63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128.24</w:t>
            </w:r>
          </w:p>
        </w:tc>
        <w:tc>
          <w:tcPr>
            <w:tcW w:w="0" w:type="dxa"/>
            <w:vAlign w:val="bottom"/>
          </w:tcPr>
          <w:p>
            <w:pPr>
              <w:spacing w:after="0"/>
              <w:rPr>
                <w:sz w:val="1"/>
                <w:szCs w:val="1"/>
                <w:color w:val="auto"/>
              </w:rPr>
            </w:pPr>
          </w:p>
        </w:tc>
      </w:tr>
      <w:tr>
        <w:trPr>
          <w:trHeight w:val="222"/>
        </w:trPr>
        <w:tc>
          <w:tcPr>
            <w:tcW w:w="3180" w:type="dxa"/>
            <w:vAlign w:val="bottom"/>
          </w:tcPr>
          <w:p>
            <w:pPr>
              <w:jc w:val="center"/>
              <w:spacing w:after="0"/>
              <w:rPr>
                <w:sz w:val="20"/>
                <w:szCs w:val="20"/>
                <w:color w:val="auto"/>
              </w:rPr>
            </w:pPr>
            <w:r>
              <w:rPr>
                <w:rFonts w:ascii="Arial" w:cs="Arial" w:eastAsia="Arial" w:hAnsi="Arial"/>
                <w:sz w:val="17"/>
                <w:szCs w:val="17"/>
                <w:color w:val="auto"/>
                <w:w w:val="95"/>
              </w:rPr>
              <w:t>9/30/2020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40.90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31.15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113.30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116.10</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6/30/2020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27.95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19.73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89.53</w:t>
            </w:r>
          </w:p>
        </w:tc>
        <w:tc>
          <w:tcPr>
            <w:tcW w:w="0" w:type="dxa"/>
            <w:vAlign w:val="bottom"/>
          </w:tcPr>
          <w:p>
            <w:pPr>
              <w:spacing w:after="0"/>
              <w:rPr>
                <w:sz w:val="1"/>
                <w:szCs w:val="1"/>
                <w:color w:val="auto"/>
              </w:rPr>
            </w:pPr>
          </w:p>
        </w:tc>
      </w:tr>
      <w:tr>
        <w:trPr>
          <w:trHeight w:val="222"/>
        </w:trPr>
        <w:tc>
          <w:tcPr>
            <w:tcW w:w="3180" w:type="dxa"/>
            <w:vAlign w:val="bottom"/>
          </w:tcPr>
          <w:p>
            <w:pPr>
              <w:jc w:val="center"/>
              <w:spacing w:after="0"/>
              <w:rPr>
                <w:sz w:val="20"/>
                <w:szCs w:val="20"/>
                <w:color w:val="auto"/>
              </w:rPr>
            </w:pPr>
            <w:r>
              <w:rPr>
                <w:rFonts w:ascii="Arial" w:cs="Arial" w:eastAsia="Arial" w:hAnsi="Arial"/>
                <w:sz w:val="17"/>
                <w:szCs w:val="17"/>
                <w:color w:val="auto"/>
                <w:w w:val="95"/>
              </w:rPr>
              <w:t>3/31/2020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45.38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27.92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156.17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83.57</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12/30/2019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56.85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37.94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85.13</w:t>
            </w:r>
          </w:p>
        </w:tc>
        <w:tc>
          <w:tcPr>
            <w:tcW w:w="0" w:type="dxa"/>
            <w:vAlign w:val="bottom"/>
          </w:tcPr>
          <w:p>
            <w:pPr>
              <w:spacing w:after="0"/>
              <w:rPr>
                <w:sz w:val="1"/>
                <w:szCs w:val="1"/>
                <w:color w:val="auto"/>
              </w:rPr>
            </w:pPr>
          </w:p>
        </w:tc>
      </w:tr>
      <w:tr>
        <w:trPr>
          <w:trHeight w:val="222"/>
        </w:trPr>
        <w:tc>
          <w:tcPr>
            <w:tcW w:w="3180" w:type="dxa"/>
            <w:vAlign w:val="bottom"/>
          </w:tcPr>
          <w:p>
            <w:pPr>
              <w:jc w:val="center"/>
              <w:spacing w:after="0"/>
              <w:rPr>
                <w:sz w:val="20"/>
                <w:szCs w:val="20"/>
                <w:color w:val="auto"/>
              </w:rPr>
            </w:pPr>
            <w:r>
              <w:rPr>
                <w:rFonts w:ascii="Arial" w:cs="Arial" w:eastAsia="Arial" w:hAnsi="Arial"/>
                <w:sz w:val="17"/>
                <w:szCs w:val="17"/>
                <w:color w:val="auto"/>
                <w:w w:val="95"/>
              </w:rPr>
              <w:t>9/30/2019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56.40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43.88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101.41</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6/30/2019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59.89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47.39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94.62</w:t>
            </w:r>
          </w:p>
        </w:tc>
        <w:tc>
          <w:tcPr>
            <w:tcW w:w="0" w:type="dxa"/>
            <w:vAlign w:val="bottom"/>
          </w:tcPr>
          <w:p>
            <w:pPr>
              <w:spacing w:after="0"/>
              <w:rPr>
                <w:sz w:val="1"/>
                <w:szCs w:val="1"/>
                <w:color w:val="auto"/>
              </w:rPr>
            </w:pPr>
          </w:p>
        </w:tc>
      </w:tr>
      <w:tr>
        <w:trPr>
          <w:trHeight w:val="222"/>
        </w:trPr>
        <w:tc>
          <w:tcPr>
            <w:tcW w:w="3180" w:type="dxa"/>
            <w:vAlign w:val="bottom"/>
          </w:tcPr>
          <w:p>
            <w:pPr>
              <w:jc w:val="center"/>
              <w:spacing w:after="0"/>
              <w:rPr>
                <w:sz w:val="20"/>
                <w:szCs w:val="20"/>
                <w:color w:val="auto"/>
              </w:rPr>
            </w:pPr>
            <w:r>
              <w:rPr>
                <w:rFonts w:ascii="Arial" w:cs="Arial" w:eastAsia="Arial" w:hAnsi="Arial"/>
                <w:sz w:val="17"/>
                <w:szCs w:val="17"/>
                <w:color w:val="auto"/>
                <w:w w:val="95"/>
              </w:rPr>
              <w:t>3/31/2019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54.87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44.49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203.30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79.26</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12/31/2018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59.32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70.13</w:t>
            </w:r>
          </w:p>
        </w:tc>
        <w:tc>
          <w:tcPr>
            <w:tcW w:w="0" w:type="dxa"/>
            <w:vAlign w:val="bottom"/>
          </w:tcPr>
          <w:p>
            <w:pPr>
              <w:spacing w:after="0"/>
              <w:rPr>
                <w:sz w:val="1"/>
                <w:szCs w:val="1"/>
                <w:color w:val="auto"/>
              </w:rPr>
            </w:pPr>
          </w:p>
        </w:tc>
      </w:tr>
      <w:tr>
        <w:trPr>
          <w:trHeight w:val="222"/>
        </w:trPr>
        <w:tc>
          <w:tcPr>
            <w:tcW w:w="3180" w:type="dxa"/>
            <w:vAlign w:val="bottom"/>
          </w:tcPr>
          <w:p>
            <w:pPr>
              <w:jc w:val="center"/>
              <w:spacing w:after="0"/>
              <w:rPr>
                <w:sz w:val="20"/>
                <w:szCs w:val="20"/>
                <w:color w:val="auto"/>
              </w:rPr>
            </w:pPr>
            <w:r>
              <w:rPr>
                <w:rFonts w:ascii="Arial" w:cs="Arial" w:eastAsia="Arial" w:hAnsi="Arial"/>
                <w:sz w:val="17"/>
                <w:szCs w:val="17"/>
                <w:color w:val="auto"/>
                <w:w w:val="95"/>
              </w:rPr>
              <w:t>9/30/2018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69.61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41.58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188.46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61.91</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6/30/2018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67.97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49.93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62.58</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940" w:hanging="306"/>
        <w:spacing w:after="0" w:line="224" w:lineRule="auto"/>
        <w:tabs>
          <w:tab w:leader="none" w:pos="928"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Source: WTI crude prices are from U.S. Energy Information Administration (EIA), WCS crude prices and iron ore prices are from Bloomberg and hard coking coal prices are from IHS Markit.</w:t>
      </w:r>
    </w:p>
    <w:p>
      <w:pPr>
        <w:spacing w:after="0" w:line="220"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 U.S.</w:t>
      </w:r>
      <w:r>
        <w:rPr>
          <w:rFonts w:ascii="Arial" w:cs="Arial" w:eastAsia="Arial" w:hAnsi="Arial"/>
          <w:sz w:val="17"/>
          <w:szCs w:val="17"/>
          <w:b w:val="1"/>
          <w:bCs w:val="1"/>
          <w:color w:val="auto"/>
        </w:rPr>
        <w:t xml:space="preserve"> </w:t>
      </w:r>
      <w:r>
        <w:rPr>
          <w:rFonts w:ascii="Arial" w:cs="Arial" w:eastAsia="Arial" w:hAnsi="Arial"/>
          <w:sz w:val="17"/>
          <w:szCs w:val="17"/>
          <w:color w:val="auto"/>
        </w:rPr>
        <w:t>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33"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ind w:left="620"/>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4"/>
          </w:tcPr>
          <w:p>
            <w:pPr>
              <w:ind w:left="680"/>
              <w:spacing w:after="0"/>
              <w:rPr>
                <w:sz w:val="20"/>
                <w:szCs w:val="20"/>
                <w:color w:val="auto"/>
              </w:rPr>
            </w:pPr>
            <w:r>
              <w:rPr>
                <w:rFonts w:ascii="Arial" w:cs="Arial" w:eastAsia="Arial" w:hAnsi="Arial"/>
                <w:sz w:val="17"/>
                <w:szCs w:val="17"/>
                <w:b w:val="1"/>
                <w:bCs w:val="1"/>
                <w:color w:val="auto"/>
                <w:w w:val="94"/>
              </w:rPr>
              <w:t>Nine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ind w:left="640"/>
              <w:spacing w:after="0"/>
              <w:rPr>
                <w:sz w:val="20"/>
                <w:szCs w:val="20"/>
                <w:color w:val="auto"/>
              </w:rPr>
            </w:pPr>
            <w:r>
              <w:rPr>
                <w:rFonts w:ascii="Arial" w:cs="Arial" w:eastAsia="Arial" w:hAnsi="Arial"/>
                <w:sz w:val="17"/>
                <w:szCs w:val="17"/>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b w:val="1"/>
                <w:bCs w:val="1"/>
                <w:color w:val="auto"/>
              </w:rPr>
              <w:t>September 30,</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000" w:type="dxa"/>
            <w:vAlign w:val="bottom"/>
          </w:tcPr>
          <w:p>
            <w:pPr>
              <w:jc w:val="center"/>
              <w:ind w:left="376"/>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Pr>
          <w:p>
            <w:pPr>
              <w:spacing w:after="0"/>
              <w:rPr>
                <w:sz w:val="17"/>
                <w:szCs w:val="17"/>
                <w:color w:val="auto"/>
              </w:rPr>
            </w:pPr>
          </w:p>
        </w:tc>
        <w:tc>
          <w:tcPr>
            <w:tcW w:w="980" w:type="dxa"/>
            <w:vAlign w:val="bottom"/>
          </w:tcPr>
          <w:p>
            <w:pPr>
              <w:jc w:val="center"/>
              <w:ind w:left="37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360" w:type="dxa"/>
            <w:vAlign w:val="bottom"/>
            <w:gridSpan w:val="3"/>
          </w:tcPr>
          <w:p>
            <w:pPr>
              <w:jc w:val="center"/>
              <w:ind w:left="36"/>
              <w:spacing w:after="0"/>
              <w:rPr>
                <w:sz w:val="20"/>
                <w:szCs w:val="20"/>
                <w:color w:val="auto"/>
              </w:rPr>
            </w:pPr>
            <w:r>
              <w:rPr>
                <w:rFonts w:ascii="Arial" w:cs="Arial" w:eastAsia="Arial" w:hAnsi="Arial"/>
                <w:sz w:val="16"/>
                <w:szCs w:val="16"/>
                <w:b w:val="1"/>
                <w:bCs w:val="1"/>
                <w:color w:val="auto"/>
                <w:w w:val="88"/>
              </w:rPr>
              <w:t>Change</w:t>
            </w:r>
          </w:p>
        </w:tc>
        <w:tc>
          <w:tcPr>
            <w:tcW w:w="1020" w:type="dxa"/>
            <w:vAlign w:val="bottom"/>
          </w:tcPr>
          <w:p>
            <w:pPr>
              <w:jc w:val="center"/>
              <w:ind w:left="116"/>
              <w:spacing w:after="0"/>
              <w:rPr>
                <w:sz w:val="20"/>
                <w:szCs w:val="20"/>
                <w:color w:val="auto"/>
              </w:rPr>
            </w:pPr>
            <w:r>
              <w:rPr>
                <w:rFonts w:ascii="Arial" w:cs="Arial" w:eastAsia="Arial" w:hAnsi="Arial"/>
                <w:sz w:val="16"/>
                <w:szCs w:val="16"/>
                <w:b w:val="1"/>
                <w:bCs w:val="1"/>
                <w:color w:val="auto"/>
                <w:w w:val="85"/>
              </w:rPr>
              <w:t>Percentage</w:t>
            </w:r>
          </w:p>
        </w:tc>
        <w:tc>
          <w:tcPr>
            <w:tcW w:w="80" w:type="dxa"/>
            <w:vAlign w:val="bottom"/>
          </w:tcPr>
          <w:p>
            <w:pPr>
              <w:spacing w:after="0"/>
              <w:rPr>
                <w:sz w:val="17"/>
                <w:szCs w:val="17"/>
                <w:color w:val="auto"/>
              </w:rPr>
            </w:pPr>
          </w:p>
        </w:tc>
        <w:tc>
          <w:tcPr>
            <w:tcW w:w="1000" w:type="dxa"/>
            <w:vAlign w:val="bottom"/>
          </w:tcPr>
          <w:p>
            <w:pPr>
              <w:jc w:val="center"/>
              <w:ind w:left="376"/>
              <w:spacing w:after="0"/>
              <w:rPr>
                <w:sz w:val="20"/>
                <w:szCs w:val="20"/>
                <w:color w:val="auto"/>
              </w:rPr>
            </w:pPr>
            <w:r>
              <w:rPr>
                <w:rFonts w:ascii="Arial" w:cs="Arial" w:eastAsia="Arial" w:hAnsi="Arial"/>
                <w:sz w:val="16"/>
                <w:szCs w:val="16"/>
                <w:b w:val="1"/>
                <w:bCs w:val="1"/>
                <w:color w:val="auto"/>
                <w:w w:val="84"/>
              </w:rPr>
              <w:t>2021</w:t>
            </w:r>
          </w:p>
        </w:tc>
        <w:tc>
          <w:tcPr>
            <w:tcW w:w="80" w:type="dxa"/>
            <w:vAlign w:val="bottom"/>
          </w:tcPr>
          <w:p>
            <w:pPr>
              <w:spacing w:after="0"/>
              <w:rPr>
                <w:sz w:val="17"/>
                <w:szCs w:val="17"/>
                <w:color w:val="auto"/>
              </w:rPr>
            </w:pPr>
          </w:p>
        </w:tc>
        <w:tc>
          <w:tcPr>
            <w:tcW w:w="1000" w:type="dxa"/>
            <w:vAlign w:val="bottom"/>
          </w:tcPr>
          <w:p>
            <w:pPr>
              <w:jc w:val="center"/>
              <w:ind w:left="39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100" w:type="dxa"/>
            <w:vAlign w:val="bottom"/>
            <w:gridSpan w:val="2"/>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1260" w:type="dxa"/>
            <w:vAlign w:val="bottom"/>
          </w:tcPr>
          <w:p>
            <w:pPr>
              <w:ind w:left="500"/>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154"/>
        </w:trPr>
        <w:tc>
          <w:tcPr>
            <w:tcW w:w="1100" w:type="dxa"/>
            <w:vAlign w:val="bottom"/>
            <w:tcBorders>
              <w:top w:val="single" w:sz="8" w:color="CCEEFF"/>
            </w:tcBorders>
            <w:shd w:val="clear" w:color="auto" w:fill="CCEEFF"/>
          </w:tcPr>
          <w:p>
            <w:pPr>
              <w:ind w:left="480"/>
              <w:spacing w:after="0" w:line="154" w:lineRule="exact"/>
              <w:rPr>
                <w:sz w:val="20"/>
                <w:szCs w:val="20"/>
                <w:color w:val="auto"/>
              </w:rPr>
            </w:pPr>
            <w:r>
              <w:rPr>
                <w:rFonts w:ascii="Arial" w:cs="Arial" w:eastAsia="Arial" w:hAnsi="Arial"/>
                <w:sz w:val="17"/>
                <w:szCs w:val="17"/>
                <w:color w:val="auto"/>
                <w:w w:val="94"/>
              </w:rPr>
              <w:t>Average</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Canadian</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dollar to U.S.</w:t>
            </w:r>
          </w:p>
        </w:tc>
        <w:tc>
          <w:tcPr>
            <w:tcW w:w="1000" w:type="dxa"/>
            <w:vAlign w:val="bottom"/>
            <w:vMerge w:val="restart"/>
            <w:shd w:val="clear" w:color="auto" w:fill="CCEEFF"/>
          </w:tcPr>
          <w:p>
            <w:pPr>
              <w:jc w:val="center"/>
              <w:ind w:left="396"/>
              <w:spacing w:after="0"/>
              <w:rPr>
                <w:sz w:val="20"/>
                <w:szCs w:val="20"/>
                <w:color w:val="auto"/>
              </w:rPr>
            </w:pPr>
            <w:r>
              <w:rPr>
                <w:rFonts w:ascii="Arial" w:cs="Arial" w:eastAsia="Arial" w:hAnsi="Arial"/>
                <w:sz w:val="17"/>
                <w:szCs w:val="17"/>
                <w:color w:val="auto"/>
                <w:w w:val="92"/>
              </w:rPr>
              <w:t>$0.794</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ind w:left="374"/>
              <w:spacing w:after="0"/>
              <w:rPr>
                <w:sz w:val="20"/>
                <w:szCs w:val="20"/>
                <w:color w:val="auto"/>
              </w:rPr>
            </w:pPr>
            <w:r>
              <w:rPr>
                <w:rFonts w:ascii="Arial" w:cs="Arial" w:eastAsia="Arial" w:hAnsi="Arial"/>
                <w:sz w:val="17"/>
                <w:szCs w:val="17"/>
                <w:color w:val="auto"/>
                <w:w w:val="92"/>
              </w:rPr>
              <w:t>$0.751</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ind w:left="376"/>
              <w:spacing w:after="0"/>
              <w:rPr>
                <w:sz w:val="20"/>
                <w:szCs w:val="20"/>
                <w:color w:val="auto"/>
              </w:rPr>
            </w:pPr>
            <w:r>
              <w:rPr>
                <w:rFonts w:ascii="Arial" w:cs="Arial" w:eastAsia="Arial" w:hAnsi="Arial"/>
                <w:sz w:val="17"/>
                <w:szCs w:val="17"/>
                <w:color w:val="auto"/>
                <w:w w:val="96"/>
              </w:rPr>
              <w:t>0.04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ind w:left="116"/>
              <w:spacing w:after="0"/>
              <w:rPr>
                <w:sz w:val="20"/>
                <w:szCs w:val="20"/>
                <w:color w:val="auto"/>
              </w:rPr>
            </w:pPr>
            <w:r>
              <w:rPr>
                <w:rFonts w:ascii="Arial" w:cs="Arial" w:eastAsia="Arial" w:hAnsi="Arial"/>
                <w:sz w:val="17"/>
                <w:szCs w:val="17"/>
                <w:color w:val="auto"/>
                <w:w w:val="97"/>
              </w:rPr>
              <w:t>5.7%</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ind w:left="396"/>
              <w:spacing w:after="0"/>
              <w:rPr>
                <w:sz w:val="20"/>
                <w:szCs w:val="20"/>
                <w:color w:val="auto"/>
              </w:rPr>
            </w:pPr>
            <w:r>
              <w:rPr>
                <w:rFonts w:ascii="Arial" w:cs="Arial" w:eastAsia="Arial" w:hAnsi="Arial"/>
                <w:sz w:val="17"/>
                <w:szCs w:val="17"/>
                <w:color w:val="auto"/>
                <w:w w:val="92"/>
              </w:rPr>
              <w:t>$0.799</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ind w:left="394"/>
              <w:spacing w:after="0"/>
              <w:rPr>
                <w:sz w:val="20"/>
                <w:szCs w:val="20"/>
                <w:color w:val="auto"/>
              </w:rPr>
            </w:pPr>
            <w:r>
              <w:rPr>
                <w:rFonts w:ascii="Arial" w:cs="Arial" w:eastAsia="Arial" w:hAnsi="Arial"/>
                <w:sz w:val="17"/>
                <w:szCs w:val="17"/>
                <w:color w:val="auto"/>
                <w:w w:val="92"/>
              </w:rPr>
              <w:t>$0.739</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ind w:left="376"/>
              <w:spacing w:after="0"/>
              <w:rPr>
                <w:sz w:val="20"/>
                <w:szCs w:val="20"/>
                <w:color w:val="auto"/>
              </w:rPr>
            </w:pPr>
            <w:r>
              <w:rPr>
                <w:rFonts w:ascii="Arial" w:cs="Arial" w:eastAsia="Arial" w:hAnsi="Arial"/>
                <w:sz w:val="17"/>
                <w:szCs w:val="17"/>
                <w:color w:val="auto"/>
                <w:w w:val="93"/>
              </w:rPr>
              <w:t>$0.06</w:t>
            </w:r>
          </w:p>
        </w:tc>
        <w:tc>
          <w:tcPr>
            <w:tcW w:w="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2"/>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dollar</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00" w:type="dxa"/>
            <w:vAlign w:val="bottom"/>
          </w:tcPr>
          <w:p>
            <w:pPr>
              <w:ind w:left="480"/>
              <w:spacing w:after="0" w:line="171" w:lineRule="exact"/>
              <w:rPr>
                <w:sz w:val="20"/>
                <w:szCs w:val="20"/>
                <w:color w:val="auto"/>
              </w:rPr>
            </w:pPr>
            <w:r>
              <w:rPr>
                <w:rFonts w:ascii="Arial" w:cs="Arial" w:eastAsia="Arial" w:hAnsi="Arial"/>
                <w:sz w:val="17"/>
                <w:szCs w:val="17"/>
                <w:color w:val="auto"/>
                <w:w w:val="94"/>
              </w:rPr>
              <w:t>Average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tcPr>
          <w:p>
            <w:pPr>
              <w:ind w:left="20"/>
              <w:spacing w:after="0" w:line="171" w:lineRule="exact"/>
              <w:rPr>
                <w:sz w:val="20"/>
                <w:szCs w:val="20"/>
                <w:color w:val="auto"/>
              </w:rPr>
            </w:pPr>
            <w:r>
              <w:rPr>
                <w:rFonts w:ascii="Arial" w:cs="Arial" w:eastAsia="Arial" w:hAnsi="Arial"/>
                <w:sz w:val="17"/>
                <w:szCs w:val="17"/>
                <w:color w:val="auto"/>
              </w:rPr>
              <w:t>Australian</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tcPr>
          <w:p>
            <w:pPr>
              <w:ind w:left="20"/>
              <w:spacing w:after="0" w:line="171" w:lineRule="exact"/>
              <w:rPr>
                <w:sz w:val="20"/>
                <w:szCs w:val="20"/>
                <w:color w:val="auto"/>
              </w:rPr>
            </w:pPr>
            <w:r>
              <w:rPr>
                <w:rFonts w:ascii="Arial" w:cs="Arial" w:eastAsia="Arial" w:hAnsi="Arial"/>
                <w:sz w:val="17"/>
                <w:szCs w:val="17"/>
                <w:color w:val="auto"/>
              </w:rPr>
              <w:t>dollar to U.S.</w:t>
            </w:r>
          </w:p>
        </w:tc>
        <w:tc>
          <w:tcPr>
            <w:tcW w:w="1000" w:type="dxa"/>
            <w:vAlign w:val="bottom"/>
            <w:vMerge w:val="restart"/>
          </w:tcPr>
          <w:p>
            <w:pPr>
              <w:jc w:val="center"/>
              <w:ind w:left="396"/>
              <w:spacing w:after="0"/>
              <w:rPr>
                <w:sz w:val="20"/>
                <w:szCs w:val="20"/>
                <w:color w:val="auto"/>
              </w:rPr>
            </w:pPr>
            <w:r>
              <w:rPr>
                <w:rFonts w:ascii="Arial" w:cs="Arial" w:eastAsia="Arial" w:hAnsi="Arial"/>
                <w:sz w:val="17"/>
                <w:szCs w:val="17"/>
                <w:color w:val="auto"/>
                <w:w w:val="92"/>
              </w:rPr>
              <w:t>$0.735</w:t>
            </w:r>
          </w:p>
        </w:tc>
        <w:tc>
          <w:tcPr>
            <w:tcW w:w="100" w:type="dxa"/>
            <w:vAlign w:val="bottom"/>
          </w:tcPr>
          <w:p>
            <w:pPr>
              <w:spacing w:after="0"/>
              <w:rPr>
                <w:sz w:val="14"/>
                <w:szCs w:val="14"/>
                <w:color w:val="auto"/>
              </w:rPr>
            </w:pPr>
          </w:p>
        </w:tc>
        <w:tc>
          <w:tcPr>
            <w:tcW w:w="980" w:type="dxa"/>
            <w:vAlign w:val="bottom"/>
            <w:vMerge w:val="restart"/>
          </w:tcPr>
          <w:p>
            <w:pPr>
              <w:jc w:val="center"/>
              <w:ind w:left="374"/>
              <w:spacing w:after="0"/>
              <w:rPr>
                <w:sz w:val="20"/>
                <w:szCs w:val="20"/>
                <w:color w:val="auto"/>
              </w:rPr>
            </w:pPr>
            <w:r>
              <w:rPr>
                <w:rFonts w:ascii="Arial" w:cs="Arial" w:eastAsia="Arial" w:hAnsi="Arial"/>
                <w:sz w:val="17"/>
                <w:szCs w:val="17"/>
                <w:color w:val="auto"/>
                <w:w w:val="92"/>
              </w:rPr>
              <w:t>$0.716</w:t>
            </w:r>
          </w:p>
        </w:tc>
        <w:tc>
          <w:tcPr>
            <w:tcW w:w="100" w:type="dxa"/>
            <w:vAlign w:val="bottom"/>
          </w:tcPr>
          <w:p>
            <w:pPr>
              <w:spacing w:after="0"/>
              <w:rPr>
                <w:sz w:val="14"/>
                <w:szCs w:val="14"/>
                <w:color w:val="auto"/>
              </w:rPr>
            </w:pPr>
          </w:p>
        </w:tc>
        <w:tc>
          <w:tcPr>
            <w:tcW w:w="1020" w:type="dxa"/>
            <w:vAlign w:val="bottom"/>
            <w:vMerge w:val="restart"/>
          </w:tcPr>
          <w:p>
            <w:pPr>
              <w:jc w:val="center"/>
              <w:ind w:left="376"/>
              <w:spacing w:after="0"/>
              <w:rPr>
                <w:sz w:val="20"/>
                <w:szCs w:val="20"/>
                <w:color w:val="auto"/>
              </w:rPr>
            </w:pPr>
            <w:r>
              <w:rPr>
                <w:rFonts w:ascii="Arial" w:cs="Arial" w:eastAsia="Arial" w:hAnsi="Arial"/>
                <w:sz w:val="17"/>
                <w:szCs w:val="17"/>
                <w:color w:val="auto"/>
                <w:w w:val="96"/>
              </w:rPr>
              <w:t>0.02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center"/>
              <w:ind w:left="116"/>
              <w:spacing w:after="0"/>
              <w:rPr>
                <w:sz w:val="20"/>
                <w:szCs w:val="20"/>
                <w:color w:val="auto"/>
              </w:rPr>
            </w:pPr>
            <w:r>
              <w:rPr>
                <w:rFonts w:ascii="Arial" w:cs="Arial" w:eastAsia="Arial" w:hAnsi="Arial"/>
                <w:sz w:val="17"/>
                <w:szCs w:val="17"/>
                <w:color w:val="auto"/>
                <w:w w:val="97"/>
              </w:rPr>
              <w:t>2.6%</w:t>
            </w:r>
          </w:p>
        </w:tc>
        <w:tc>
          <w:tcPr>
            <w:tcW w:w="80" w:type="dxa"/>
            <w:vAlign w:val="bottom"/>
          </w:tcPr>
          <w:p>
            <w:pPr>
              <w:spacing w:after="0"/>
              <w:rPr>
                <w:sz w:val="14"/>
                <w:szCs w:val="14"/>
                <w:color w:val="auto"/>
              </w:rPr>
            </w:pPr>
          </w:p>
        </w:tc>
        <w:tc>
          <w:tcPr>
            <w:tcW w:w="1000" w:type="dxa"/>
            <w:vAlign w:val="bottom"/>
            <w:vMerge w:val="restart"/>
          </w:tcPr>
          <w:p>
            <w:pPr>
              <w:jc w:val="center"/>
              <w:ind w:left="396"/>
              <w:spacing w:after="0"/>
              <w:rPr>
                <w:sz w:val="20"/>
                <w:szCs w:val="20"/>
                <w:color w:val="auto"/>
              </w:rPr>
            </w:pPr>
            <w:r>
              <w:rPr>
                <w:rFonts w:ascii="Arial" w:cs="Arial" w:eastAsia="Arial" w:hAnsi="Arial"/>
                <w:sz w:val="17"/>
                <w:szCs w:val="17"/>
                <w:color w:val="auto"/>
                <w:w w:val="92"/>
              </w:rPr>
              <w:t>$0.759</w:t>
            </w:r>
          </w:p>
        </w:tc>
        <w:tc>
          <w:tcPr>
            <w:tcW w:w="80" w:type="dxa"/>
            <w:vAlign w:val="bottom"/>
          </w:tcPr>
          <w:p>
            <w:pPr>
              <w:spacing w:after="0"/>
              <w:rPr>
                <w:sz w:val="14"/>
                <w:szCs w:val="14"/>
                <w:color w:val="auto"/>
              </w:rPr>
            </w:pPr>
          </w:p>
        </w:tc>
        <w:tc>
          <w:tcPr>
            <w:tcW w:w="1000" w:type="dxa"/>
            <w:vAlign w:val="bottom"/>
            <w:vMerge w:val="restart"/>
          </w:tcPr>
          <w:p>
            <w:pPr>
              <w:jc w:val="center"/>
              <w:ind w:left="394"/>
              <w:spacing w:after="0"/>
              <w:rPr>
                <w:sz w:val="20"/>
                <w:szCs w:val="20"/>
                <w:color w:val="auto"/>
              </w:rPr>
            </w:pPr>
            <w:r>
              <w:rPr>
                <w:rFonts w:ascii="Arial" w:cs="Arial" w:eastAsia="Arial" w:hAnsi="Arial"/>
                <w:sz w:val="17"/>
                <w:szCs w:val="17"/>
                <w:color w:val="auto"/>
                <w:w w:val="92"/>
              </w:rPr>
              <w:t>$0.677</w:t>
            </w:r>
          </w:p>
        </w:tc>
        <w:tc>
          <w:tcPr>
            <w:tcW w:w="100" w:type="dxa"/>
            <w:vAlign w:val="bottom"/>
          </w:tcPr>
          <w:p>
            <w:pPr>
              <w:spacing w:after="0"/>
              <w:rPr>
                <w:sz w:val="14"/>
                <w:szCs w:val="14"/>
                <w:color w:val="auto"/>
              </w:rPr>
            </w:pPr>
          </w:p>
        </w:tc>
        <w:tc>
          <w:tcPr>
            <w:tcW w:w="1020" w:type="dxa"/>
            <w:vAlign w:val="bottom"/>
            <w:vMerge w:val="restart"/>
          </w:tcPr>
          <w:p>
            <w:pPr>
              <w:jc w:val="center"/>
              <w:ind w:left="376"/>
              <w:spacing w:after="0"/>
              <w:rPr>
                <w:sz w:val="20"/>
                <w:szCs w:val="20"/>
                <w:color w:val="auto"/>
              </w:rPr>
            </w:pPr>
            <w:r>
              <w:rPr>
                <w:rFonts w:ascii="Arial" w:cs="Arial" w:eastAsia="Arial" w:hAnsi="Arial"/>
                <w:sz w:val="17"/>
                <w:szCs w:val="17"/>
                <w:color w:val="auto"/>
                <w:w w:val="93"/>
              </w:rPr>
              <w:t>$0.08</w:t>
            </w:r>
          </w:p>
        </w:tc>
        <w:tc>
          <w:tcPr>
            <w:tcW w:w="80" w:type="dxa"/>
            <w:vAlign w:val="bottom"/>
          </w:tcPr>
          <w:p>
            <w:pPr>
              <w:spacing w:after="0"/>
              <w:rPr>
                <w:sz w:val="14"/>
                <w:szCs w:val="14"/>
                <w:color w:val="auto"/>
              </w:rPr>
            </w:pPr>
          </w:p>
        </w:tc>
        <w:tc>
          <w:tcPr>
            <w:tcW w:w="1260" w:type="dxa"/>
            <w:vAlign w:val="bottom"/>
            <w:vMerge w:val="restart"/>
          </w:tcPr>
          <w:p>
            <w:pPr>
              <w:jc w:val="right"/>
              <w:ind w:right="76"/>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2"/>
        </w:trPr>
        <w:tc>
          <w:tcPr>
            <w:tcW w:w="1100" w:type="dxa"/>
            <w:vAlign w:val="bottom"/>
          </w:tcPr>
          <w:p>
            <w:pPr>
              <w:ind w:left="20"/>
              <w:spacing w:after="0"/>
              <w:rPr>
                <w:sz w:val="20"/>
                <w:szCs w:val="20"/>
                <w:color w:val="auto"/>
              </w:rPr>
            </w:pPr>
            <w:r>
              <w:rPr>
                <w:rFonts w:ascii="Arial" w:cs="Arial" w:eastAsia="Arial" w:hAnsi="Arial"/>
                <w:sz w:val="17"/>
                <w:szCs w:val="17"/>
                <w:color w:val="auto"/>
              </w:rPr>
              <w:t>dollar</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tbl>
      <w:tblPr>
        <w:tblLayout w:type="fixed"/>
        <w:tblInd w:w="158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As of</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1460" w:type="dxa"/>
            <w:vAlign w:val="bottom"/>
            <w:gridSpan w:val="2"/>
          </w:tcPr>
          <w:p>
            <w:pPr>
              <w:ind w:left="520"/>
              <w:spacing w:after="0" w:line="151" w:lineRule="exact"/>
              <w:rPr>
                <w:sz w:val="20"/>
                <w:szCs w:val="20"/>
                <w:color w:val="auto"/>
              </w:rPr>
            </w:pPr>
            <w:r>
              <w:rPr>
                <w:rFonts w:ascii="Arial" w:cs="Arial" w:eastAsia="Arial" w:hAnsi="Arial"/>
                <w:sz w:val="16"/>
                <w:szCs w:val="16"/>
                <w:b w:val="1"/>
                <w:bCs w:val="1"/>
                <w:color w:val="auto"/>
              </w:rPr>
              <w:t>September</w:t>
            </w:r>
          </w:p>
        </w:tc>
        <w:tc>
          <w:tcPr>
            <w:tcW w:w="1340" w:type="dxa"/>
            <w:vAlign w:val="bottom"/>
          </w:tcPr>
          <w:p>
            <w:pPr>
              <w:jc w:val="right"/>
              <w:ind w:right="17"/>
              <w:spacing w:after="0" w:line="151" w:lineRule="exact"/>
              <w:rPr>
                <w:sz w:val="20"/>
                <w:szCs w:val="20"/>
                <w:color w:val="auto"/>
              </w:rPr>
            </w:pPr>
            <w:r>
              <w:rPr>
                <w:rFonts w:ascii="Arial" w:cs="Arial" w:eastAsia="Arial" w:hAnsi="Arial"/>
                <w:sz w:val="16"/>
                <w:szCs w:val="16"/>
                <w:b w:val="1"/>
                <w:bCs w:val="1"/>
                <w:color w:val="auto"/>
              </w:rPr>
              <w:t>December</w:t>
            </w:r>
          </w:p>
        </w:tc>
        <w:tc>
          <w:tcPr>
            <w:tcW w:w="160" w:type="dxa"/>
            <w:vAlign w:val="bottom"/>
          </w:tcPr>
          <w:p>
            <w:pPr>
              <w:spacing w:after="0"/>
              <w:rPr>
                <w:sz w:val="13"/>
                <w:szCs w:val="13"/>
                <w:color w:val="auto"/>
              </w:rPr>
            </w:pPr>
          </w:p>
        </w:tc>
        <w:tc>
          <w:tcPr>
            <w:tcW w:w="1180" w:type="dxa"/>
            <w:vAlign w:val="bottom"/>
            <w:vMerge w:val="restart"/>
          </w:tcPr>
          <w:p>
            <w:pPr>
              <w:ind w:left="560"/>
              <w:spacing w:after="0"/>
              <w:rPr>
                <w:sz w:val="20"/>
                <w:szCs w:val="20"/>
                <w:color w:val="auto"/>
              </w:rPr>
            </w:pPr>
            <w:r>
              <w:rPr>
                <w:rFonts w:ascii="Arial" w:cs="Arial" w:eastAsia="Arial" w:hAnsi="Arial"/>
                <w:sz w:val="16"/>
                <w:szCs w:val="16"/>
                <w:b w:val="1"/>
                <w:bCs w:val="1"/>
                <w:color w:val="auto"/>
              </w:rPr>
              <w:t>Change</w:t>
            </w:r>
          </w:p>
        </w:tc>
        <w:tc>
          <w:tcPr>
            <w:tcW w:w="160" w:type="dxa"/>
            <w:vAlign w:val="bottom"/>
            <w:vMerge w:val="restart"/>
          </w:tcPr>
          <w:p>
            <w:pPr>
              <w:spacing w:after="0"/>
              <w:rPr>
                <w:sz w:val="13"/>
                <w:szCs w:val="13"/>
                <w:color w:val="auto"/>
              </w:rPr>
            </w:pPr>
          </w:p>
        </w:tc>
        <w:tc>
          <w:tcPr>
            <w:tcW w:w="1260" w:type="dxa"/>
            <w:vAlign w:val="bottom"/>
            <w:vMerge w:val="restart"/>
          </w:tcPr>
          <w:p>
            <w:pPr>
              <w:ind w:left="500"/>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30, 2021</w:t>
            </w: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31, 2020</w:t>
            </w: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Canadian dollar to U.S. dollar</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$0.785</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217"/>
              <w:spacing w:after="0"/>
              <w:rPr>
                <w:sz w:val="20"/>
                <w:szCs w:val="20"/>
                <w:color w:val="auto"/>
              </w:rPr>
            </w:pPr>
            <w:r>
              <w:rPr>
                <w:rFonts w:ascii="Arial" w:cs="Arial" w:eastAsia="Arial" w:hAnsi="Arial"/>
                <w:sz w:val="17"/>
                <w:szCs w:val="17"/>
                <w:color w:val="auto"/>
                <w:w w:val="93"/>
              </w:rPr>
              <w:t>—</w:t>
            </w:r>
          </w:p>
        </w:tc>
        <w:tc>
          <w:tcPr>
            <w:tcW w:w="126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22"/>
        </w:trPr>
        <w:tc>
          <w:tcPr>
            <w:tcW w:w="3000" w:type="dxa"/>
            <w:vAlign w:val="bottom"/>
          </w:tcPr>
          <w:p>
            <w:pPr>
              <w:ind w:left="500"/>
              <w:spacing w:after="0"/>
              <w:rPr>
                <w:sz w:val="20"/>
                <w:szCs w:val="20"/>
                <w:color w:val="auto"/>
              </w:rPr>
            </w:pPr>
            <w:r>
              <w:rPr>
                <w:rFonts w:ascii="Arial" w:cs="Arial" w:eastAsia="Arial" w:hAnsi="Arial"/>
                <w:sz w:val="17"/>
                <w:szCs w:val="17"/>
                <w:color w:val="auto"/>
              </w:rPr>
              <w:t>Australian dollar to U.S. dollar</w:t>
            </w:r>
          </w:p>
        </w:tc>
        <w:tc>
          <w:tcPr>
            <w:tcW w:w="1300" w:type="dxa"/>
            <w:vAlign w:val="bottom"/>
          </w:tcPr>
          <w:p>
            <w:pPr>
              <w:jc w:val="right"/>
              <w:spacing w:after="0"/>
              <w:rPr>
                <w:sz w:val="20"/>
                <w:szCs w:val="20"/>
                <w:color w:val="auto"/>
              </w:rPr>
            </w:pPr>
            <w:r>
              <w:rPr>
                <w:rFonts w:ascii="Arial" w:cs="Arial" w:eastAsia="Arial" w:hAnsi="Arial"/>
                <w:sz w:val="17"/>
                <w:szCs w:val="17"/>
                <w:color w:val="auto"/>
              </w:rPr>
              <w:t>$0.719</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$0.773</w:t>
            </w:r>
          </w:p>
        </w:tc>
        <w:tc>
          <w:tcPr>
            <w:tcW w:w="1340" w:type="dxa"/>
            <w:vAlign w:val="bottom"/>
            <w:gridSpan w:val="2"/>
          </w:tcPr>
          <w:p>
            <w:pPr>
              <w:jc w:val="right"/>
              <w:ind w:right="57"/>
              <w:spacing w:after="0"/>
              <w:rPr>
                <w:sz w:val="20"/>
                <w:szCs w:val="20"/>
                <w:color w:val="auto"/>
              </w:rPr>
            </w:pPr>
            <w:r>
              <w:rPr>
                <w:rFonts w:ascii="Arial" w:cs="Arial" w:eastAsia="Arial" w:hAnsi="Arial"/>
                <w:sz w:val="17"/>
                <w:szCs w:val="17"/>
                <w:color w:val="auto"/>
              </w:rPr>
              <w:t>(0.05)</w:t>
            </w:r>
          </w:p>
        </w:tc>
        <w:tc>
          <w:tcPr>
            <w:tcW w:w="160" w:type="dxa"/>
            <w:vAlign w:val="bottom"/>
          </w:tcPr>
          <w:p>
            <w:pPr>
              <w:spacing w:after="0"/>
              <w:rPr>
                <w:sz w:val="19"/>
                <w:szCs w:val="19"/>
                <w:color w:val="auto"/>
              </w:rPr>
            </w:pP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78"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5"/>
          <w:szCs w:val="15"/>
          <w:b w:val="1"/>
          <w:bCs w:val="1"/>
          <w:color w:val="auto"/>
        </w:rPr>
        <w:t xml:space="preserve">Capital Expenditures. </w:t>
      </w:r>
      <w:r>
        <w:rPr>
          <w:rFonts w:ascii="Arial" w:cs="Arial" w:eastAsia="Arial" w:hAnsi="Arial"/>
          <w:sz w:val="15"/>
          <w:szCs w:val="15"/>
          <w:color w:val="auto"/>
        </w:rPr>
        <w:t>We continue to monitor the COVID-19 global pandemic and the responses thereto, the global economy, the price of and demand</w:t>
      </w:r>
      <w:r>
        <w:rPr>
          <w:rFonts w:ascii="Arial" w:cs="Arial" w:eastAsia="Arial" w:hAnsi="Arial"/>
          <w:sz w:val="15"/>
          <w:szCs w:val="15"/>
          <w:b w:val="1"/>
          <w:bCs w:val="1"/>
          <w:color w:val="auto"/>
        </w:rPr>
        <w:t xml:space="preserve"> </w:t>
      </w:r>
      <w:r>
        <w:rPr>
          <w:rFonts w:ascii="Arial" w:cs="Arial" w:eastAsia="Arial" w:hAnsi="Arial"/>
          <w:sz w:val="15"/>
          <w:szCs w:val="15"/>
          <w:color w:val="auto"/>
        </w:rPr>
        <w:t>for crude oil, met coal, LNG and iron ore and the resultant impact on the capital spending plans of our customers in order to plan our business activities. We currently expect that our 2021 capital expenditures, exclusive of any business acquisitions, will total approximately $20 million, compared to 2020 capital expenditures of $10.1 million. We may adjust our capital expenditure plans in the future as we continue to monitor customer activity and the impact of COVID-</w:t>
      </w:r>
    </w:p>
    <w:p>
      <w:pPr>
        <w:spacing w:after="0" w:line="3"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“Liquidity and Capital Resources</w:t>
      </w:r>
      <w:r>
        <w:rPr>
          <w:rFonts w:ascii="Arial" w:cs="Arial" w:eastAsia="Arial" w:hAnsi="Arial"/>
          <w:sz w:val="17"/>
          <w:szCs w:val="17"/>
          <w:i w:val="1"/>
          <w:iCs w:val="1"/>
          <w:color w:val="auto"/>
        </w:rPr>
        <w:t>”</w:t>
      </w:r>
      <w:r>
        <w:rPr>
          <w:rFonts w:ascii="Arial" w:cs="Arial" w:eastAsia="Arial" w:hAnsi="Arial"/>
          <w:sz w:val="17"/>
          <w:szCs w:val="17"/>
          <w:color w:val="auto"/>
        </w:rPr>
        <w:t xml:space="preserve"> below for further discussion of 2021 capital expenditures.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i w:val="1"/>
          <w:iCs w:val="1"/>
          <w:color w:val="auto"/>
        </w:rPr>
        <w:t>Unless otherwise indicated, discussion of results for the three months ended September 30, 2021, is based on a comparison to the corresponding period of 2020.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Three Months Ended September 30, 2021 Compared to Three Months Ended September 30,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Three Months Ended</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3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Change</w:t>
            </w:r>
          </w:p>
        </w:tc>
      </w:tr>
      <w:tr>
        <w:trPr>
          <w:trHeight w:val="211"/>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Canada</w:t>
            </w: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84,057</w:t>
            </w:r>
          </w:p>
        </w:tc>
        <w:tc>
          <w:tcPr>
            <w:tcW w:w="12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71,785</w:t>
            </w:r>
          </w:p>
        </w:tc>
        <w:tc>
          <w:tcPr>
            <w:tcW w:w="12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12,272</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65,118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64,685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r>
      <w:tr>
        <w:trPr>
          <w:trHeight w:val="181"/>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5,888</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155,063</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142,857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12,206</w:t>
            </w:r>
          </w:p>
        </w:tc>
      </w:tr>
      <w:tr>
        <w:trPr>
          <w:trHeight w:val="181"/>
        </w:trPr>
        <w:tc>
          <w:tcPr>
            <w:tcW w:w="50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sales and services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40" w:type="dxa"/>
            <w:vAlign w:val="bottom"/>
          </w:tcPr>
          <w:p>
            <w:pPr>
              <w:ind w:left="340"/>
              <w:spacing w:after="0"/>
              <w:rPr>
                <w:sz w:val="20"/>
                <w:szCs w:val="20"/>
                <w:color w:val="auto"/>
              </w:rPr>
            </w:pPr>
            <w:r>
              <w:rPr>
                <w:rFonts w:ascii="Arial" w:cs="Arial" w:eastAsia="Arial" w:hAnsi="Arial"/>
                <w:sz w:val="14"/>
                <w:szCs w:val="14"/>
                <w:color w:val="auto"/>
              </w:rPr>
              <w:t>Canada</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59,214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51,393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7,821</w:t>
            </w:r>
          </w:p>
        </w:tc>
      </w:tr>
      <w:tr>
        <w:trPr>
          <w:trHeight w:val="186"/>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7,845</w:t>
            </w:r>
          </w:p>
        </w:tc>
      </w:tr>
      <w:tr>
        <w:trPr>
          <w:trHeight w:val="181"/>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w:t>
            </w:r>
          </w:p>
        </w:tc>
      </w:tr>
      <w:tr>
        <w:trPr>
          <w:trHeight w:val="179"/>
        </w:trPr>
        <w:tc>
          <w:tcPr>
            <w:tcW w:w="50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cost of sales and services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111,430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97,434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13,996</w:t>
            </w: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17,320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13,462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3,858</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 expense</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(4,538)</w:t>
            </w: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40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expense</w:t>
            </w: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74"/>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149,053</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135,767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13,286</w:t>
            </w:r>
          </w:p>
        </w:tc>
      </w:tr>
      <w:tr>
        <w:trPr>
          <w:trHeight w:val="17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r>
      <w:tr>
        <w:trPr>
          <w:trHeight w:val="210"/>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(4,178)</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before income taxes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(6,401)</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17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Civeo Corporation</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(6,445)</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attributable to preferred shares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0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Civeo common shareholders</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We reported net income attributable to Civeo for the quarter ended September 30, 2021 of $0.1 million, or $0.00 per diluted share compared to net income attributable to Civeo for the quarter ended September 30, 2020 of $6.5 million, or $0.39 per diluted share.</w:t>
      </w:r>
    </w:p>
    <w:p>
      <w:pPr>
        <w:spacing w:after="0" w:line="47" w:lineRule="exact"/>
        <w:rPr>
          <w:sz w:val="20"/>
          <w:szCs w:val="20"/>
          <w:color w:val="auto"/>
        </w:rPr>
      </w:pPr>
    </w:p>
    <w:p>
      <w:pPr>
        <w:jc w:val="both"/>
        <w:ind w:firstLine="472"/>
        <w:spacing w:after="0" w:line="282"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increased $12.2 million, or 9%, in the third quarter of 2021 compared to the third quarter of 2020. This increase was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(i) higher billed rooms at our Canadian oil sands lodges related to turnaround activities by a number of customers, (ii) increased mobile asset activity from pipeline projects in Canada, (iii) increased occupancy at our Australian integrated services villages, (iv) increased activity levels in certain U.S. markets and (v) a stronger Australian and Canadian dollar relative to the U.S. dollar in the third quarter of 2021 compared to the third quarter of 2020. These items were partially offset by (i) reduced food service activity in Canada, as an overflow site supporting a LNG-related project in 2020 is no longer required, (ii) decreased activity at our Bowen Basin villages and Gunnedah Basin villages in Australia and (iii) decreased activity at our U.S. offshore fabrication business. See the discussion of segment results of operations below for further information.</w:t>
      </w:r>
    </w:p>
    <w:p>
      <w:pPr>
        <w:spacing w:after="0" w:line="9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increased $14.0 million, or 14%, in the third quarter of 2021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third quarter of 2020. This increase was primarily due to (i) increased occupancy at our Canadian oil sands lodges related to turnaround activities by a number of customers, (ii) increased mobile asset activity from pipeline projects in Canada, (iii) increased occupancy at our Australian integrated services villages and the increased cost of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temporary labor due to ongoing labor shortages in Australia, (iv) increased activity levels in certain U.S. markets and (v) a stronger Australian and Canadian dollar relative to the U.S. dollar in the third quarter of 2021 compared to the third quarter of 2020. These items were partially offset by (i) reduced food service activity in Canada, as an overflow site supporting a LNG-related project in 2020 is no longer required and (ii) decreased activity at our U.S. offshore fabrication business. See the discussion of segment results of operations below for further information.</w:t>
      </w:r>
    </w:p>
    <w:p>
      <w:pPr>
        <w:spacing w:after="0" w:line="107"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$3.9 million, or 29%, in the third quarter of 2021 compared to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2020. This increase was primarily due to higher share-based compensation expense, compensation expense and professional fees related to the Company's recent debt offering efforts. The increase in share-based compensation expense was due to an increase in our stock price during the third quarter of 2021 compared to the third quarter of 2020.</w:t>
      </w:r>
    </w:p>
    <w:p>
      <w:pPr>
        <w:spacing w:after="0" w:line="103" w:lineRule="exact"/>
        <w:rPr>
          <w:sz w:val="20"/>
          <w:szCs w:val="20"/>
          <w:color w:val="auto"/>
        </w:rPr>
      </w:pPr>
    </w:p>
    <w:p>
      <w:pPr>
        <w:jc w:val="both"/>
        <w:ind w:firstLine="472"/>
        <w:spacing w:after="0" w:line="301"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$4.5 million, or 18%, in the third quarter of 2021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third quarter of 2020. The decrease was primarily due to certain assets and intangibles becoming fully depreciated during 2020, partially offset by a stronger Australian and Canadian dollar relative to the U.S. dollar in the third quarter of 2021 compared to the third quarter of 2020.</w:t>
      </w:r>
    </w:p>
    <w:p>
      <w:pPr>
        <w:spacing w:after="0" w:line="6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Consolidated operating income decreased $1.1 million, or 15%, in the third quarter of 2021 compared to the third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2020, primarily due to lower occupancy levels in Australia and higher SG&amp;A expenses, partially offset by increased activity levels in Canada and lower depreciation and amortization expense in the third quarter of 2021 compared to the third quarter of 2020.</w:t>
      </w:r>
    </w:p>
    <w:p>
      <w:pPr>
        <w:spacing w:after="0" w:line="9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7"/>
          <w:szCs w:val="17"/>
          <w:b w:val="1"/>
          <w:bCs w:val="1"/>
          <w:color w:val="auto"/>
        </w:rPr>
        <w:t xml:space="preserve">Interest Expense, net. </w:t>
      </w:r>
      <w:r>
        <w:rPr>
          <w:rFonts w:ascii="Arial" w:cs="Arial" w:eastAsia="Arial" w:hAnsi="Arial"/>
          <w:sz w:val="17"/>
          <w:szCs w:val="17"/>
          <w:color w:val="auto"/>
        </w:rPr>
        <w:t>Net interest expense decreased by $0.4 million, or 11%, in the third quarter of 2021 compared to the third quarter of 2020,</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related to lower average debt levels on credit facility borrowings during 2021 compared to 2020, partially offset by higher interest rates on credit facility borrowings.</w:t>
      </w:r>
    </w:p>
    <w:p>
      <w:pPr>
        <w:spacing w:after="0" w:line="188"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Consolidated other income decreased $4.2 million in the third quarter of 2021 compared to the third quarter of 2020,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$3.6 million of other income related to proceeds from the Canada Emergency Wage Subsidy (CEWS) and higher gains on sale of assets in 2020 compared to 2021.</w:t>
      </w:r>
    </w:p>
    <w:p>
      <w:pPr>
        <w:spacing w:after="0" w:line="16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6"/>
          <w:szCs w:val="16"/>
          <w:b w:val="1"/>
          <w:bCs w:val="1"/>
          <w:color w:val="auto"/>
        </w:rPr>
        <w:t xml:space="preserve">Income Tax (Expense) Benefit. </w:t>
      </w:r>
      <w:r>
        <w:rPr>
          <w:rFonts w:ascii="Arial" w:cs="Arial" w:eastAsia="Arial" w:hAnsi="Arial"/>
          <w:sz w:val="16"/>
          <w:szCs w:val="16"/>
          <w:color w:val="auto"/>
        </w:rPr>
        <w:t>Our income tax expense for the three months ended September 30, 2021 totaled $1.8 million, or 63.4% of pretax</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compared to an income tax expense of $0.2 million, or 2.4% of pretax income, for the three months ended September 30, 2020. Our effective tax rate for both the three months ended September 30, 2021 and 2020 was impacted by considering Canada and the U.S. loss jurisdictions that were removed from the annual effective tax rate computation for purposes of computing the interim tax provision. Under ASC 740-270, "Accounting for Income Taxes," the quarterly tax provision is based on our current estimate of the annual effective tax rate less the prior quarter's year-to-date provision.</w:t>
      </w:r>
    </w:p>
    <w:p>
      <w:pPr>
        <w:spacing w:after="0" w:line="183"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color w:val="auto"/>
        </w:rPr>
        <w:t xml:space="preserve">Other Comprehensive (Loss) Income. </w:t>
      </w:r>
      <w:r>
        <w:rPr>
          <w:rFonts w:ascii="Arial" w:cs="Arial" w:eastAsia="Arial" w:hAnsi="Arial"/>
          <w:sz w:val="17"/>
          <w:szCs w:val="17"/>
          <w:color w:val="auto"/>
        </w:rPr>
        <w:t>Other comprehensive income decreased $23.3 million in the third quarter of 2021 compared to the third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of 2020, primarily as a result of foreign currency translation adjustments due to changes in the Canadian and Australian dollar exchange rates compared to the U.S. dollar. The Canadian dollar exchange rate compared to the U.S. dollar decreased 3% in the third quarter of 2021 compared to a 2% increase in the third quarter of 2020. The Australian dollar exchange rate compared to the U.S. dollar decreased 4% in the third quarter of 2021 compared to a 4% increase in the third quarter of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6"/>
        </w:trPr>
        <w:tc>
          <w:tcPr>
            <w:tcW w:w="48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7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60,511</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49,798</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10,713</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9"/>
                <w:szCs w:val="9"/>
                <w:color w:val="auto"/>
              </w:rPr>
              <w:t>(2)</w:t>
            </w: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19,075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13,135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5,940</w:t>
            </w:r>
          </w:p>
        </w:tc>
      </w:tr>
      <w:tr>
        <w:trPr>
          <w:trHeight w:val="181"/>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(3)</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4,471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8,852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(4,381)</w:t>
            </w:r>
          </w:p>
        </w:tc>
      </w:tr>
      <w:tr>
        <w:trPr>
          <w:trHeight w:val="179"/>
        </w:trPr>
        <w:tc>
          <w:tcPr>
            <w:tcW w:w="4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1120" w:type="dxa"/>
            <w:vAlign w:val="bottom"/>
            <w:shd w:val="clear" w:color="auto" w:fill="CCEEFF"/>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84,057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71,785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12,272</w:t>
            </w:r>
          </w:p>
        </w:tc>
      </w:tr>
      <w:tr>
        <w:trPr>
          <w:trHeight w:val="144"/>
        </w:trPr>
        <w:tc>
          <w:tcPr>
            <w:tcW w:w="4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Accommodation cost</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41,470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32,490</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8,980</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cost</w:t>
            </w: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11,144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8,557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2,587</w:t>
            </w: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4,007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7,595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(3,588)</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costs</w:t>
            </w:r>
          </w:p>
        </w:tc>
        <w:tc>
          <w:tcPr>
            <w:tcW w:w="1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2,593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2,751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(158)</w:t>
            </w:r>
          </w:p>
        </w:tc>
      </w:tr>
      <w:tr>
        <w:trPr>
          <w:trHeight w:val="174"/>
        </w:trPr>
        <w:tc>
          <w:tcPr>
            <w:tcW w:w="484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59,214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51,393</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7,821</w:t>
            </w:r>
          </w:p>
        </w:tc>
      </w:tr>
      <w:tr>
        <w:trPr>
          <w:trHeight w:val="147"/>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28.4 %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47"/>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9"/>
                <w:szCs w:val="9"/>
                <w:color w:val="auto"/>
              </w:rPr>
              <w:t>(4)</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2</w:t>
            </w:r>
          </w:p>
        </w:tc>
      </w:tr>
      <w:tr>
        <w:trPr>
          <w:trHeight w:val="147"/>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12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613,017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508,449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104,568</w:t>
            </w:r>
          </w:p>
        </w:tc>
      </w:tr>
      <w:tr>
        <w:trPr>
          <w:trHeight w:val="147"/>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78"/>
        </w:trPr>
        <w:tc>
          <w:tcPr>
            <w:tcW w:w="484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0.794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0.751</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0.043</w:t>
            </w:r>
          </w:p>
        </w:tc>
      </w:tr>
    </w:tbl>
    <w:p>
      <w:pPr>
        <w:spacing w:after="0" w:line="277" w:lineRule="exact"/>
        <w:rPr>
          <w:sz w:val="20"/>
          <w:szCs w:val="20"/>
          <w:color w:val="auto"/>
        </w:rPr>
      </w:pPr>
    </w:p>
    <w:p>
      <w:pPr>
        <w:ind w:left="300" w:hanging="295"/>
        <w:spacing w:after="0"/>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4"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Canadian segment reported revenues in the third quarter of 2021 that were $12.3 million, or 17%, higher than the third quarter of 2020. The strengthening of the average exchange rate for the Canadian dollar relative to the U.S. dollar by 6% in the third quarter of 2021 compared to the third quarter of 2020 resulted in a $4.4 million period-over-period increase in revenues. Excluding the impact of the stronger Canadian exchange rate, the segment experienced an 11% increase in revenues. This increase was driven by higher billed rooms at our oil sands lodges related to turnaround activities by a number of customers and by increased mobile asset activity from pipeline projects. Partially offsetting these items, revenue was lower from food services activity, as an overflow site supporting a LNG-related project in 2020 is no longer required.</w:t>
      </w:r>
    </w:p>
    <w:p>
      <w:pPr>
        <w:spacing w:after="0" w:line="208"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Canadian segment cost of sales and services increased $7.8 million, or 15%, in the third quarter of 2021 compared to the third quarter of 2020. The strengthening of the average exchange rate for the Canadian dollar relative to the U.S. dollar by 6% in the third quarter of 2021 compared to the third quarter of 2020 resulted in a $3.2 million period-over-period increase in cost of sales and services. Excluding the impact of the stronger Canadian exchange rate, the increased cost of sales and services was driven by increased occupancy at our oil sands lodges related to turnaround activities by a number of customers and by increased mobile asset activity from pipeline projects. Partially offsetting these items, cost of sales and services decreased from food services activity, as an overflow site supporting a LNG-related project in 2020 is no longer required.</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Canadian segment gross margin as a percentage of revenues increased from 28.4% in the third quarter of 2020 to 29.6% in the third quarter of 2021.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This was primarily driven by increased mobile asset activity and related operating efficiencies.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3"/>
        </w:trPr>
        <w:tc>
          <w:tcPr>
            <w:tcW w:w="47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6"/>
        </w:trPr>
        <w:tc>
          <w:tcPr>
            <w:tcW w:w="47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64"/>
        </w:trPr>
        <w:tc>
          <w:tcPr>
            <w:tcW w:w="47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1"/>
        </w:trPr>
        <w:tc>
          <w:tcPr>
            <w:tcW w:w="474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38,104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39,470</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(1,366)</w:t>
            </w:r>
          </w:p>
        </w:tc>
      </w:tr>
      <w:tr>
        <w:trPr>
          <w:trHeight w:val="186"/>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(2)</w:t>
            </w: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27,014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25,215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1,799</w:t>
            </w:r>
          </w:p>
        </w:tc>
      </w:tr>
      <w:tr>
        <w:trPr>
          <w:trHeight w:val="174"/>
        </w:trPr>
        <w:tc>
          <w:tcPr>
            <w:tcW w:w="474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65,118</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64,685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433</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6"/>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10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18,351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16,401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1,950</w:t>
            </w:r>
          </w:p>
        </w:tc>
      </w:tr>
      <w:tr>
        <w:trPr>
          <w:trHeight w:val="181"/>
        </w:trPr>
        <w:tc>
          <w:tcPr>
            <w:tcW w:w="474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10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26,007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21,161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4,846</w:t>
            </w:r>
          </w:p>
        </w:tc>
      </w:tr>
      <w:tr>
        <w:trPr>
          <w:trHeight w:val="186"/>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1,049</w:t>
            </w:r>
          </w:p>
        </w:tc>
      </w:tr>
      <w:tr>
        <w:trPr>
          <w:trHeight w:val="174"/>
        </w:trPr>
        <w:tc>
          <w:tcPr>
            <w:tcW w:w="474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46,374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38,529</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7,845</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28.8 %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40.4 %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9"/>
                <w:szCs w:val="9"/>
                <w:color w:val="auto"/>
              </w:rPr>
              <w:t>(3)</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10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491,218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513,587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(22,369)</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4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0.735</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0.716</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0.019</w:t>
            </w:r>
          </w:p>
        </w:tc>
      </w:tr>
    </w:tbl>
    <w:p>
      <w:pPr>
        <w:spacing w:after="0" w:line="277" w:lineRule="exact"/>
        <w:rPr>
          <w:sz w:val="20"/>
          <w:szCs w:val="20"/>
          <w:color w:val="auto"/>
        </w:rPr>
      </w:pPr>
    </w:p>
    <w:p>
      <w:pPr>
        <w:ind w:left="300" w:hanging="295"/>
        <w:spacing w:after="0"/>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4"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Australian segment reported revenues in the third quarter of 2021 that were $0.4 million, or 1%, higher than the third quarter of 2020. The strengthening of the average exchange rate for Australian dollars relative to the U.S. dollar by 3% in the third quarter of 2021 compared to the third quarter of 2020 resulted in a $1.6 million period-over-period increase in revenues. Excluding the impact of the stronger Australian exchange rate, the Australian segment experienced decreased activity at our Bowen Basin villages and Gunnedah Basin villages, partially offset by increased occupancy at our integrated services villages.</w:t>
      </w:r>
    </w:p>
    <w:p>
      <w:pPr>
        <w:spacing w:after="0" w:line="178"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Australian segment cost of sales and services increased $7.8 million, or 20%, in the third quarter of 2021 compared to the third quarter of 2020. The strengthening of the average exchange rate for Australian dollars relative to the U.S. dollar by 3% in the third quarter of 2021 compared to the third quarter of 2020 resulted in a $1.2 million period-over-period increase in cost of sales and services. Excluding the impact of the stronger Australian exchange rate, the increase in cost of sales and services was largely driven by increased occupancy at our integrated services villages and increased costs of temporary labor due to ongoing labor shortages.</w:t>
      </w:r>
    </w:p>
    <w:p>
      <w:pPr>
        <w:spacing w:after="0" w:line="204"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Our Australian segment gross margin as a percentage of revenues decreased to 28.8% in the third quarter of 2021 from 40.4% in the third quarter of 2020. This was primarily driven by our integrated services business, which has a service-only business model, and therefore results in lower overall gross margins than the accommodation business. The integrated services business gross margin decrease was further exacerbated as two key client contracts transferred from construction phase to operational phase with inherently lower margins. Reduced occupancy at the Bowen Basin villages and Western Australia villages further impacted gross margin as efficiencies were unable to be realized with a fixed cost structure at lower occupancy levels. Segment gross margin has also been negatively impacted by increased staff costs as a result of a hospitality labor shortage in Australia which has been exacerbated by state and international border closures due to COVID-19. State and international border closures have affected the number of staff available which has subsequently led to an increased reliance on more expensive temporary labor hire resources and has placed upward pressure on wages for permanent staff as competitors compete for a small pool of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U.S. Segment</w:t>
      </w:r>
    </w:p>
    <w:p>
      <w:pPr>
        <w:spacing w:after="0" w:line="2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3"/>
        </w:trPr>
        <w:tc>
          <w:tcPr>
            <w:tcW w:w="30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176"/>
        </w:trPr>
        <w:tc>
          <w:tcPr>
            <w:tcW w:w="30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r>
      <w:tr>
        <w:trPr>
          <w:trHeight w:val="177"/>
        </w:trPr>
        <w:tc>
          <w:tcPr>
            <w:tcW w:w="3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Revenues ($ in thousands)</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5,888</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6,387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(499)</w:t>
            </w:r>
          </w:p>
        </w:tc>
        <w:tc>
          <w:tcPr>
            <w:tcW w:w="380" w:type="dxa"/>
            <w:vAlign w:val="bottom"/>
            <w:shd w:val="clear" w:color="auto" w:fill="CCEEFF"/>
          </w:tcPr>
          <w:p>
            <w:pPr>
              <w:spacing w:after="0"/>
              <w:rPr>
                <w:sz w:val="15"/>
                <w:szCs w:val="15"/>
                <w:color w:val="auto"/>
              </w:rPr>
            </w:pPr>
          </w:p>
        </w:tc>
      </w:tr>
      <w:tr>
        <w:trPr>
          <w:trHeight w:val="210"/>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83"/>
        </w:trPr>
        <w:tc>
          <w:tcPr>
            <w:tcW w:w="306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4"/>
              </w:rPr>
              <w:t>Cost of sales and services ($ in thousands)</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5,842</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7,512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(1,670)</w:t>
            </w:r>
          </w:p>
        </w:tc>
        <w:tc>
          <w:tcPr>
            <w:tcW w:w="380" w:type="dxa"/>
            <w:vAlign w:val="bottom"/>
            <w:shd w:val="clear" w:color="auto" w:fill="CCEEFF"/>
          </w:tcPr>
          <w:p>
            <w:pPr>
              <w:spacing w:after="0"/>
              <w:rPr>
                <w:sz w:val="15"/>
                <w:szCs w:val="15"/>
                <w:color w:val="auto"/>
              </w:rPr>
            </w:pPr>
          </w:p>
        </w:tc>
      </w:tr>
      <w:tr>
        <w:trPr>
          <w:trHeight w:val="210"/>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83"/>
        </w:trPr>
        <w:tc>
          <w:tcPr>
            <w:tcW w:w="3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Gross margin as a % of revenues</w:t>
            </w: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0.8</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5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(17.6)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18.4</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89"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6"/>
          <w:szCs w:val="16"/>
          <w:color w:val="auto"/>
        </w:rPr>
        <w:t>Our U.S. segment reported revenues in the third quarter of 2021 that were $0.5 million, or 8%, lower than the third quarter of 2020. This decrease was due to reduced activity in our offshore fabrication business, as two fabrication projects were completed in the third quarter of 2020, that did not recur to the same extent in 2021. This decrease was partially offset by increased occupancy at our West Permian, Killdeer and Acadian Acres lodges.</w:t>
      </w:r>
    </w:p>
    <w:p>
      <w:pPr>
        <w:spacing w:after="0" w:line="155"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U.S. segment cost of sales and services decreased in the third quarter of 2021 compared to the third quarter of 2020. This decrease was due to reduced activity in our offshore fabrication business, as two fabrication projects were completed in the third quarter of 2020, that did not recur to the same extent in 2021.</w:t>
      </w:r>
    </w:p>
    <w:p>
      <w:pPr>
        <w:spacing w:after="0" w:line="197"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U.S. segment gross margin as a percentage of revenues increased from (17.6)% in the third quarter of 2020 to 0.8% in the third quarter of 2021 primarily due to increased occupancy at our West Permian, Killdeer and Acadian Acres lodges and related operating efficiencies.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Nine Months Ended September 30, 2021 Compared to Nine Months Ended September 30,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3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Change</w:t>
            </w:r>
          </w:p>
        </w:tc>
      </w:tr>
      <w:tr>
        <w:trPr>
          <w:trHeight w:val="211"/>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Canada</w:t>
            </w: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229,223</w:t>
            </w:r>
          </w:p>
        </w:tc>
        <w:tc>
          <w:tcPr>
            <w:tcW w:w="12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204,119</w:t>
            </w:r>
          </w:p>
        </w:tc>
        <w:tc>
          <w:tcPr>
            <w:tcW w:w="12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25,104</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188,774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170,869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17,905</w:t>
            </w:r>
          </w:p>
        </w:tc>
      </w:tr>
      <w:tr>
        <w:trPr>
          <w:trHeight w:val="181"/>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21,363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434,669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396,351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38,318</w:t>
            </w:r>
          </w:p>
        </w:tc>
      </w:tr>
      <w:tr>
        <w:trPr>
          <w:trHeight w:val="181"/>
        </w:trPr>
        <w:tc>
          <w:tcPr>
            <w:tcW w:w="50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sales and services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40" w:type="dxa"/>
            <w:vAlign w:val="bottom"/>
          </w:tcPr>
          <w:p>
            <w:pPr>
              <w:ind w:left="340"/>
              <w:spacing w:after="0"/>
              <w:rPr>
                <w:sz w:val="20"/>
                <w:szCs w:val="20"/>
                <w:color w:val="auto"/>
              </w:rPr>
            </w:pPr>
            <w:r>
              <w:rPr>
                <w:rFonts w:ascii="Arial" w:cs="Arial" w:eastAsia="Arial" w:hAnsi="Arial"/>
                <w:sz w:val="14"/>
                <w:szCs w:val="14"/>
                <w:color w:val="auto"/>
              </w:rPr>
              <w:t>Canada</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168,441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158,130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10,311</w:t>
            </w:r>
          </w:p>
        </w:tc>
      </w:tr>
      <w:tr>
        <w:trPr>
          <w:trHeight w:val="186"/>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134,172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102,995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31,177</w:t>
            </w:r>
          </w:p>
        </w:tc>
      </w:tr>
      <w:tr>
        <w:trPr>
          <w:trHeight w:val="181"/>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16,629</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(6,126)</w:t>
            </w:r>
          </w:p>
        </w:tc>
      </w:tr>
      <w:tr>
        <w:trPr>
          <w:trHeight w:val="179"/>
        </w:trPr>
        <w:tc>
          <w:tcPr>
            <w:tcW w:w="50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cost of sales and services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319,242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283,880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35,362</w:t>
            </w: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46,204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38,889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7,315</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 expense</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(9,599)</w:t>
            </w: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7,935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144,120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(136,185)</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expense</w:t>
            </w: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w:t>
            </w:r>
          </w:p>
        </w:tc>
      </w:tr>
      <w:tr>
        <w:trPr>
          <w:trHeight w:val="174"/>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436,431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540,171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(103,740)</w:t>
            </w:r>
          </w:p>
        </w:tc>
      </w:tr>
      <w:tr>
        <w:trPr>
          <w:trHeight w:val="17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(143,820)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142,058</w:t>
            </w:r>
          </w:p>
        </w:tc>
      </w:tr>
      <w:tr>
        <w:trPr>
          <w:trHeight w:val="210"/>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(10,343)</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6,066</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(11,143)</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before income taxes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(140,069)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134,030</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(10,863)</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(8,393)</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(131,560)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123,167</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r>
      <w:tr>
        <w:trPr>
          <w:trHeight w:val="17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Corporation</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(8,927)</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(132,474)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123,547</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attributable to preferred shares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0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(133,885)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123,518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We reported net loss attributable to Civeo for the nine months ended September 30, 2021 of $10.4 million, or $0.73 per diluted share. As further discussed below, net loss included a $7.9 million pre-tax loss resulting from the impairment of fixed assets included in Impairment expense.</w:t>
      </w:r>
    </w:p>
    <w:p>
      <w:pPr>
        <w:spacing w:after="0" w:line="53"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We reported net loss attributable to Civeo for the nine months ended September 30, 2020 of $133.9 million, or $9.48 per diluted share. As further discussed below, net loss included (i) a $93.6 million pre-tax loss resulting from the impairment of goodwill in our Canada segment included in Impairment expense, (ii) a $38.1 million pre-tax loss resulting from the impairment of long-lived assets in our Canada segment included in Impairment expense and (iii) a $12.4 million pre-tax loss resulting from the impairment of long-lived assets in our U.S. segment included in Impairment expense. Net loss was partially offset by $4.7 million of income associated with the settlement of a representations and warranties claim related to the Noralta acquisition included in Other income.</w:t>
      </w:r>
    </w:p>
    <w:p>
      <w:pPr>
        <w:spacing w:after="0" w:line="54"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increased $38.3 million, or 10%, in the nine months ended September 30, 2021 compared to the nine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2020. This increase was primarily due to (i) higher billed rooms at our Canadian oil sands lodges related to turnaround activities by a number of customers, (ii) increased mobile asset activity from pipeline projects in Canada, (iii) increased occupancy at our Australian integrated services villages and (iv) a stronger Australian and Canadian dollar relative to the U.S. dollar in the nine months ended September 30, 2021 compared to the nine months ended September 30, 2020. These items were partially offset by (i) lower revenue at our Sitka Lodge related to the COVID-19 pandemic and the British Columbia health order affecting activity in the first half of the year, (ii) reduced food service activity in Canada, as an overflow site supporting a LNG-related project in 2020 is no longer required, (iii) decreased activity at our Bowen Basin villages and Western Australia villages and (iv) decreased activity at our U.S. wellsite and offshore businesses. See the discussion of segment results of operations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1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increased $35.4 million, or 12%, in the nine months ended September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nine months ended September 30, 2020. This increase was primarily due to (i) greater activity at our Canadian oil sands lodges related to turnaround activities by a number of customers, (ii) increased mobile asset activity from pipeline projects in Canada, (iii) increased occupancy at our Australian integrated services villages and increased cost of temporary labor due to ongoing labor shortages in Australia and (iv) a stronger Australian and Canadian dollar relative to the U.S. dollar in the nine months ended September 30, 2021 compared to the nine months ended September 30, 2020. These items were partially offset by (i) reduced activity at our Sitka Lodge related to the COVID-19 pandemic and the British Columbia health order affecting activity in the first half of the year, (ii) reduced food service activity in Canada, as an overflow site supporting a LNG-related project in 2020 is no longer required, (iii) decreased activity at our Bowen Basin villages and Western Australia villages and (iv) lower activity at our U.S. wellsite and offshore businesses. See the discussion of segment results of operations below for further information.</w:t>
      </w:r>
    </w:p>
    <w:p>
      <w:pPr>
        <w:spacing w:after="0" w:line="110"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SG&amp;A expense increased $7.3 million, or 19%, in the nine months ended September 30, 2021</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nine months ended September 30, 2020. This increase was primarily due to higher incentive compensation costs, share-based compensation expense and compensation expense, partially offset by lower professional fees. In addition, SG&amp;A expense increased approximately $2.2 million due to a stronger Australian and Canadian dollar relative to the U.S. dollar in the nine months ended September 30, 2021 compared to the nine months ended September 30, 2020. The increase in share-based compensation was due to an increase in our stock price during 2021 compared to 2020.</w:t>
      </w:r>
    </w:p>
    <w:p>
      <w:pPr>
        <w:spacing w:after="0" w:line="92"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$9.6 million, or 13%, in the nine months ended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30, 2021 compared to the nine months ended September 30, 2020. The decrease was primarily due to (i) certain assets and intangibles becoming fully depreciated during 2020, (ii) the impairment of certain long-lived assets in Canada and the U.S. during the first quarter of 2020 and (iii) the extension of the remaining life of certain long-lived assets in the U.S. during the third quarter of 2020. These items were partially offset by a stronger Australian and Canadian dollar relative to the U.S. dollar in the nine months ended September 30, 2021 compared to the nine months ended September 30, 2020.</w:t>
      </w:r>
    </w:p>
    <w:p>
      <w:pPr>
        <w:spacing w:after="0" w:line="79" w:lineRule="exact"/>
        <w:rPr>
          <w:sz w:val="20"/>
          <w:szCs w:val="20"/>
          <w:color w:val="auto"/>
        </w:rPr>
      </w:pPr>
    </w:p>
    <w:p>
      <w:pPr>
        <w:jc w:val="both"/>
        <w:ind w:firstLine="472"/>
        <w:spacing w:after="0" w:line="296"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We recorded pre-tax impairment expense of $7.9 million in the nine months ended September 30, 2021 associated with long-lived</w:t>
      </w:r>
      <w:r>
        <w:rPr>
          <w:rFonts w:ascii="Arial" w:cs="Arial" w:eastAsia="Arial" w:hAnsi="Arial"/>
          <w:sz w:val="17"/>
          <w:szCs w:val="17"/>
          <w:b w:val="1"/>
          <w:bCs w:val="1"/>
          <w:color w:val="auto"/>
        </w:rPr>
        <w:t xml:space="preserve"> </w:t>
      </w:r>
      <w:r>
        <w:rPr>
          <w:rFonts w:ascii="Arial" w:cs="Arial" w:eastAsia="Arial" w:hAnsi="Arial"/>
          <w:sz w:val="17"/>
          <w:szCs w:val="17"/>
          <w:color w:val="auto"/>
        </w:rPr>
        <w:t>assets in our Australian reporting unit.</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Impairment expense of $144.1 million in the nine months ended September 30, 2020 included the following items:</w:t>
      </w:r>
    </w:p>
    <w:p>
      <w:pPr>
        <w:spacing w:after="0" w:line="158" w:lineRule="exact"/>
        <w:rPr>
          <w:sz w:val="20"/>
          <w:szCs w:val="20"/>
          <w:color w:val="auto"/>
        </w:rPr>
      </w:pPr>
    </w:p>
    <w:p>
      <w:pPr>
        <w:ind w:left="620" w:hanging="14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Pre-tax impairment expense of $93.6 million related to the impairment of goodwill in our Canadian reporting unit.</w:t>
      </w:r>
    </w:p>
    <w:p>
      <w:pPr>
        <w:spacing w:after="0" w:line="145" w:lineRule="exact"/>
        <w:rPr>
          <w:rFonts w:ascii="Arial" w:cs="Arial" w:eastAsia="Arial" w:hAnsi="Arial"/>
          <w:sz w:val="17"/>
          <w:szCs w:val="17"/>
          <w:color w:val="auto"/>
        </w:rPr>
      </w:pPr>
    </w:p>
    <w:p>
      <w:pPr>
        <w:ind w:left="620" w:hanging="14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Pre-tax impairment expense of $38.1 million associated with long-lived assets in our Canadian reporting unit.</w:t>
      </w:r>
    </w:p>
    <w:p>
      <w:pPr>
        <w:spacing w:after="0" w:line="158" w:lineRule="exact"/>
        <w:rPr>
          <w:rFonts w:ascii="Arial" w:cs="Arial" w:eastAsia="Arial" w:hAnsi="Arial"/>
          <w:sz w:val="17"/>
          <w:szCs w:val="17"/>
          <w:color w:val="auto"/>
        </w:rPr>
      </w:pPr>
    </w:p>
    <w:p>
      <w:pPr>
        <w:ind w:left="620" w:hanging="14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Pre-tax impairment expense of $12.4 million associated with long-lived assets in our U.S. reporting unit.</w:t>
      </w:r>
    </w:p>
    <w:p>
      <w:pPr>
        <w:spacing w:after="0" w:line="158" w:lineRule="exact"/>
        <w:rPr>
          <w:sz w:val="20"/>
          <w:szCs w:val="20"/>
          <w:color w:val="auto"/>
        </w:rPr>
      </w:pPr>
    </w:p>
    <w:p>
      <w:pPr>
        <w:ind w:right="340" w:firstLine="472"/>
        <w:spacing w:after="0" w:line="289" w:lineRule="auto"/>
        <w:rPr>
          <w:sz w:val="20"/>
          <w:szCs w:val="20"/>
          <w:color w:val="auto"/>
        </w:rPr>
      </w:pPr>
      <w:r>
        <w:rPr>
          <w:rFonts w:ascii="Arial" w:cs="Arial" w:eastAsia="Arial" w:hAnsi="Arial"/>
          <w:sz w:val="17"/>
          <w:szCs w:val="17"/>
          <w:color w:val="auto"/>
        </w:rPr>
        <w:t>See Note 6 - Impairment Charges to the notes to the unaudited consolidated financial statements included in Item 1 of this quarterly report for further discussion.</w:t>
      </w:r>
    </w:p>
    <w:p>
      <w:pPr>
        <w:spacing w:after="0" w:line="178" w:lineRule="exact"/>
        <w:rPr>
          <w:sz w:val="20"/>
          <w:szCs w:val="20"/>
          <w:color w:val="auto"/>
        </w:rPr>
      </w:pPr>
    </w:p>
    <w:p>
      <w:pPr>
        <w:jc w:val="both"/>
        <w:ind w:firstLine="472"/>
        <w:spacing w:after="0" w:line="296" w:lineRule="auto"/>
        <w:rPr>
          <w:sz w:val="20"/>
          <w:szCs w:val="20"/>
          <w:color w:val="auto"/>
        </w:rPr>
      </w:pPr>
      <w:r>
        <w:rPr>
          <w:rFonts w:ascii="Arial" w:cs="Arial" w:eastAsia="Arial" w:hAnsi="Arial"/>
          <w:sz w:val="17"/>
          <w:szCs w:val="17"/>
          <w:b w:val="1"/>
          <w:bCs w:val="1"/>
          <w:color w:val="auto"/>
        </w:rPr>
        <w:t xml:space="preserve">Operating Loss. </w:t>
      </w:r>
      <w:r>
        <w:rPr>
          <w:rFonts w:ascii="Arial" w:cs="Arial" w:eastAsia="Arial" w:hAnsi="Arial"/>
          <w:sz w:val="17"/>
          <w:szCs w:val="17"/>
          <w:color w:val="auto"/>
        </w:rPr>
        <w:t>Consolidated operating loss decreased $142.1 million, or 99%, in the nine months ended September 30, 2021 compared to the nine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2020, primarily due to impairment expense of goodwill and long-lived assets in 2020.</w:t>
      </w:r>
    </w:p>
    <w:p>
      <w:pPr>
        <w:spacing w:after="0" w:line="14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7"/>
          <w:szCs w:val="17"/>
          <w:b w:val="1"/>
          <w:bCs w:val="1"/>
          <w:color w:val="auto"/>
        </w:rPr>
        <w:t xml:space="preserve">Interest Expense, net. </w:t>
      </w:r>
      <w:r>
        <w:rPr>
          <w:rFonts w:ascii="Arial" w:cs="Arial" w:eastAsia="Arial" w:hAnsi="Arial"/>
          <w:sz w:val="17"/>
          <w:szCs w:val="17"/>
          <w:color w:val="auto"/>
        </w:rPr>
        <w:t>Net interest expense decreased by $3.1 million, or 23%, in the nine months ended September 30, 2021 compared to the nine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2020, primarily related to lower average debt levels on term loan and revolving credit facility borrowings during 2021 compared to 2020.</w:t>
      </w:r>
    </w:p>
    <w:p>
      <w:pPr>
        <w:spacing w:after="0" w:line="188"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Consolidated other income decreased $11.1 million in the nine months ended September 30, 2021 compared to the nine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2020. The nine months ended September 30, 2021 included $3.5 million of other income related to proceeds from the CEWS. The nine months ended September 30, 2020 included $9.7 million of other income related to proceeds from the CEWS and $4.7 million of other income associated with the settlement of a representations and warranties claim related to the Noralta acquisition. In addition, 2020 included a higher gain on sale of assets compared to 2021.</w:t>
      </w:r>
    </w:p>
    <w:p>
      <w:pPr>
        <w:spacing w:after="0" w:line="170"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7"/>
          <w:szCs w:val="17"/>
          <w:b w:val="1"/>
          <w:bCs w:val="1"/>
          <w:color w:val="auto"/>
        </w:rPr>
        <w:t xml:space="preserve">Income Tax (Expense) Benefit. </w:t>
      </w:r>
      <w:r>
        <w:rPr>
          <w:rFonts w:ascii="Arial" w:cs="Arial" w:eastAsia="Arial" w:hAnsi="Arial"/>
          <w:sz w:val="17"/>
          <w:szCs w:val="17"/>
          <w:color w:val="auto"/>
        </w:rPr>
        <w:t>Our income tax expense for the nine months ended September 30, 2021 totaled $2.4 million, or (39.0)% of pretax loss,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an income tax benefit of $8.5 million, or 6.1% of pretax loss, for the nine months ended September 30, 2020. Our effective tax rate for both the nine months ended September 30, 2021 and 2020 was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impacted by considering Canada and the U.S. loss jurisdictions that were removed from the annual effective tax rate computation for purposes of computing the interim tax provision. Our effective tax rate for the nine months ended September 30, 2021 was impacted by an increase in the valuation allowance related to the impairment of land in Australia. Our effective tax rate for the nine months ended September 30, 2020 was impacted by a deferred tax benefit of $9.0 million, offset by a valuation allowance of $0.1 million, against the Canadian net deferred tax assets.</w:t>
      </w:r>
    </w:p>
    <w:p>
      <w:pPr>
        <w:spacing w:after="0" w:line="198"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b w:val="1"/>
          <w:bCs w:val="1"/>
          <w:color w:val="auto"/>
        </w:rPr>
        <w:t xml:space="preserve">Other Comprehensive Loss. </w:t>
      </w:r>
      <w:r>
        <w:rPr>
          <w:rFonts w:ascii="Arial" w:cs="Arial" w:eastAsia="Arial" w:hAnsi="Arial"/>
          <w:sz w:val="16"/>
          <w:szCs w:val="16"/>
          <w:color w:val="auto"/>
        </w:rPr>
        <w:t>Other comprehensive loss increased $7.4 million in the nine months ended September 30, 2021 compared to the nine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September 30, 2020, primarily as a result of foreign currency translation adjustments due to changes in the Canadian and Australian dollar exchange rates compared to the U.S. dollar. The Canadian dollar exchange rate compared to the U.S. dollar was flat in the nine months ended September 30, 2021 compared to a 3% decrease in the nine months ended September 30, 2020. The Australian dollar exchange rate compared to the U.S. dollar decreased 7% in the nine months ended September 30, 2021 compared to a 2% increase in the nine months ended September 30,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Nine Months Ended</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6"/>
        </w:trPr>
        <w:tc>
          <w:tcPr>
            <w:tcW w:w="48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7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176,800</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156,068</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20,732</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9"/>
                <w:szCs w:val="9"/>
                <w:color w:val="auto"/>
              </w:rPr>
              <w:t>(2)</w:t>
            </w: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38,240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21,715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16,525</w:t>
            </w:r>
          </w:p>
        </w:tc>
      </w:tr>
      <w:tr>
        <w:trPr>
          <w:trHeight w:val="181"/>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(3)</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14,183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26,336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(12,153)</w:t>
            </w:r>
          </w:p>
        </w:tc>
      </w:tr>
      <w:tr>
        <w:trPr>
          <w:trHeight w:val="179"/>
        </w:trPr>
        <w:tc>
          <w:tcPr>
            <w:tcW w:w="4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229,223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204,119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25,104</w:t>
            </w:r>
          </w:p>
        </w:tc>
      </w:tr>
      <w:tr>
        <w:trPr>
          <w:trHeight w:val="144"/>
        </w:trPr>
        <w:tc>
          <w:tcPr>
            <w:tcW w:w="4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Accommodation cost</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124,798</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109,143</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15,655</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cost</w:t>
            </w: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23,562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17,099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6,463</w:t>
            </w: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12,583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23,773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(11,190)</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costs</w:t>
            </w:r>
          </w:p>
        </w:tc>
        <w:tc>
          <w:tcPr>
            <w:tcW w:w="10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7,498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8,115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(617)</w:t>
            </w:r>
          </w:p>
        </w:tc>
      </w:tr>
      <w:tr>
        <w:trPr>
          <w:trHeight w:val="174"/>
        </w:trPr>
        <w:tc>
          <w:tcPr>
            <w:tcW w:w="484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168,441</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158,130</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10,311</w:t>
            </w:r>
          </w:p>
        </w:tc>
      </w:tr>
      <w:tr>
        <w:trPr>
          <w:trHeight w:val="147"/>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22.5 %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147"/>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9"/>
                <w:szCs w:val="9"/>
                <w:color w:val="auto"/>
              </w:rPr>
              <w:t>(4)</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2</w:t>
            </w:r>
          </w:p>
        </w:tc>
      </w:tr>
      <w:tr>
        <w:trPr>
          <w:trHeight w:val="147"/>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0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w w:val="89"/>
              </w:rPr>
              <w:t>1,816,407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1,626,668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189,739</w:t>
            </w:r>
          </w:p>
        </w:tc>
      </w:tr>
      <w:tr>
        <w:trPr>
          <w:trHeight w:val="147"/>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78"/>
        </w:trPr>
        <w:tc>
          <w:tcPr>
            <w:tcW w:w="484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0.799</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0.739</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0.060</w:t>
            </w:r>
          </w:p>
        </w:tc>
      </w:tr>
    </w:tbl>
    <w:p>
      <w:pPr>
        <w:spacing w:after="0" w:line="277" w:lineRule="exact"/>
        <w:rPr>
          <w:sz w:val="20"/>
          <w:szCs w:val="20"/>
          <w:color w:val="auto"/>
        </w:rPr>
      </w:pPr>
    </w:p>
    <w:p>
      <w:pPr>
        <w:ind w:left="300" w:hanging="295"/>
        <w:spacing w:after="0"/>
        <w:tabs>
          <w:tab w:leader="none" w:pos="3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4"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Our Canadian segment reported revenues in the nine months ended September 30, 2021 that were $25.1 million, or 12%, higher than the nine months ended September 30, 2020. The strengthening of the average exchange rate for the Canadian dollar relative to the U.S. dollar by 8% in the nine months ended September 30, 2021 compared to the nine months ended September 30, 2020 resulted in a $17.7 million period-over-period increase in revenues. Excluding the impact of the stronger Canadian exchange rate, the revenue increase was due to higher billed rooms at our oil sands lodges related to turnaround activities by a number of customers and by increased mobile asset activity from pipeline projects. Partially offsetting these items, revenue was lower at our Sitka Lodge related to the COVID-19 pandemic and the British Columbia health order affecting activity in the first half of the year and from reduced food services activity, as an overflow site supporting a LNG-related project in 2020 is no longer required.</w:t>
      </w:r>
    </w:p>
    <w:p>
      <w:pPr>
        <w:spacing w:after="0" w:line="195"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Canadian segment cost of sales and services increased $10.3 million, or 7%, in the nine months ended September 30, 2021 compared to the nine months ended September 30, 2020. The strengthening of the average exchange rate for the Canadian dollar relative to the U.S. dollar by 8% in the nine months ended September 30, 2021 compared to the nine months ended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September 30, 2020 resulted in a $12.7 million period-over-period increase in cost of sales and services. Excluding the impact of the stronger Canadian exchange rate, the decreased cost of sales and services was driven by reduced activity at our Sitka Lodge related to the COVID-19 pandemic and reduced food services activity, as an overflow site supporting a LNG related project in 2020 is no longer required. Partially offsetting these items, cost of sales and services increased due to greater activity at our oil sands lodges related to turnaround activities by a number of customers and by increased mobile asset activity from pipeline projects.</w:t>
      </w:r>
    </w:p>
    <w:p>
      <w:pPr>
        <w:spacing w:after="0" w:line="178"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Canadian segment gross margin as a percentage of revenues increased from 22.5% in the nine months ended September 30, 2020 to 26.5% in the nine months ended September 30, 2021. This was primarily driven by increased mobile asset activity and related operating efficiencies.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Nine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3"/>
        </w:trPr>
        <w:tc>
          <w:tcPr>
            <w:tcW w:w="47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6"/>
        </w:trPr>
        <w:tc>
          <w:tcPr>
            <w:tcW w:w="47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64"/>
        </w:trPr>
        <w:tc>
          <w:tcPr>
            <w:tcW w:w="47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1"/>
        </w:trPr>
        <w:tc>
          <w:tcPr>
            <w:tcW w:w="470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109,559</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106,988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2,571</w:t>
            </w:r>
          </w:p>
        </w:tc>
      </w:tr>
      <w:tr>
        <w:trPr>
          <w:trHeight w:val="186"/>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(2)</w:t>
            </w:r>
          </w:p>
        </w:tc>
        <w:tc>
          <w:tcPr>
            <w:tcW w:w="10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79,215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63,881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15,334</w:t>
            </w:r>
          </w:p>
        </w:tc>
      </w:tr>
      <w:tr>
        <w:trPr>
          <w:trHeight w:val="174"/>
        </w:trPr>
        <w:tc>
          <w:tcPr>
            <w:tcW w:w="470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188,774</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170,869</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17,905</w:t>
            </w:r>
          </w:p>
        </w:tc>
      </w:tr>
      <w:tr>
        <w:trPr>
          <w:trHeight w:val="212"/>
        </w:trPr>
        <w:tc>
          <w:tcPr>
            <w:tcW w:w="4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6"/>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53,538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46,665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6,873</w:t>
            </w:r>
          </w:p>
        </w:tc>
      </w:tr>
      <w:tr>
        <w:trPr>
          <w:trHeight w:val="181"/>
        </w:trPr>
        <w:tc>
          <w:tcPr>
            <w:tcW w:w="470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75,458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53,627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21,831</w:t>
            </w:r>
          </w:p>
        </w:tc>
      </w:tr>
      <w:tr>
        <w:trPr>
          <w:trHeight w:val="186"/>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5,176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2,703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2,473</w:t>
            </w:r>
          </w:p>
        </w:tc>
      </w:tr>
      <w:tr>
        <w:trPr>
          <w:trHeight w:val="174"/>
        </w:trPr>
        <w:tc>
          <w:tcPr>
            <w:tcW w:w="470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134,172</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102,995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31,177</w:t>
            </w:r>
          </w:p>
        </w:tc>
      </w:tr>
      <w:tr>
        <w:trPr>
          <w:trHeight w:val="212"/>
        </w:trPr>
        <w:tc>
          <w:tcPr>
            <w:tcW w:w="4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28.9 %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39.7 %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12"/>
        </w:trPr>
        <w:tc>
          <w:tcPr>
            <w:tcW w:w="4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9"/>
                <w:szCs w:val="9"/>
                <w:color w:val="auto"/>
              </w:rPr>
              <w:t>(3)</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7</w:t>
            </w:r>
          </w:p>
        </w:tc>
      </w:tr>
      <w:tr>
        <w:trPr>
          <w:trHeight w:val="212"/>
        </w:trPr>
        <w:tc>
          <w:tcPr>
            <w:tcW w:w="4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08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Arial" w:cs="Arial" w:eastAsia="Arial" w:hAnsi="Arial"/>
                <w:sz w:val="14"/>
                <w:szCs w:val="14"/>
                <w:color w:val="auto"/>
                <w:w w:val="86"/>
              </w:rPr>
              <w:t>1,382,182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1,487,819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(105,637)</w:t>
            </w:r>
          </w:p>
        </w:tc>
      </w:tr>
      <w:tr>
        <w:trPr>
          <w:trHeight w:val="212"/>
        </w:trPr>
        <w:tc>
          <w:tcPr>
            <w:tcW w:w="4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0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0.759</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0.677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0.082</w:t>
            </w:r>
          </w:p>
        </w:tc>
      </w:tr>
    </w:tbl>
    <w:p>
      <w:pPr>
        <w:spacing w:after="0" w:line="277" w:lineRule="exact"/>
        <w:rPr>
          <w:sz w:val="20"/>
          <w:szCs w:val="20"/>
          <w:color w:val="auto"/>
        </w:rPr>
      </w:pPr>
    </w:p>
    <w:p>
      <w:pPr>
        <w:ind w:left="300" w:hanging="295"/>
        <w:spacing w:after="0"/>
        <w:tabs>
          <w:tab w:leader="none" w:pos="30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4"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Our Australian segment reported revenues in the nine months ended September 30, 2021 that were $17.9 million, or 10%, higher than the nine months ended September 30, 2020. The strengthening of the average exchange rate for Australian dollars relative to the U.S. dollar by 12% in the nine months ended September 30, 2021 compared to the nine months ended September 30, 2020 resulted in a $20.0 million period-over-period increase in revenues. Excluding the impact of the stronger Australian exchange rate, the Australian segment experienced reduced revenue due to decreased activity at our Bowen Basin villages and Western Australia villages, partially offset by increased occupancy at our integrated services villages.</w:t>
      </w:r>
    </w:p>
    <w:p>
      <w:pPr>
        <w:spacing w:after="0" w:line="191"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Our Australian segment cost of sales and services increased $31.2 million, or 30%, in the nine months ended September 30, 2021 compared to the nine months ended September 30, 2020. The strengthening of the average exchange rate for Australian dollars relative to the U.S. dollar by 12% in the nine months ended September 30, 2021 compared to the nine months ended September 30, 2020 resulted in a $14.2 million period-over-period increase in cost of sales and services. Excluding the impact of the stronger Australian exchange rate, the increase in cost of sales and services was largely driven by increased occupancy at our integrated services villages and increased costs of temporary labor due to ongoing labor shortages.</w:t>
      </w:r>
    </w:p>
    <w:p>
      <w:pPr>
        <w:spacing w:after="0" w:line="191"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Australian segment gross margin as a percentage of revenues decreased to 28.9% in the nine months ended September 30, 2021 from 39.7% in the nine months ended September 30, 2020. This decrease was primarily driven by our integrated services business, which has a service-only business model, and therefore results in lower overall gross margins than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accommodation business. The integrated services business gross margin decrease was further exacerbated as two key client contracts transferred from construction phase to operational phase with inherently lower margins. Reduced occupancy at the Bowen Basin villages and Western Australia villages, further impacted gross margin as efficiencies were unable to be realized with a fixed cost structure at lower occupancy levels. Segment gross margin has also been negatively impacted by increased staff costs as a result of a hospitality labor shortage in Australia which has been exacerbated by state and international border closures due to COVID-19. State and international border closures have affected the number of staff available which has subsequently led to an increased reliance on more expensive temporary labor hire resources and has placed upward pressure on wages for permanent staff as competitors compete for a small pool of labor.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U.S. Segment</w:t>
      </w:r>
    </w:p>
    <w:p>
      <w:pPr>
        <w:spacing w:after="0" w:line="2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3"/>
        </w:trPr>
        <w:tc>
          <w:tcPr>
            <w:tcW w:w="30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176"/>
        </w:trPr>
        <w:tc>
          <w:tcPr>
            <w:tcW w:w="3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r>
      <w:tr>
        <w:trPr>
          <w:trHeight w:val="177"/>
        </w:trPr>
        <w:tc>
          <w:tcPr>
            <w:tcW w:w="3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Revenues ($ in thousands)</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16,672</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21,363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(4,691)</w:t>
            </w:r>
          </w:p>
        </w:tc>
        <w:tc>
          <w:tcPr>
            <w:tcW w:w="380" w:type="dxa"/>
            <w:vAlign w:val="bottom"/>
            <w:shd w:val="clear" w:color="auto" w:fill="CCEEFF"/>
          </w:tcPr>
          <w:p>
            <w:pPr>
              <w:spacing w:after="0"/>
              <w:rPr>
                <w:sz w:val="15"/>
                <w:szCs w:val="15"/>
                <w:color w:val="auto"/>
              </w:rPr>
            </w:pPr>
          </w:p>
        </w:tc>
      </w:tr>
      <w:tr>
        <w:trPr>
          <w:trHeight w:val="210"/>
        </w:trPr>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83"/>
        </w:trPr>
        <w:tc>
          <w:tcPr>
            <w:tcW w:w="302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3"/>
              </w:rPr>
              <w:t>Cost of sales and services ($ in thousands)</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16,629</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22,755</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(6,126)</w:t>
            </w:r>
          </w:p>
        </w:tc>
        <w:tc>
          <w:tcPr>
            <w:tcW w:w="380" w:type="dxa"/>
            <w:vAlign w:val="bottom"/>
            <w:shd w:val="clear" w:color="auto" w:fill="CCEEFF"/>
          </w:tcPr>
          <w:p>
            <w:pPr>
              <w:spacing w:after="0"/>
              <w:rPr>
                <w:sz w:val="15"/>
                <w:szCs w:val="15"/>
                <w:color w:val="auto"/>
              </w:rPr>
            </w:pPr>
          </w:p>
        </w:tc>
      </w:tr>
      <w:tr>
        <w:trPr>
          <w:trHeight w:val="210"/>
        </w:trPr>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83"/>
        </w:trPr>
        <w:tc>
          <w:tcPr>
            <w:tcW w:w="3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Gross margin as a % of revenues</w:t>
            </w:r>
          </w:p>
        </w:tc>
        <w:tc>
          <w:tcPr>
            <w:tcW w:w="9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0.3</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(6.5)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6.8</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89"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U.S. segment reported revenues in the nine months ended September 30, 2021 that were $4.7 million, or 22%, lower than the nine months ended September 30, 2020. This decrease was due to reduced U.S. drilling activity affecting our wellsite business and reduced activity in our offshore fabrication business as a number of projects were completed in 2020 that did not recur to the same extent in 2021. These decreases were partially offset by increased activity at our West Permian, Killdeer and Acadian Acres lodges.</w:t>
      </w:r>
    </w:p>
    <w:p>
      <w:pPr>
        <w:spacing w:after="0" w:line="178"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U.S. segment cost of sales and services decreased $6.1 million, or 27%, in the nine months ended September 30, 2021 compared to the nine months ended September 30, 2020. This decrease was due to reduced U.S. drilling activity affecting our wellsite business, reduced activity in our offshore fabrication business as a number of projects were completed in 2020 that did not recur to the same extent in 2021 and reduced costs at our West Permian lodge under a new customer contract.</w:t>
      </w:r>
    </w:p>
    <w:p>
      <w:pPr>
        <w:spacing w:after="0" w:line="204"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U.S. segment gross margin as a percentage of revenues increased 6.8% from the nine months ended September 30, 2020 to the nine months ended September 30, 2021, primarily due to improved margins at our West Permian lodge under a new customer contract and in our offshore business from product sales, partially offset by reduced operating efficiencies at lower activity levels in our wellsite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and fund strategic business acquisitions.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consolidated liquidity position as of September 30, 2021 and December 31, 2020 (in thousands):</w:t>
      </w:r>
    </w:p>
    <w:p>
      <w:pPr>
        <w:spacing w:after="0" w:line="43" w:lineRule="exact"/>
        <w:rPr>
          <w:sz w:val="20"/>
          <w:szCs w:val="20"/>
          <w:color w:val="auto"/>
        </w:rPr>
      </w:pPr>
    </w:p>
    <w:tbl>
      <w:tblPr>
        <w:tblLayout w:type="fixed"/>
        <w:tblInd w:w="48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640" w:type="dxa"/>
            <w:vAlign w:val="bottom"/>
          </w:tcPr>
          <w:p>
            <w:pPr>
              <w:spacing w:after="0"/>
              <w:rPr>
                <w:sz w:val="16"/>
                <w:szCs w:val="16"/>
                <w:color w:val="auto"/>
              </w:rPr>
            </w:pPr>
          </w:p>
        </w:tc>
        <w:tc>
          <w:tcPr>
            <w:tcW w:w="1500" w:type="dxa"/>
            <w:vAlign w:val="bottom"/>
          </w:tcPr>
          <w:p>
            <w:pPr>
              <w:jc w:val="right"/>
              <w:ind w:right="210"/>
              <w:spacing w:after="0"/>
              <w:rPr>
                <w:sz w:val="20"/>
                <w:szCs w:val="20"/>
                <w:color w:val="auto"/>
              </w:rPr>
            </w:pPr>
            <w:r>
              <w:rPr>
                <w:rFonts w:ascii="Arial" w:cs="Arial" w:eastAsia="Arial" w:hAnsi="Arial"/>
                <w:sz w:val="14"/>
                <w:szCs w:val="14"/>
                <w:b w:val="1"/>
                <w:bCs w:val="1"/>
                <w:color w:val="auto"/>
                <w:w w:val="95"/>
              </w:rPr>
              <w:t>December 31, 2020</w:t>
            </w:r>
          </w:p>
        </w:tc>
      </w:tr>
      <w:tr>
        <w:trPr>
          <w:trHeight w:val="182"/>
        </w:trPr>
        <w:tc>
          <w:tcPr>
            <w:tcW w:w="63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Lender commitments</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200,000</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167,300</w:t>
            </w:r>
          </w:p>
        </w:tc>
      </w:tr>
      <w:tr>
        <w:trPr>
          <w:trHeight w:val="181"/>
        </w:trPr>
        <w:tc>
          <w:tcPr>
            <w:tcW w:w="6360" w:type="dxa"/>
            <w:vAlign w:val="bottom"/>
          </w:tcPr>
          <w:p>
            <w:pPr>
              <w:ind w:left="600"/>
              <w:spacing w:after="0"/>
              <w:rPr>
                <w:sz w:val="20"/>
                <w:szCs w:val="20"/>
                <w:color w:val="auto"/>
              </w:rPr>
            </w:pPr>
            <w:r>
              <w:rPr>
                <w:rFonts w:ascii="Arial" w:cs="Arial" w:eastAsia="Arial" w:hAnsi="Arial"/>
                <w:sz w:val="14"/>
                <w:szCs w:val="14"/>
                <w:color w:val="auto"/>
              </w:rPr>
              <w:t>Borrowings against revolving credit capacity</w:t>
            </w:r>
          </w:p>
        </w:tc>
        <w:tc>
          <w:tcPr>
            <w:tcW w:w="6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(124,595)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(63,556)</w:t>
            </w:r>
          </w:p>
        </w:tc>
      </w:tr>
      <w:tr>
        <w:trPr>
          <w:trHeight w:val="186"/>
        </w:trPr>
        <w:tc>
          <w:tcPr>
            <w:tcW w:w="63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Outstanding letters of credit</w:t>
            </w:r>
          </w:p>
        </w:tc>
        <w:tc>
          <w:tcPr>
            <w:tcW w:w="6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(4,487)</w:t>
            </w:r>
          </w:p>
        </w:tc>
      </w:tr>
      <w:tr>
        <w:trPr>
          <w:trHeight w:val="174"/>
        </w:trPr>
        <w:tc>
          <w:tcPr>
            <w:tcW w:w="6360" w:type="dxa"/>
            <w:vAlign w:val="bottom"/>
          </w:tcPr>
          <w:p>
            <w:pPr>
              <w:ind w:left="500"/>
              <w:spacing w:after="0"/>
              <w:rPr>
                <w:sz w:val="20"/>
                <w:szCs w:val="20"/>
                <w:color w:val="auto"/>
              </w:rPr>
            </w:pPr>
            <w:r>
              <w:rPr>
                <w:rFonts w:ascii="Arial" w:cs="Arial" w:eastAsia="Arial" w:hAnsi="Arial"/>
                <w:sz w:val="14"/>
                <w:szCs w:val="14"/>
                <w:color w:val="auto"/>
              </w:rPr>
              <w:t>Unused availability</w:t>
            </w:r>
          </w:p>
        </w:tc>
        <w:tc>
          <w:tcPr>
            <w:tcW w:w="64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Arial" w:cs="Arial" w:eastAsia="Arial" w:hAnsi="Arial"/>
                <w:sz w:val="14"/>
                <w:szCs w:val="14"/>
                <w:color w:val="auto"/>
              </w:rPr>
              <w:t>73,264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99,257</w:t>
            </w:r>
          </w:p>
        </w:tc>
      </w:tr>
      <w:tr>
        <w:trPr>
          <w:trHeight w:val="183"/>
        </w:trPr>
        <w:tc>
          <w:tcPr>
            <w:tcW w:w="6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6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4,948</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6,155</w:t>
            </w:r>
          </w:p>
        </w:tc>
      </w:tr>
      <w:tr>
        <w:trPr>
          <w:trHeight w:val="179"/>
        </w:trPr>
        <w:tc>
          <w:tcPr>
            <w:tcW w:w="6360" w:type="dxa"/>
            <w:vAlign w:val="bottom"/>
          </w:tcPr>
          <w:p>
            <w:pPr>
              <w:ind w:left="500"/>
              <w:spacing w:after="0"/>
              <w:rPr>
                <w:sz w:val="20"/>
                <w:szCs w:val="20"/>
                <w:color w:val="auto"/>
              </w:rPr>
            </w:pPr>
            <w:r>
              <w:rPr>
                <w:rFonts w:ascii="Arial" w:cs="Arial" w:eastAsia="Arial" w:hAnsi="Arial"/>
                <w:sz w:val="14"/>
                <w:szCs w:val="14"/>
                <w:color w:val="auto"/>
              </w:rPr>
              <w:t>Total available liquidity</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78,212</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105,412</w:t>
            </w: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20"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Cash totaling $63.2 million was provided by operations during the nine months ended September 30, 2021, compared to $80.7 million provided by operations during the nine months ended September 30, 2020. During the nine months ended September 30, 2021 and 2020, $5.0 million was used in working capital and $4.6 million was provided by working capital, respectively. The decrease in cash provided by working capital in 2021 compared to 2020 is largely due to increased accounts receivable balances, partially offset by increased accounts payable and accrual balances.</w:t>
      </w:r>
    </w:p>
    <w:p>
      <w:pPr>
        <w:spacing w:after="0" w:line="204"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Cash was used in investing activities during the nine months ended September 30, 2021 in the amount of $2.1 million, compared to cash provided by investing activities during the nine months ended September 30, 2020 in the amount of $1.7 million. The decrease in cash provided by investing activities was primarily due to $4.7 million of other income associated with the settlement of a representations and warranties claim related to the Noralta acquisition and lower capital expenditures during the nine months ended September 30, 2020, partially offset by higher proceeds from the sale of our manufacturing facility and mobile assets in Canada during the nine months ended September 30, 2021. Capital expenditures totaled $9.6 million and $6.2 million during the nine months ended September 30, 2021 and 2020, respectively.</w:t>
      </w:r>
    </w:p>
    <w:p>
      <w:pPr>
        <w:spacing w:after="0" w:line="208"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We expect our capital expenditures for 2021, exclusive of any business acquisitions or any growth capital expenditures, to be approximately $20 million, which excludes any unannounced and uncommitted projects, the spending for which is contingent on obtaining customer contracts. Whether planned expenditures will actually be spent in 2021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We continue to monitor the COVID-19 global pandemic and the responses thereto, the global economy, the prices of and demand for crude oil, met coal and iron ore and the resultant impact on the capital spending plans of our customers in order to plan our business activities, and we may adjust our capital expenditure plans in the future.</w:t>
      </w:r>
    </w:p>
    <w:p>
      <w:pPr>
        <w:spacing w:after="0" w:line="16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Net cash of $61.1 million was used in financing activities during the nine months ended September 30, 2021 primarily due to repayments of term loan borrowings of $117.6 million, $1.1 million used to settle tax obligations on vested shares under our share-based compensation plans, debt issuance costs of $4.4 million and $0.4 million used to repurchase our common shares, partially offset by net borrowings under our revolving credit facilities of $62.5 million. Net cash of $79.6 million was used in financing activities during the nine months ended September 30, 2020 primarily due to net repayments under our revolving credit facilities of $44.5 million, repayments of term loan borrowings of $31.1 million, $1.5 million used to settle tax obligations on vested shares under our share-based compensation plans and debt issuance costs of $2.6 million.</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debt outstanding during the nine months ended September 30, 2021 (in thousands):</w:t>
      </w:r>
    </w:p>
    <w:p>
      <w:pPr>
        <w:spacing w:after="0" w:line="328" w:lineRule="exact"/>
        <w:rPr>
          <w:sz w:val="20"/>
          <w:szCs w:val="20"/>
          <w:color w:val="auto"/>
        </w:rPr>
      </w:pPr>
    </w:p>
    <w:tbl>
      <w:tblPr>
        <w:tblLayout w:type="fixed"/>
        <w:tblInd w:w="2460" w:type="dxa"/>
        <w:tblCellMar>
          <w:top w:w="0" w:type="dxa"/>
          <w:left w:w="0" w:type="dxa"/>
          <w:bottom w:w="0" w:type="dxa"/>
          <w:right w:w="0" w:type="dxa"/>
        </w:tblCellMar>
      </w:tblPr>
      <w:tr>
        <w:trPr>
          <w:trHeight w:val="183"/>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251,086</w:t>
            </w:r>
          </w:p>
        </w:tc>
      </w:tr>
      <w:tr>
        <w:trPr>
          <w:trHeight w:val="181"/>
        </w:trPr>
        <w:tc>
          <w:tcPr>
            <w:tcW w:w="4960" w:type="dxa"/>
            <w:vAlign w:val="bottom"/>
          </w:tcPr>
          <w:p>
            <w:pPr>
              <w:ind w:left="120"/>
              <w:spacing w:after="0"/>
              <w:rPr>
                <w:sz w:val="20"/>
                <w:szCs w:val="20"/>
                <w:color w:val="auto"/>
              </w:rPr>
            </w:pPr>
            <w:r>
              <w:rPr>
                <w:rFonts w:ascii="Arial" w:cs="Arial" w:eastAsia="Arial" w:hAnsi="Arial"/>
                <w:sz w:val="14"/>
                <w:szCs w:val="14"/>
                <w:color w:val="auto"/>
              </w:rPr>
              <w:t>Borrowings under revolving credit facilities</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367,622</w:t>
            </w:r>
          </w:p>
        </w:tc>
      </w:tr>
      <w:tr>
        <w:trPr>
          <w:trHeight w:val="186"/>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Repayments of borrowings under revolving credit facilities</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(305,148)</w:t>
            </w:r>
          </w:p>
        </w:tc>
      </w:tr>
      <w:tr>
        <w:trPr>
          <w:trHeight w:val="181"/>
        </w:trPr>
        <w:tc>
          <w:tcPr>
            <w:tcW w:w="4960" w:type="dxa"/>
            <w:vAlign w:val="bottom"/>
          </w:tcPr>
          <w:p>
            <w:pPr>
              <w:ind w:left="120"/>
              <w:spacing w:after="0"/>
              <w:rPr>
                <w:sz w:val="20"/>
                <w:szCs w:val="20"/>
                <w:color w:val="auto"/>
              </w:rPr>
            </w:pPr>
            <w:r>
              <w:rPr>
                <w:rFonts w:ascii="Arial" w:cs="Arial" w:eastAsia="Arial" w:hAnsi="Arial"/>
                <w:sz w:val="14"/>
                <w:szCs w:val="14"/>
                <w:color w:val="auto"/>
              </w:rPr>
              <w:t>Repayments of term loans</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(117,595)</w:t>
            </w:r>
          </w:p>
        </w:tc>
      </w:tr>
      <w:tr>
        <w:trPr>
          <w:trHeight w:val="183"/>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w:t>
            </w: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r>
      <w:tr>
        <w:trPr>
          <w:trHeight w:val="179"/>
        </w:trPr>
        <w:tc>
          <w:tcPr>
            <w:tcW w:w="496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195,237</w:t>
            </w:r>
          </w:p>
        </w:tc>
      </w:tr>
      <w:tr>
        <w:trPr>
          <w:trHeight w:val="20"/>
        </w:trPr>
        <w:tc>
          <w:tcPr>
            <w:tcW w:w="4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79"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in the coming 12 months. If our plans or assumptions change, including as a result of the impact of COVID-19 or the decline in the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burden on our results of operations and financial condition, and the issuance of additional equity securities could result in significant dilution to shareholders.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Credit Agreement</w:t>
      </w:r>
    </w:p>
    <w:p>
      <w:pPr>
        <w:spacing w:after="0" w:line="25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As of December 31, 2020, our Amended and Restated Credit Agreement provided for: (i)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(C) a $35.0 million senior secured revolving credit facility in favor of one of our Australian subsidiaries, as borrower; and (D) a $194.8 million term loan facility scheduled to mature on May 30, 2023 for certain lenders in favor of Civeo.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Syndicated Facility Agreement</w:t>
      </w:r>
    </w:p>
    <w:p>
      <w:pPr>
        <w:spacing w:after="0" w:line="256"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On September 8, 2021, we entered into a new Syndicated Facility Agreement (Credit Agreement), which, among other things, as compared to the Amended and Restated Credit Agreement outstanding prior to the effectiveness of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In addition, it provided for a C$100.0 million term loan facility scheduled to be fully repaid on December 31, 2023 for certain lenders in favor of Civeo.</w:t>
      </w:r>
    </w:p>
    <w:p>
      <w:pPr>
        <w:spacing w:after="0" w:line="208"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As of September 30, 2021, we had outstanding letters of credit of $0.9 million under the U.S. facility, zero under the Australian facility and $1.2 million under the Canadian facility. We also had outstanding bank guarantees of A$0.8 million under the Australian facility.</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Note 9 – Debt to the notes to the unaudited consolidated financial statements included in Item 1 of this quarterly report for further discussion.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6"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195"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September 30, 2021, thereby increasing the liquidation preference to $10,723 per share as of September 30, 2021. We currently expect to pay dividends on the preferred shares for the foreseeable future through an increase in liquidation preference rather than cash.</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we had no off-balance sheet arrangements as defined in Item 303(a)(4)(ii) of Regulation S-K.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For additional information about our contractual obligations, refer to “Liquidity and Capital Resources—Contractual Obligations” in our Annual Report on Form 10-K for the year ended December 31, 2020. As of September 30, 2021, except for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net repayments under our revolving credit facilities, there were no material changes to the disclosure regarding our contractual obligations made in our Annual Report on Form 10-K for the year ended December 31, 2020.</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3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2020.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principal market risks are our exposure to changes in interest rates and foreign currency exchange rates.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September 30, 2021, we had $195.2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$2.0 million annually, based on our floating-rate debt obligations and interest rates in effect as of September 30, 2021.</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30" w:lineRule="exact"/>
        <w:rPr>
          <w:sz w:val="20"/>
          <w:szCs w:val="20"/>
          <w:color w:val="auto"/>
        </w:rPr>
      </w:pPr>
    </w:p>
    <w:p>
      <w:pPr>
        <w:jc w:val="both"/>
        <w:ind w:firstLine="472"/>
        <w:spacing w:after="0" w:line="27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C$176 million and A$267 million, respectively, at September 30, 2021. We use a sensitivity analysis model to measure the impact of a 10% adverse movement of foreign currency exchange rates against the United States dollar. A hypothetical 10% adverse change in the value of the Canadian dollar and Australian dollar relative to the U.S. dollar as of September 30, 2021 would result in translation adjustments of approximately $18 million and $27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jc w:val="both"/>
        <w:ind w:firstLine="472"/>
        <w:spacing w:after="0" w:line="302"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2021, at the reasonable assurance level.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0" w:lineRule="exact"/>
        <w:rPr>
          <w:sz w:val="20"/>
          <w:szCs w:val="20"/>
          <w:color w:val="auto"/>
        </w:rPr>
      </w:pPr>
    </w:p>
    <w:p>
      <w:pPr>
        <w:jc w:val="both"/>
        <w:ind w:firstLine="472"/>
        <w:spacing w:after="0" w:line="359" w:lineRule="auto"/>
        <w:rPr>
          <w:sz w:val="20"/>
          <w:szCs w:val="20"/>
          <w:color w:val="auto"/>
        </w:rPr>
      </w:pPr>
      <w:r>
        <w:rPr>
          <w:rFonts w:ascii="Arial" w:cs="Arial" w:eastAsia="Arial" w:hAnsi="Arial"/>
          <w:sz w:val="15"/>
          <w:szCs w:val="15"/>
          <w:color w:val="auto"/>
        </w:rPr>
        <w:t>During the three months ended September 30, 2021,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1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PART II --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30"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For additional information about our risk factors, you should carefully read the section entitled "Risk Factors” included in our Annual Report on Form 10-K for the year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purchases of our common shares during the three months ended September 30, 2021.</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1640" w:type="dxa"/>
            <w:vAlign w:val="bottom"/>
          </w:tcPr>
          <w:p>
            <w:pPr>
              <w:jc w:val="right"/>
              <w:ind w:right="161"/>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5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80" w:type="dxa"/>
            <w:vAlign w:val="bottom"/>
          </w:tcPr>
          <w:p>
            <w:pPr>
              <w:jc w:val="center"/>
              <w:ind w:left="1"/>
              <w:spacing w:after="0" w:line="158" w:lineRule="exact"/>
              <w:rPr>
                <w:sz w:val="20"/>
                <w:szCs w:val="20"/>
                <w:color w:val="auto"/>
              </w:rPr>
            </w:pPr>
            <w:r>
              <w:rPr>
                <w:rFonts w:ascii="Arial" w:cs="Arial" w:eastAsia="Arial" w:hAnsi="Arial"/>
                <w:sz w:val="16"/>
                <w:szCs w:val="16"/>
                <w:b w:val="1"/>
                <w:bCs w:val="1"/>
                <w:color w:val="auto"/>
                <w:w w:val="84"/>
              </w:rPr>
              <w:t>shares purchased as</w:t>
            </w:r>
          </w:p>
        </w:tc>
        <w:tc>
          <w:tcPr>
            <w:tcW w:w="16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number of shares that</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8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Average Price Paid</w:t>
            </w:r>
          </w:p>
        </w:tc>
        <w:tc>
          <w:tcPr>
            <w:tcW w:w="1780" w:type="dxa"/>
            <w:vAlign w:val="bottom"/>
          </w:tcPr>
          <w:p>
            <w:pPr>
              <w:jc w:val="center"/>
              <w:ind w:left="21"/>
              <w:spacing w:after="0" w:line="158" w:lineRule="exact"/>
              <w:rPr>
                <w:sz w:val="20"/>
                <w:szCs w:val="20"/>
                <w:color w:val="auto"/>
              </w:rPr>
            </w:pPr>
            <w:r>
              <w:rPr>
                <w:rFonts w:ascii="Arial" w:cs="Arial" w:eastAsia="Arial" w:hAnsi="Arial"/>
                <w:sz w:val="16"/>
                <w:szCs w:val="16"/>
                <w:b w:val="1"/>
                <w:bCs w:val="1"/>
                <w:color w:val="auto"/>
                <w:w w:val="90"/>
              </w:rPr>
              <w:t>part of publicly</w:t>
            </w:r>
          </w:p>
        </w:tc>
        <w:tc>
          <w:tcPr>
            <w:tcW w:w="16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may yet be purchased</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540" w:type="dxa"/>
            <w:vAlign w:val="bottom"/>
          </w:tcPr>
          <w:p>
            <w:pPr>
              <w:jc w:val="right"/>
              <w:ind w:right="179"/>
              <w:spacing w:after="0" w:line="158" w:lineRule="exact"/>
              <w:rPr>
                <w:sz w:val="20"/>
                <w:szCs w:val="20"/>
                <w:color w:val="auto"/>
              </w:rPr>
            </w:pPr>
            <w:r>
              <w:rPr>
                <w:rFonts w:ascii="Arial" w:cs="Arial" w:eastAsia="Arial" w:hAnsi="Arial"/>
                <w:sz w:val="16"/>
                <w:szCs w:val="16"/>
                <w:b w:val="1"/>
                <w:bCs w:val="1"/>
                <w:color w:val="auto"/>
                <w:w w:val="91"/>
              </w:rPr>
              <w:t>Number of Shares</w:t>
            </w:r>
          </w:p>
        </w:tc>
        <w:tc>
          <w:tcPr>
            <w:tcW w:w="62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780" w:type="dxa"/>
            <w:vAlign w:val="bottom"/>
          </w:tcPr>
          <w:p>
            <w:pPr>
              <w:jc w:val="center"/>
              <w:ind w:left="21"/>
              <w:spacing w:after="0" w:line="158" w:lineRule="exact"/>
              <w:rPr>
                <w:sz w:val="20"/>
                <w:szCs w:val="20"/>
                <w:color w:val="auto"/>
              </w:rPr>
            </w:pPr>
            <w:r>
              <w:rPr>
                <w:rFonts w:ascii="Arial" w:cs="Arial" w:eastAsia="Arial" w:hAnsi="Arial"/>
                <w:sz w:val="16"/>
                <w:szCs w:val="16"/>
                <w:b w:val="1"/>
                <w:bCs w:val="1"/>
                <w:color w:val="auto"/>
                <w:w w:val="86"/>
              </w:rPr>
              <w:t>announced plans or</w:t>
            </w:r>
          </w:p>
        </w:tc>
        <w:tc>
          <w:tcPr>
            <w:tcW w:w="16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under the plans or</w:t>
            </w:r>
          </w:p>
        </w:tc>
        <w:tc>
          <w:tcPr>
            <w:tcW w:w="0" w:type="dxa"/>
            <w:vAlign w:val="bottom"/>
          </w:tcPr>
          <w:p>
            <w:pPr>
              <w:spacing w:after="0"/>
              <w:rPr>
                <w:sz w:val="1"/>
                <w:szCs w:val="1"/>
                <w:color w:val="auto"/>
              </w:rPr>
            </w:pPr>
          </w:p>
        </w:tc>
      </w:tr>
      <w:tr>
        <w:trPr>
          <w:trHeight w:val="207"/>
        </w:trPr>
        <w:tc>
          <w:tcPr>
            <w:tcW w:w="3100" w:type="dxa"/>
            <w:vAlign w:val="bottom"/>
          </w:tcPr>
          <w:p>
            <w:pPr>
              <w:spacing w:after="0"/>
              <w:rPr>
                <w:sz w:val="17"/>
                <w:szCs w:val="17"/>
                <w:color w:val="auto"/>
              </w:rPr>
            </w:pPr>
          </w:p>
        </w:tc>
        <w:tc>
          <w:tcPr>
            <w:tcW w:w="1540" w:type="dxa"/>
            <w:vAlign w:val="bottom"/>
          </w:tcPr>
          <w:p>
            <w:pPr>
              <w:jc w:val="right"/>
              <w:ind w:right="439"/>
              <w:spacing w:after="0"/>
              <w:rPr>
                <w:sz w:val="20"/>
                <w:szCs w:val="20"/>
                <w:color w:val="auto"/>
              </w:rPr>
            </w:pPr>
            <w:r>
              <w:rPr>
                <w:rFonts w:ascii="Arial" w:cs="Arial" w:eastAsia="Arial" w:hAnsi="Arial"/>
                <w:sz w:val="16"/>
                <w:szCs w:val="16"/>
                <w:b w:val="1"/>
                <w:bCs w:val="1"/>
                <w:color w:val="auto"/>
              </w:rPr>
              <w:t>Purchased</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ind w:right="740"/>
              <w:spacing w:after="0"/>
              <w:rPr>
                <w:sz w:val="20"/>
                <w:szCs w:val="20"/>
                <w:color w:val="auto"/>
              </w:rPr>
            </w:pPr>
            <w:r>
              <w:rPr>
                <w:rFonts w:ascii="Arial" w:cs="Arial" w:eastAsia="Arial" w:hAnsi="Arial"/>
                <w:sz w:val="16"/>
                <w:szCs w:val="16"/>
                <w:b w:val="1"/>
                <w:bCs w:val="1"/>
                <w:color w:val="auto"/>
                <w:w w:val="92"/>
              </w:rPr>
              <w:t>per Share</w:t>
            </w:r>
          </w:p>
        </w:tc>
        <w:tc>
          <w:tcPr>
            <w:tcW w:w="1780" w:type="dxa"/>
            <w:vAlign w:val="bottom"/>
          </w:tcPr>
          <w:p>
            <w:pPr>
              <w:jc w:val="center"/>
              <w:ind w:left="21"/>
              <w:spacing w:after="0"/>
              <w:rPr>
                <w:sz w:val="20"/>
                <w:szCs w:val="20"/>
                <w:color w:val="auto"/>
              </w:rPr>
            </w:pPr>
            <w:r>
              <w:rPr>
                <w:rFonts w:ascii="Arial" w:cs="Arial" w:eastAsia="Arial" w:hAnsi="Arial"/>
                <w:sz w:val="16"/>
                <w:szCs w:val="16"/>
                <w:b w:val="1"/>
                <w:bCs w:val="1"/>
                <w:color w:val="auto"/>
                <w:w w:val="86"/>
              </w:rPr>
              <w:t>programs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July 1, 2021 - July 31, 2021</w:t>
            </w:r>
          </w:p>
        </w:tc>
        <w:tc>
          <w:tcPr>
            <w:tcW w:w="15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100" w:type="dxa"/>
            <w:vAlign w:val="bottom"/>
          </w:tcPr>
          <w:p>
            <w:pPr>
              <w:ind w:left="480"/>
              <w:spacing w:after="0"/>
              <w:rPr>
                <w:sz w:val="20"/>
                <w:szCs w:val="20"/>
                <w:color w:val="auto"/>
              </w:rPr>
            </w:pPr>
            <w:r>
              <w:rPr>
                <w:rFonts w:ascii="Arial" w:cs="Arial" w:eastAsia="Arial" w:hAnsi="Arial"/>
                <w:sz w:val="16"/>
                <w:szCs w:val="16"/>
                <w:color w:val="auto"/>
              </w:rPr>
              <w:t>August 1, 2021 - August 31, 2021</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3100" w:type="dxa"/>
            <w:vAlign w:val="bottom"/>
            <w:vMerge w:val="restart"/>
            <w:shd w:val="clear" w:color="auto" w:fill="CCEEFF"/>
          </w:tcPr>
          <w:p>
            <w:pPr>
              <w:ind w:left="480"/>
              <w:spacing w:after="0"/>
              <w:rPr>
                <w:sz w:val="20"/>
                <w:szCs w:val="20"/>
                <w:color w:val="auto"/>
              </w:rPr>
            </w:pPr>
            <w:r>
              <w:rPr>
                <w:rFonts w:ascii="Arial" w:cs="Arial" w:eastAsia="Arial" w:hAnsi="Arial"/>
                <w:sz w:val="16"/>
                <w:szCs w:val="16"/>
                <w:color w:val="auto"/>
                <w:w w:val="88"/>
              </w:rPr>
              <w:t>September 1, 2021 - September 30, 2021</w:t>
            </w:r>
          </w:p>
        </w:tc>
        <w:tc>
          <w:tcPr>
            <w:tcW w:w="1540" w:type="dxa"/>
            <w:vAlign w:val="bottom"/>
            <w:vMerge w:val="restart"/>
            <w:shd w:val="clear" w:color="auto" w:fill="CCEEFF"/>
          </w:tcPr>
          <w:p>
            <w:pPr>
              <w:jc w:val="right"/>
              <w:ind w:right="219"/>
              <w:spacing w:after="0"/>
              <w:rPr>
                <w:sz w:val="20"/>
                <w:szCs w:val="20"/>
                <w:color w:val="auto"/>
              </w:rPr>
            </w:pPr>
            <w:r>
              <w:rPr>
                <w:rFonts w:ascii="Arial" w:cs="Arial" w:eastAsia="Arial" w:hAnsi="Arial"/>
                <w:sz w:val="17"/>
                <w:szCs w:val="17"/>
                <w:color w:val="auto"/>
              </w:rPr>
              <w:t>20,105</w:t>
            </w:r>
          </w:p>
        </w:tc>
        <w:tc>
          <w:tcPr>
            <w:tcW w:w="620" w:type="dxa"/>
            <w:vAlign w:val="bottom"/>
            <w:shd w:val="clear" w:color="auto" w:fill="CCEEFF"/>
          </w:tcPr>
          <w:p>
            <w:pPr>
              <w:jc w:val="right"/>
              <w:ind w:right="216"/>
              <w:spacing w:after="0"/>
              <w:rPr>
                <w:sz w:val="20"/>
                <w:szCs w:val="20"/>
                <w:color w:val="auto"/>
              </w:rPr>
            </w:pPr>
            <w:r>
              <w:rPr>
                <w:rFonts w:ascii="Arial" w:cs="Arial" w:eastAsia="Arial" w:hAnsi="Arial"/>
                <w:sz w:val="9"/>
                <w:szCs w:val="9"/>
                <w:color w:val="auto"/>
              </w:rPr>
              <w:t>(1)</w:t>
            </w:r>
          </w:p>
        </w:tc>
        <w:tc>
          <w:tcPr>
            <w:tcW w:w="360" w:type="dxa"/>
            <w:vAlign w:val="bottom"/>
            <w:vMerge w:val="restart"/>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1520" w:type="dxa"/>
            <w:vAlign w:val="bottom"/>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22.08</w:t>
            </w:r>
          </w:p>
        </w:tc>
        <w:tc>
          <w:tcPr>
            <w:tcW w:w="1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20,105</w:t>
            </w:r>
          </w:p>
        </w:tc>
        <w:tc>
          <w:tcPr>
            <w:tcW w:w="1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695,709</w:t>
            </w:r>
          </w:p>
        </w:tc>
        <w:tc>
          <w:tcPr>
            <w:tcW w:w="0" w:type="dxa"/>
            <w:vAlign w:val="bottom"/>
          </w:tcPr>
          <w:p>
            <w:pPr>
              <w:spacing w:after="0"/>
              <w:rPr>
                <w:sz w:val="1"/>
                <w:szCs w:val="1"/>
                <w:color w:val="auto"/>
              </w:rPr>
            </w:pPr>
          </w:p>
        </w:tc>
      </w:tr>
      <w:tr>
        <w:trPr>
          <w:trHeight w:val="105"/>
        </w:trPr>
        <w:tc>
          <w:tcPr>
            <w:tcW w:w="310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78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00" w:type="dxa"/>
            <w:vAlign w:val="bottom"/>
          </w:tcPr>
          <w:p>
            <w:pPr>
              <w:ind w:left="480"/>
              <w:spacing w:after="0"/>
              <w:rPr>
                <w:sz w:val="20"/>
                <w:szCs w:val="20"/>
                <w:color w:val="auto"/>
              </w:rPr>
            </w:pPr>
            <w:r>
              <w:rPr>
                <w:rFonts w:ascii="Arial" w:cs="Arial" w:eastAsia="Arial" w:hAnsi="Arial"/>
                <w:sz w:val="16"/>
                <w:szCs w:val="16"/>
                <w:color w:val="auto"/>
              </w:rPr>
              <w:t>Total</w:t>
            </w:r>
          </w:p>
        </w:tc>
        <w:tc>
          <w:tcPr>
            <w:tcW w:w="1540" w:type="dxa"/>
            <w:vAlign w:val="bottom"/>
          </w:tcPr>
          <w:p>
            <w:pPr>
              <w:jc w:val="right"/>
              <w:ind w:right="219"/>
              <w:spacing w:after="0"/>
              <w:rPr>
                <w:sz w:val="20"/>
                <w:szCs w:val="20"/>
                <w:color w:val="auto"/>
              </w:rPr>
            </w:pPr>
            <w:r>
              <w:rPr>
                <w:rFonts w:ascii="Arial" w:cs="Arial" w:eastAsia="Arial" w:hAnsi="Arial"/>
                <w:sz w:val="17"/>
                <w:szCs w:val="17"/>
                <w:color w:val="auto"/>
              </w:rPr>
              <w:t>20,105</w:t>
            </w:r>
          </w:p>
        </w:tc>
        <w:tc>
          <w:tcPr>
            <w:tcW w:w="620" w:type="dxa"/>
            <w:vAlign w:val="bottom"/>
          </w:tcPr>
          <w:p>
            <w:pPr>
              <w:spacing w:after="0"/>
              <w:rPr>
                <w:sz w:val="19"/>
                <w:szCs w:val="19"/>
                <w:color w:val="auto"/>
              </w:rPr>
            </w:pPr>
          </w:p>
        </w:tc>
        <w:tc>
          <w:tcPr>
            <w:tcW w:w="360" w:type="dxa"/>
            <w:vAlign w:val="bottom"/>
          </w:tcPr>
          <w:p>
            <w:pPr>
              <w:ind w:left="260"/>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80"/>
              <w:spacing w:after="0"/>
              <w:rPr>
                <w:sz w:val="20"/>
                <w:szCs w:val="20"/>
                <w:color w:val="auto"/>
              </w:rPr>
            </w:pPr>
            <w:r>
              <w:rPr>
                <w:rFonts w:ascii="Arial" w:cs="Arial" w:eastAsia="Arial" w:hAnsi="Arial"/>
                <w:sz w:val="16"/>
                <w:szCs w:val="16"/>
                <w:color w:val="auto"/>
              </w:rPr>
              <w:t>22.08</w:t>
            </w: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20,105</w:t>
            </w: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695,709</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320" w:hanging="315"/>
        <w:spacing w:after="0" w:line="234" w:lineRule="auto"/>
        <w:tabs>
          <w:tab w:leader="none" w:pos="308"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In August 2021, our Board of Directors authorized a common share repurchase program to repurchase up to 5.0% of our total common shares which are issued and outstanding, or 715,814 common shares, over a twelve month period. We repurchased an aggregate of 20,105 of our common shares outstanding for approximately $0.4 million during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256" w:lineRule="exact"/>
        <w:rPr>
          <w:sz w:val="20"/>
          <w:szCs w:val="20"/>
          <w:color w:val="auto"/>
        </w:rPr>
      </w:pPr>
    </w:p>
    <w:p>
      <w:pPr>
        <w:ind w:left="640" w:hanging="47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INDEX OF EXHIBITS</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4"/>
              </w:rPr>
              <w:t>Exhibit No.</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Description</w:t>
            </w:r>
          </w:p>
        </w:tc>
        <w:tc>
          <w:tcPr>
            <w:tcW w:w="37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860" w:type="dxa"/>
            <w:vAlign w:val="bottom"/>
          </w:tcPr>
          <w:p>
            <w:pPr>
              <w:spacing w:after="0"/>
              <w:rPr>
                <w:sz w:val="20"/>
                <w:szCs w:val="20"/>
                <w:color w:val="auto"/>
              </w:rPr>
            </w:pPr>
            <w:r>
              <w:rPr>
                <w:rFonts w:ascii="Arial" w:cs="Arial" w:eastAsia="Arial" w:hAnsi="Arial"/>
                <w:sz w:val="17"/>
                <w:szCs w:val="17"/>
                <w:color w:val="auto"/>
              </w:rPr>
              <w:t>10.1</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tcBorders>
              <w:bottom w:val="single" w:sz="8" w:color="0000FF"/>
            </w:tcBorders>
            <w:gridSpan w:val="11"/>
          </w:tcPr>
          <w:p>
            <w:pPr>
              <w:spacing w:after="0"/>
              <w:rPr>
                <w:rFonts w:ascii="Arial" w:cs="Arial" w:eastAsia="Arial" w:hAnsi="Arial"/>
                <w:sz w:val="17"/>
                <w:szCs w:val="17"/>
                <w:color w:val="0000FF"/>
                <w:w w:val="95"/>
              </w:rPr>
            </w:pPr>
            <w:hyperlink r:id="rId83">
              <w:r>
                <w:rPr>
                  <w:rFonts w:ascii="Arial" w:cs="Arial" w:eastAsia="Arial" w:hAnsi="Arial"/>
                  <w:sz w:val="17"/>
                  <w:szCs w:val="17"/>
                  <w:color w:val="0000FF"/>
                  <w:w w:val="95"/>
                </w:rPr>
                <w:t>Syndicated Facility Agreement, dated as of September 8, 2021, by and among Civeo Corporation, Civeo Pty Limited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580" w:type="dxa"/>
            <w:vAlign w:val="bottom"/>
            <w:tcBorders>
              <w:bottom w:val="single" w:sz="8" w:color="0000FF"/>
            </w:tcBorders>
            <w:gridSpan w:val="10"/>
          </w:tcPr>
          <w:p>
            <w:pPr>
              <w:spacing w:after="0" w:line="176" w:lineRule="exact"/>
              <w:rPr>
                <w:rFonts w:ascii="Arial" w:cs="Arial" w:eastAsia="Arial" w:hAnsi="Arial"/>
                <w:sz w:val="17"/>
                <w:szCs w:val="17"/>
                <w:color w:val="0000FF"/>
                <w:w w:val="93"/>
              </w:rPr>
            </w:pPr>
            <w:hyperlink r:id="rId83">
              <w:r>
                <w:rPr>
                  <w:rFonts w:ascii="Arial" w:cs="Arial" w:eastAsia="Arial" w:hAnsi="Arial"/>
                  <w:sz w:val="17"/>
                  <w:szCs w:val="17"/>
                  <w:color w:val="0000FF"/>
                  <w:w w:val="93"/>
                </w:rPr>
                <w:t>and Civeo Management LLC, as Borrowers, the Lenders named therein, Royal Bank of Canada, as Administrative Agent,</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0" w:type="dxa"/>
            <w:vAlign w:val="bottom"/>
            <w:tcBorders>
              <w:bottom w:val="single" w:sz="8" w:color="0000FF"/>
            </w:tcBorders>
            <w:gridSpan w:val="11"/>
          </w:tcPr>
          <w:p>
            <w:pPr>
              <w:spacing w:after="0" w:line="176" w:lineRule="exact"/>
              <w:rPr>
                <w:rFonts w:ascii="Arial" w:cs="Arial" w:eastAsia="Arial" w:hAnsi="Arial"/>
                <w:sz w:val="17"/>
                <w:szCs w:val="17"/>
                <w:color w:val="0000FF"/>
                <w:w w:val="95"/>
              </w:rPr>
            </w:pPr>
            <w:hyperlink r:id="rId83">
              <w:r>
                <w:rPr>
                  <w:rFonts w:ascii="Arial" w:cs="Arial" w:eastAsia="Arial" w:hAnsi="Arial"/>
                  <w:sz w:val="17"/>
                  <w:szCs w:val="17"/>
                  <w:color w:val="0000FF"/>
                  <w:w w:val="95"/>
                </w:rPr>
                <w:t>U.S. Collateral Agent, Canadian Administrative Agent, Canadian Collateral Agent and an Issuing Bank and RBC Europe</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40" w:type="dxa"/>
            <w:vAlign w:val="bottom"/>
            <w:tcBorders>
              <w:bottom w:val="single" w:sz="8" w:color="0000FF"/>
            </w:tcBorders>
            <w:gridSpan w:val="13"/>
          </w:tcPr>
          <w:p>
            <w:pPr>
              <w:spacing w:after="0" w:line="176" w:lineRule="exact"/>
              <w:rPr>
                <w:rFonts w:ascii="Arial" w:cs="Arial" w:eastAsia="Arial" w:hAnsi="Arial"/>
                <w:sz w:val="17"/>
                <w:szCs w:val="17"/>
                <w:color w:val="0000FF"/>
                <w:w w:val="98"/>
              </w:rPr>
            </w:pPr>
            <w:hyperlink r:id="rId83">
              <w:r>
                <w:rPr>
                  <w:rFonts w:ascii="Arial" w:cs="Arial" w:eastAsia="Arial" w:hAnsi="Arial"/>
                  <w:sz w:val="17"/>
                  <w:szCs w:val="17"/>
                  <w:color w:val="0000FF"/>
                  <w:w w:val="98"/>
                </w:rPr>
                <w:t>Limited, as Australian Administrative Agent, Australian Collateral Agent and an Issuing Bank (incorporated herein by</w:t>
              </w:r>
            </w:hyperlink>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40" w:type="dxa"/>
            <w:vAlign w:val="bottom"/>
            <w:gridSpan w:val="13"/>
          </w:tcPr>
          <w:p>
            <w:pPr>
              <w:spacing w:after="0" w:line="176" w:lineRule="exact"/>
              <w:rPr>
                <w:rFonts w:ascii="Arial" w:cs="Arial" w:eastAsia="Arial" w:hAnsi="Arial"/>
                <w:sz w:val="17"/>
                <w:szCs w:val="17"/>
                <w:color w:val="0000FF"/>
              </w:rPr>
            </w:pPr>
            <w:hyperlink r:id="rId83">
              <w:r>
                <w:rPr>
                  <w:rFonts w:ascii="Arial" w:cs="Arial" w:eastAsia="Arial" w:hAnsi="Arial"/>
                  <w:sz w:val="17"/>
                  <w:szCs w:val="17"/>
                  <w:color w:val="0000FF"/>
                </w:rPr>
                <w:t>reference to Exhibit 10.1 to the Current Report on Form 8-K (File No. 001-36246) filed on September 8, 2021).</w:t>
              </w:r>
            </w:hyperlink>
          </w:p>
        </w:tc>
        <w:tc>
          <w:tcPr>
            <w:tcW w:w="0" w:type="dxa"/>
            <w:vAlign w:val="bottom"/>
          </w:tcPr>
          <w:p>
            <w:pPr>
              <w:spacing w:after="0"/>
              <w:rPr>
                <w:sz w:val="1"/>
                <w:szCs w:val="1"/>
                <w:color w:val="auto"/>
              </w:rPr>
            </w:pPr>
          </w:p>
        </w:tc>
      </w:tr>
      <w:tr>
        <w:trPr>
          <w:trHeight w:val="700"/>
        </w:trPr>
        <w:tc>
          <w:tcPr>
            <w:tcW w:w="860" w:type="dxa"/>
            <w:vAlign w:val="bottom"/>
          </w:tcPr>
          <w:p>
            <w:pPr>
              <w:spacing w:after="0"/>
              <w:rPr>
                <w:sz w:val="20"/>
                <w:szCs w:val="20"/>
                <w:color w:val="auto"/>
              </w:rPr>
            </w:pPr>
            <w:r>
              <w:rPr>
                <w:rFonts w:ascii="Arial" w:cs="Arial" w:eastAsia="Arial" w:hAnsi="Arial"/>
                <w:sz w:val="17"/>
                <w:szCs w:val="17"/>
                <w:color w:val="auto"/>
              </w:rPr>
              <w:t>10.2*</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0000FF"/>
            </w:tcBorders>
          </w:tcPr>
          <w:p>
            <w:pPr>
              <w:spacing w:after="0"/>
              <w:rPr>
                <w:sz w:val="24"/>
                <w:szCs w:val="24"/>
                <w:color w:val="auto"/>
              </w:rPr>
            </w:pPr>
          </w:p>
        </w:tc>
        <w:tc>
          <w:tcPr>
            <w:tcW w:w="656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3"/>
              </w:rPr>
            </w:pPr>
            <w:hyperlink w:anchor="page43">
              <w:r>
                <w:rPr>
                  <w:rFonts w:ascii="Arial" w:cs="Arial" w:eastAsia="Arial" w:hAnsi="Arial"/>
                  <w:sz w:val="17"/>
                  <w:szCs w:val="17"/>
                  <w:color w:val="0000FF"/>
                  <w:w w:val="93"/>
                </w:rPr>
                <w:t>Cancellation of Dual Employment Agreement of Bradley Dodson, dated September 30, 2021.</w:t>
              </w:r>
            </w:hyperlink>
          </w:p>
        </w:tc>
        <w:tc>
          <w:tcPr>
            <w:tcW w:w="920" w:type="dxa"/>
            <w:vAlign w:val="bottom"/>
            <w:tcBorders>
              <w:top w:val="single" w:sz="8" w:color="0000FF"/>
            </w:tcBorders>
            <w:gridSpan w:val="2"/>
          </w:tcPr>
          <w:p>
            <w:pPr>
              <w:spacing w:after="0"/>
              <w:rPr>
                <w:sz w:val="24"/>
                <w:szCs w:val="24"/>
                <w:color w:val="auto"/>
              </w:rPr>
            </w:pPr>
          </w:p>
        </w:tc>
        <w:tc>
          <w:tcPr>
            <w:tcW w:w="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860" w:type="dxa"/>
            <w:vAlign w:val="bottom"/>
          </w:tcPr>
          <w:p>
            <w:pPr>
              <w:spacing w:after="0"/>
              <w:rPr>
                <w:sz w:val="20"/>
                <w:szCs w:val="20"/>
                <w:color w:val="auto"/>
              </w:rPr>
            </w:pPr>
            <w:r>
              <w:rPr>
                <w:rFonts w:ascii="Arial" w:cs="Arial" w:eastAsia="Arial" w:hAnsi="Arial"/>
                <w:sz w:val="17"/>
                <w:szCs w:val="17"/>
                <w:color w:val="auto"/>
              </w:rPr>
              <w:t>10.3*</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Cancellation of Dual Employment Agreement of Allan Schoening, dated September 30,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60" w:type="dxa"/>
            <w:vAlign w:val="bottom"/>
          </w:tcPr>
          <w:p>
            <w:pPr>
              <w:spacing w:after="0"/>
              <w:rPr>
                <w:sz w:val="20"/>
                <w:szCs w:val="20"/>
                <w:color w:val="auto"/>
              </w:rPr>
            </w:pPr>
            <w:r>
              <w:rPr>
                <w:rFonts w:ascii="Arial" w:cs="Arial" w:eastAsia="Arial" w:hAnsi="Arial"/>
                <w:sz w:val="17"/>
                <w:szCs w:val="17"/>
                <w:color w:val="auto"/>
              </w:rPr>
              <w:t>31.1*</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280" w:type="dxa"/>
            <w:vAlign w:val="bottom"/>
            <w:tcBorders>
              <w:bottom w:val="single" w:sz="8" w:color="0000FF"/>
            </w:tcBorders>
            <w:gridSpan w:val="9"/>
          </w:tcPr>
          <w:p>
            <w:pPr>
              <w:spacing w:after="0"/>
              <w:rPr>
                <w:rFonts w:ascii="Arial" w:cs="Arial" w:eastAsia="Arial" w:hAnsi="Arial"/>
                <w:sz w:val="17"/>
                <w:szCs w:val="17"/>
                <w:color w:val="0000FF"/>
                <w:w w:val="98"/>
              </w:rPr>
            </w:pPr>
            <w:hyperlink w:anchor="page45">
              <w:r>
                <w:rPr>
                  <w:rFonts w:ascii="Arial" w:cs="Arial" w:eastAsia="Arial" w:hAnsi="Arial"/>
                  <w:sz w:val="17"/>
                  <w:szCs w:val="17"/>
                  <w:color w:val="0000FF"/>
                  <w:w w:val="98"/>
                </w:rPr>
                <w:t>Certification of Chief Executive Officer of Civeo Corporation pursuant to Rules 13a-14(a) or 15d-14(a) under the</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40" w:type="dxa"/>
            <w:vAlign w:val="bottom"/>
            <w:tcBorders>
              <w:bottom w:val="single" w:sz="8" w:color="0000FF"/>
            </w:tcBorders>
            <w:gridSpan w:val="2"/>
          </w:tcPr>
          <w:p>
            <w:pPr>
              <w:spacing w:after="0" w:line="150" w:lineRule="exact"/>
              <w:rPr>
                <w:rFonts w:ascii="Arial" w:cs="Arial" w:eastAsia="Arial" w:hAnsi="Arial"/>
                <w:sz w:val="17"/>
                <w:szCs w:val="17"/>
                <w:color w:val="0000FF"/>
                <w:w w:val="92"/>
              </w:rPr>
            </w:pPr>
            <w:hyperlink w:anchor="page45">
              <w:r>
                <w:rPr>
                  <w:rFonts w:ascii="Arial" w:cs="Arial" w:eastAsia="Arial" w:hAnsi="Arial"/>
                  <w:sz w:val="17"/>
                  <w:szCs w:val="17"/>
                  <w:color w:val="0000FF"/>
                  <w:w w:val="92"/>
                </w:rPr>
                <w:t>Securities Exchange Act of 1934.</w:t>
              </w:r>
            </w:hyperlink>
          </w:p>
        </w:tc>
        <w:tc>
          <w:tcPr>
            <w:tcW w:w="62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860" w:type="dxa"/>
            <w:vAlign w:val="bottom"/>
          </w:tcPr>
          <w:p>
            <w:pPr>
              <w:spacing w:after="0"/>
              <w:rPr>
                <w:sz w:val="20"/>
                <w:szCs w:val="20"/>
                <w:color w:val="auto"/>
              </w:rPr>
            </w:pPr>
            <w:r>
              <w:rPr>
                <w:rFonts w:ascii="Arial" w:cs="Arial" w:eastAsia="Arial" w:hAnsi="Arial"/>
                <w:sz w:val="17"/>
                <w:szCs w:val="17"/>
                <w:color w:val="auto"/>
              </w:rPr>
              <w:t>31.2*</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00" w:type="dxa"/>
            <w:vAlign w:val="bottom"/>
            <w:tcBorders>
              <w:bottom w:val="single" w:sz="8" w:color="0000FF"/>
            </w:tcBorders>
            <w:gridSpan w:val="10"/>
          </w:tcPr>
          <w:p>
            <w:pPr>
              <w:spacing w:after="0"/>
              <w:rPr>
                <w:rFonts w:ascii="Arial" w:cs="Arial" w:eastAsia="Arial" w:hAnsi="Arial"/>
                <w:sz w:val="17"/>
                <w:szCs w:val="17"/>
                <w:color w:val="0000FF"/>
                <w:w w:val="99"/>
              </w:rPr>
            </w:pPr>
            <w:hyperlink w:anchor="page46">
              <w:r>
                <w:rPr>
                  <w:rFonts w:ascii="Arial" w:cs="Arial" w:eastAsia="Arial" w:hAnsi="Arial"/>
                  <w:sz w:val="17"/>
                  <w:szCs w:val="17"/>
                  <w:color w:val="0000FF"/>
                  <w:w w:val="99"/>
                </w:rPr>
                <w:t>Certification of Chief Financial Officer of Civeo Corporation pursuant to Rules 13a-14(a) or 15d-14(a) under the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40" w:type="dxa"/>
            <w:vAlign w:val="bottom"/>
            <w:tcBorders>
              <w:bottom w:val="single" w:sz="8" w:color="0000FF"/>
            </w:tcBorders>
            <w:gridSpan w:val="2"/>
          </w:tcPr>
          <w:p>
            <w:pPr>
              <w:spacing w:after="0" w:line="150" w:lineRule="exact"/>
              <w:rPr>
                <w:rFonts w:ascii="Arial" w:cs="Arial" w:eastAsia="Arial" w:hAnsi="Arial"/>
                <w:sz w:val="17"/>
                <w:szCs w:val="17"/>
                <w:color w:val="0000FF"/>
                <w:w w:val="92"/>
              </w:rPr>
            </w:pPr>
            <w:hyperlink w:anchor="page46">
              <w:r>
                <w:rPr>
                  <w:rFonts w:ascii="Arial" w:cs="Arial" w:eastAsia="Arial" w:hAnsi="Arial"/>
                  <w:sz w:val="17"/>
                  <w:szCs w:val="17"/>
                  <w:color w:val="0000FF"/>
                  <w:w w:val="92"/>
                </w:rPr>
                <w:t>Securities Exchange Act of 1934.</w:t>
              </w:r>
            </w:hyperlink>
          </w:p>
        </w:tc>
        <w:tc>
          <w:tcPr>
            <w:tcW w:w="626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860" w:type="dxa"/>
            <w:vAlign w:val="bottom"/>
          </w:tcPr>
          <w:p>
            <w:pPr>
              <w:spacing w:after="0"/>
              <w:rPr>
                <w:sz w:val="20"/>
                <w:szCs w:val="20"/>
                <w:color w:val="auto"/>
              </w:rPr>
            </w:pPr>
            <w:r>
              <w:rPr>
                <w:rFonts w:ascii="Arial" w:cs="Arial" w:eastAsia="Arial" w:hAnsi="Arial"/>
                <w:sz w:val="17"/>
                <w:szCs w:val="17"/>
                <w:color w:val="auto"/>
              </w:rPr>
              <w:t>32.1**</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tcBorders>
              <w:bottom w:val="single" w:sz="8" w:color="0000FF"/>
            </w:tcBorders>
            <w:gridSpan w:val="11"/>
          </w:tcPr>
          <w:p>
            <w:pPr>
              <w:spacing w:after="0"/>
              <w:rPr>
                <w:rFonts w:ascii="Arial" w:cs="Arial" w:eastAsia="Arial" w:hAnsi="Arial"/>
                <w:sz w:val="17"/>
                <w:szCs w:val="17"/>
                <w:color w:val="0000FF"/>
                <w:w w:val="99"/>
              </w:rPr>
            </w:pPr>
            <w:hyperlink w:anchor="page47">
              <w:r>
                <w:rPr>
                  <w:rFonts w:ascii="Arial" w:cs="Arial" w:eastAsia="Arial" w:hAnsi="Arial"/>
                  <w:sz w:val="17"/>
                  <w:szCs w:val="17"/>
                  <w:color w:val="0000FF"/>
                  <w:w w:val="99"/>
                </w:rPr>
                <w:t>Certification of Chief Executive Officer of Civeo Corporation pursuant to Rules 13a-14(b) or 15d-14(b) under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20" w:type="dxa"/>
            <w:vAlign w:val="bottom"/>
            <w:gridSpan w:val="12"/>
          </w:tcPr>
          <w:p>
            <w:pPr>
              <w:spacing w:after="0" w:line="150" w:lineRule="exact"/>
              <w:rPr>
                <w:rFonts w:ascii="Arial" w:cs="Arial" w:eastAsia="Arial" w:hAnsi="Arial"/>
                <w:sz w:val="17"/>
                <w:szCs w:val="17"/>
                <w:color w:val="0000FF"/>
              </w:rPr>
            </w:pPr>
            <w:hyperlink w:anchor="page47">
              <w:r>
                <w:rPr>
                  <w:rFonts w:ascii="Arial" w:cs="Arial" w:eastAsia="Arial" w:hAnsi="Arial"/>
                  <w:sz w:val="17"/>
                  <w:szCs w:val="17"/>
                  <w:color w:val="0000FF"/>
                </w:rPr>
                <w:t>Securities Exchange Act of 1934 and 18 U.S.C. Section 1350.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tcPr>
          <w:p>
            <w:pPr>
              <w:spacing w:after="0"/>
              <w:rPr>
                <w:sz w:val="20"/>
                <w:szCs w:val="20"/>
                <w:color w:val="auto"/>
              </w:rPr>
            </w:pPr>
            <w:r>
              <w:rPr>
                <w:rFonts w:ascii="Arial" w:cs="Arial" w:eastAsia="Arial" w:hAnsi="Arial"/>
                <w:sz w:val="17"/>
                <w:szCs w:val="17"/>
                <w:color w:val="auto"/>
              </w:rPr>
              <w:t>32.2**</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rFonts w:ascii="Arial" w:cs="Arial" w:eastAsia="Arial" w:hAnsi="Arial"/>
                <w:sz w:val="17"/>
                <w:szCs w:val="17"/>
                <w:color w:val="0000FF"/>
                <w:w w:val="99"/>
              </w:rPr>
            </w:pPr>
            <w:hyperlink w:anchor="page48">
              <w:r>
                <w:rPr>
                  <w:rFonts w:ascii="Arial" w:cs="Arial" w:eastAsia="Arial" w:hAnsi="Arial"/>
                  <w:sz w:val="17"/>
                  <w:szCs w:val="17"/>
                  <w:color w:val="0000FF"/>
                  <w:w w:val="99"/>
                </w:rPr>
                <w:t>Certification of Chief Financial Officer of Civeo Corporation pursuant to Rules 13a-14(b) or 15d-14(b) under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60" w:type="dxa"/>
            <w:vAlign w:val="bottom"/>
            <w:gridSpan w:val="8"/>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560" w:type="dxa"/>
            <w:vAlign w:val="bottom"/>
            <w:gridSpan w:val="9"/>
          </w:tcPr>
          <w:p>
            <w:pPr>
              <w:spacing w:after="0" w:line="150" w:lineRule="exact"/>
              <w:rPr>
                <w:rFonts w:ascii="Arial" w:cs="Arial" w:eastAsia="Arial" w:hAnsi="Arial"/>
                <w:sz w:val="17"/>
                <w:szCs w:val="17"/>
                <w:color w:val="0000FF"/>
              </w:rPr>
            </w:pPr>
            <w:hyperlink w:anchor="page48">
              <w:r>
                <w:rPr>
                  <w:rFonts w:ascii="Arial" w:cs="Arial" w:eastAsia="Arial" w:hAnsi="Arial"/>
                  <w:sz w:val="17"/>
                  <w:szCs w:val="17"/>
                  <w:color w:val="0000FF"/>
                </w:rPr>
                <w:t>Securities Exchange Act of 1934 and 18 U.S.C. Section 1350.</w:t>
              </w:r>
            </w:hyperlink>
          </w:p>
        </w:tc>
        <w:tc>
          <w:tcPr>
            <w:tcW w:w="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40" w:type="dxa"/>
            <w:vAlign w:val="bottom"/>
            <w:gridSpan w:val="2"/>
          </w:tcPr>
          <w:p>
            <w:pPr>
              <w:spacing w:after="0"/>
              <w:rPr>
                <w:sz w:val="20"/>
                <w:szCs w:val="20"/>
                <w:color w:val="auto"/>
              </w:rPr>
            </w:pPr>
            <w:r>
              <w:rPr>
                <w:rFonts w:ascii="Arial" w:cs="Arial" w:eastAsia="Arial" w:hAnsi="Arial"/>
                <w:sz w:val="17"/>
                <w:szCs w:val="17"/>
                <w:color w:val="auto"/>
              </w:rPr>
              <w:t>101.INS*</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Arial" w:cs="Arial" w:eastAsia="Arial" w:hAnsi="Arial"/>
                <w:sz w:val="17"/>
                <w:szCs w:val="17"/>
                <w:color w:val="auto"/>
                <w:w w:val="98"/>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40" w:type="dxa"/>
            <w:vAlign w:val="bottom"/>
            <w:gridSpan w:val="13"/>
          </w:tcPr>
          <w:p>
            <w:pPr>
              <w:spacing w:after="0"/>
              <w:rPr>
                <w:sz w:val="20"/>
                <w:szCs w:val="20"/>
                <w:color w:val="auto"/>
              </w:rPr>
            </w:pPr>
            <w:r>
              <w:rPr>
                <w:rFonts w:ascii="Arial" w:cs="Arial" w:eastAsia="Arial" w:hAnsi="Arial"/>
                <w:sz w:val="17"/>
                <w:szCs w:val="17"/>
                <w:color w:val="auto"/>
              </w:rPr>
              <w:t>XBRL tags are embedded within the Inline XBRL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101.SCH*</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101.CAL*</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101.DEF*</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Arial" w:cs="Arial" w:eastAsia="Arial" w:hAnsi="Arial"/>
                <w:sz w:val="17"/>
                <w:szCs w:val="17"/>
                <w:color w:val="auto"/>
              </w:rPr>
              <w:t>Inline Taxonomy Extension Definition Linkbase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101.PRE*</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71" w:lineRule="exact"/>
        <w:rPr>
          <w:sz w:val="20"/>
          <w:szCs w:val="20"/>
          <w:color w:val="auto"/>
        </w:rPr>
      </w:pPr>
    </w:p>
    <w:p>
      <w:pPr>
        <w:ind w:left="420" w:hanging="398"/>
        <w:spacing w:after="0"/>
        <w:tabs>
          <w:tab w:leader="none" w:pos="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53" w:lineRule="exact"/>
        <w:rPr>
          <w:sz w:val="20"/>
          <w:szCs w:val="20"/>
          <w:color w:val="auto"/>
        </w:rPr>
      </w:pPr>
    </w:p>
    <w:p>
      <w:pPr>
        <w:ind w:left="420" w:hanging="398"/>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3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jc w:val="both"/>
        <w:spacing w:after="0" w:line="262" w:lineRule="auto"/>
        <w:rPr>
          <w:sz w:val="20"/>
          <w:szCs w:val="20"/>
          <w:color w:val="auto"/>
        </w:rPr>
      </w:pPr>
      <w:r>
        <w:rPr>
          <w:rFonts w:ascii="Arial" w:cs="Arial" w:eastAsia="Arial" w:hAnsi="Arial"/>
          <w:sz w:val="17"/>
          <w:szCs w:val="17"/>
          <w:color w:val="auto"/>
        </w:rPr>
        <w:t>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1" w:name="page42"/>
    <w:bookmarkEnd w:id="41"/>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CIVEO CORPORATION</w:t>
      </w:r>
    </w:p>
    <w:p>
      <w:pPr>
        <w:spacing w:after="0" w:line="34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7"/>
          <w:szCs w:val="17"/>
          <w:u w:val="single" w:color="auto"/>
          <w:color w:val="auto"/>
        </w:rPr>
        <w:t>Date: October 28, 2021</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-3810</wp:posOffset>
            </wp:positionV>
            <wp:extent cx="1642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Carolyn J. Stone</w:t>
      </w:r>
    </w:p>
    <w:p>
      <w:pPr>
        <w:spacing w:after="0" w:line="17"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Senior Vice President, Chief Financial Officer and Treasurer (Duly</w:t>
      </w:r>
    </w:p>
    <w:p>
      <w:pPr>
        <w:ind w:left="5460"/>
        <w:spacing w:after="0"/>
        <w:rPr>
          <w:sz w:val="20"/>
          <w:szCs w:val="20"/>
          <w:color w:val="auto"/>
        </w:rPr>
      </w:pPr>
      <w:r>
        <w:rPr>
          <w:rFonts w:ascii="Arial" w:cs="Arial" w:eastAsia="Arial" w:hAnsi="Arial"/>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440"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2"/>
          <w:szCs w:val="12"/>
          <w:color w:val="646464"/>
        </w:rPr>
        <w:t>Three Allen Center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646464"/>
        </w:rPr>
        <w:t>333 Clay Street, Suite 4980</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646464"/>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74295</wp:posOffset>
            </wp:positionV>
            <wp:extent cx="807085" cy="415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807085" cy="41592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0063BD"/>
        </w:rPr>
        <w:t xml:space="preserve">TEL </w:t>
      </w:r>
      <w:r>
        <w:rPr>
          <w:rFonts w:ascii="Arial" w:cs="Arial" w:eastAsia="Arial" w:hAnsi="Arial"/>
          <w:sz w:val="12"/>
          <w:szCs w:val="12"/>
          <w:color w:val="646464"/>
        </w:rPr>
        <w:t>713 510 2400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0063BD"/>
        </w:rPr>
        <w:t xml:space="preserve">FAX </w:t>
      </w:r>
      <w:r>
        <w:rPr>
          <w:rFonts w:ascii="Arial" w:cs="Arial" w:eastAsia="Arial" w:hAnsi="Arial"/>
          <w:sz w:val="12"/>
          <w:szCs w:val="12"/>
          <w:color w:val="646464"/>
        </w:rPr>
        <w:t>713 510 2499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2"/>
          <w:szCs w:val="12"/>
          <w:color w:val="0063BD"/>
        </w:rPr>
        <w:t>civeo.com</w:t>
      </w:r>
    </w:p>
    <w:p>
      <w:pPr>
        <w:spacing w:after="0" w:line="384" w:lineRule="exact"/>
        <w:rPr>
          <w:sz w:val="20"/>
          <w:szCs w:val="20"/>
          <w:color w:val="auto"/>
        </w:rPr>
      </w:pPr>
    </w:p>
    <w:p>
      <w:pPr>
        <w:ind w:left="6300"/>
        <w:spacing w:after="0"/>
        <w:rPr>
          <w:sz w:val="20"/>
          <w:szCs w:val="20"/>
          <w:color w:val="auto"/>
        </w:rPr>
      </w:pPr>
      <w:r>
        <w:rPr>
          <w:rFonts w:ascii="Arial" w:cs="Arial" w:eastAsia="Arial" w:hAnsi="Arial"/>
          <w:sz w:val="21"/>
          <w:szCs w:val="21"/>
          <w:color w:val="auto"/>
        </w:rPr>
        <w:t>Exhibit 10.2</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60" w:type="dxa"/>
            <w:vAlign w:val="bottom"/>
            <w:vMerge w:val="restart"/>
          </w:tcPr>
          <w:p>
            <w:pPr>
              <w:spacing w:after="0"/>
              <w:rPr>
                <w:sz w:val="20"/>
                <w:szCs w:val="20"/>
                <w:color w:val="auto"/>
              </w:rPr>
            </w:pPr>
            <w:r>
              <w:rPr>
                <w:rFonts w:ascii="Arial" w:cs="Arial" w:eastAsia="Arial" w:hAnsi="Arial"/>
                <w:sz w:val="19"/>
                <w:szCs w:val="19"/>
                <w:color w:val="auto"/>
              </w:rPr>
              <w:t xml:space="preserve">Date </w:t>
            </w:r>
            <w:r>
              <w:rPr>
                <w:rFonts w:ascii="Arial" w:cs="Arial" w:eastAsia="Arial" w:hAnsi="Arial"/>
                <w:sz w:val="19"/>
                <w:szCs w:val="19"/>
                <w:color w:val="A6A6A6"/>
              </w:rPr>
              <w:t>/</w:t>
            </w:r>
          </w:p>
        </w:tc>
        <w:tc>
          <w:tcPr>
            <w:tcW w:w="4360" w:type="dxa"/>
            <w:vAlign w:val="bottom"/>
          </w:tcPr>
          <w:p>
            <w:pPr>
              <w:ind w:left="640"/>
              <w:spacing w:after="0"/>
              <w:rPr>
                <w:sz w:val="20"/>
                <w:szCs w:val="20"/>
                <w:color w:val="auto"/>
              </w:rPr>
            </w:pPr>
            <w:r>
              <w:rPr>
                <w:rFonts w:ascii="Arial" w:cs="Arial" w:eastAsia="Arial" w:hAnsi="Arial"/>
                <w:sz w:val="19"/>
                <w:szCs w:val="19"/>
                <w:color w:val="auto"/>
              </w:rPr>
              <w:t>September 30, 2021</w:t>
            </w:r>
          </w:p>
        </w:tc>
        <w:tc>
          <w:tcPr>
            <w:tcW w:w="0" w:type="dxa"/>
            <w:vAlign w:val="bottom"/>
          </w:tcPr>
          <w:p>
            <w:pPr>
              <w:spacing w:after="0"/>
              <w:rPr>
                <w:sz w:val="1"/>
                <w:szCs w:val="1"/>
                <w:color w:val="auto"/>
              </w:rPr>
            </w:pPr>
          </w:p>
        </w:tc>
      </w:tr>
      <w:tr>
        <w:trPr>
          <w:trHeight w:val="65"/>
        </w:trPr>
        <w:tc>
          <w:tcPr>
            <w:tcW w:w="1160" w:type="dxa"/>
            <w:vAlign w:val="bottom"/>
            <w:vMerge w:val="continue"/>
          </w:tcPr>
          <w:p>
            <w:pPr>
              <w:spacing w:after="0"/>
              <w:rPr>
                <w:sz w:val="5"/>
                <w:szCs w:val="5"/>
                <w:color w:val="auto"/>
              </w:rPr>
            </w:pPr>
          </w:p>
        </w:tc>
        <w:tc>
          <w:tcPr>
            <w:tcW w:w="4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1160" w:type="dxa"/>
            <w:vAlign w:val="bottom"/>
            <w:vMerge w:val="restart"/>
          </w:tcPr>
          <w:p>
            <w:pPr>
              <w:spacing w:after="0"/>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color w:val="A6A6A6"/>
              </w:rPr>
              <w:t>/</w:t>
            </w:r>
          </w:p>
        </w:tc>
        <w:tc>
          <w:tcPr>
            <w:tcW w:w="4360" w:type="dxa"/>
            <w:vAlign w:val="bottom"/>
          </w:tcPr>
          <w:p>
            <w:pPr>
              <w:ind w:left="640"/>
              <w:spacing w:after="0"/>
              <w:rPr>
                <w:sz w:val="20"/>
                <w:szCs w:val="20"/>
                <w:color w:val="auto"/>
              </w:rPr>
            </w:pPr>
            <w:r>
              <w:rPr>
                <w:rFonts w:ascii="Arial" w:cs="Arial" w:eastAsia="Arial" w:hAnsi="Arial"/>
                <w:sz w:val="19"/>
                <w:szCs w:val="19"/>
                <w:color w:val="auto"/>
              </w:rPr>
              <w:t>Bradley Dodson</w:t>
            </w:r>
          </w:p>
        </w:tc>
        <w:tc>
          <w:tcPr>
            <w:tcW w:w="0" w:type="dxa"/>
            <w:vAlign w:val="bottom"/>
          </w:tcPr>
          <w:p>
            <w:pPr>
              <w:spacing w:after="0"/>
              <w:rPr>
                <w:sz w:val="1"/>
                <w:szCs w:val="1"/>
                <w:color w:val="auto"/>
              </w:rPr>
            </w:pPr>
          </w:p>
        </w:tc>
      </w:tr>
      <w:tr>
        <w:trPr>
          <w:trHeight w:val="65"/>
        </w:trPr>
        <w:tc>
          <w:tcPr>
            <w:tcW w:w="1160" w:type="dxa"/>
            <w:vAlign w:val="bottom"/>
            <w:vMerge w:val="continue"/>
          </w:tcPr>
          <w:p>
            <w:pPr>
              <w:spacing w:after="0"/>
              <w:rPr>
                <w:sz w:val="5"/>
                <w:szCs w:val="5"/>
                <w:color w:val="auto"/>
              </w:rPr>
            </w:pPr>
          </w:p>
        </w:tc>
        <w:tc>
          <w:tcPr>
            <w:tcW w:w="4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1160" w:type="dxa"/>
            <w:vAlign w:val="bottom"/>
            <w:vMerge w:val="restart"/>
          </w:tcPr>
          <w:p>
            <w:pPr>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color w:val="A6A6A6"/>
              </w:rPr>
              <w:t>/</w:t>
            </w:r>
          </w:p>
        </w:tc>
        <w:tc>
          <w:tcPr>
            <w:tcW w:w="4360" w:type="dxa"/>
            <w:vAlign w:val="bottom"/>
          </w:tcPr>
          <w:p>
            <w:pPr>
              <w:ind w:left="640"/>
              <w:spacing w:after="0"/>
              <w:rPr>
                <w:sz w:val="20"/>
                <w:szCs w:val="20"/>
                <w:color w:val="auto"/>
              </w:rPr>
            </w:pPr>
            <w:r>
              <w:rPr>
                <w:rFonts w:ascii="Arial" w:cs="Arial" w:eastAsia="Arial" w:hAnsi="Arial"/>
                <w:sz w:val="19"/>
                <w:szCs w:val="19"/>
                <w:color w:val="auto"/>
              </w:rPr>
              <w:t>Dual Employment Agreement Cancellations</w:t>
            </w:r>
          </w:p>
        </w:tc>
        <w:tc>
          <w:tcPr>
            <w:tcW w:w="0" w:type="dxa"/>
            <w:vAlign w:val="bottom"/>
          </w:tcPr>
          <w:p>
            <w:pPr>
              <w:spacing w:after="0"/>
              <w:rPr>
                <w:sz w:val="1"/>
                <w:szCs w:val="1"/>
                <w:color w:val="auto"/>
              </w:rPr>
            </w:pPr>
          </w:p>
        </w:tc>
      </w:tr>
      <w:tr>
        <w:trPr>
          <w:trHeight w:val="65"/>
        </w:trPr>
        <w:tc>
          <w:tcPr>
            <w:tcW w:w="1160" w:type="dxa"/>
            <w:vAlign w:val="bottom"/>
            <w:vMerge w:val="continue"/>
          </w:tcPr>
          <w:p>
            <w:pPr>
              <w:spacing w:after="0"/>
              <w:rPr>
                <w:sz w:val="5"/>
                <w:szCs w:val="5"/>
                <w:color w:val="auto"/>
              </w:rPr>
            </w:pPr>
          </w:p>
        </w:tc>
        <w:tc>
          <w:tcPr>
            <w:tcW w:w="4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color w:val="auto"/>
        </w:rPr>
        <w:t>This letter is to document our understanding and agreement that effective as of September 30, 2021, your Dual Employment Agreements for Canada and the United States, each entered into on July 17, 2015, will be cancelled and are of no further force and effect. The Executive Agreement entered into by between Oil States International, Inc. and you originally dated as of October 10, 2006, as amended effective January 1, 2009 and assumed by Civeo Corporation as of May 31, 2014, remains in full force and effect and is not affected by the cancellation of the Dual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17"/>
          <w:szCs w:val="17"/>
          <w:color w:val="auto"/>
        </w:rPr>
        <w:t>/s/ Martin A. Lambert</w:t>
      </w:r>
      <w:r>
        <w:rPr>
          <w:sz w:val="20"/>
          <w:szCs w:val="20"/>
          <w:color w:val="auto"/>
        </w:rPr>
        <w:tab/>
      </w:r>
      <w:r>
        <w:rPr>
          <w:rFonts w:ascii="Arial" w:cs="Arial" w:eastAsia="Arial" w:hAnsi="Arial"/>
          <w:sz w:val="15"/>
          <w:szCs w:val="15"/>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1361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0" w:type="dxa"/>
            <w:vAlign w:val="bottom"/>
            <w:gridSpan w:val="2"/>
          </w:tcPr>
          <w:p>
            <w:pPr>
              <w:ind w:left="80"/>
              <w:spacing w:after="0"/>
              <w:rPr>
                <w:sz w:val="20"/>
                <w:szCs w:val="20"/>
                <w:color w:val="auto"/>
              </w:rPr>
            </w:pPr>
            <w:r>
              <w:rPr>
                <w:rFonts w:ascii="Arial" w:cs="Arial" w:eastAsia="Arial" w:hAnsi="Arial"/>
                <w:sz w:val="19"/>
                <w:szCs w:val="19"/>
                <w:color w:val="auto"/>
              </w:rPr>
              <w:t>Martin A. Lambert</w:t>
            </w:r>
          </w:p>
        </w:tc>
        <w:tc>
          <w:tcPr>
            <w:tcW w:w="5440" w:type="dxa"/>
            <w:vAlign w:val="bottom"/>
          </w:tcPr>
          <w:p>
            <w:pPr>
              <w:ind w:left="60"/>
              <w:spacing w:after="0"/>
              <w:rPr>
                <w:sz w:val="20"/>
                <w:szCs w:val="20"/>
                <w:color w:val="auto"/>
              </w:rPr>
            </w:pPr>
            <w:r>
              <w:rPr>
                <w:rFonts w:ascii="Arial" w:cs="Arial" w:eastAsia="Arial" w:hAnsi="Arial"/>
                <w:sz w:val="19"/>
                <w:szCs w:val="19"/>
                <w:color w:val="auto"/>
              </w:rPr>
              <w:t>Bradley J. Dodson</w:t>
            </w:r>
          </w:p>
        </w:tc>
      </w:tr>
      <w:tr>
        <w:trPr>
          <w:trHeight w:val="249"/>
        </w:trPr>
        <w:tc>
          <w:tcPr>
            <w:tcW w:w="5800" w:type="dxa"/>
            <w:vAlign w:val="bottom"/>
            <w:gridSpan w:val="2"/>
          </w:tcPr>
          <w:p>
            <w:pPr>
              <w:ind w:left="80"/>
              <w:spacing w:after="0"/>
              <w:rPr>
                <w:sz w:val="20"/>
                <w:szCs w:val="20"/>
                <w:color w:val="auto"/>
              </w:rPr>
            </w:pPr>
            <w:r>
              <w:rPr>
                <w:rFonts w:ascii="Arial" w:cs="Arial" w:eastAsia="Arial" w:hAnsi="Arial"/>
                <w:sz w:val="19"/>
                <w:szCs w:val="19"/>
                <w:color w:val="auto"/>
              </w:rPr>
              <w:t>Chair, Compensation Committee</w:t>
            </w:r>
          </w:p>
        </w:tc>
        <w:tc>
          <w:tcPr>
            <w:tcW w:w="5440" w:type="dxa"/>
            <w:vAlign w:val="bottom"/>
          </w:tcPr>
          <w:p>
            <w:pPr>
              <w:spacing w:after="0"/>
              <w:rPr>
                <w:sz w:val="21"/>
                <w:szCs w:val="21"/>
                <w:color w:val="auto"/>
              </w:rPr>
            </w:pPr>
          </w:p>
        </w:tc>
      </w:tr>
      <w:tr>
        <w:trPr>
          <w:trHeight w:val="533"/>
        </w:trPr>
        <w:tc>
          <w:tcPr>
            <w:tcW w:w="5440" w:type="dxa"/>
            <w:vAlign w:val="bottom"/>
          </w:tcPr>
          <w:p>
            <w:pPr>
              <w:jc w:val="right"/>
              <w:ind w:right="4606"/>
              <w:spacing w:after="0"/>
              <w:rPr>
                <w:sz w:val="20"/>
                <w:szCs w:val="20"/>
                <w:color w:val="auto"/>
              </w:rPr>
            </w:pPr>
            <w:r>
              <w:rPr>
                <w:rFonts w:ascii="Arial" w:cs="Arial" w:eastAsia="Arial" w:hAnsi="Arial"/>
                <w:sz w:val="17"/>
                <w:szCs w:val="17"/>
                <w:color w:val="auto"/>
                <w:w w:val="95"/>
              </w:rPr>
              <w:t>9/29/2021</w:t>
            </w:r>
          </w:p>
        </w:tc>
        <w:tc>
          <w:tcPr>
            <w:tcW w:w="360" w:type="dxa"/>
            <w:vAlign w:val="bottom"/>
          </w:tcPr>
          <w:p>
            <w:pPr>
              <w:spacing w:after="0"/>
              <w:rPr>
                <w:sz w:val="24"/>
                <w:szCs w:val="24"/>
                <w:color w:val="auto"/>
              </w:rPr>
            </w:pPr>
          </w:p>
        </w:tc>
        <w:tc>
          <w:tcPr>
            <w:tcW w:w="5440" w:type="dxa"/>
            <w:vAlign w:val="bottom"/>
          </w:tcPr>
          <w:p>
            <w:pPr>
              <w:jc w:val="right"/>
              <w:ind w:right="4627"/>
              <w:spacing w:after="0"/>
              <w:rPr>
                <w:sz w:val="20"/>
                <w:szCs w:val="20"/>
                <w:color w:val="auto"/>
              </w:rPr>
            </w:pPr>
            <w:r>
              <w:rPr>
                <w:rFonts w:ascii="Arial" w:cs="Arial" w:eastAsia="Arial" w:hAnsi="Arial"/>
                <w:sz w:val="17"/>
                <w:szCs w:val="17"/>
                <w:color w:val="auto"/>
                <w:w w:val="92"/>
              </w:rPr>
              <w:t>9/27/2021</w:t>
            </w:r>
          </w:p>
        </w:tc>
      </w:tr>
      <w:tr>
        <w:trPr>
          <w:trHeight w:val="27"/>
        </w:trPr>
        <w:tc>
          <w:tcPr>
            <w:tcW w:w="5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46"/>
        </w:trPr>
        <w:tc>
          <w:tcPr>
            <w:tcW w:w="5800" w:type="dxa"/>
            <w:vAlign w:val="bottom"/>
            <w:gridSpan w:val="2"/>
          </w:tcPr>
          <w:p>
            <w:pPr>
              <w:ind w:left="80"/>
              <w:spacing w:after="0"/>
              <w:rPr>
                <w:sz w:val="20"/>
                <w:szCs w:val="20"/>
                <w:color w:val="auto"/>
              </w:rPr>
            </w:pPr>
            <w:r>
              <w:rPr>
                <w:rFonts w:ascii="Arial" w:cs="Arial" w:eastAsia="Arial" w:hAnsi="Arial"/>
                <w:sz w:val="19"/>
                <w:szCs w:val="19"/>
                <w:color w:val="auto"/>
              </w:rPr>
              <w:t>Date</w:t>
            </w:r>
          </w:p>
        </w:tc>
        <w:tc>
          <w:tcPr>
            <w:tcW w:w="5440" w:type="dxa"/>
            <w:vAlign w:val="bottom"/>
          </w:tcPr>
          <w:p>
            <w:pPr>
              <w:ind w:left="60"/>
              <w:spacing w:after="0"/>
              <w:rPr>
                <w:sz w:val="20"/>
                <w:szCs w:val="20"/>
                <w:color w:val="auto"/>
              </w:rPr>
            </w:pPr>
            <w:r>
              <w:rPr>
                <w:rFonts w:ascii="Arial" w:cs="Arial" w:eastAsia="Arial" w:hAnsi="Arial"/>
                <w:sz w:val="19"/>
                <w:szCs w:val="19"/>
                <w:color w:val="auto"/>
              </w:rPr>
              <w:t>Date</w:t>
            </w:r>
          </w:p>
        </w:tc>
      </w:tr>
    </w:tbl>
    <w:p>
      <w:pPr>
        <w:sectPr>
          <w:pgSz w:w="11900" w:h="16838" w:orient="portrait"/>
          <w:cols w:equalWidth="0" w:num="1">
            <w:col w:w="11240"/>
          </w:cols>
          <w:pgMar w:left="320" w:top="199"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12"/>
          <w:szCs w:val="12"/>
          <w:color w:val="646464"/>
        </w:rPr>
        <w:t>Three Allen Center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646464"/>
        </w:rPr>
        <w:t>333 Clay Street, Suite 4980</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646464"/>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74295</wp:posOffset>
            </wp:positionV>
            <wp:extent cx="807085" cy="415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807085" cy="41592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0063BD"/>
        </w:rPr>
        <w:t xml:space="preserve">TEL </w:t>
      </w:r>
      <w:r>
        <w:rPr>
          <w:rFonts w:ascii="Arial" w:cs="Arial" w:eastAsia="Arial" w:hAnsi="Arial"/>
          <w:sz w:val="12"/>
          <w:szCs w:val="12"/>
          <w:color w:val="646464"/>
        </w:rPr>
        <w:t>713 510 2400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0063BD"/>
        </w:rPr>
        <w:t xml:space="preserve">FAX </w:t>
      </w:r>
      <w:r>
        <w:rPr>
          <w:rFonts w:ascii="Arial" w:cs="Arial" w:eastAsia="Arial" w:hAnsi="Arial"/>
          <w:sz w:val="12"/>
          <w:szCs w:val="12"/>
          <w:color w:val="646464"/>
        </w:rPr>
        <w:t>713 510 2499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2"/>
          <w:szCs w:val="12"/>
          <w:color w:val="0063BD"/>
        </w:rPr>
        <w:t>civeo.com</w:t>
      </w:r>
    </w:p>
    <w:p>
      <w:pPr>
        <w:spacing w:after="0" w:line="384" w:lineRule="exact"/>
        <w:rPr>
          <w:sz w:val="20"/>
          <w:szCs w:val="20"/>
          <w:color w:val="auto"/>
        </w:rPr>
      </w:pPr>
    </w:p>
    <w:p>
      <w:pPr>
        <w:ind w:left="6300"/>
        <w:spacing w:after="0"/>
        <w:rPr>
          <w:sz w:val="20"/>
          <w:szCs w:val="20"/>
          <w:color w:val="auto"/>
        </w:rPr>
      </w:pPr>
      <w:r>
        <w:rPr>
          <w:rFonts w:ascii="Arial" w:cs="Arial" w:eastAsia="Arial" w:hAnsi="Arial"/>
          <w:sz w:val="21"/>
          <w:szCs w:val="21"/>
          <w:color w:val="auto"/>
        </w:rPr>
        <w:t>Exhibit 10.3</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80" w:type="dxa"/>
            <w:vAlign w:val="bottom"/>
            <w:vMerge w:val="restart"/>
          </w:tcPr>
          <w:p>
            <w:pPr>
              <w:spacing w:after="0"/>
              <w:rPr>
                <w:sz w:val="20"/>
                <w:szCs w:val="20"/>
                <w:color w:val="auto"/>
              </w:rPr>
            </w:pPr>
            <w:r>
              <w:rPr>
                <w:rFonts w:ascii="Arial" w:cs="Arial" w:eastAsia="Arial" w:hAnsi="Arial"/>
                <w:sz w:val="19"/>
                <w:szCs w:val="19"/>
                <w:color w:val="auto"/>
              </w:rPr>
              <w:t xml:space="preserve">Date </w:t>
            </w:r>
            <w:r>
              <w:rPr>
                <w:rFonts w:ascii="Arial" w:cs="Arial" w:eastAsia="Arial" w:hAnsi="Arial"/>
                <w:sz w:val="19"/>
                <w:szCs w:val="19"/>
                <w:color w:val="A6A6A6"/>
              </w:rPr>
              <w:t>/</w:t>
            </w:r>
          </w:p>
        </w:tc>
        <w:tc>
          <w:tcPr>
            <w:tcW w:w="4260" w:type="dxa"/>
            <w:vAlign w:val="bottom"/>
          </w:tcPr>
          <w:p>
            <w:pPr>
              <w:ind w:left="540"/>
              <w:spacing w:after="0"/>
              <w:rPr>
                <w:sz w:val="20"/>
                <w:szCs w:val="20"/>
                <w:color w:val="auto"/>
              </w:rPr>
            </w:pPr>
            <w:r>
              <w:rPr>
                <w:rFonts w:ascii="Arial" w:cs="Arial" w:eastAsia="Arial" w:hAnsi="Arial"/>
                <w:sz w:val="19"/>
                <w:szCs w:val="19"/>
                <w:color w:val="auto"/>
              </w:rPr>
              <w:t>September 30, 2021</w:t>
            </w:r>
          </w:p>
        </w:tc>
        <w:tc>
          <w:tcPr>
            <w:tcW w:w="0" w:type="dxa"/>
            <w:vAlign w:val="bottom"/>
          </w:tcPr>
          <w:p>
            <w:pPr>
              <w:spacing w:after="0"/>
              <w:rPr>
                <w:sz w:val="1"/>
                <w:szCs w:val="1"/>
                <w:color w:val="auto"/>
              </w:rPr>
            </w:pPr>
          </w:p>
        </w:tc>
      </w:tr>
      <w:tr>
        <w:trPr>
          <w:trHeight w:val="65"/>
        </w:trPr>
        <w:tc>
          <w:tcPr>
            <w:tcW w:w="108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1080" w:type="dxa"/>
            <w:vAlign w:val="bottom"/>
            <w:vMerge w:val="restart"/>
          </w:tcPr>
          <w:p>
            <w:pPr>
              <w:spacing w:after="0"/>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color w:val="A6A6A6"/>
              </w:rPr>
              <w:t>/</w:t>
            </w:r>
          </w:p>
        </w:tc>
        <w:tc>
          <w:tcPr>
            <w:tcW w:w="4260" w:type="dxa"/>
            <w:vAlign w:val="bottom"/>
          </w:tcPr>
          <w:p>
            <w:pPr>
              <w:ind w:left="540"/>
              <w:spacing w:after="0"/>
              <w:rPr>
                <w:sz w:val="20"/>
                <w:szCs w:val="20"/>
                <w:color w:val="auto"/>
              </w:rPr>
            </w:pPr>
            <w:r>
              <w:rPr>
                <w:rFonts w:ascii="Arial" w:cs="Arial" w:eastAsia="Arial" w:hAnsi="Arial"/>
                <w:sz w:val="19"/>
                <w:szCs w:val="19"/>
                <w:color w:val="auto"/>
              </w:rPr>
              <w:t>Allan Schoening</w:t>
            </w:r>
          </w:p>
        </w:tc>
        <w:tc>
          <w:tcPr>
            <w:tcW w:w="0" w:type="dxa"/>
            <w:vAlign w:val="bottom"/>
          </w:tcPr>
          <w:p>
            <w:pPr>
              <w:spacing w:after="0"/>
              <w:rPr>
                <w:sz w:val="1"/>
                <w:szCs w:val="1"/>
                <w:color w:val="auto"/>
              </w:rPr>
            </w:pPr>
          </w:p>
        </w:tc>
      </w:tr>
      <w:tr>
        <w:trPr>
          <w:trHeight w:val="65"/>
        </w:trPr>
        <w:tc>
          <w:tcPr>
            <w:tcW w:w="108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1080" w:type="dxa"/>
            <w:vAlign w:val="bottom"/>
            <w:vMerge w:val="restart"/>
          </w:tcPr>
          <w:p>
            <w:pPr>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color w:val="A6A6A6"/>
              </w:rPr>
              <w:t>/</w:t>
            </w:r>
          </w:p>
        </w:tc>
        <w:tc>
          <w:tcPr>
            <w:tcW w:w="4260" w:type="dxa"/>
            <w:vAlign w:val="bottom"/>
          </w:tcPr>
          <w:p>
            <w:pPr>
              <w:ind w:left="540"/>
              <w:spacing w:after="0"/>
              <w:rPr>
                <w:sz w:val="20"/>
                <w:szCs w:val="20"/>
                <w:color w:val="auto"/>
              </w:rPr>
            </w:pPr>
            <w:r>
              <w:rPr>
                <w:rFonts w:ascii="Arial" w:cs="Arial" w:eastAsia="Arial" w:hAnsi="Arial"/>
                <w:sz w:val="19"/>
                <w:szCs w:val="19"/>
                <w:color w:val="auto"/>
              </w:rPr>
              <w:t>Dual Employment Agreement Cancellations</w:t>
            </w:r>
          </w:p>
        </w:tc>
        <w:tc>
          <w:tcPr>
            <w:tcW w:w="0" w:type="dxa"/>
            <w:vAlign w:val="bottom"/>
          </w:tcPr>
          <w:p>
            <w:pPr>
              <w:spacing w:after="0"/>
              <w:rPr>
                <w:sz w:val="1"/>
                <w:szCs w:val="1"/>
                <w:color w:val="auto"/>
              </w:rPr>
            </w:pPr>
          </w:p>
        </w:tc>
      </w:tr>
      <w:tr>
        <w:trPr>
          <w:trHeight w:val="65"/>
        </w:trPr>
        <w:tc>
          <w:tcPr>
            <w:tcW w:w="1080" w:type="dxa"/>
            <w:vAlign w:val="bottom"/>
            <w:vMerge w:val="continue"/>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color w:val="auto"/>
        </w:rPr>
        <w:t>This letter is to document our understanding and agreement that effective as of September 30, 2021, your Dual Employment Agreements for Canada and the United States, each entered into on July 17, 2015, will be cancelled and are of no further force and effect. The Executive Change of Control Agreement entered into by between Civeo Corporation and yourself originally dated as of July 13, 2015, as amended effective July 20, 2020, remains in full force and effect and is not affected by the cancellation of the Dual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7"/>
          <w:szCs w:val="17"/>
          <w:color w:val="auto"/>
        </w:rPr>
        <w:t>/s/ Bradley J. Dodson</w:t>
      </w:r>
      <w:r>
        <w:rPr>
          <w:sz w:val="20"/>
          <w:szCs w:val="20"/>
          <w:color w:val="auto"/>
        </w:rPr>
        <w:tab/>
      </w:r>
      <w:r>
        <w:rPr>
          <w:rFonts w:ascii="Arial" w:cs="Arial" w:eastAsia="Arial" w:hAnsi="Arial"/>
          <w:sz w:val="15"/>
          <w:szCs w:val="15"/>
          <w:color w:val="auto"/>
        </w:rPr>
        <w:t>/s/ Allan Schoening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136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60" w:type="dxa"/>
            <w:vAlign w:val="bottom"/>
            <w:gridSpan w:val="2"/>
          </w:tcPr>
          <w:p>
            <w:pPr>
              <w:ind w:left="80"/>
              <w:spacing w:after="0"/>
              <w:rPr>
                <w:sz w:val="20"/>
                <w:szCs w:val="20"/>
                <w:color w:val="auto"/>
              </w:rPr>
            </w:pPr>
            <w:r>
              <w:rPr>
                <w:rFonts w:ascii="Arial" w:cs="Arial" w:eastAsia="Arial" w:hAnsi="Arial"/>
                <w:sz w:val="19"/>
                <w:szCs w:val="19"/>
                <w:color w:val="auto"/>
              </w:rPr>
              <w:t>Bradley J. Dodson</w:t>
            </w:r>
          </w:p>
        </w:tc>
        <w:tc>
          <w:tcPr>
            <w:tcW w:w="5480" w:type="dxa"/>
            <w:vAlign w:val="bottom"/>
          </w:tcPr>
          <w:p>
            <w:pPr>
              <w:ind w:left="60"/>
              <w:spacing w:after="0"/>
              <w:rPr>
                <w:sz w:val="20"/>
                <w:szCs w:val="20"/>
                <w:color w:val="auto"/>
              </w:rPr>
            </w:pPr>
            <w:r>
              <w:rPr>
                <w:rFonts w:ascii="Arial" w:cs="Arial" w:eastAsia="Arial" w:hAnsi="Arial"/>
                <w:sz w:val="19"/>
                <w:szCs w:val="19"/>
                <w:color w:val="auto"/>
              </w:rPr>
              <w:t>Allan Schoening</w:t>
            </w:r>
          </w:p>
        </w:tc>
      </w:tr>
      <w:tr>
        <w:trPr>
          <w:trHeight w:val="223"/>
        </w:trPr>
        <w:tc>
          <w:tcPr>
            <w:tcW w:w="5760" w:type="dxa"/>
            <w:vAlign w:val="bottom"/>
            <w:gridSpan w:val="2"/>
          </w:tcPr>
          <w:p>
            <w:pPr>
              <w:ind w:left="80"/>
              <w:spacing w:after="0"/>
              <w:rPr>
                <w:sz w:val="20"/>
                <w:szCs w:val="20"/>
                <w:color w:val="auto"/>
              </w:rPr>
            </w:pPr>
            <w:r>
              <w:rPr>
                <w:rFonts w:ascii="Arial" w:cs="Arial" w:eastAsia="Arial" w:hAnsi="Arial"/>
                <w:sz w:val="19"/>
                <w:szCs w:val="19"/>
                <w:color w:val="auto"/>
              </w:rPr>
              <w:t>Chief Executive Officer and President</w:t>
            </w:r>
          </w:p>
        </w:tc>
        <w:tc>
          <w:tcPr>
            <w:tcW w:w="5480" w:type="dxa"/>
            <w:vAlign w:val="bottom"/>
          </w:tcPr>
          <w:p>
            <w:pPr>
              <w:spacing w:after="0"/>
              <w:rPr>
                <w:sz w:val="19"/>
                <w:szCs w:val="19"/>
                <w:color w:val="auto"/>
              </w:rPr>
            </w:pPr>
          </w:p>
        </w:tc>
      </w:tr>
      <w:tr>
        <w:trPr>
          <w:trHeight w:val="230"/>
        </w:trPr>
        <w:tc>
          <w:tcPr>
            <w:tcW w:w="5760" w:type="dxa"/>
            <w:vAlign w:val="bottom"/>
            <w:gridSpan w:val="2"/>
          </w:tcPr>
          <w:p>
            <w:pPr>
              <w:ind w:left="80"/>
              <w:spacing w:after="0"/>
              <w:rPr>
                <w:sz w:val="20"/>
                <w:szCs w:val="20"/>
                <w:color w:val="auto"/>
              </w:rPr>
            </w:pPr>
            <w:r>
              <w:rPr>
                <w:rFonts w:ascii="Arial" w:cs="Arial" w:eastAsia="Arial" w:hAnsi="Arial"/>
                <w:sz w:val="19"/>
                <w:szCs w:val="19"/>
                <w:color w:val="auto"/>
              </w:rPr>
              <w:t>Civeo Corporation</w:t>
            </w:r>
          </w:p>
        </w:tc>
        <w:tc>
          <w:tcPr>
            <w:tcW w:w="5480" w:type="dxa"/>
            <w:vAlign w:val="bottom"/>
          </w:tcPr>
          <w:p>
            <w:pPr>
              <w:spacing w:after="0"/>
              <w:rPr>
                <w:sz w:val="19"/>
                <w:szCs w:val="19"/>
                <w:color w:val="auto"/>
              </w:rPr>
            </w:pPr>
          </w:p>
        </w:tc>
      </w:tr>
      <w:tr>
        <w:trPr>
          <w:trHeight w:val="520"/>
        </w:trPr>
        <w:tc>
          <w:tcPr>
            <w:tcW w:w="5400" w:type="dxa"/>
            <w:vAlign w:val="bottom"/>
          </w:tcPr>
          <w:p>
            <w:pPr>
              <w:ind w:left="20"/>
              <w:spacing w:after="0"/>
              <w:rPr>
                <w:sz w:val="20"/>
                <w:szCs w:val="20"/>
                <w:color w:val="auto"/>
              </w:rPr>
            </w:pPr>
            <w:r>
              <w:rPr>
                <w:rFonts w:ascii="Arial" w:cs="Arial" w:eastAsia="Arial" w:hAnsi="Arial"/>
                <w:sz w:val="17"/>
                <w:szCs w:val="17"/>
                <w:color w:val="auto"/>
              </w:rPr>
              <w:t>9/30/2021</w:t>
            </w:r>
          </w:p>
        </w:tc>
        <w:tc>
          <w:tcPr>
            <w:tcW w:w="360" w:type="dxa"/>
            <w:vAlign w:val="bottom"/>
          </w:tcPr>
          <w:p>
            <w:pPr>
              <w:spacing w:after="0"/>
              <w:rPr>
                <w:sz w:val="24"/>
                <w:szCs w:val="24"/>
                <w:color w:val="auto"/>
              </w:rPr>
            </w:pPr>
          </w:p>
        </w:tc>
        <w:tc>
          <w:tcPr>
            <w:tcW w:w="5480" w:type="dxa"/>
            <w:vAlign w:val="bottom"/>
          </w:tcPr>
          <w:p>
            <w:pPr>
              <w:jc w:val="right"/>
              <w:ind w:right="4667"/>
              <w:spacing w:after="0"/>
              <w:rPr>
                <w:sz w:val="20"/>
                <w:szCs w:val="20"/>
                <w:color w:val="auto"/>
              </w:rPr>
            </w:pPr>
            <w:r>
              <w:rPr>
                <w:rFonts w:ascii="Arial" w:cs="Arial" w:eastAsia="Arial" w:hAnsi="Arial"/>
                <w:sz w:val="17"/>
                <w:szCs w:val="17"/>
                <w:color w:val="auto"/>
                <w:w w:val="92"/>
              </w:rPr>
              <w:t>9/30/2021</w:t>
            </w:r>
          </w:p>
        </w:tc>
      </w:tr>
      <w:tr>
        <w:trPr>
          <w:trHeight w:val="27"/>
        </w:trPr>
        <w:tc>
          <w:tcPr>
            <w:tcW w:w="5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46"/>
        </w:trPr>
        <w:tc>
          <w:tcPr>
            <w:tcW w:w="5760" w:type="dxa"/>
            <w:vAlign w:val="bottom"/>
            <w:gridSpan w:val="2"/>
          </w:tcPr>
          <w:p>
            <w:pPr>
              <w:ind w:left="80"/>
              <w:spacing w:after="0"/>
              <w:rPr>
                <w:sz w:val="20"/>
                <w:szCs w:val="20"/>
                <w:color w:val="auto"/>
              </w:rPr>
            </w:pPr>
            <w:r>
              <w:rPr>
                <w:rFonts w:ascii="Arial" w:cs="Arial" w:eastAsia="Arial" w:hAnsi="Arial"/>
                <w:sz w:val="19"/>
                <w:szCs w:val="19"/>
                <w:color w:val="auto"/>
              </w:rPr>
              <w:t>Date</w:t>
            </w:r>
          </w:p>
        </w:tc>
        <w:tc>
          <w:tcPr>
            <w:tcW w:w="5480" w:type="dxa"/>
            <w:vAlign w:val="bottom"/>
          </w:tcPr>
          <w:p>
            <w:pPr>
              <w:ind w:left="60"/>
              <w:spacing w:after="0"/>
              <w:rPr>
                <w:sz w:val="20"/>
                <w:szCs w:val="20"/>
                <w:color w:val="auto"/>
              </w:rPr>
            </w:pPr>
            <w:r>
              <w:rPr>
                <w:rFonts w:ascii="Arial" w:cs="Arial" w:eastAsia="Arial" w:hAnsi="Arial"/>
                <w:sz w:val="19"/>
                <w:szCs w:val="19"/>
                <w:color w:val="auto"/>
              </w:rPr>
              <w:t>Date</w:t>
            </w:r>
          </w:p>
        </w:tc>
      </w:tr>
    </w:tbl>
    <w:p>
      <w:pPr>
        <w:sectPr>
          <w:pgSz w:w="11900" w:h="16838" w:orient="portrait"/>
          <w:cols w:equalWidth="0" w:num="1">
            <w:col w:w="11240"/>
          </w:cols>
          <w:pgMar w:left="320" w:top="19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Bradley J. Dodson, certify that:</w:t>
      </w:r>
    </w:p>
    <w:p>
      <w:pPr>
        <w:spacing w:after="0" w:line="355" w:lineRule="exact"/>
        <w:rPr>
          <w:sz w:val="20"/>
          <w:szCs w:val="20"/>
          <w:color w:val="auto"/>
        </w:rPr>
      </w:pPr>
    </w:p>
    <w:p>
      <w:pPr>
        <w:ind w:left="340" w:hanging="318"/>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20" w:hanging="318"/>
        <w:spacing w:after="0" w:line="230"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sz w:val="20"/>
          <w:szCs w:val="20"/>
          <w:color w:val="auto"/>
        </w:rPr>
      </w:pPr>
    </w:p>
    <w:p>
      <w:pPr>
        <w:jc w:val="both"/>
        <w:ind w:left="340" w:right="2300" w:hanging="318"/>
        <w:spacing w:after="0" w:line="230"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sz w:val="20"/>
          <w:szCs w:val="20"/>
          <w:color w:val="auto"/>
        </w:rPr>
      </w:pPr>
    </w:p>
    <w:p>
      <w:pPr>
        <w:jc w:val="both"/>
        <w:ind w:left="340" w:right="2300" w:hanging="318"/>
        <w:spacing w:after="0" w:line="230"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Arial" w:cs="Arial" w:eastAsia="Arial" w:hAnsi="Arial"/>
          <w:sz w:val="17"/>
          <w:szCs w:val="17"/>
          <w:color w:val="auto"/>
        </w:rPr>
      </w:pPr>
    </w:p>
    <w:p>
      <w:pPr>
        <w:ind w:left="700" w:right="2300" w:hanging="367"/>
        <w:spacing w:after="0" w:line="224" w:lineRule="auto"/>
        <w:rPr>
          <w:rFonts w:ascii="Arial" w:cs="Arial" w:eastAsia="Arial" w:hAnsi="Arial"/>
          <w:sz w:val="17"/>
          <w:szCs w:val="17"/>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700" w:right="2320" w:hanging="367"/>
        <w:spacing w:after="0" w:line="224"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700" w:right="2300" w:hanging="367"/>
        <w:spacing w:after="0" w:line="230" w:lineRule="auto"/>
        <w:rPr>
          <w:rFonts w:ascii="Arial" w:cs="Arial" w:eastAsia="Arial" w:hAnsi="Arial"/>
          <w:sz w:val="17"/>
          <w:szCs w:val="17"/>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700" w:right="2320" w:hanging="363"/>
        <w:spacing w:after="0" w:line="224" w:lineRule="auto"/>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sz w:val="20"/>
          <w:szCs w:val="20"/>
          <w:color w:val="auto"/>
        </w:rPr>
      </w:pPr>
    </w:p>
    <w:p>
      <w:pPr>
        <w:jc w:val="both"/>
        <w:ind w:left="340" w:right="2300" w:hanging="318"/>
        <w:spacing w:after="0" w:line="230"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00" w:right="2320" w:hanging="367"/>
        <w:spacing w:after="0" w:line="230"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700" w:right="2300" w:hanging="367"/>
        <w:spacing w:after="0" w:line="241" w:lineRule="auto"/>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2021</w:t>
      </w:r>
    </w:p>
    <w:p>
      <w:pPr>
        <w:spacing w:after="0" w:line="14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16510</wp:posOffset>
            </wp:positionV>
            <wp:extent cx="28778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Bradley J. Dodson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Carolyn J. Stone, certify that:</w:t>
      </w:r>
    </w:p>
    <w:p>
      <w:pPr>
        <w:spacing w:after="0" w:line="355" w:lineRule="exact"/>
        <w:rPr>
          <w:sz w:val="20"/>
          <w:szCs w:val="20"/>
          <w:color w:val="auto"/>
        </w:rPr>
      </w:pPr>
    </w:p>
    <w:p>
      <w:pPr>
        <w:ind w:left="320" w:hanging="298"/>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00" w:hanging="298"/>
        <w:spacing w:after="0" w:line="230"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sz w:val="20"/>
          <w:szCs w:val="20"/>
          <w:color w:val="auto"/>
        </w:rPr>
      </w:pPr>
    </w:p>
    <w:p>
      <w:pPr>
        <w:jc w:val="both"/>
        <w:ind w:left="320" w:right="2400" w:hanging="298"/>
        <w:spacing w:after="0" w:line="230"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sz w:val="20"/>
          <w:szCs w:val="20"/>
          <w:color w:val="auto"/>
        </w:rPr>
      </w:pPr>
    </w:p>
    <w:p>
      <w:pPr>
        <w:jc w:val="both"/>
        <w:ind w:left="320" w:right="2400" w:hanging="298"/>
        <w:spacing w:after="0" w:line="230"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Arial" w:cs="Arial" w:eastAsia="Arial" w:hAnsi="Arial"/>
          <w:sz w:val="17"/>
          <w:szCs w:val="17"/>
          <w:color w:val="auto"/>
        </w:rPr>
      </w:pPr>
    </w:p>
    <w:p>
      <w:pPr>
        <w:ind w:left="720" w:right="2400" w:hanging="393"/>
        <w:spacing w:after="0" w:line="224" w:lineRule="auto"/>
        <w:rPr>
          <w:rFonts w:ascii="Arial" w:cs="Arial" w:eastAsia="Arial" w:hAnsi="Arial"/>
          <w:sz w:val="17"/>
          <w:szCs w:val="17"/>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720" w:right="2400" w:hanging="393"/>
        <w:spacing w:after="0" w:line="224"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ind w:left="720" w:right="2400" w:hanging="393"/>
        <w:spacing w:after="0" w:line="230" w:lineRule="auto"/>
        <w:rPr>
          <w:rFonts w:ascii="Arial" w:cs="Arial" w:eastAsia="Arial" w:hAnsi="Arial"/>
          <w:sz w:val="17"/>
          <w:szCs w:val="17"/>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720" w:right="2400" w:hanging="397"/>
        <w:spacing w:after="0" w:line="224"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sz w:val="20"/>
          <w:szCs w:val="20"/>
          <w:color w:val="auto"/>
        </w:rPr>
      </w:pPr>
    </w:p>
    <w:p>
      <w:pPr>
        <w:jc w:val="both"/>
        <w:ind w:left="320" w:right="2400" w:hanging="298"/>
        <w:spacing w:after="0" w:line="230"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20" w:right="2400" w:hanging="393"/>
        <w:spacing w:after="0" w:line="230" w:lineRule="auto"/>
        <w:rPr>
          <w:rFonts w:ascii="Arial" w:cs="Arial" w:eastAsia="Arial" w:hAnsi="Arial"/>
          <w:sz w:val="17"/>
          <w:szCs w:val="17"/>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720" w:right="2400" w:hanging="393"/>
        <w:spacing w:after="0" w:line="241" w:lineRule="auto"/>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2021</w:t>
      </w:r>
    </w:p>
    <w:p>
      <w:pPr>
        <w:spacing w:after="0" w:line="35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16510</wp:posOffset>
            </wp:positionV>
            <wp:extent cx="28778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Carolyn J. Stone</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240"/>
          </w:cols>
          <w:pgMar w:left="320" w:top="86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ind w:firstLine="786"/>
        <w:spacing w:after="0" w:line="267" w:lineRule="auto"/>
        <w:rPr>
          <w:sz w:val="20"/>
          <w:szCs w:val="20"/>
          <w:color w:val="auto"/>
        </w:rPr>
      </w:pPr>
      <w:r>
        <w:rPr>
          <w:rFonts w:ascii="Arial" w:cs="Arial" w:eastAsia="Arial" w:hAnsi="Arial"/>
          <w:sz w:val="17"/>
          <w:szCs w:val="17"/>
          <w:color w:val="auto"/>
        </w:rPr>
        <w:t>In connection with the Quarterly Report on Form 10-Q of Civeo Corporation (the “Company”) for the quarterly period ended September 30, 2021,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09"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1" w:lineRule="auto"/>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 Bradley J. Dodson</w:t>
      </w:r>
    </w:p>
    <w:p>
      <w:pPr>
        <w:spacing w:after="0" w:line="26" w:lineRule="exact"/>
        <w:rPr>
          <w:sz w:val="20"/>
          <w:szCs w:val="20"/>
          <w:color w:val="auto"/>
        </w:rPr>
      </w:pPr>
    </w:p>
    <w:tbl>
      <w:tblPr>
        <w:tblLayout w:type="fixed"/>
        <w:tblInd w:w="5920" w:type="dxa"/>
        <w:tblCellMar>
          <w:top w:w="0" w:type="dxa"/>
          <w:left w:w="0" w:type="dxa"/>
          <w:bottom w:w="0" w:type="dxa"/>
          <w:right w:w="0" w:type="dxa"/>
        </w:tblCellMar>
      </w:tblPr>
      <w:tr>
        <w:trPr>
          <w:trHeight w:val="217"/>
        </w:trPr>
        <w:tc>
          <w:tcPr>
            <w:tcW w:w="6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344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Bradley J. Dodson</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3440" w:type="dxa"/>
            <w:vAlign w:val="bottom"/>
          </w:tcPr>
          <w:p>
            <w:pPr>
              <w:ind w:left="140"/>
              <w:spacing w:after="0"/>
              <w:rPr>
                <w:sz w:val="20"/>
                <w:szCs w:val="20"/>
                <w:color w:val="auto"/>
              </w:rPr>
            </w:pPr>
            <w:r>
              <w:rPr>
                <w:rFonts w:ascii="Arial" w:cs="Arial" w:eastAsia="Arial" w:hAnsi="Arial"/>
                <w:sz w:val="17"/>
                <w:szCs w:val="17"/>
                <w:color w:val="auto"/>
              </w:rPr>
              <w:t>October 28, 2021</w:t>
            </w:r>
          </w:p>
        </w:tc>
      </w:tr>
    </w:tbl>
    <w:p>
      <w:pPr>
        <w:sectPr>
          <w:pgSz w:w="11900" w:h="16838" w:orient="portrait"/>
          <w:cols w:equalWidth="0" w:num="1">
            <w:col w:w="11240"/>
          </w:cols>
          <w:pgMar w:left="320" w:top="86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32.2</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ind w:firstLine="786"/>
        <w:spacing w:after="0" w:line="267" w:lineRule="auto"/>
        <w:rPr>
          <w:sz w:val="20"/>
          <w:szCs w:val="20"/>
          <w:color w:val="auto"/>
        </w:rPr>
      </w:pPr>
      <w:r>
        <w:rPr>
          <w:rFonts w:ascii="Arial" w:cs="Arial" w:eastAsia="Arial" w:hAnsi="Arial"/>
          <w:sz w:val="17"/>
          <w:szCs w:val="17"/>
          <w:color w:val="auto"/>
        </w:rPr>
        <w:t>In connection with the Quarterly Report on Form 10-Q of Civeo Corporation (the “Company”) for the quarterly period ended September 30, 2021,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09"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1" w:lineRule="auto"/>
        <w:tabs>
          <w:tab w:leader="none" w:pos="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 Carolyn J. Stone</w:t>
      </w:r>
    </w:p>
    <w:p>
      <w:pPr>
        <w:spacing w:after="0" w:line="26" w:lineRule="exact"/>
        <w:rPr>
          <w:sz w:val="20"/>
          <w:szCs w:val="20"/>
          <w:color w:val="auto"/>
        </w:rPr>
      </w:pPr>
    </w:p>
    <w:tbl>
      <w:tblPr>
        <w:tblLayout w:type="fixed"/>
        <w:tblInd w:w="5760" w:type="dxa"/>
        <w:tblCellMar>
          <w:top w:w="0" w:type="dxa"/>
          <w:left w:w="0" w:type="dxa"/>
          <w:bottom w:w="0" w:type="dxa"/>
          <w:right w:w="0" w:type="dxa"/>
        </w:tblCellMar>
      </w:tblPr>
      <w:tr>
        <w:trPr>
          <w:trHeight w:val="217"/>
        </w:trPr>
        <w:tc>
          <w:tcPr>
            <w:tcW w:w="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348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rPr>
              <w:t>Carolyn J. Stone</w:t>
            </w:r>
          </w:p>
        </w:tc>
      </w:tr>
      <w:tr>
        <w:trPr>
          <w:trHeight w:val="222"/>
        </w:trPr>
        <w:tc>
          <w:tcPr>
            <w:tcW w:w="720" w:type="dxa"/>
            <w:vAlign w:val="bottom"/>
          </w:tcPr>
          <w:p>
            <w:pPr>
              <w:ind w:left="20"/>
              <w:spacing w:after="0"/>
              <w:rPr>
                <w:sz w:val="20"/>
                <w:szCs w:val="20"/>
                <w:color w:val="auto"/>
              </w:rPr>
            </w:pPr>
            <w:r>
              <w:rPr>
                <w:rFonts w:ascii="Arial" w:cs="Arial" w:eastAsia="Arial" w:hAnsi="Arial"/>
                <w:sz w:val="17"/>
                <w:szCs w:val="17"/>
                <w:color w:val="auto"/>
              </w:rPr>
              <w:t>Date:</w:t>
            </w:r>
          </w:p>
        </w:tc>
        <w:tc>
          <w:tcPr>
            <w:tcW w:w="3480" w:type="dxa"/>
            <w:vAlign w:val="bottom"/>
          </w:tcPr>
          <w:p>
            <w:pPr>
              <w:ind w:left="200"/>
              <w:spacing w:after="0"/>
              <w:rPr>
                <w:sz w:val="20"/>
                <w:szCs w:val="20"/>
                <w:color w:val="auto"/>
              </w:rPr>
            </w:pPr>
            <w:r>
              <w:rPr>
                <w:rFonts w:ascii="Arial" w:cs="Arial" w:eastAsia="Arial" w:hAnsi="Arial"/>
                <w:sz w:val="17"/>
                <w:szCs w:val="17"/>
                <w:color w:val="auto"/>
              </w:rPr>
              <w:t>October 28, 2021</w:t>
            </w:r>
          </w:p>
        </w:tc>
      </w:tr>
    </w:tbl>
    <w:p>
      <w:pPr>
        <w:spacing w:after="0" w:line="1" w:lineRule="exact"/>
        <w:rPr>
          <w:sz w:val="20"/>
          <w:szCs w:val="20"/>
          <w:color w:val="auto"/>
        </w:rPr>
      </w:pP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decimal"/>
      <w:start w:val="4"/>
    </w:lvl>
  </w:abstractNum>
  <w:abstractNum w:abstractNumId="9">
    <w:nsid w:val="4353D0CD"/>
    <w:multiLevelType w:val="hybridMultilevel"/>
    <w:lvl w:ilvl="0">
      <w:lvlJc w:val="left"/>
      <w:lvlText w:val="%1."/>
      <w:numFmt w:val="decimal"/>
      <w:start w:val="5"/>
    </w:lvl>
  </w:abstractNum>
  <w:abstractNum w:abstractNumId="10">
    <w:nsid w:val="B03E0C6"/>
    <w:multiLevelType w:val="hybridMultilevel"/>
    <w:lvl w:ilvl="0">
      <w:lvlJc w:val="left"/>
      <w:lvlText w:val="%1."/>
      <w:numFmt w:val="decimal"/>
      <w:start w:val="6"/>
    </w:lvl>
  </w:abstractNum>
  <w:abstractNum w:abstractNumId="11">
    <w:nsid w:val="189A769B"/>
    <w:multiLevelType w:val="hybridMultilevel"/>
    <w:lvl w:ilvl="0">
      <w:lvlJc w:val="left"/>
      <w:lvlText w:val="%1."/>
      <w:numFmt w:val="decimal"/>
      <w:start w:val="7"/>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9"/>
    </w:lvl>
  </w:abstractNum>
  <w:abstractNum w:abstractNumId="14">
    <w:nsid w:val="2CA88611"/>
    <w:multiLevelType w:val="hybridMultilevel"/>
    <w:lvl w:ilvl="0">
      <w:lvlJc w:val="left"/>
      <w:lvlText w:val="•"/>
      <w:numFmt w:val="bullet"/>
      <w:start w:val="1"/>
    </w:lvl>
    <w:lvl w:ilvl="1">
      <w:lvlJc w:val="left"/>
      <w:lvlText w:val="(%2)"/>
      <w:numFmt w:val="upperLetter"/>
      <w:start w:val="2"/>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9"/>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bullet"/>
      <w:start w:val="1"/>
    </w:lvl>
  </w:abstractNum>
  <w:abstractNum w:abstractNumId="28">
    <w:nsid w:val="5577F8E1"/>
    <w:multiLevelType w:val="hybridMultilevel"/>
    <w:lvl w:ilvl="0">
      <w:lvlJc w:val="left"/>
      <w:lvlText w:val="2"/>
      <w:numFmt w:val="bullet"/>
      <w:start w:val="1"/>
    </w:lvl>
  </w:abstractNum>
  <w:abstractNum w:abstractNumId="29">
    <w:nsid w:val="440BADFC"/>
    <w:multiLevelType w:val="hybridMultilevel"/>
    <w:lvl w:ilvl="0">
      <w:lvlJc w:val="left"/>
      <w:lvlText w:val="3"/>
      <w:numFmt w:val="bullet"/>
      <w:start w:val="1"/>
    </w:lvl>
  </w:abstractNum>
  <w:abstractNum w:abstractNumId="30">
    <w:nsid w:val="5072367"/>
    <w:multiLevelType w:val="hybridMultilevel"/>
    <w:lvl w:ilvl="0">
      <w:lvlJc w:val="left"/>
      <w:lvlText w:val="4"/>
      <w:numFmt w:val="bullet"/>
      <w:start w:val="1"/>
    </w:lvl>
  </w:abstractNum>
  <w:abstractNum w:abstractNumId="31">
    <w:nsid w:val="3804823E"/>
    <w:multiLevelType w:val="hybridMultilevel"/>
    <w:lvl w:ilvl="0">
      <w:lvlJc w:val="left"/>
      <w:lvlText w:val="d"/>
      <w:numFmt w:val="bullet"/>
      <w:start w:val="1"/>
    </w:lvl>
  </w:abstractNum>
  <w:abstractNum w:abstractNumId="32">
    <w:nsid w:val="77465F01"/>
    <w:multiLevelType w:val="hybridMultilevel"/>
    <w:lvl w:ilvl="0">
      <w:lvlJc w:val="left"/>
      <w:lvlText w:val="5"/>
      <w:numFmt w:val="bullet"/>
      <w:start w:val="1"/>
    </w:lvl>
  </w:abstractNum>
  <w:abstractNum w:abstractNumId="33">
    <w:nsid w:val="7724C67E"/>
    <w:multiLevelType w:val="hybridMultilevel"/>
    <w:lvl w:ilvl="0">
      <w:lvlJc w:val="left"/>
      <w:lvlText w:val="1"/>
      <w:numFmt w:val="bullet"/>
      <w:start w:val="1"/>
    </w:lvl>
  </w:abstractNum>
  <w:abstractNum w:abstractNumId="34">
    <w:nsid w:val="5C482A97"/>
    <w:multiLevelType w:val="hybridMultilevel"/>
    <w:lvl w:ilvl="0">
      <w:lvlJc w:val="left"/>
      <w:lvlText w:val="2"/>
      <w:numFmt w:val="bullet"/>
      <w:start w:val="1"/>
    </w:lvl>
  </w:abstractNum>
  <w:abstractNum w:abstractNumId="35">
    <w:nsid w:val="2463B9EA"/>
    <w:multiLevelType w:val="hybridMultilevel"/>
    <w:lvl w:ilvl="0">
      <w:lvlJc w:val="left"/>
      <w:lvlText w:val="3"/>
      <w:numFmt w:val="bullet"/>
      <w:start w:val="1"/>
    </w:lvl>
  </w:abstractNum>
  <w:abstractNum w:abstractNumId="36">
    <w:nsid w:val="5E884ADC"/>
    <w:multiLevelType w:val="hybridMultilevel"/>
    <w:lvl w:ilvl="0">
      <w:lvlJc w:val="left"/>
      <w:lvlText w:val="4"/>
      <w:numFmt w:val="bullet"/>
      <w:start w:val="1"/>
    </w:lvl>
  </w:abstractNum>
  <w:abstractNum w:abstractNumId="37">
    <w:nsid w:val="51EAD36B"/>
    <w:multiLevelType w:val="hybridMultilevel"/>
    <w:lvl w:ilvl="0">
      <w:lvlJc w:val="left"/>
      <w:lvlText w:val="d"/>
      <w:numFmt w:val="bullet"/>
      <w:start w:val="1"/>
    </w:lvl>
  </w:abstractNum>
  <w:abstractNum w:abstractNumId="38">
    <w:nsid w:val="2D517796"/>
    <w:multiLevelType w:val="hybridMultilevel"/>
    <w:lvl w:ilvl="0">
      <w:lvlJc w:val="left"/>
      <w:lvlText w:val="5"/>
      <w:numFmt w:val="bullet"/>
      <w:start w:val="1"/>
    </w:lvl>
  </w:abstractNum>
  <w:abstractNum w:abstractNumId="39">
    <w:nsid w:val="580BD78F"/>
    <w:multiLevelType w:val="hybridMultilevel"/>
    <w:lvl w:ilvl="0">
      <w:lvlJc w:val="left"/>
      <w:lvlText w:val="2"/>
      <w:numFmt w:val="bullet"/>
      <w:start w:val="1"/>
    </w:lvl>
  </w:abstractNum>
  <w:abstractNum w:abstractNumId="40">
    <w:nsid w:val="153EA43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83" Type="http://schemas.openxmlformats.org/officeDocument/2006/relationships/hyperlink" Target="https://www.sec.gov/Archives/edgar/data/0001590584/000159058421000105/rbc-civeoxcredi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2021-10-28T15:49:51Z</dcterms:created>
  <dcterms:modified xsi:type="dcterms:W3CDTF">2021-10-28T15:49:51Z</dcterms:modified>
</cp:coreProperties>
</file>