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8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60" w:right="1780" w:hanging="560"/>
        <w:spacing w:after="0" w:line="26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2015</w:t>
      </w:r>
    </w:p>
    <w:p>
      <w:pPr>
        <w:spacing w:after="0" w:line="184"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400"/>
        <w:spacing w:after="0"/>
        <w:tabs>
          <w:tab w:leader="none" w:pos="9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211" w:lineRule="exact"/>
        <w:rPr>
          <w:sz w:val="24"/>
          <w:szCs w:val="24"/>
          <w:color w:val="auto"/>
        </w:rPr>
      </w:pPr>
    </w:p>
    <w:tbl>
      <w:tblPr>
        <w:tblLayout w:type="fixed"/>
        <w:tblInd w:w="660" w:type="dxa"/>
        <w:tblCellMar>
          <w:top w:w="0" w:type="dxa"/>
          <w:left w:w="0" w:type="dxa"/>
          <w:bottom w:w="0" w:type="dxa"/>
          <w:right w:w="0" w:type="dxa"/>
        </w:tblCellMar>
      </w:tblPr>
      <w:tr>
        <w:trPr>
          <w:trHeight w:val="230"/>
        </w:trPr>
        <w:tc>
          <w:tcPr>
            <w:tcW w:w="2320" w:type="dxa"/>
            <w:vAlign w:val="bottom"/>
            <w:gridSpan w:val="3"/>
          </w:tcPr>
          <w:p>
            <w:pPr>
              <w:spacing w:after="0"/>
              <w:rPr>
                <w:sz w:val="20"/>
                <w:szCs w:val="20"/>
                <w:color w:val="auto"/>
              </w:rPr>
            </w:pPr>
            <w:r>
              <w:rPr>
                <w:rFonts w:ascii="Arial" w:cs="Arial" w:eastAsia="Arial" w:hAnsi="Arial"/>
                <w:sz w:val="18"/>
                <w:szCs w:val="18"/>
                <w:color w:val="auto"/>
                <w:w w:val="99"/>
              </w:rPr>
              <w:t>For the transition period from</w:t>
            </w:r>
          </w:p>
        </w:tc>
        <w:tc>
          <w:tcPr>
            <w:tcW w:w="1720" w:type="dxa"/>
            <w:vAlign w:val="bottom"/>
            <w:tcBorders>
              <w:bottom w:val="single" w:sz="8" w:color="auto"/>
            </w:tcBorders>
            <w:gridSpan w:val="3"/>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to</w:t>
            </w:r>
          </w:p>
        </w:tc>
        <w:tc>
          <w:tcPr>
            <w:tcW w:w="1740" w:type="dxa"/>
            <w:vAlign w:val="bottom"/>
            <w:tcBorders>
              <w:bottom w:val="single" w:sz="8" w:color="auto"/>
            </w:tcBorders>
            <w:gridSpan w:val="4"/>
          </w:tcPr>
          <w:p>
            <w:pPr>
              <w:spacing w:after="0"/>
              <w:rPr>
                <w:sz w:val="20"/>
                <w:szCs w:val="20"/>
                <w:color w:val="auto"/>
              </w:rPr>
            </w:pPr>
          </w:p>
        </w:tc>
        <w:tc>
          <w:tcPr>
            <w:tcW w:w="2460" w:type="dxa"/>
            <w:vAlign w:val="bottom"/>
            <w:gridSpan w:val="6"/>
          </w:tcPr>
          <w:p>
            <w:pPr>
              <w:spacing w:after="0"/>
              <w:rPr>
                <w:sz w:val="20"/>
                <w:szCs w:val="20"/>
                <w:color w:val="auto"/>
              </w:rPr>
            </w:pPr>
          </w:p>
        </w:tc>
      </w:tr>
      <w:tr>
        <w:trPr>
          <w:trHeight w:val="385"/>
        </w:trPr>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gridSpan w:val="12"/>
          </w:tcPr>
          <w:p>
            <w:pPr>
              <w:jc w:val="center"/>
              <w:ind w:right="1620"/>
              <w:spacing w:after="0"/>
              <w:rPr>
                <w:sz w:val="20"/>
                <w:szCs w:val="20"/>
                <w:color w:val="auto"/>
              </w:rPr>
            </w:pPr>
            <w:r>
              <w:rPr>
                <w:rFonts w:ascii="Arial" w:cs="Arial" w:eastAsia="Arial" w:hAnsi="Arial"/>
                <w:sz w:val="18"/>
                <w:szCs w:val="18"/>
                <w:color w:val="auto"/>
                <w:w w:val="91"/>
              </w:rPr>
              <w:t>Commission file number: 001-36246</w:t>
            </w:r>
          </w:p>
        </w:tc>
      </w:tr>
      <w:tr>
        <w:trPr>
          <w:trHeight w:val="20"/>
        </w:trPr>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53"/>
        </w:trPr>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40" w:type="dxa"/>
            <w:vAlign w:val="bottom"/>
            <w:gridSpan w:val="11"/>
          </w:tcPr>
          <w:p>
            <w:pPr>
              <w:jc w:val="center"/>
              <w:ind w:right="2500"/>
              <w:spacing w:after="0"/>
              <w:rPr>
                <w:sz w:val="20"/>
                <w:szCs w:val="20"/>
                <w:color w:val="auto"/>
              </w:rPr>
            </w:pPr>
            <w:r>
              <w:rPr>
                <w:rFonts w:ascii="Arial" w:cs="Arial" w:eastAsia="Arial" w:hAnsi="Arial"/>
                <w:sz w:val="18"/>
                <w:szCs w:val="18"/>
                <w:b w:val="1"/>
                <w:bCs w:val="1"/>
                <w:color w:val="auto"/>
                <w:w w:val="91"/>
              </w:rPr>
              <w:t>Civeo Corporation</w:t>
            </w:r>
          </w:p>
        </w:tc>
      </w:tr>
      <w:tr>
        <w:trPr>
          <w:trHeight w:val="378"/>
        </w:trPr>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34"/>
        </w:trPr>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gridSpan w:val="12"/>
          </w:tcPr>
          <w:p>
            <w:pPr>
              <w:jc w:val="center"/>
              <w:ind w:right="160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2"/>
        </w:trPr>
        <w:tc>
          <w:tcPr>
            <w:tcW w:w="1260" w:type="dxa"/>
            <w:vAlign w:val="bottom"/>
          </w:tcPr>
          <w:p>
            <w:pPr>
              <w:spacing w:after="0"/>
              <w:rPr>
                <w:sz w:val="24"/>
                <w:szCs w:val="24"/>
                <w:color w:val="auto"/>
              </w:rPr>
            </w:pPr>
          </w:p>
        </w:tc>
        <w:tc>
          <w:tcPr>
            <w:tcW w:w="2780" w:type="dxa"/>
            <w:vAlign w:val="bottom"/>
            <w:gridSpan w:val="5"/>
          </w:tcPr>
          <w:p>
            <w:pPr>
              <w:jc w:val="center"/>
              <w:ind w:right="810"/>
              <w:spacing w:after="0"/>
              <w:rPr>
                <w:sz w:val="20"/>
                <w:szCs w:val="20"/>
                <w:color w:val="auto"/>
              </w:rPr>
            </w:pPr>
            <w:r>
              <w:rPr>
                <w:rFonts w:ascii="Arial" w:cs="Arial" w:eastAsia="Arial" w:hAnsi="Arial"/>
                <w:sz w:val="18"/>
                <w:szCs w:val="18"/>
                <w:color w:val="auto"/>
                <w:w w:val="92"/>
              </w:rPr>
              <w:t>British Columbia, Canada</w:t>
            </w:r>
          </w:p>
        </w:tc>
        <w:tc>
          <w:tcPr>
            <w:tcW w:w="4540" w:type="dxa"/>
            <w:vAlign w:val="bottom"/>
            <w:gridSpan w:val="11"/>
          </w:tcPr>
          <w:p>
            <w:pPr>
              <w:jc w:val="right"/>
              <w:ind w:right="240"/>
              <w:spacing w:after="0"/>
              <w:rPr>
                <w:sz w:val="20"/>
                <w:szCs w:val="20"/>
                <w:color w:val="auto"/>
              </w:rPr>
            </w:pPr>
            <w:r>
              <w:rPr>
                <w:rFonts w:ascii="Arial" w:cs="Arial" w:eastAsia="Arial" w:hAnsi="Arial"/>
                <w:sz w:val="18"/>
                <w:szCs w:val="18"/>
                <w:color w:val="auto"/>
              </w:rPr>
              <w:t>98-1253716</w:t>
            </w: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040" w:type="dxa"/>
            <w:vAlign w:val="bottom"/>
            <w:gridSpan w:val="6"/>
          </w:tcPr>
          <w:p>
            <w:pPr>
              <w:jc w:val="center"/>
              <w:ind w:left="270"/>
              <w:spacing w:after="0"/>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5"/>
          </w:tcPr>
          <w:p>
            <w:pPr>
              <w:jc w:val="center"/>
              <w:ind w:left="770"/>
              <w:spacing w:after="0"/>
              <w:rPr>
                <w:sz w:val="20"/>
                <w:szCs w:val="20"/>
                <w:color w:val="auto"/>
              </w:rPr>
            </w:pPr>
            <w:r>
              <w:rPr>
                <w:rFonts w:ascii="Arial" w:cs="Arial" w:eastAsia="Arial" w:hAnsi="Arial"/>
                <w:sz w:val="18"/>
                <w:szCs w:val="18"/>
                <w:color w:val="auto"/>
                <w:w w:val="92"/>
              </w:rPr>
              <w:t>(I.R.S. Employer</w:t>
            </w:r>
          </w:p>
        </w:tc>
      </w:tr>
      <w:tr>
        <w:trPr>
          <w:trHeight w:val="230"/>
        </w:trPr>
        <w:tc>
          <w:tcPr>
            <w:tcW w:w="4040" w:type="dxa"/>
            <w:vAlign w:val="bottom"/>
            <w:gridSpan w:val="6"/>
          </w:tcPr>
          <w:p>
            <w:pPr>
              <w:jc w:val="center"/>
              <w:ind w:left="270"/>
              <w:spacing w:after="0"/>
              <w:rPr>
                <w:sz w:val="20"/>
                <w:szCs w:val="20"/>
                <w:color w:val="auto"/>
              </w:rPr>
            </w:pPr>
            <w:r>
              <w:rPr>
                <w:rFonts w:ascii="Arial" w:cs="Arial" w:eastAsia="Arial" w:hAnsi="Arial"/>
                <w:sz w:val="18"/>
                <w:szCs w:val="18"/>
                <w:color w:val="auto"/>
                <w:w w:val="92"/>
              </w:rPr>
              <w:t>incorporation or organization)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5"/>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040" w:type="dxa"/>
            <w:vAlign w:val="bottom"/>
            <w:gridSpan w:val="6"/>
          </w:tcPr>
          <w:p>
            <w:pPr>
              <w:jc w:val="center"/>
              <w:ind w:left="290"/>
              <w:spacing w:after="0"/>
              <w:rPr>
                <w:sz w:val="20"/>
                <w:szCs w:val="20"/>
                <w:color w:val="auto"/>
              </w:rPr>
            </w:pPr>
            <w:r>
              <w:rPr>
                <w:rFonts w:ascii="Arial" w:cs="Arial" w:eastAsia="Arial" w:hAnsi="Arial"/>
                <w:sz w:val="18"/>
                <w:szCs w:val="18"/>
                <w:color w:val="auto"/>
                <w:w w:val="90"/>
              </w:rPr>
              <w:t>Three Allen Center, 333 Clay Street, Suite 4980,</w:t>
            </w:r>
          </w:p>
        </w:tc>
        <w:tc>
          <w:tcPr>
            <w:tcW w:w="3640" w:type="dxa"/>
            <w:vAlign w:val="bottom"/>
            <w:gridSpan w:val="8"/>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0" w:type="dxa"/>
            <w:vAlign w:val="bottom"/>
            <w:gridSpan w:val="4"/>
          </w:tcPr>
          <w:p>
            <w:pPr>
              <w:jc w:val="center"/>
              <w:ind w:right="1190"/>
              <w:spacing w:after="0" w:line="196" w:lineRule="exact"/>
              <w:rPr>
                <w:sz w:val="20"/>
                <w:szCs w:val="20"/>
                <w:color w:val="auto"/>
              </w:rPr>
            </w:pPr>
            <w:r>
              <w:rPr>
                <w:rFonts w:ascii="Arial" w:cs="Arial" w:eastAsia="Arial" w:hAnsi="Arial"/>
                <w:sz w:val="18"/>
                <w:szCs w:val="18"/>
                <w:color w:val="auto"/>
                <w:w w:val="88"/>
              </w:rPr>
              <w:t>Houston, Texas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4"/>
          </w:tcPr>
          <w:p>
            <w:pPr>
              <w:jc w:val="center"/>
              <w:ind w:right="240"/>
              <w:spacing w:after="0" w:line="196" w:lineRule="exact"/>
              <w:rPr>
                <w:sz w:val="20"/>
                <w:szCs w:val="20"/>
                <w:color w:val="auto"/>
              </w:rPr>
            </w:pPr>
            <w:r>
              <w:rPr>
                <w:rFonts w:ascii="Arial" w:cs="Arial" w:eastAsia="Arial" w:hAnsi="Arial"/>
                <w:sz w:val="18"/>
                <w:szCs w:val="18"/>
                <w:color w:val="auto"/>
                <w:w w:val="91"/>
              </w:rPr>
              <w:t>(Zip Code)</w:t>
            </w:r>
          </w:p>
        </w:tc>
      </w:tr>
      <w:tr>
        <w:trPr>
          <w:trHeight w:val="20"/>
        </w:trPr>
        <w:tc>
          <w:tcPr>
            <w:tcW w:w="164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040" w:type="dxa"/>
            <w:vAlign w:val="bottom"/>
            <w:gridSpan w:val="6"/>
          </w:tcPr>
          <w:p>
            <w:pPr>
              <w:jc w:val="center"/>
              <w:ind w:left="290"/>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gridSpan w:val="4"/>
          </w:tcPr>
          <w:p>
            <w:pPr>
              <w:jc w:val="center"/>
              <w:ind w:left="370"/>
              <w:spacing w:after="0"/>
              <w:rPr>
                <w:sz w:val="20"/>
                <w:szCs w:val="20"/>
                <w:color w:val="auto"/>
              </w:rPr>
            </w:pPr>
            <w:r>
              <w:rPr>
                <w:rFonts w:ascii="Arial" w:cs="Arial" w:eastAsia="Arial" w:hAnsi="Arial"/>
                <w:sz w:val="18"/>
                <w:szCs w:val="18"/>
                <w:color w:val="auto"/>
                <w:w w:val="90"/>
              </w:rPr>
              <w:t>(713) 510-2400</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40"/>
        <w:spacing w:after="0"/>
        <w:tabs>
          <w:tab w:leader="none" w:pos="180" w:val="left"/>
        </w:tabs>
        <w:rPr>
          <w:sz w:val="20"/>
          <w:szCs w:val="20"/>
          <w:color w:val="auto"/>
        </w:rPr>
      </w:pPr>
      <w:r>
        <w:rPr>
          <w:rFonts w:ascii="Arial" w:cs="Arial" w:eastAsia="Arial" w:hAnsi="Arial"/>
          <w:sz w:val="18"/>
          <w:szCs w:val="18"/>
          <w:color w:val="auto"/>
        </w:rPr>
        <w:t>YES [X]</w:t>
        <w:tab/>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ind w:right="140"/>
        <w:spacing w:after="0"/>
        <w:tabs>
          <w:tab w:leader="none" w:pos="180" w:val="left"/>
        </w:tabs>
        <w:rPr>
          <w:sz w:val="20"/>
          <w:szCs w:val="20"/>
          <w:color w:val="auto"/>
        </w:rPr>
      </w:pPr>
      <w:r>
        <w:rPr>
          <w:rFonts w:ascii="Arial" w:cs="Arial" w:eastAsia="Arial" w:hAnsi="Arial"/>
          <w:sz w:val="18"/>
          <w:szCs w:val="18"/>
          <w:color w:val="auto"/>
        </w:rPr>
        <w:t>YES [X]</w:t>
        <w:tab/>
        <w:t>NO [ ]</w:t>
      </w:r>
    </w:p>
    <w:p>
      <w:pPr>
        <w:spacing w:after="0" w:line="211"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ind w:right="-19"/>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420"/>
          </w:cols>
          <w:pgMar w:left="240" w:top="409" w:right="239" w:bottom="1440" w:gutter="0" w:footer="0" w:header="0"/>
        </w:sectPr>
      </w:pP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w:t>
      </w:r>
    </w:p>
    <w:p>
      <w:pPr>
        <w:spacing w:after="0" w:line="200" w:lineRule="exact"/>
        <w:rPr>
          <w:sz w:val="24"/>
          <w:szCs w:val="24"/>
          <w:color w:val="auto"/>
        </w:rPr>
      </w:pPr>
    </w:p>
    <w:p>
      <w:pPr>
        <w:sectPr>
          <w:pgSz w:w="11900" w:h="16838" w:orient="portrait"/>
          <w:cols w:equalWidth="0" w:num="2">
            <w:col w:w="5000" w:space="720"/>
            <w:col w:w="5700"/>
          </w:cols>
          <w:pgMar w:left="240" w:top="40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4"/>
          <w:szCs w:val="24"/>
          <w:color w:val="auto"/>
        </w:rPr>
      </w:pPr>
    </w:p>
    <w:p>
      <w:pPr>
        <w:sectPr>
          <w:pgSz w:w="11900" w:h="16838" w:orient="portrait"/>
          <w:cols w:equalWidth="0" w:num="2">
            <w:col w:w="5300" w:space="420"/>
            <w:col w:w="5700"/>
          </w:cols>
          <w:pgMar w:left="240" w:top="40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060"/>
        <w:spacing w:after="0"/>
        <w:tabs>
          <w:tab w:leader="none" w:pos="5800" w:val="left"/>
        </w:tabs>
        <w:rPr>
          <w:sz w:val="20"/>
          <w:szCs w:val="20"/>
          <w:color w:val="auto"/>
        </w:rPr>
      </w:pPr>
      <w:r>
        <w:rPr>
          <w:rFonts w:ascii="Arial" w:cs="Arial" w:eastAsia="Arial" w:hAnsi="Arial"/>
          <w:sz w:val="18"/>
          <w:szCs w:val="18"/>
          <w:color w:val="auto"/>
        </w:rPr>
        <w:t>YES [ ]</w:t>
        <w:tab/>
        <w:t>NO [X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107,459,063 common shares outstanding as of July 27, 2015.</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95"/>
              </w:rPr>
              <w:t>CIVEO 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rPr>
              <w:t>INDEX</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Part I -- FINANCIAL INFORMATION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Financial Statements: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ind w:left="400"/>
              <w:spacing w:after="0"/>
              <w:rPr>
                <w:sz w:val="20"/>
                <w:szCs w:val="20"/>
                <w:color w:val="auto"/>
              </w:rPr>
            </w:pPr>
            <w:r>
              <w:rPr>
                <w:rFonts w:ascii="Arial" w:cs="Arial" w:eastAsia="Arial" w:hAnsi="Arial"/>
                <w:sz w:val="18"/>
                <w:szCs w:val="18"/>
                <w:color w:val="auto"/>
                <w:w w:val="99"/>
              </w:rPr>
              <w:t>Unaudited Consolidated Statements of Operations for the Three and Six Month Periods Ended June 30, 2015 and 2014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3"/>
              </w:rPr>
              <w:t>Unaudited Consolidated Statements of Comprehensive Income for the Three and Six Month Periods Ended June 30, 2015 and</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2014</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ind w:left="400"/>
              <w:spacing w:after="0"/>
              <w:rPr>
                <w:sz w:val="20"/>
                <w:szCs w:val="20"/>
                <w:color w:val="auto"/>
              </w:rPr>
            </w:pPr>
            <w:r>
              <w:rPr>
                <w:rFonts w:ascii="Arial" w:cs="Arial" w:eastAsia="Arial" w:hAnsi="Arial"/>
                <w:sz w:val="18"/>
                <w:szCs w:val="18"/>
                <w:color w:val="auto"/>
              </w:rPr>
              <w:t>Consolidated Balance Sheets – June 30, 2015 (unaudited) and December 31, 2014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5"/>
              </w:rPr>
              <w:t>Unaudited Consolidated Statements of Changes in Stockholders’ Equity / Net Investment for the Six Months Ended June 30,</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2015 and 2014</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ind w:left="400"/>
              <w:spacing w:after="0"/>
              <w:rPr>
                <w:sz w:val="20"/>
                <w:szCs w:val="20"/>
                <w:color w:val="auto"/>
              </w:rPr>
            </w:pPr>
            <w:r>
              <w:rPr>
                <w:rFonts w:ascii="Arial" w:cs="Arial" w:eastAsia="Arial" w:hAnsi="Arial"/>
                <w:sz w:val="18"/>
                <w:szCs w:val="18"/>
                <w:color w:val="auto"/>
              </w:rPr>
              <w:t>Unaudited Consolidated Statements of Cash Flows for the Six Months Ended June 30, 2015 and 2014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Notes to Unauited Consolidated Financial Statements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 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ind w:left="560"/>
              <w:spacing w:after="0"/>
              <w:rPr>
                <w:sz w:val="20"/>
                <w:szCs w:val="20"/>
                <w:color w:val="auto"/>
              </w:rPr>
            </w:pPr>
            <w:r>
              <w:rPr>
                <w:rFonts w:ascii="Arial" w:cs="Arial" w:eastAsia="Arial" w:hAnsi="Arial"/>
                <w:sz w:val="18"/>
                <w:szCs w:val="18"/>
                <w:color w:val="auto"/>
              </w:rPr>
              <w:t>Part II -- OTHER INFORMATION</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988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1A.</w:t>
            </w:r>
          </w:p>
        </w:tc>
        <w:tc>
          <w:tcPr>
            <w:tcW w:w="988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9880" w:type="dxa"/>
            <w:vAlign w:val="bottom"/>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9880" w:type="dxa"/>
            <w:vAlign w:val="bottom"/>
          </w:tcPr>
          <w:p>
            <w:pPr>
              <w:ind w:left="80"/>
              <w:spacing w:after="0"/>
              <w:rPr>
                <w:sz w:val="20"/>
                <w:szCs w:val="20"/>
                <w:color w:val="auto"/>
              </w:rPr>
            </w:pPr>
            <w:r>
              <w:rPr>
                <w:rFonts w:ascii="Arial" w:cs="Arial" w:eastAsia="Arial" w:hAnsi="Arial"/>
                <w:sz w:val="18"/>
                <w:szCs w:val="18"/>
                <w:color w:val="auto"/>
              </w:rPr>
              <w:t>Exhibits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(a) Index of Exhibits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600" w:type="dxa"/>
            <w:vAlign w:val="bottom"/>
            <w:gridSpan w:val="2"/>
          </w:tcPr>
          <w:p>
            <w:pPr>
              <w:spacing w:after="0"/>
              <w:rPr>
                <w:sz w:val="20"/>
                <w:szCs w:val="20"/>
                <w:color w:val="auto"/>
              </w:rPr>
            </w:pPr>
            <w:r>
              <w:rPr>
                <w:rFonts w:ascii="Arial" w:cs="Arial" w:eastAsia="Arial" w:hAnsi="Arial"/>
                <w:sz w:val="18"/>
                <w:szCs w:val="18"/>
                <w:color w:val="auto"/>
              </w:rPr>
              <w:t>Signature Page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8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Service and other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128,851</w:t>
            </w:r>
          </w:p>
        </w:tc>
        <w:tc>
          <w:tcPr>
            <w:tcW w:w="140" w:type="dxa"/>
            <w:vAlign w:val="bottom"/>
          </w:tcPr>
          <w:p>
            <w:pPr>
              <w:spacing w:after="0"/>
              <w:rPr>
                <w:sz w:val="18"/>
                <w:szCs w:val="18"/>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223,927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296,983</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227,133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314,134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479,932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Service and other costs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77,010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131,110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176,849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21,708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35,105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Spin-off and formation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42,413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84,987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Other operating expense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210,907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(14,137)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16,226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(9,261)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(2,828)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(3,455)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4,911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14,285</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Civeo Corporation.</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Per Share Data (see Note 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Basic net income (loss) per share attributable to Civeo Corporation common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Diluted net income (loss) per share attributable to Civeo Corporation common</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106,294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106,543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106,465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(13,269)</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(13,039)</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ind w:left="160"/>
              <w:spacing w:after="0" w:line="201" w:lineRule="exact"/>
              <w:rPr>
                <w:sz w:val="20"/>
                <w:szCs w:val="20"/>
                <w:color w:val="auto"/>
              </w:rPr>
            </w:pPr>
            <w:r>
              <w:rPr>
                <w:rFonts w:ascii="Arial" w:cs="Arial" w:eastAsia="Arial" w:hAnsi="Arial"/>
                <w:sz w:val="18"/>
                <w:szCs w:val="18"/>
                <w:color w:val="auto"/>
                <w:w w:val="94"/>
              </w:rPr>
              <w:t>Foreign currency translation adjustment, net of taxes of ($0.4) million, zero,</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18,301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41,127</w:t>
            </w:r>
          </w:p>
        </w:tc>
        <w:tc>
          <w:tcPr>
            <w:tcW w:w="220" w:type="dxa"/>
            <w:vAlign w:val="bottom"/>
          </w:tcPr>
          <w:p>
            <w:pPr>
              <w:spacing w:after="0"/>
              <w:rPr>
                <w:sz w:val="17"/>
                <w:szCs w:val="17"/>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(92,723)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54,140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$1.9 million and zero,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55,412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Comprehensive (income) attributable to noncontrolling interest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Civeo Corporation.</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0" w:type="dxa"/>
            <w:vAlign w:val="bottom"/>
            <w:vMerge w:val="restart"/>
          </w:tcPr>
          <w:p>
            <w:pPr>
              <w:ind w:left="366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4"/>
              </w:rPr>
              <w:t>JUNE 30, 2015</w:t>
            </w:r>
          </w:p>
        </w:tc>
        <w:tc>
          <w:tcPr>
            <w:tcW w:w="8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7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315,169</w:t>
            </w:r>
          </w:p>
        </w:tc>
        <w:tc>
          <w:tcPr>
            <w:tcW w:w="14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00" w:type="dxa"/>
            <w:vAlign w:val="bottom"/>
          </w:tcPr>
          <w:p>
            <w:pPr>
              <w:ind w:left="160"/>
              <w:spacing w:after="0" w:line="243" w:lineRule="exact"/>
              <w:rPr>
                <w:sz w:val="20"/>
                <w:szCs w:val="20"/>
                <w:color w:val="auto"/>
              </w:rPr>
            </w:pPr>
            <w:r>
              <w:rPr>
                <w:rFonts w:ascii="Arial" w:cs="Arial" w:eastAsia="Arial" w:hAnsi="Arial"/>
                <w:sz w:val="22"/>
                <w:szCs w:val="22"/>
                <w:color w:val="auto"/>
              </w:rPr>
              <w:t>Other current assets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6,489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Assets held for sale</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478,108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1,105,508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1,248,430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43,540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1,696,724</w:t>
            </w:r>
          </w:p>
        </w:tc>
        <w:tc>
          <w:tcPr>
            <w:tcW w:w="14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1,829,161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140"/>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24,997</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15,857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38,750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21,659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52,993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941,383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969,052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($0.01 par value, 550,000,000 shares authorized, 107,496,600 shares and 106,721,483</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shares issued, respectively, and 107,459,063 shares and 106,721,483 shares outstanding, respectively)</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1,302,864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(258,094)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Common stock held in treasury at cost, 37,537 and zero shares, respectively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(291,088)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Civeo Corporation stockholders’ equity</w:t>
            </w: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754,611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858,001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755,341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860,109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1,696,724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CHANGES IN STOCKHOLDERS’ EQUITY / NET INVESTMENT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8"/>
                <w:szCs w:val="18"/>
                <w:b w:val="1"/>
                <w:bCs w:val="1"/>
                <w:color w:val="auto"/>
              </w:rPr>
              <w:t>Attributable to Civeo</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6"/>
              </w:rPr>
              <w:t>Common Stock</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vMerge w:val="restart"/>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Oil States</w:t>
            </w: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Paid-in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9"/>
              </w:rPr>
              <w:t>Treasury</w:t>
            </w: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Noncontrolling</w:t>
            </w: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Equity / Net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Par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Stock</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Investment</w:t>
            </w: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Income (Loss)</w:t>
            </w: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Investment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4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December 31,</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1,651,013</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(59,979)</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1,711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1,592,745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41,681</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Currency translation</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54,142</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Net transfers from Oil</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States International, Inc</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369,219</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Distribution to Oil States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International, Inc.</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Reclassification of Oil</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States International, Inc.</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Investment to</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1,311,913</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(1,311,913)</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at the Spin-Off</w:t>
            </w:r>
          </w:p>
        </w:tc>
        <w:tc>
          <w:tcPr>
            <w:tcW w:w="2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2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Balance, June 30, 2014</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1,311,395</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8,507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(5,837)</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1,925</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1,317,057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04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December 31,</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1,300,042</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(244,617)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(198,491)</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2,108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860,109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(13,477)</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Currency translation</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(92,597)</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Stock-based compensation</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Balance, June 30, 2015</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1,075</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1,302,864</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(258,094)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(291,088)</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730</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755,341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04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(13,039)</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84,987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Inventory write-down</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Deferred income tax benefit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(7,469)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 charge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(Gains) losses on disposals of assets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loss on receivables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(14,561)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(8,223)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9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(24,102)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9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borrowings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Oil States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Contributions from Oil States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provided by financing activities</w:t>
            </w:r>
          </w:p>
        </w:tc>
        <w:tc>
          <w:tcPr>
            <w:tcW w:w="9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change in cash and cash equivalents</w:t>
            </w: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51,855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61,366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315,169</w:t>
            </w: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long-term and temporary workforce accommodations where traditional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7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On May 5, 2014, the Oil States International, Inc. (Oil States) board of directors approved the separation of its Accommodations Segment (Accommodations) into a standalone, publicly traded Delaware corporation, Civeo Corporation, now named Civeo USA Corp. (Civeo US). In accordance with the Separation and Distribution Agreement, the two companies were separated by Oil States distributing to its stockholders all 106,538,044 shares of common stock of Civeo US it held after the market closed on May 30, 2014 (the Spin-Off). Each Oil States stockholder received two shares of Civeo US common stock for every one share of Oil States stock held at the close of business on the record date of May 21, 2014. In conjunction with the Spin-Off, Oil States received a private letter ruling from the Internal Revenue Service to the effect that, based on certain facts, assumptions, representations and undertakings set forth in the ruling, for U.S. federal income tax purposes, the distribution of Civeo US common stock was not taxable to Oil States or U.S. holders of Oil States common stock. Following the Spin-Off, Oil States retained no ownership interest in Civeo US, and each company now has separate public ownership, boards of directors and management. A registration statement on Form 10, as amended through the time of its effectiveness, describing the Spin-Off was filed by Civeo US with the U.S. Securities and Exchange Commission (SEC) and was declared effective on May 8, 2014. On June 2, 2014, Civeo US stock began trading the “regular-way” on the New York Stock Exchange (NYSE) under the “CVEO” stock symbol. Pursuant to the Separation and Distribution Agreement with Oil States, on May 28, 2014, we made a special cash distribution to Oil States of $750 million.</w:t>
      </w:r>
    </w:p>
    <w:p>
      <w:pPr>
        <w:spacing w:after="0" w:line="16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connection with the Spin-Off, on May 28, 2014, we entered into a $650.0 million, 5-year revolving credit facility and a 5-year U.S. term loan facility totaling $775.0 million (collectively, the Credit Facility) for an aggregate borrowing capacity of $1.4 billion.</w:t>
      </w:r>
    </w:p>
    <w:p>
      <w:pPr>
        <w:spacing w:after="0" w:line="170"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On July 17, 2015, we completed our change in place of incorporation, pursuant to which Civeo Corporation, a British Columbia, Canada limited company formerly named Civeo Canadian Holdings ULC (Civeo Canada), became the publicly traded parent company of the Civeo group of companies (the Redomicile Transaction). The Redomicile Transaction was effected pursuant to a previously announced Agreement and Plan of Merger, dated as of April 6, 2015, between Civeo US, Civeo US Merger Co, a Delaware corporation and wholly owned subsidiary of Civeo Canada (US Merger Co), and Civeo Canada. At the effective time of the merger, (i) US Merger Co was merged with Civeo US, with Civeo US surviving the merger as a wholly owned subsidiary of Civeo Canada, and (ii)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at the effective time as merger consideration. The Civeo Canada common shares have been listed on the NYSE under the symbol “CVEO”, the same symbol under which the Civeo US common stock traded prior to the effective time.</w:t>
      </w:r>
    </w:p>
    <w:p>
      <w:pPr>
        <w:spacing w:after="0" w:line="16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believe that 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believe we qualified for a self-directed redomiciling.</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(Continued)</w:t>
      </w:r>
    </w:p>
    <w:p>
      <w:pPr>
        <w:spacing w:after="0" w:line="2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Also on July 17, 2015, the First Amendment to the Credit Facility (the Amended Credit Facility) became effective. The Amended Credit Facility, among other things, (i) allows us to borrow under new Canadian tranches of the Credit Facility, (ii) substantially reduced both the existing U.S. term loan and the U.S. revolver and (iii) increased the maximum leverage ratio allowed under the Credit Facility. For further information, please see Note 7 – Debt to the Unaudited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 prior to the Spin-Off mean the Accommodations business of Oil States. For time periods after the Spin-Off but prior to July 17, 2015, these terms refer to Civeo US and its consolidated subsidiaries. For time periods after July 17, 2015, these terms refer to Civeo Canada and its consolidated subsidiaries.</w:t>
      </w:r>
    </w:p>
    <w:p>
      <w:pPr>
        <w:spacing w:after="0" w:line="18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hanging="324"/>
        <w:spacing w:after="0" w:line="285"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consolidated statements of operations and comprehensive income for the three months ended June 30, 2014 consist of (i) the combined results of the Oil States’ Accommodations business for the two months ended May 30, 2014 and (ii) the consolidated results of Civeo for the month ended June 30, 2014. Our consolidated statements of operations, comprehensive income, cash flows and changes in stockholders’ equity / net investment for the six months ended June 30, 2014 consist of (i) the combined results of the Oil States’ Accommodations business for the five months ended May 30, 2014 and (ii) the consolidated results of Civeo for the month ended June 30, 2014.</w:t>
      </w:r>
    </w:p>
    <w:p>
      <w:pPr>
        <w:spacing w:after="0" w:line="2" w:lineRule="exact"/>
        <w:rPr>
          <w:rFonts w:ascii="Arial" w:cs="Arial" w:eastAsia="Arial" w:hAnsi="Arial"/>
          <w:sz w:val="16"/>
          <w:szCs w:val="16"/>
          <w:color w:val="auto"/>
        </w:rPr>
      </w:pPr>
    </w:p>
    <w:p>
      <w:pPr>
        <w:ind w:left="980" w:right="6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cash flows and changes in stockholders’ equity / net investment for the three and six months ended June 30, 2015 consist entirely of the consolidated results of Civeo.</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balance sheets at June 30, 2015 and December 31, 2014 consist of the consolidated balances of Civeo.</w:t>
      </w:r>
    </w:p>
    <w:p>
      <w:pPr>
        <w:spacing w:after="0" w:line="21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Oil States used a centralized approach to the cash management and financing of its U.S. operations. Prior to February 2014, cash from our U.S. operations was transferred to Oil States daily and Oil States funded our U.S. operating and investing activities as needed. Accordingly, the cash and cash equivalents held by Oil States at the corporate level were not allocated to us for any of the periods presented prior to February 2014. We reflected the transfer of cash to and from Oil States as a component of “Net Investment of Oil States International, Inc.” on our consolidated balance sheet. We have not included interest expense for intercompany cash advances from Oil States, since historically Oil States has not allocated interest expense related to intercompany advances to any of its businesses. Beginning in February 2014, we established Civeo cash accounts and funded a portion of our U.S. operating and investing activities.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accompanying unaudited consolidated financial statements of Civeo have been prepared pursuant to the rules and regulations of the SEC pertaining to interim financial information. Certain information in footnote disclosures normally included in financial statements prepared in accordance with GAAP has been condensed or omitted pursuant to these rules and regulations. The unaudited financial statements included in this report reflect all the adjustments, consisting of normal recurring adjustments, which the Company considers necessary for a fair presentation of the results of operations for the interim periods covered and for the financial condition of the Company at the date of the interim balance sheet. Results for the interim periods are not necessarily indicative of results for the full year.</w:t>
      </w:r>
    </w:p>
    <w:p>
      <w:pPr>
        <w:spacing w:after="0" w:line="193"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2014.</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8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April 2015, the FASB issued Accounting Standards Update (ASU) 2015-03 "Interest - Imputation of Interest: Simplifying the Presentation of Debt Issuance Costs" (ASU 2015-03). ASU 2015-03 simplifies the presentation of debt issuance costs by requiring that such costs be presented as a deduction from the corresponding debt liability. The guidance is effective for financial statements issued for reporting periods beginning after December 15, 2015 and interim periods within the reporting periods and requires retrospective presentation. Early adoption is permitted. We plan to adopt the standard in the first quarter of 2016. As of June 30, 2015, we had debt issuance costs totaling $7.6 million, which are included in Prepaid expenses and other current assets ($1.9 million) and Other non-current assets ($5.7 million) on the accompanying unaudited consolidated balance sheets. A portion of these costs relate to revolving lines of credit, and will accordingly continue to be included in Prepaid expenses and other current assets or Other non-current assets.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February 2015, the FASB issued ASU 2015-02 "Amendments to the Consolidation Analysis" (ASU 2015-02). ASU 2015-02 alters the models used to determine consolidation conclusions for certain entities, including limited partnerships, and may require additional disclosures. ASU 2015-02 is effective for financial statements issued for reporting periods beginning after December 15, 2015 and interim periods within the reporting periods with either retrospective or modified retrospective presentation allowed. We plan to adopt the standard in the first quarter of 2016 and are currently evaluating the impact of the new standard on our financial statements.</w:t>
      </w:r>
    </w:p>
    <w:p>
      <w:pPr>
        <w:spacing w:after="0" w:line="18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was originally effective for annual reporting periods beginning after December 15, 2016, and interim periods within the reporting period. However, the FASB has delayed the effective date of ASC 606 to annual and interim periods beginning after December 15, 2017. Accordingly, we plan to adopt this standard in the first quarter of 2018. ASC 606 allows either full retrospective or modified retrospective transition, and early adoption is not permitted. We continue to evaluate both the impact of this new standard on our financial statements and the transition method we will utilize for adoption.</w:t>
      </w:r>
    </w:p>
    <w:p>
      <w:pPr>
        <w:spacing w:after="0" w:line="18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other than our long-term debt to affiliates, on the accompanying consolidated balance sheets approximate their fair values.</w:t>
      </w:r>
    </w:p>
    <w:p>
      <w:pPr>
        <w:spacing w:after="0" w:line="147"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As of June 30, 2015 and December 31, 2014, we believe the carrying value of our floating-rate debt outstanding under our $775 million term loan approximates its fair value because the term includes short-term interest rates and excludes penalties for prepayment. We estimated the fair value of our floating-rate term loan using significant other observable inputs, representative of a Level 2 fair value measurement, including terms and credit spreads for this loan.</w:t>
      </w:r>
    </w:p>
    <w:p>
      <w:pPr>
        <w:spacing w:after="0" w:line="187"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During 2015, certain long-lived assets were written down to their fair value. As a result, we recorded impairment expense of $9.5 million and $12.2 million for the three and six months ended June 30, 2015. Our estimate of their fair value requires us to use significant unobservable inputs, representative of Level 3 fair value measurements, including numerous assumptions with respect to future circumstances, such as future oil, coal and natural gas prices, anticipated spending by our customers, the cost of capital, and industry and/or local market conditions that might directly impact each of the asset groups’ operations in the future, and are therefore uncertain.</w:t>
      </w:r>
    </w:p>
    <w:p>
      <w:pPr>
        <w:spacing w:after="0" w:line="23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Additional information regarding selected balance sheet accounts at June 30, 2015 and December 31, 2014 is presented below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6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Trade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89,757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124,198</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22,535</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38,487</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r>
      <w:tr>
        <w:trPr>
          <w:trHeight w:val="210"/>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3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112,390</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164,296</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(1,277)</w:t>
            </w:r>
          </w:p>
        </w:tc>
        <w:tc>
          <w:tcPr>
            <w:tcW w:w="2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(4,043)</w:t>
            </w:r>
          </w:p>
        </w:tc>
      </w:tr>
      <w:tr>
        <w:trPr>
          <w:trHeight w:val="250"/>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December 31,</w:t>
            </w:r>
          </w:p>
        </w:tc>
        <w:tc>
          <w:tcPr>
            <w:tcW w:w="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8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54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382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2,814</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5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Raw materials</w:t>
            </w:r>
          </w:p>
        </w:tc>
        <w:tc>
          <w:tcPr>
            <w:tcW w:w="2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5,624</w:t>
            </w:r>
          </w:p>
        </w:tc>
        <w:tc>
          <w:tcPr>
            <w:tcW w:w="62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r>
      <w:tr>
        <w:trPr>
          <w:trHeight w:val="656"/>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540" w:type="dxa"/>
            <w:vAlign w:val="bottom"/>
          </w:tcPr>
          <w:p>
            <w:pPr>
              <w:jc w:val="right"/>
              <w:ind w:right="1170"/>
              <w:spacing w:after="0"/>
              <w:rPr>
                <w:sz w:val="20"/>
                <w:szCs w:val="20"/>
                <w:color w:val="auto"/>
              </w:rPr>
            </w:pPr>
            <w:r>
              <w:rPr>
                <w:rFonts w:ascii="Arial" w:cs="Arial" w:eastAsia="Arial" w:hAnsi="Arial"/>
                <w:sz w:val="18"/>
                <w:szCs w:val="18"/>
                <w:color w:val="auto"/>
              </w:rPr>
              <w:t>11</w:t>
            </w: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3940" w:type="dxa"/>
            <w:vAlign w:val="bottom"/>
            <w:shd w:val="clear" w:color="auto" w:fill="808080"/>
          </w:tcPr>
          <w:p>
            <w:pPr>
              <w:spacing w:after="0"/>
              <w:rPr>
                <w:sz w:val="5"/>
                <w:szCs w:val="5"/>
                <w:color w:val="auto"/>
              </w:rPr>
            </w:pPr>
          </w:p>
        </w:tc>
        <w:tc>
          <w:tcPr>
            <w:tcW w:w="25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1" w:name="page12"/>
    <w:bookmarkEnd w:id="11"/>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8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rPr>
              <w:t>CIVEO CORPORATION</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386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rPr>
              <w:t>NOTES TO UNAUDITED CONSOLIDATED</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386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rPr>
              <w:t>FINANCIAL STATEMENTS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60" w:type="dxa"/>
            <w:vAlign w:val="bottom"/>
            <w:gridSpan w:val="3"/>
          </w:tcPr>
          <w:p>
            <w:pPr>
              <w:jc w:val="center"/>
              <w:ind w:right="1205"/>
              <w:spacing w:after="0"/>
              <w:rPr>
                <w:sz w:val="20"/>
                <w:szCs w:val="20"/>
                <w:color w:val="auto"/>
              </w:rPr>
            </w:pPr>
            <w:r>
              <w:rPr>
                <w:rFonts w:ascii="Arial" w:cs="Arial" w:eastAsia="Arial" w:hAnsi="Arial"/>
                <w:sz w:val="18"/>
                <w:szCs w:val="18"/>
                <w:b w:val="1"/>
                <w:bCs w:val="1"/>
                <w:color w:val="auto"/>
                <w:w w:val="93"/>
              </w:rPr>
              <w:t>(Continued)</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60" w:type="dxa"/>
            <w:vAlign w:val="bottom"/>
            <w:gridSpan w:val="3"/>
          </w:tcPr>
          <w:p>
            <w:pPr>
              <w:jc w:val="center"/>
              <w:ind w:right="605"/>
              <w:spacing w:after="0"/>
              <w:rPr>
                <w:sz w:val="20"/>
                <w:szCs w:val="20"/>
                <w:color w:val="auto"/>
              </w:rPr>
            </w:pPr>
            <w:r>
              <w:rPr>
                <w:rFonts w:ascii="Arial" w:cs="Arial" w:eastAsia="Arial" w:hAnsi="Arial"/>
                <w:sz w:val="18"/>
                <w:szCs w:val="18"/>
                <w:b w:val="1"/>
                <w:bCs w:val="1"/>
                <w:color w:val="auto"/>
                <w:w w:val="90"/>
              </w:rPr>
              <w:t>Estimated</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60" w:type="dxa"/>
            <w:vAlign w:val="bottom"/>
            <w:gridSpan w:val="3"/>
          </w:tcPr>
          <w:p>
            <w:pPr>
              <w:jc w:val="center"/>
              <w:ind w:right="625"/>
              <w:spacing w:after="0"/>
              <w:rPr>
                <w:sz w:val="20"/>
                <w:szCs w:val="20"/>
                <w:color w:val="auto"/>
              </w:rPr>
            </w:pPr>
            <w:r>
              <w:rPr>
                <w:rFonts w:ascii="Arial" w:cs="Arial" w:eastAsia="Arial" w:hAnsi="Arial"/>
                <w:sz w:val="18"/>
                <w:szCs w:val="18"/>
                <w:b w:val="1"/>
                <w:bCs w:val="1"/>
                <w:color w:val="auto"/>
                <w:w w:val="91"/>
              </w:rPr>
              <w:t>Useful Life</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3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60" w:type="dxa"/>
            <w:vAlign w:val="bottom"/>
            <w:gridSpan w:val="3"/>
          </w:tcPr>
          <w:p>
            <w:pPr>
              <w:jc w:val="center"/>
              <w:ind w:right="625"/>
              <w:spacing w:after="0"/>
              <w:rPr>
                <w:sz w:val="20"/>
                <w:szCs w:val="20"/>
                <w:color w:val="auto"/>
              </w:rPr>
            </w:pPr>
            <w:r>
              <w:rPr>
                <w:rFonts w:ascii="Arial" w:cs="Arial" w:eastAsia="Arial" w:hAnsi="Arial"/>
                <w:sz w:val="18"/>
                <w:szCs w:val="18"/>
                <w:b w:val="1"/>
                <w:bCs w:val="1"/>
                <w:color w:val="auto"/>
                <w:w w:val="89"/>
              </w:rPr>
              <w:t>(in years)</w:t>
            </w:r>
          </w:p>
        </w:tc>
        <w:tc>
          <w:tcPr>
            <w:tcW w:w="12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0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Land</w:t>
            </w:r>
          </w:p>
        </w:tc>
        <w:tc>
          <w:tcPr>
            <w:tcW w:w="3860" w:type="dxa"/>
            <w:vAlign w:val="bottom"/>
            <w:gridSpan w:val="4"/>
          </w:tcPr>
          <w:p>
            <w:pPr>
              <w:jc w:val="right"/>
              <w:ind w:right="32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47,690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55,365</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3160" w:type="dxa"/>
            <w:vAlign w:val="bottom"/>
            <w:gridSpan w:val="2"/>
            <w:shd w:val="clear" w:color="auto" w:fill="CCEEFF"/>
          </w:tcPr>
          <w:p>
            <w:pPr>
              <w:jc w:val="center"/>
              <w:ind w:left="1410"/>
              <w:spacing w:after="0"/>
              <w:rPr>
                <w:sz w:val="20"/>
                <w:szCs w:val="20"/>
                <w:color w:val="auto"/>
              </w:rPr>
            </w:pPr>
            <w:r>
              <w:rPr>
                <w:rFonts w:ascii="Arial" w:cs="Arial" w:eastAsia="Arial" w:hAnsi="Arial"/>
                <w:sz w:val="18"/>
                <w:szCs w:val="18"/>
                <w:color w:val="auto"/>
                <w:w w:val="94"/>
              </w:rPr>
              <w:t>3-15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1,598,761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1,687,033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3160" w:type="dxa"/>
            <w:vAlign w:val="bottom"/>
            <w:gridSpan w:val="2"/>
          </w:tcPr>
          <w:p>
            <w:pPr>
              <w:jc w:val="center"/>
              <w:ind w:left="1410"/>
              <w:spacing w:after="0"/>
              <w:rPr>
                <w:sz w:val="20"/>
                <w:szCs w:val="20"/>
                <w:color w:val="auto"/>
              </w:rPr>
            </w:pPr>
            <w:r>
              <w:rPr>
                <w:rFonts w:ascii="Arial" w:cs="Arial" w:eastAsia="Arial" w:hAnsi="Arial"/>
                <w:sz w:val="18"/>
                <w:szCs w:val="18"/>
                <w:color w:val="auto"/>
                <w:w w:val="94"/>
              </w:rPr>
              <w:t>3-20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31,242</w:t>
            </w: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40,256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160" w:type="dxa"/>
            <w:vAlign w:val="bottom"/>
            <w:gridSpan w:val="2"/>
            <w:shd w:val="clear" w:color="auto" w:fill="CCEEFF"/>
          </w:tcPr>
          <w:p>
            <w:pPr>
              <w:jc w:val="center"/>
              <w:ind w:left="1410"/>
              <w:spacing w:after="0"/>
              <w:rPr>
                <w:sz w:val="20"/>
                <w:szCs w:val="20"/>
                <w:color w:val="auto"/>
              </w:rPr>
            </w:pPr>
            <w:r>
              <w:rPr>
                <w:rFonts w:ascii="Arial" w:cs="Arial" w:eastAsia="Arial" w:hAnsi="Arial"/>
                <w:sz w:val="18"/>
                <w:szCs w:val="18"/>
                <w:color w:val="auto"/>
                <w:w w:val="94"/>
              </w:rPr>
              <w:t>4-15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10,042</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160" w:type="dxa"/>
            <w:vAlign w:val="bottom"/>
            <w:gridSpan w:val="2"/>
          </w:tcPr>
          <w:p>
            <w:pPr>
              <w:jc w:val="center"/>
              <w:ind w:left="1430"/>
              <w:spacing w:after="0"/>
              <w:rPr>
                <w:sz w:val="20"/>
                <w:szCs w:val="20"/>
                <w:color w:val="auto"/>
              </w:rPr>
            </w:pPr>
            <w:r>
              <w:rPr>
                <w:rFonts w:ascii="Arial" w:cs="Arial" w:eastAsia="Arial" w:hAnsi="Arial"/>
                <w:sz w:val="18"/>
                <w:szCs w:val="18"/>
                <w:color w:val="auto"/>
                <w:w w:val="92"/>
              </w:rPr>
              <w:t>3-7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30,338</w:t>
            </w: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32,181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316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92"/>
              </w:rPr>
              <w:t>3-5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17,448</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67,358</w:t>
            </w: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70,603</w:t>
            </w:r>
          </w:p>
        </w:tc>
      </w:tr>
      <w:tr>
        <w:trPr>
          <w:trHeight w:val="210"/>
        </w:trPr>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14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1,802,879</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1,916,683</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(697,371)</w:t>
            </w:r>
          </w:p>
        </w:tc>
        <w:tc>
          <w:tcPr>
            <w:tcW w:w="22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(668,253)</w:t>
            </w: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property, plant and equipment, net</w:t>
            </w:r>
          </w:p>
        </w:tc>
        <w:tc>
          <w:tcPr>
            <w:tcW w:w="3380" w:type="dxa"/>
            <w:vAlign w:val="bottom"/>
            <w:gridSpan w:val="3"/>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1,105,508</w:t>
            </w:r>
          </w:p>
        </w:tc>
        <w:tc>
          <w:tcPr>
            <w:tcW w:w="18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1,248,430</w:t>
            </w:r>
          </w:p>
        </w:tc>
        <w:tc>
          <w:tcPr>
            <w:tcW w:w="100" w:type="dxa"/>
            <w:vAlign w:val="bottom"/>
            <w:shd w:val="clear" w:color="auto" w:fill="CCEEFF"/>
          </w:tcPr>
          <w:p>
            <w:pPr>
              <w:spacing w:after="0"/>
              <w:rPr>
                <w:sz w:val="19"/>
                <w:szCs w:val="19"/>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During the second quarter of 2015, we recorded an impairment expense of $9.5 million, resulting from the impairment of fixed assets at Kambalda, a village located in Western Australia, due to the continued downturn in gold mining activity and lack of contract renewals. We assessed the carrying value of the Kambalda asset group to determine if it continued to be recoverable based on estimated future cash flows. Based on the assessment, the carrying value of Kambalda was determined to not be recoverable.</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48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Accrued compensation</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11,144</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15,273</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taxes, other than income taxes</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Accrued interest</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w:t>
            </w:r>
          </w:p>
        </w:tc>
      </w:tr>
      <w:tr>
        <w:trPr>
          <w:trHeight w:val="20"/>
        </w:trPr>
        <w:tc>
          <w:tcPr>
            <w:tcW w:w="64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8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15,857</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22,512</w:t>
            </w:r>
          </w:p>
        </w:tc>
      </w:tr>
      <w:tr>
        <w:trPr>
          <w:trHeight w:val="20"/>
        </w:trPr>
        <w:tc>
          <w:tcPr>
            <w:tcW w:w="64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tab/>
        <w:t>ASSETS HELD FOR SALE</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During the first quarter of 2015, we made the decision to dispose of our manufacturing facility in Johnstown, Colorado. Accordingly, the facility met the criteria of held for sale, and its carrying value was adjusted downward to $8.7 million, which represents its estimated fair value less the cost to sell. We recorded a pre-tax impairment expense of $2.7 million and an additional $1.1 million to write-down our inventory as a result. Additionally, we have discontinued depreciation of the facility. Depreciation expense related to the facility totaled approximately zero and $0.2 million during the three months ended June 30, 2015 and 2014, respectively, and approximately $0.2 million and $0.4 million during the six months ended June 30, 2015 and 2014, respectively. The facility was part of our U.S. reportable business segment.</w:t>
      </w:r>
    </w:p>
    <w:p>
      <w:pPr>
        <w:spacing w:after="0" w:line="19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summarizes the carrying amount as of June 30, 2015 of the major classes of assets from the Johnstown facility we classified as held for sale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3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4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7,721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3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assets held for sale</w:t>
            </w:r>
          </w:p>
        </w:tc>
        <w:tc>
          <w:tcPr>
            <w:tcW w:w="4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8,498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960" w:type="dxa"/>
            <w:vAlign w:val="bottom"/>
            <w:vMerge w:val="restart"/>
          </w:tcPr>
          <w:p>
            <w:pPr>
              <w:jc w:val="right"/>
              <w:ind w:right="277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9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May 30, 2014, 106,538,044 shares of our common stock were distributed to Oil States stockholders in connection with the Spin-Off. For comparative purposes, and to provide a more meaningful calculation of weighted-average shares outstanding, we have assumed these shares to be outstanding as of the beginning of each period prior to the Spin-Off presented in the calculation of weighted-average shares. In addition, we have assumed the dilutive securities outstanding at May 30, 2014 were also outstanding for each of the periods prior to the Spin-Off presented. Our calculation of diluted earnings per share excludes all shares issuable pursuant to outstanding stock options for the three and six months ended June 30, 2015, due to their antidilutive effect.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(loss) attributable to Civeo</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(13,461)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13,949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(13,477)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(loss) to participating securities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(loss) attributable to Civeo</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(13,461)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13,910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(13,477)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50,060</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106,294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106,543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Civeo’s common stockholders</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(13,477)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106,294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106,465</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June 30, 2015 and December 31, 2014, long-term debt consisted of the following (in thousands):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b w:val="1"/>
                <w:bCs w:val="1"/>
                <w:color w:val="auto"/>
              </w:rPr>
              <w:t>June 30, 2015</w:t>
            </w: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195"/>
        </w:trPr>
        <w:tc>
          <w:tcPr>
            <w:tcW w:w="7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U.S. term loan, which matures on May 28, 2019, of $775.0 million; 1.25% of aggregate principal</w:t>
            </w: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3"/>
              </w:rPr>
              <w:t>repayable per quarter beginning September 30, 2015; weighted average interest rate of 2.5% for the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six month period ended June 30, 2015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775,000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775,000</w:t>
            </w:r>
          </w:p>
        </w:tc>
      </w:t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U.S. revolving credit facility, which matures on May 28, 2019, with available commitments up to</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$450.0 million; no borrowings outstanding during the six month period ended June 30, 2015</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with available commitments up to</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$100.0 million; no borrowings outstanding during the six month period ended June 30, 2015</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Australian revolving credit facility, which matures May 28, 2019, with available commitments up to</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2"/>
              </w:rPr>
              <w:t>$100.0 million; no borrowings outstanding during the six month period ended June 30, 2015ng the six</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month period ended June 30, 2015</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38,750</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19,375</w:t>
            </w:r>
          </w:p>
        </w:tc>
      </w:tr>
      <w:tr>
        <w:trPr>
          <w:trHeight w:val="250"/>
        </w:trPr>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736,250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755,625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Interest expense on the consolidated statements of operations is net of capitalized interest of $0.3 million and $1.0 million for the three month periods ended June 30, 2015 and 2014, respectively. Interest expense on the consolidated statements of income is net of capitalized interest of $0.7 million and $1.3 million for the six months ended June 30, 2015 and 2014,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018"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Facility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17, 2015, our Credit Facility was amended to, among other things:</w:t>
      </w:r>
    </w:p>
    <w:p>
      <w:pPr>
        <w:spacing w:after="0" w:line="225" w:lineRule="exact"/>
        <w:rPr>
          <w:sz w:val="20"/>
          <w:szCs w:val="20"/>
          <w:color w:val="auto"/>
        </w:rPr>
      </w:pPr>
    </w:p>
    <w:p>
      <w:pPr>
        <w:ind w:left="660" w:right="1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Permit us to redomicile to Canada, make associated corporate restructurings and make certain changes to the collateral and guarantees, covenants, events of default and related definitions to reflect the Redomicile Transaction and the new credit facilities referred to below;</w:t>
      </w:r>
    </w:p>
    <w:p>
      <w:pPr>
        <w:spacing w:after="0" w:line="146"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for the incurrence of new credit facilities under the Credit Facility, including (i) a new revolving credit facility in a maximum principal amount of US$125 million available to be borrowed by Civeo Canada after the effectiveness of the Amended Credit Facility (July 17, 2015) and (ii) a new term loan facility in the amount of US$325 million to be borrowed by Civeo Canada on the date of the effectiveness of the Amended Credit Facility;</w:t>
      </w:r>
    </w:p>
    <w:p>
      <w:pPr>
        <w:spacing w:after="0" w:line="18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for the partial prepayment of the existing U.S. term loan under the Credit Facility in the aggregate principal amount of US$725 million and the reduction of the aggregate U.S. revolving credit facility to a maximum principal amount of US$50 million;</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the interest rate margin by 0.25% within existing levels of total leverage and add two additional levels to the total leverage-based grid such that the interest rates for the loans range from LIBOR +2.0% to LIBOR +4.0% and increase the undrawn commitment fee to range from 0.45% to 0.90% based on total leverage;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changes to the maximum leverage ratio financial covenant,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Maximum Leverage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gridSpan w:val="3"/>
          </w:tcPr>
          <w:p>
            <w:pPr>
              <w:ind w:left="3020"/>
              <w:spacing w:after="0" w:line="196" w:lineRule="exact"/>
              <w:rPr>
                <w:sz w:val="20"/>
                <w:szCs w:val="20"/>
                <w:color w:val="auto"/>
              </w:rPr>
            </w:pPr>
            <w:r>
              <w:rPr>
                <w:rFonts w:ascii="Arial" w:cs="Arial" w:eastAsia="Arial" w:hAnsi="Arial"/>
                <w:sz w:val="18"/>
                <w:szCs w:val="18"/>
                <w:b w:val="1"/>
                <w:bCs w:val="1"/>
                <w:color w:val="auto"/>
              </w:rPr>
              <w:t>Period Ended</w:t>
            </w:r>
          </w:p>
        </w:tc>
        <w:tc>
          <w:tcPr>
            <w:tcW w:w="1780" w:type="dxa"/>
            <w:vAlign w:val="bottom"/>
            <w:gridSpan w:val="5"/>
          </w:tcPr>
          <w:p>
            <w:pPr>
              <w:jc w:val="center"/>
              <w:ind w:right="240"/>
              <w:spacing w:after="0" w:line="196" w:lineRule="exact"/>
              <w:rPr>
                <w:sz w:val="20"/>
                <w:szCs w:val="20"/>
                <w:color w:val="auto"/>
              </w:rPr>
            </w:pPr>
            <w:r>
              <w:rPr>
                <w:rFonts w:ascii="Arial" w:cs="Arial" w:eastAsia="Arial" w:hAnsi="Arial"/>
                <w:sz w:val="18"/>
                <w:szCs w:val="18"/>
                <w:b w:val="1"/>
                <w:bCs w:val="1"/>
                <w:color w:val="auto"/>
                <w:w w:val="93"/>
              </w:rPr>
              <w:t>Ratio</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December 31, 2015</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4.00 :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June 30, 2016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December 31, 2016</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4.50 :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June 30, 2017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1560" w:type="dxa"/>
            <w:vAlign w:val="bottom"/>
            <w:gridSpan w:val="4"/>
          </w:tcPr>
          <w:p>
            <w:pPr>
              <w:jc w:val="right"/>
              <w:ind w:right="380"/>
              <w:spacing w:after="0"/>
              <w:rPr>
                <w:sz w:val="20"/>
                <w:szCs w:val="20"/>
                <w:color w:val="auto"/>
              </w:rPr>
            </w:pPr>
            <w:r>
              <w:rPr>
                <w:rFonts w:ascii="Arial" w:cs="Arial" w:eastAsia="Arial" w:hAnsi="Arial"/>
                <w:sz w:val="18"/>
                <w:szCs w:val="18"/>
                <w:color w:val="auto"/>
              </w:rPr>
              <w:t>4.00 :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 &amp; thereafter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 1.00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changes to the application of prepayments and amortization schedules to reflect the new term loan facility and the prepayment of the U.S. term loans;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Credit Facility.</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borrowings allowed under the Amended Credit Facility compared to the Credit Facility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Amended Credit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Credit Facility</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Facility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U.S. term loan</w:t>
            </w:r>
          </w:p>
        </w:tc>
        <w:tc>
          <w:tcPr>
            <w:tcW w:w="1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Canadian term loan</w:t>
            </w:r>
          </w:p>
        </w:tc>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term loans outstanding</w:t>
            </w:r>
          </w:p>
        </w:tc>
        <w:tc>
          <w:tcPr>
            <w:tcW w:w="1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Availability under revolving credit facilities: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revolving credit facility</w:t>
            </w:r>
          </w:p>
        </w:tc>
        <w:tc>
          <w:tcPr>
            <w:tcW w:w="1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Canadian revolving credit facility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Canadian revolving credit facility</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Australian revolving credit facility</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availability under revolving credit facilities</w:t>
            </w: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2.00% to 4.00%, or a base rate plus 1.00% to 3.00%, in each case based on a ratio of our total leverage to EBITDA (as defined in the Amended Credit Facility). Canadian dollar amounts outstanding under the Amended Credit Facility bear interest at a variable rate equal to CDOR plus a margin of 2.00% to 4.00%, or a base rate plus a margin of 1.00% to 3.00%, in each case based on a ratio of our consolidated total leverage to EBITDA (as defined in the Amended Credit Facility). Australian dollar amounts outstanding under the Amended Credit Facility bear interest at a variable rate equal to BBSY plus a margin of 2.00% to 4.00%, based on a ratio of our consolidated total leverage to EBITDA (as defined in the Amended Credit Facility).</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our maximum leverage ratio, defined as the ratio of total debt to consolidated EBITDA, of no greater than 3.5 to 1.0 (as of June 30, 2015). As noted above, the permitted level of the maximum leverage ratio changes over time. Each of the factors considered in the calculations of these ratios are defined in the Amended Credit Facility. EBITDA and consolidated interest, as defined, exclude goodwill impairments, debt discount amortization and other non-cash charges. We were in compliance with these covenants as of June 30, 2015.</w:t>
      </w:r>
    </w:p>
    <w:p>
      <w:pPr>
        <w:spacing w:after="0" w:line="17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paid certain customary fees with respect to the Amended Credit Facility. We have 15 lenders in our Amended Credit Facility with commitments ranging from $1.6 million to $143.2 million.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Also in July 2015, total debt was reduced by approximately $275 million.</w:t>
      </w:r>
    </w:p>
    <w:p>
      <w:pPr>
        <w:spacing w:after="0" w:line="27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compute our quarterly taxes under the effective tax rate method based on applying an anticipated annual effective rate to our year-to-date income, except for significant unusual or extraordinary transactions. Income taxes for significant unusual or extraordinary transactions are computed and recorded in the period that the specific transaction occurs.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income tax benefit for the six months ended June 30, 2015 totaled $4.7 million, or 26.5% of pretax loss, compared to income tax expense of $7.4 million, or 12.7% of pretax income, for the six months ended June 30, 2014. Generally, our effective tax rates are lower than U.S. statutory rates because of lower foreign income tax rates. The increase in the effective tax rate from the prior year was largely the result of a change in the earnings mix between different tax jurisdictions. This increase was partially offset by a $2.7 million charge related to an increase in statutory tax rates in Alberta, Canada included in our 2015 tax benefit as well as a $0.5 million charge related to the impact of a portion of our undistributed foreign earnings which we no longer intend to continue to indefinitely reinvest. Finally, the effective tax rate was reduced in 2014 due to changes in our corporate structure, including the contribution by Oil States of our affiliate debt (as further described in Note 13 – Related Party Transactions to the Unaudited Consolidated Financial Statements).</w:t>
      </w:r>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income tax benefit for the three months ended June 30, 2015 totaled $5.9 million, or 30.6% of pretax income, compared to a benefit of $4.9 million, or (52.4%) of pretax income, for the three months ended June 30, 2014. Generally, our effective tax rates are lower than U.S. statutory rates because of lower foreign income tax rates. This was partially offset by a $2.7 million charge related to an increase in statutory tax rates in Alberta, Canada included in our 2015 tax benefit. The negative effective tax rate for the three months ended June 30, 2014 is due to a reduction in the 2014 annual effective tax rate from March 31, 2014 to June 30, 2014 due to changes in our corporate structure, including the contribution by Oil States of our affiliate debt. Under ASC 740-270, Accounting for Income Taxes, the quarterly tax provision is based on our current estimate of the annual effective tax rate less the prior quarter’s year-to-date tax provision.</w:t>
      </w:r>
    </w:p>
    <w:p>
      <w:pPr>
        <w:spacing w:after="0" w:line="18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8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conjunction with, and effective as of, the Spin-Off, we entered into an Indemnification and Release Agreement with Oil States. This agreement governs the treatment between Oil States and us of all aspects relating to indemnification, insurance, litigation responsibility and management, and litigation document sharing and cooperation arising in connection with the Spin-Off. Generally, the agreement provides for cross-indemnities principally designed to place financial responsibility for the obligations and liabilities of our business with us and financial responsibility for the obligations and liabilities of Oil States’ business with Oil States. The agreement also establishes procedures for handling claims subject to indemnification and related matters. Pursuant to the Indemnification and Release Agreement, we and Oil States will generally release the other party from all claims arising prior to the Spin-Off other than claims arising under the transaction agreements, including the indemnification provisions described above. We evaluated the impact of the indemnifications given and the Civeo indemnifications received as of the Spin-Off date and concluded those fair values were immaterial.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accumulated other comprehensive loss increased $92.6 million from $198.5 million at December 31, 2014 to $291.1 million at June 30, 2015, as a result of foreign currency exchange rate differences. Changes in the other comprehensive loss during the first half of 2015 were primarily driven by the Canadian and Australian dollars decreasing in value compared to the U.S. dollar. Excluding intercompany balances, our Canadian dollar and Australian dollar functional currency net assets totaled approximately C$1.0 billion and A$763 million, respectively, at June 30, 2015.</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Prior to the Spin-Off, certain employees of Civeo participated in Oil States’ Equity Participation Plan (the Oil States Plan). The expense associated with these employees is reflected in the accompanying consolidated income statements. Effective May 30, 2014, our employees and non-employee directors began participating in the 2014 Equity Participation Plan of Civeo Corporation (the Civeo Plan). The Civeo Plan authorizes the Board of Directors to grant options, awards of restricted stock, performance awards, dividend equivalents, awards of deferred stock, and stock payments to our employees and non-employee directors. No more than 4.0 million shares of Civeo common stock may be awarded under the Civeo Plan.</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Spin-Off, stock based compensation awards granted under the Oil States Plan and held by Civeo grantees as of May 30, 2014 were replaced with substitute Civeo awards. Stock options were replaced with options to purchase Civeo common stock. Unvested restricted stock awards were replaced with substitute Civeo restricted stock awards. Unvested deferred stock awards were replaced with substitute Civeo deferred stock awards. Additionally, phantom shares granted under the Canadian Long-Term Incentive Plan were converted to units that entitle the recipient to a lump sum cash payment equal to the fair market value of a share of Civeo’s common stock on the respective vesting date. These replacements were intended to preserve the intrinsic value of the awards as of May 30, 2014. The substitution of these awards did not cause us to recognize incremental compensation expense as an equitable adjustment was required to be made as a result of the Spin-Off.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Compensation expense associated with stock options recognized in the three month periods ended June 30, 2015 and 2014 totaled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$0.2 million, respectively. Compensation expense associated with stock options recognized in the six month periods ended June 30, 2015 and 2014 totaled $0.2 million and $0.3 million, respectively. At June 30, 2015, unrecognized compensation cost related to stock options was $0.3 million, which is expected to be recognized over a weighted average period of 2.0 years.</w:t>
      </w:r>
    </w:p>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Restricted Stock / Deferred Stock Awards. </w:t>
      </w:r>
      <w:r>
        <w:rPr>
          <w:rFonts w:ascii="Arial" w:cs="Arial" w:eastAsia="Arial" w:hAnsi="Arial"/>
          <w:sz w:val="18"/>
          <w:szCs w:val="18"/>
          <w:color w:val="auto"/>
        </w:rPr>
        <w:t>On February 11, 2015, we granted 1,006,528 restricted stock and deferred stock awards under the Civeo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vest in four equal annual installments beginning on February 11, 2016.</w:t>
      </w:r>
    </w:p>
    <w:p>
      <w:pPr>
        <w:spacing w:after="0" w:line="17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Compensation expense associated with restricted stock awards and deferred stock awards recognized in the three month periods ended June 30, 2015 and 2014 totaled $1.1 million and $1.1 million, respectively. Compensation expense associated with restricted stock awards and deferred stock awards recognized in the six month periods ended June 30, 2015 and 2014 totaled $2.2 million and $1.8 million, respectively. The total fair value of restricted stock awards and deferred stock awards that vested during the three months ended June 30, 2015 and 2014 was $0.3 million and de minimis. The total fair value of restricted stock awards and deferred stock awards that vested during the six months ended June 30, 2015 and 2014 was $0.9 million and $2.5 million.</w:t>
      </w:r>
    </w:p>
    <w:p>
      <w:pPr>
        <w:spacing w:after="0" w:line="15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At June 30, 2015, unrecognized compensation cost related to restricted stock awards and deferred stock awards was $9.1 million, which is expected to be recognized over a weighted average period of 2.7 years.</w:t>
      </w:r>
    </w:p>
    <w:p>
      <w:pPr>
        <w:spacing w:after="0" w:line="170"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11, 2015, we granted 517,145 awards under the Civeo Plan, which vest in four equal annual installments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on February 11, 2016. We also granted 1,169,193 awards under the Canadian Long-Term Incentive Plan, which vest in three equal annual installments beginning on February 11, 2016. During the second quarter 2015, we granted an additional 192,876 awards under the Canadian Long-Term Incentive Plan.</w:t>
      </w:r>
    </w:p>
    <w:p>
      <w:pPr>
        <w:spacing w:after="0" w:line="187"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During the three month periods ended June 30, 2015 and 2014, we recognized compensation expense associated with phantom shares totaling $0.5 million and $4.1 million, respectively. During the six month periods ended June 30, 2015 and 2014, we recognized compensation expense associated with phantom shares totaling $0.8 million and $5.5 million, respectively. At June 30, 2015, unrecognized compensation cost related to phantom shares was $5.0 million, as remeasured at June 30, 2015, which is expected to be recognized over a weighted average period of 3.0 years.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Redomicile Transaction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effectiveness of the Redomicile Transaction, Civeo Canada assumed the Civeo US employee equity plans and related award agreements, including all options and awards issued or granted under such plans, as well as certain Civeo US benefit plans and agreements.</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 connection with the assumption of these plans, each plan was amended or deemed amended to provide that, as of the effectiveness of the Redomicile Transaction, the plans would include provisions, as applicable, reflecting the Redomicile Transaction and its effects, including changes made to reflect the fact that Civeo Canada common shares will be issued to satisfy awards issued or granted under such plan. Additionally, the 2014 Equity Participation Plan of Civeo Corporation was further amended to comply with applicable Canadian law, including with respect to grants to Canadian employees.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Canadian, Australian and U.S., which represent our strategic focus on workforce accommodations.</w:t>
      </w:r>
    </w:p>
    <w:p>
      <w:pPr>
        <w:spacing w:after="0" w:line="14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and six months ended June 30, 2015 and 2014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Less: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Depreciation</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Intersegment</w:t>
            </w: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c>
          <w:tcPr>
            <w:tcW w:w="8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customers</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(loss)</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8"/>
              </w:rPr>
              <w:t>expenditures</w:t>
            </w:r>
          </w:p>
        </w:tc>
        <w:tc>
          <w:tcPr>
            <w:tcW w:w="8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Total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2015</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90,072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90,072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25,217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9,113</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14,807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3,395</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(1,801)</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112,407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(3,634)</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2,289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59,051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143,147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143,147</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42,541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(14,137)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13,400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1,696,724</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Three months ended June 30, 2014</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156,479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71,868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1,084,335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54,383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16,246</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(22,336)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22,336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(5,226)</w:t>
            </w:r>
          </w:p>
        </w:tc>
        <w:tc>
          <w:tcPr>
            <w:tcW w:w="16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67,854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227,133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2,313,629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206,972</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206,972</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49,975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8,300</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15,566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27,712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29,431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27,035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7,074</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(8,695)</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112,407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(10,711)</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59,051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314,134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314,134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84,987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(9,261)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24,102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1,696,724</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b w:val="1"/>
                <w:bCs w:val="1"/>
                <w:color w:val="auto"/>
              </w:rPr>
              <w:t>Six months ended June 30, 2014</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337,108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336,803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67,466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131,834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1,084,335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109,847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109,847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31,086</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15,638</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Corporate, stand-alone adjustments and</w:t>
            </w:r>
          </w:p>
        </w:tc>
        <w:tc>
          <w:tcPr>
            <w:tcW w:w="16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(39,708)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39,708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7"/>
                <w:szCs w:val="17"/>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(8,590)</w:t>
            </w:r>
          </w:p>
        </w:tc>
        <w:tc>
          <w:tcPr>
            <w:tcW w:w="160" w:type="dxa"/>
            <w:vAlign w:val="bottom"/>
          </w:tcPr>
          <w:p>
            <w:pPr>
              <w:spacing w:after="0"/>
              <w:rPr>
                <w:sz w:val="17"/>
                <w:szCs w:val="17"/>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(3,429)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67,854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2,313,629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PARENT COMPANY INVESTMENT</w:t>
      </w:r>
    </w:p>
    <w:p>
      <w:pPr>
        <w:spacing w:after="0" w:line="229"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Civeo and Oil States have been included in these combined financial statements. The total net effect of the settlement of these affiliate transactions is reflected in the combined balance sheets as “Oil States International, Inc. Net Investment.”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Prior to the Spin-Off, Oil States provided services to and funded certain expenditures of Civeo. The most significant of these services and expenditures were: (1) funding expenditures to settle domestic accounts payable; (2) funding and processing of domestic payroll; (3) share-based compensation; and (4) certain transaction-related expenditures. The consolidated financial statements of Civeo reflect these expenditures. During the three months ended June 30, 2014, $8.7 million of expenditures for services received from Oil States or funding for expenditures provided by Oil States were included in the consolidated financial statements. During the six months ended June 30, 2014, $41.7 million of expenditures for services received from Oil States or funding for expenditures provided by Oil States were included in the consolidated financial statements.</w:t>
      </w:r>
    </w:p>
    <w:p>
      <w:pPr>
        <w:spacing w:after="0" w:line="17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Prior to the Spin-Off, the consolidated statements of operations also include general corporate expense allocations, which include costs incurred by Oil States for certain corporate functions such as executive management, finance, information technology, tax, internal audit, risk management, legal, human resources and treasury. During the three months ended June 30, 2014, we were allocated $1.2 million in respect of these corporate expenses which are included within selling, general and administrative expenses in the consolidated statements of operations. During the six months ended June 30, 2014, we were allocated $2.8 million in respect of these corporate expenses which are included within selling, general and administrative expenses in the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States Net Investment</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consolidated balance sheets. The components of the change in Oil States net investment for the six months ended June 30, 2014 are as follows (in thousands):</w:t>
      </w:r>
    </w:p>
    <w:p>
      <w:pPr>
        <w:sectPr>
          <w:pgSz w:w="11900" w:h="16838" w:orient="portrait"/>
          <w:cols w:equalWidth="0" w:num="1">
            <w:col w:w="11400"/>
          </w:cols>
          <w:pgMar w:left="240" w:top="580" w:right="259" w:bottom="1440" w:gutter="0" w:footer="0" w:header="0"/>
        </w:sectPr>
      </w:pPr>
    </w:p>
    <w:p>
      <w:pPr>
        <w:spacing w:after="0" w:line="40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transfers and general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Services received or funding for expenditures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Corporate allocations, including income tax provision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-116205</wp:posOffset>
            </wp:positionV>
            <wp:extent cx="579755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increase in Oil States net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595"/>
        <w:spacing w:after="0"/>
        <w:rPr>
          <w:sz w:val="20"/>
          <w:szCs w:val="20"/>
          <w:color w:val="auto"/>
        </w:rPr>
      </w:pPr>
      <w:r>
        <w:rPr>
          <w:rFonts w:ascii="Arial" w:cs="Arial" w:eastAsia="Arial" w:hAnsi="Arial"/>
          <w:sz w:val="18"/>
          <w:szCs w:val="18"/>
          <w:b w:val="1"/>
          <w:bCs w:val="1"/>
          <w:color w:val="auto"/>
        </w:rPr>
        <w:t>2014</w:t>
      </w:r>
    </w:p>
    <w:p>
      <w:pPr>
        <w:spacing w:after="0" w:line="27" w:lineRule="exact"/>
        <w:rPr>
          <w:sz w:val="20"/>
          <w:szCs w:val="20"/>
          <w:color w:val="auto"/>
        </w:rPr>
      </w:pPr>
    </w:p>
    <w:p>
      <w:pPr>
        <w:ind w:left="995" w:hanging="995"/>
        <w:spacing w:after="0"/>
        <w:tabs>
          <w:tab w:leader="none" w:pos="9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(13,255)</w:t>
      </w:r>
    </w:p>
    <w:p>
      <w:pPr>
        <w:spacing w:after="0" w:line="45" w:lineRule="exact"/>
        <w:rPr>
          <w:rFonts w:ascii="Arial" w:cs="Arial" w:eastAsia="Arial" w:hAnsi="Arial"/>
          <w:sz w:val="16"/>
          <w:szCs w:val="16"/>
          <w:color w:val="auto"/>
        </w:rPr>
      </w:pPr>
    </w:p>
    <w:p>
      <w:pPr>
        <w:ind w:left="1055"/>
        <w:spacing w:after="0"/>
        <w:rPr>
          <w:rFonts w:ascii="Arial" w:cs="Arial" w:eastAsia="Arial" w:hAnsi="Arial"/>
          <w:sz w:val="16"/>
          <w:szCs w:val="16"/>
          <w:color w:val="auto"/>
        </w:rPr>
      </w:pPr>
      <w:r>
        <w:rPr>
          <w:rFonts w:ascii="Arial" w:cs="Arial" w:eastAsia="Arial" w:hAnsi="Arial"/>
          <w:sz w:val="18"/>
          <w:szCs w:val="18"/>
          <w:color w:val="auto"/>
        </w:rPr>
        <w:t>41,725</w:t>
      </w:r>
    </w:p>
    <w:p>
      <w:pPr>
        <w:spacing w:after="0" w:line="9"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8"/>
          <w:szCs w:val="18"/>
          <w:color w:val="auto"/>
        </w:rPr>
        <w:t>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-414020</wp:posOffset>
            </wp:positionV>
            <wp:extent cx="986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055" w:hanging="1055"/>
        <w:spacing w:after="0"/>
        <w:tabs>
          <w:tab w:leader="none" w:pos="10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32,420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86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925" w:space="720"/>
            <w:col w:w="2755"/>
          </w:cols>
          <w:pgMar w:left="240" w:top="580" w:right="259" w:bottom="1440" w:gutter="0" w:footer="0" w:header="0"/>
          <w:type w:val="continuous"/>
        </w:sectPr>
      </w:pPr>
    </w:p>
    <w:p>
      <w:pPr>
        <w:spacing w:after="0" w:line="309" w:lineRule="exact"/>
        <w:rPr>
          <w:sz w:val="20"/>
          <w:szCs w:val="20"/>
          <w:color w:val="auto"/>
        </w:rPr>
      </w:pPr>
    </w:p>
    <w:p>
      <w:pPr>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allocations includes the general corporate expense allocations of $2.8 million for the six months ended June 30, 2014,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Civeo’s combined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820" w:firstLine="324"/>
        <w:spacing w:after="0" w:line="312" w:lineRule="auto"/>
        <w:rPr>
          <w:sz w:val="20"/>
          <w:szCs w:val="20"/>
          <w:color w:val="auto"/>
        </w:rPr>
      </w:pPr>
      <w:r>
        <w:rPr>
          <w:rFonts w:ascii="Arial" w:cs="Arial" w:eastAsia="Arial" w:hAnsi="Arial"/>
          <w:sz w:val="16"/>
          <w:szCs w:val="16"/>
          <w:color w:val="auto"/>
        </w:rPr>
        <w:t>On July 17, 2015, we completed our change in place of incorporation, pursuant to which Civeo Canada became the publicly traded parent company of the Civeo group of companies. Additionally, on July 17, 2015, the Amended Credit Facility became effective. For further information, please see Note 1 – Description of Business and Basis of Presentation and Note 7 – Debt to the Unaudited Consolidated Financial Statements.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Also in July 2015, total debt was reduced by approximately $275 million.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type w:val="continuous"/>
        </w:sectPr>
      </w:pPr>
    </w:p>
    <w:bookmarkStart w:id="20" w:name="page21"/>
    <w:bookmarkEnd w:id="20"/>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2014, the definitive proxy statement/prospectus with respect to the migration filed with the Securities and Exchange Commission (“SEC”) on April 8, 2015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stockholders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May 5, 2014, the Oil States International, Inc. (Oil States) board of directors approved the separation of its Accommodations Segment (Accommodations) into a standalone, publicly traded Delaware corporation, Civeo Corporation, now named Civeo USA Corp. (Civeo US). In accordance with the Separation and Distribution Agreement, the two companies were separated by Oil States distributing to its stockholders all 106,538,044 shares of common stock of Civeo US it held after the market closed on May 30, 2014 (the Spin-Off). Each Oil States stockholder received two shares of Civeo US common stock for every one share of Oil States stock held at the close of business on the record date of May 21, 2014. In conjunction with the Spin-Off, Oil States received a private letter ruling from the Internal Revenue Service to the effect that, based on certain facts, assumptions, representations and undertakings set forth in the ruling, for U.S. federal income tax purposes, the distribution of Civeo US common stock was not taxable to Oil States or U.S. holders of Oil States common stock. Following the Spin-Off, Oil States retained no ownership interest in Civeo, and each company now has separate public ownership, boards of directors and management. A registration statement on Form 10, as amended through the time of its effectiveness, describing the Spin-Off was filed by Civeo US with the U.S. Securities and Exchange Commission (SEC) and was declared effective on May 8, 2014. On June 2, 2014, Civeo US common stock began trading the “regular-way” on the New York Stock Exchange under the “CVEO” stock symbol. Pursuant to the Separation and Distribution Agreement with Oil States, on May 28, 2014, we made a special cash distribution to Oil States of $750 million.</w:t>
      </w:r>
    </w:p>
    <w:p>
      <w:pPr>
        <w:spacing w:after="0" w:line="16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connection with the Spin-Off, on May 28, 2014, we entered into a $650.0 million, 5-year revolving credit facility and a 5-year U.S. term loan facility totaling $775.0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Redomiciling to Canada</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On July 17, 2015, we completed our change in place of incorporation, pursuant to which Civeo Corporation, a British Columbia, Canada limited company formerly named Civeo Canadian Holdings ULC (Civeo Canada), became the publicly traded parent company of the Civeo group of companies (the Redomicile Transaction). The Redomicile Transaction was effected pursuant to a previously announced Agreement and Plan of Merger, dated as of April 6, 2015, between Civeo US, Civeo US Merger Co, a Delaware corporation and wholly owned subsidiary of Civeo Canada (US Merger Co), and Civeo Canada. At the effective time of the merger, (i) US Merger Co was merged with Civeo US, with Civeo US surviving the merger as a wholly owned subsidiary of Civeo Canada, and (ii)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at the effective time as merger consideration. The Civeo Canada common shares have been listed on the NYSE under the symbol “CVEO”, the same symbol under which the Civeo US common stock traded prior to the effective time.</w:t>
      </w:r>
    </w:p>
    <w:p>
      <w:pPr>
        <w:spacing w:after="0" w:line="167"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believe that 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believe we qualified for a self-directed redomiciling.</w:t>
      </w:r>
    </w:p>
    <w:p>
      <w:pPr>
        <w:spacing w:after="0" w:line="173" w:lineRule="exact"/>
        <w:rPr>
          <w:sz w:val="20"/>
          <w:szCs w:val="20"/>
          <w:color w:val="auto"/>
        </w:rPr>
      </w:pPr>
    </w:p>
    <w:p>
      <w:pPr>
        <w:jc w:val="both"/>
        <w:ind w:right="160" w:firstLine="324"/>
        <w:spacing w:after="0" w:line="257" w:lineRule="auto"/>
        <w:rPr>
          <w:sz w:val="20"/>
          <w:szCs w:val="20"/>
          <w:color w:val="auto"/>
        </w:rPr>
      </w:pPr>
      <w:r>
        <w:rPr>
          <w:rFonts w:ascii="Arial" w:cs="Arial" w:eastAsia="Arial" w:hAnsi="Arial"/>
          <w:sz w:val="18"/>
          <w:szCs w:val="18"/>
          <w:color w:val="auto"/>
        </w:rPr>
        <w:t>Also on July 17, 2015, the First Amendment to the Credit Facility, among Civeo US, certain subsidiaries of Civeo US as borrowers, the lenders named therein, Royal Bank of Canada, as Administrative Agent and the other agents party thereto (the Amended Credit Facility), became effective. The Amended Credit Facility (i) allows us to borrow under new Canadian tranches of the Credit Facility, (ii) substantially reduced both the existing U.S. term loan and the U.S. revolver and (iii) increased the maximum leverage ratio allowed. For further information, please see Liquidity and Capital Resources – Credit Facility and Long Term Debt below.</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incurred costs related to the Redomicile Transaction and the Amended Credit Facility totaling $2.4 million and $3.6 million for the three and six months ended June 30, 2015. We also incurred costs related to the Redomicile Transaction totaling $2.6 million during the three months ended December 31, 2014. We expect to incur further costs totaling less than $10 million in the third quarter 2015, a portion of which will be capitalized as debt issuance costs. We will also recognize a loss on the extinguishment of debt in the third quarter 2015 related to the write-off of a portion of the debt issuance costs under the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 prior to the Spin-Off mean the Accommodations business of Oil States. For time periods after the Spin-Off but prior to July 17, 2015, these terms refer to Civeo US and its consolidated subsidiaries. For time periods after July 17, 2015, these terms refer to Civeo Canada and its consolidated subsidiaries.</w:t>
      </w:r>
    </w:p>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Prior to the Spin-Off, our financial position, results of operations and cash flows consisted of the Oil States’ Accommodations business and an allocable portion of its corporate costs, which represented a combined reporting entity. The combined financial statements for periods prior to the Spin-Off have been prepared on a stand-alone basis and are derived from the consolidated financial statements and accounting records of Oil States. The combined financial statements reflect our historical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 w:name="page23"/>
    <w:bookmarkEnd w:id="22"/>
    <w:p>
      <w:pPr>
        <w:ind w:left="340"/>
        <w:spacing w:after="0"/>
        <w:rPr>
          <w:sz w:val="20"/>
          <w:szCs w:val="20"/>
          <w:color w:val="auto"/>
        </w:rPr>
      </w:pPr>
      <w:r>
        <w:rPr>
          <w:rFonts w:ascii="Arial" w:cs="Arial" w:eastAsia="Arial" w:hAnsi="Arial"/>
          <w:sz w:val="17"/>
          <w:szCs w:val="17"/>
          <w:color w:val="auto"/>
        </w:rPr>
        <w:t>All financial information presented after the Spin-Off represents the consolidated results of operations, financial position and cash flows of Civeo.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w:t>
      </w:r>
    </w:p>
    <w:p>
      <w:pPr>
        <w:spacing w:after="0" w:line="211" w:lineRule="exact"/>
        <w:rPr>
          <w:sz w:val="20"/>
          <w:szCs w:val="20"/>
          <w:color w:val="auto"/>
        </w:rPr>
      </w:pPr>
    </w:p>
    <w:p>
      <w:pPr>
        <w:ind w:left="980" w:hanging="324"/>
        <w:spacing w:after="0" w:line="28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consolidated statements of operations and comprehensive income for the three months ended June 30, 2014 consist of (i) the combined results of the Oil States’ Accommodations business for the two months ended May 30, 2014 and (ii) the consolidated results of Civeo for the month ended June 30, 2014. Our consolidated statements of operations, comprehensive income, cash flows and changes in stockholders’ equity / net investment for the six months ended June 30, 2014 consist of (i) the combined results of the Oil States’ Accommodations business for the five months ended May 30, 2014 and (ii) the consolidated results of Civeo for the month ended June 30, 2014.</w:t>
      </w:r>
    </w:p>
    <w:p>
      <w:pPr>
        <w:spacing w:after="0" w:line="2" w:lineRule="exact"/>
        <w:rPr>
          <w:rFonts w:ascii="Arial" w:cs="Arial" w:eastAsia="Arial" w:hAnsi="Arial"/>
          <w:sz w:val="16"/>
          <w:szCs w:val="16"/>
          <w:color w:val="auto"/>
        </w:rPr>
      </w:pPr>
    </w:p>
    <w:p>
      <w:pPr>
        <w:ind w:left="980" w:right="6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consolidated statements of operations, comprehensive income, cash flows and changes in stockholders’ equity / net investment for the three and six months ended June 30, 2015 consist entirely of the consolidated results of Civeo.</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consolidated balance sheets at June 30, 2015 and December 31, 2014 consist of the consolidated balances of Civeo.</w:t>
      </w:r>
    </w:p>
    <w:p>
      <w:pPr>
        <w:spacing w:after="0" w:line="21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assets and liabilities in our consolidated financial statements have been reflected on a historical basis, as immediately prior to the Spin-Off all of the assets and liabilities presented were wholly owned by Oil States and were transferred within the Oil States consolidated group. All intercompany transactions and accounts have been eliminated. All affiliate transactions between Civeo and Oil States have been included in these consolidated financial statements.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consolidated financial statements for periods prior to the Spin-Off included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equity-based compensation. These expenses were allocated to us on the basis of direct usage when identifiable, with the remainder allocated based on estimated time spent by Oil States personnel, a pro-rata basis of headcount or other relevant measures of Oil States and its subsidiaries. We consider the basis on which the expenses were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We provide workforce accommodations to the natural resource industry in Canada, Australia and the United States.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refining facilities. Industry capital spending programs are generally based on the outlook for commodity prices, economic growth and estimates of resource production. As a result, demand for our products and services is largely sensitive to expected commodity prices, principally related to crude oil, metallurgical (met) coal and, to a lesser extent, natural gas.</w:t>
      </w:r>
    </w:p>
    <w:p>
      <w:pPr>
        <w:spacing w:after="0" w:line="167"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In Canada, Western Canadian Select (WCS) crude is the benchmark price for our oil sands accommodations’ customers. Pricing for WCS is driven by several factors. A significant factor affecting WCS pricing is the underlying price for West Texas Intermediate (WTI) crude. Another significant factor affecting WCS pricing has been the availability of transportation infrastructure. Historically, WCS has traded at a discount to WTI, creating a “WCS Differential,” due to transportation costs and limited capacity to move Canadian heavy oil production to refineries, primarily in the U.S. Gulf Coast. Depending on the extent of pipeline capacity availability, the WCS Differential has varied.</w:t>
      </w:r>
    </w:p>
    <w:p>
      <w:pPr>
        <w:spacing w:after="0" w:line="18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the fourth quarter 2014, global oil prices dropped to their lowest level in five years due to concerns over global oil demand, the economic growth rate in China, the overall economic health of Europe and price cutting by major oil producing countries, such as Saudi Arabia. Increasing global supply, including increased U.S. shale oil production, has also negatively impacted pricing. With falling Brent Crude and WTI oil prices, WCS has also fallen. This trend of depressed oil prices continued into the first half of 2015. WCS prices in the second quarter of 2015 averaged $48.09 per barrel compared to $57.75 in the fourth quarter of 2014 and $35.03 in the first quarter of 2015. The WCS Differential narrowed from $16.00 per barrel at the end of the fourth quarter of 2014 to $12.00 per barrel by the end of the second quarter of 2015. Oil prices have deteriorated since the end of the second quarter. As of July 27, 2015, the WTI price was $47.39 and the WCS price was $31.54, resulting in a WCS Differential of $15.85.</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right="320" w:firstLine="324"/>
        <w:spacing w:after="0" w:line="279" w:lineRule="auto"/>
        <w:rPr>
          <w:sz w:val="20"/>
          <w:szCs w:val="20"/>
          <w:color w:val="auto"/>
        </w:rPr>
      </w:pPr>
      <w:r>
        <w:rPr>
          <w:rFonts w:ascii="Arial" w:cs="Arial" w:eastAsia="Arial" w:hAnsi="Arial"/>
          <w:sz w:val="17"/>
          <w:szCs w:val="17"/>
          <w:color w:val="auto"/>
        </w:rPr>
        <w:t>There remains a significant risk that prices in the oil sands could continue to deteriorate or remain at current depressed levels going forward for an extended period of time. Additionally, if the discount between WCS crude prices and WTI crude prices widens, our oil sands customers are more likely to further delay additional investments in their oil sands assets. The continuation of these depressed price levels has negatively impacted exploration, development and production activity by Canadian operators and, therefore, demand for our services in 2015.</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Australia, we have 9,064 total rooms in our nine villages, of which 7,692 rooms in six villages serve the Bowen Basin. Our Australian villages in the Bowen Basin primarily serve met coal mines in that region. Met coal pricing and growth in production in the Bowen Basin region is influenced by levels of global steel production. Growth in worldwide steel demand has decreased from 3.8% in 2013 to 2.0% in 2014. Furthermore, because Chinese steel production has been growing at a slower pace than that experienced in 2011 and 2012, Chinese demand for imported steel inputs such as met coal and iron ore has continued to decrease during 2015 compared to prior periods. Because of this, coupled with the fact that Australian met coal output has increased 12% during 2014 compared to 2013, met coal prices have decreased materially from over $160 per metric tonne at the beginning of 2013 to approximately $109.50 per metric ton for the second quarter of 2015. As of July 1, 2015, the price had declined to $93.00 per metric tonne. We expect the lower third quarter 2015 contract price to negatively impact occupancy at our Bowen Basin villages in the second half of 2015.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Long term demand for steel will be driven by increased steel consumption per capita in developing economies, such as China and India, whose current consumption is a fraction of developed countries.</w:t>
      </w:r>
    </w:p>
    <w:p>
      <w:pPr>
        <w:spacing w:after="0" w:line="17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Natural gas and WTI crude oil prices, discussed above, have an impact on the demand for our U.S. accommodations. Prices for natural gas in the U.S. averaged $2.73 per mcf in the second quarter of 2015, a 29% decrease over the average price in the fourth quarter of 2014. U.S. natural gas production has continued to outpace demand recently, which has caused prices to continue to be weak relative to historical prices. These weaker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7"/>
              </w:rPr>
              <w:t>Henry</w:t>
            </w:r>
          </w:p>
        </w:tc>
        <w:tc>
          <w:tcPr>
            <w:tcW w:w="80" w:type="dxa"/>
            <w:vAlign w:val="bottom"/>
          </w:tcPr>
          <w:p>
            <w:pPr>
              <w:spacing w:after="0"/>
              <w:rPr>
                <w:sz w:val="16"/>
                <w:szCs w:val="16"/>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WTI</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WCS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rPr>
              <w:t>Hard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Hub</w:t>
            </w:r>
          </w:p>
        </w:tc>
        <w:tc>
          <w:tcPr>
            <w:tcW w:w="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Coking Coal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Natural</w:t>
            </w:r>
          </w:p>
        </w:tc>
        <w:tc>
          <w:tcPr>
            <w:tcW w:w="80" w:type="dxa"/>
            <w:vAlign w:val="bottom"/>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Crude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Crude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(Met Coal)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Gas</w:t>
            </w:r>
          </w:p>
        </w:tc>
        <w:tc>
          <w:tcPr>
            <w:tcW w:w="80" w:type="dxa"/>
            <w:vAlign w:val="bottom"/>
          </w:tcPr>
          <w:p>
            <w:pPr>
              <w:spacing w:after="0"/>
              <w:rPr>
                <w:sz w:val="18"/>
                <w:szCs w:val="18"/>
                <w:color w:val="auto"/>
              </w:rPr>
            </w:pPr>
          </w:p>
        </w:tc>
      </w:tr>
      <w:tr>
        <w:trPr>
          <w:trHeight w:val="234"/>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(per bbl)</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(per bbl)</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(per tonne)</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(per mcf)</w:t>
            </w:r>
          </w:p>
        </w:tc>
        <w:tc>
          <w:tcPr>
            <w:tcW w:w="80" w:type="dxa"/>
            <w:vAlign w:val="bottom"/>
          </w:tcPr>
          <w:p>
            <w:pPr>
              <w:spacing w:after="0"/>
              <w:rPr>
                <w:sz w:val="20"/>
                <w:szCs w:val="20"/>
                <w:color w:val="auto"/>
              </w:rPr>
            </w:pPr>
          </w:p>
        </w:tc>
      </w:tr>
      <w:tr>
        <w:trPr>
          <w:trHeight w:val="210"/>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3/31/2015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9/30/2014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3/31/2014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9/30/2013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105.83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3/31/2013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r>
      <w:tr>
        <w:trPr>
          <w:trHeight w:val="216"/>
        </w:trPr>
        <w:tc>
          <w:tcPr>
            <w:tcW w:w="2560" w:type="dxa"/>
            <w:vAlign w:val="bottom"/>
          </w:tcPr>
          <w:p>
            <w:pPr>
              <w:jc w:val="center"/>
              <w:spacing w:after="0"/>
              <w:rPr>
                <w:sz w:val="20"/>
                <w:szCs w:val="20"/>
                <w:color w:val="auto"/>
              </w:rPr>
            </w:pPr>
            <w:r>
              <w:rPr>
                <w:rFonts w:ascii="Arial" w:cs="Arial" w:eastAsia="Arial" w:hAnsi="Arial"/>
                <w:sz w:val="18"/>
                <w:szCs w:val="18"/>
                <w:color w:val="auto"/>
                <w:w w:val="92"/>
              </w:rPr>
              <w:t>9/30/2012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r>
      <w:tr>
        <w:trPr>
          <w:trHeight w:val="216"/>
        </w:trPr>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360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60" w:hanging="9"/>
        <w:spacing w:after="0" w:line="277" w:lineRule="auto"/>
        <w:tabs>
          <w:tab w:leader="none" w:pos="7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Seaborne hard coking coal contract price from Bloomberg.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the U.S., Canada, Australia and other markets.</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not cost effective, our lodge and village facilities provide comprehensive accommodations services similar to those found in an urban hotel. We typically contract our facilities to our customers on a fee per day basis covering lodging and meals that is based on the duration of their needs which can range from several weeks to several years.</w:t>
      </w:r>
    </w:p>
    <w:p>
      <w:pPr>
        <w:spacing w:after="0" w:line="193"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Generally, our customers are making multi-billion dollar investments to develop their prospects, which have estimated reserve lives of ten years to in excess of thirty years. Consequently, these investments are dependent on those customers’ longer-term view of commodity demand and prices. Announcements of certain new and expanded oil sands projects can create the opportunity to extend existing accommodations contracts and incremental contracts for us in Canada. There have been few new or expanded projects announced in recent months.</w:t>
      </w:r>
    </w:p>
    <w:p>
      <w:pPr>
        <w:spacing w:after="0" w:line="17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With the current commodity price environment and expected demand, concerns about take-away capacity out of the oil sands region and continued high costs including labor costs, the current outlook for oil sands activity has continued to deteriorate in 2015. Further, project delays and cancellations have continued into 2015. Although we are currently the primary third-party accommodations provider for the two major construction projects in the oil sands region, the Fort Hills project and the Kearl Project, outlook for additional major oil sands construction projects is limited. Oil sands operators are looking to reduce their costs and capital spending, limiting the demand for accommodations like we provide. As a result, we experienced materially lower revenues and earnings from our Canadian operations in the first half of 2015 and expect this trend to continue for the rest of 2015. Additionally, if oil prices remain at current levels, or continue to decline, the resulting impact could negatively affect the value of our long-lived assets, including goodwill.</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expect to begin expansion on our room count in Kitimat, British Columbia during the second half of 2015 to support potential LNG projects on the west coast of British Columbia. We were recently awarded a contract with LNG Canada for the provision of open lodge rooms and associated services. To support this new contract, we will develop a new accommodations facility, to be named Sitka Lodge, which will include private washrooms, recreational facilities and other amenities. This new lodge will initially have 436 rooms with the potential to expand to serve future accommodations demand in the region.</w:t>
      </w:r>
    </w:p>
    <w:p>
      <w:pPr>
        <w:spacing w:after="0" w:line="18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or cease production from higher cost mines and delay or materially reduce their growth plans. This has negatively affected our ability to expand our room count and has led to a decrease in occupancy levels. Despite the repeal of carbon and mining taxes, continued concerns about China’s economy, which significantly influences the global demand for steel, and therefore, met coal, the outlook for met coal demand continues to be negative. As a result, our Australian business continues to experience lower occupancy levels in 2015.</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5" w:name="page26"/>
    <w:bookmarkEnd w:id="25"/>
    <w:p>
      <w:pPr>
        <w:ind w:firstLine="324"/>
        <w:spacing w:after="0" w:line="290" w:lineRule="auto"/>
        <w:rPr>
          <w:sz w:val="20"/>
          <w:szCs w:val="20"/>
          <w:color w:val="auto"/>
        </w:rPr>
      </w:pPr>
      <w:r>
        <w:rPr>
          <w:rFonts w:ascii="Arial" w:cs="Arial" w:eastAsia="Arial" w:hAnsi="Arial"/>
          <w:sz w:val="16"/>
          <w:szCs w:val="16"/>
          <w:color w:val="auto"/>
        </w:rPr>
        <w:t>Exchange rates between the U.S. dollar and the Canadian dollar and between the U.S. dollar and the Australian dollar influence our U.S. reported financial results. Our business has historically derived the vast majority of its revenues and operating income in Canada and Australia. These revenues and profits are translated into U.S. dollars for U.S. GAAP financial reporting purposes. The Canadian dollar was valued at an average exchange rate of U.S. $0.81 for the second quarter 2015 compared to U.S. $0.92 for the second quarter 2014, a decrease of approximately 11%. The Canadian dollar was valued at an exchange rate of $0.80 on June 30, 2015 and $0.86 on December 31, 2014. The Australian dollar was valued at an average exchange rate of U.S. $0.78 for the second quarter 2015 compared to U.S. $0.93 for the second quarter 2014, a decrease of approximately 17%. The Australian dollar was valued at an exchange rate of $0.77 on June 30, 2015 and $0.82 on December 31, 2014. This weakening of the Canadian and Australian dollars has and may continue to have a proportionately negative impact on the translation of earnings generated from our Canadian and Australian subsidiaries and, therefore, our financial results.</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of our customers in order to plan our business. We currently expect that our 2015 capital expenditures will total approximately $80 million to $90 million, compared to 2014 capital expenditures of $251 million. Please see “Liquidity and Capital Resources” below for further discussion of 2015 capital expenditures.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six-month periods ended June 30, 2015, is based on a comparison with the corresponding period of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June 30, 2015 Compared to Three Months Ended June 30, 2014</w:t>
      </w:r>
    </w:p>
    <w:p>
      <w:pPr>
        <w:spacing w:after="0" w:line="1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20" w:type="dxa"/>
            <w:vAlign w:val="bottom"/>
            <w:gridSpan w:val="8"/>
          </w:tcPr>
          <w:p>
            <w:pPr>
              <w:jc w:val="center"/>
              <w:ind w:left="831"/>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4"/>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Canada</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90,072</w:t>
            </w:r>
          </w:p>
        </w:tc>
        <w:tc>
          <w:tcPr>
            <w:tcW w:w="12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156,479</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143,147</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227,133</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96,573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11,782</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Spin-off and formation costs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42,413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Impairment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Other operating expense (income)</w:t>
            </w:r>
          </w:p>
        </w:tc>
        <w:tc>
          <w:tcPr>
            <w:tcW w:w="3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(2,573)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157,284</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210,907</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(14,137)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expense and income, net</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(5,561)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(7,561)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(19,132)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(13,269)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3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gridSpan w:val="2"/>
          </w:tcPr>
          <w:p>
            <w:pPr>
              <w:spacing w:after="0"/>
              <w:rPr>
                <w:sz w:val="20"/>
                <w:szCs w:val="20"/>
                <w:color w:val="auto"/>
              </w:rPr>
            </w:pPr>
            <w:r>
              <w:rPr>
                <w:rFonts w:ascii="Arial" w:cs="Arial" w:eastAsia="Arial" w:hAnsi="Arial"/>
                <w:sz w:val="18"/>
                <w:szCs w:val="18"/>
                <w:color w:val="auto"/>
              </w:rPr>
              <w:t>Net income (loss) attributable to Civeo</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line="250" w:lineRule="exact"/>
              <w:rPr>
                <w:sz w:val="20"/>
                <w:szCs w:val="20"/>
                <w:color w:val="auto"/>
              </w:rPr>
            </w:pPr>
            <w:r>
              <w:rPr>
                <w:rFonts w:ascii="Arial" w:cs="Arial" w:eastAsia="Arial" w:hAnsi="Arial"/>
                <w:sz w:val="15"/>
                <w:szCs w:val="15"/>
                <w:color w:val="auto"/>
              </w:rPr>
              <w:t>(13,461</w:t>
            </w:r>
            <w:r>
              <w:rPr>
                <w:rFonts w:ascii="Arial" w:cs="Arial" w:eastAsia="Arial" w:hAnsi="Arial"/>
                <w:sz w:val="28"/>
                <w:szCs w:val="28"/>
                <w:color w:val="auto"/>
                <w:vertAlign w:val="superscript"/>
              </w:rPr>
              <w:t>)</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13,949</w:t>
            </w:r>
          </w:p>
        </w:tc>
        <w:tc>
          <w:tcPr>
            <w:tcW w:w="12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We reported net loss attributable to Civeo for the quarter ended June 30, 2015 of $13.5 million, or $0.13 per diluted share. As further discussed in Impairment expense, below, net loss for 2015 included $6.6 million of after-tax charges, or $0.06 per diluted share, resulting from the impairment of fixed assets at Kambalda, a village located in Western Australia, due to the continued downturn in gold mining activity and lack of contract renewals. Net loss for 2015 also included $2.4 million (or $0.03 per diluted share) in after-tax loss from costs incurred in connection with the migration to Canada. These results compare to net income attributable to Civeo for the quarter ended June 30, 2014 of $13.9 million, or $0.13 per diluted share. As further discussed in Impairment expense and Interest expense and income, net, below, net income for 2014 included $9.8 million of after-tax charges, or $0.09 per diluted share, resulting from the Spin-Off. In addition, we incurred after-tax severance costs of $3.1 million, or $0.03 per diluted share, included in Selling, general and administrative expenses and after-tax impairment costs of $1.7 million, or $0.02 per diluted share, included in Impairment expense.</w:t>
      </w:r>
    </w:p>
    <w:p>
      <w:pPr>
        <w:spacing w:after="0" w:line="162"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$84.0 million, or 37%, in the second quarter of 2015 compared to the second quarter of 2014. This decline</w:t>
      </w:r>
      <w:r>
        <w:rPr>
          <w:rFonts w:ascii="Arial" w:cs="Arial" w:eastAsia="Arial" w:hAnsi="Arial"/>
          <w:sz w:val="18"/>
          <w:szCs w:val="18"/>
          <w:b w:val="1"/>
          <w:bCs w:val="1"/>
          <w:color w:val="auto"/>
        </w:rPr>
        <w:t xml:space="preserve"> </w:t>
      </w:r>
      <w:r>
        <w:rPr>
          <w:rFonts w:ascii="Arial" w:cs="Arial" w:eastAsia="Arial" w:hAnsi="Arial"/>
          <w:sz w:val="18"/>
          <w:szCs w:val="18"/>
          <w:color w:val="auto"/>
        </w:rPr>
        <w:t>was largely driven by decreases in Canada and Australia, due to lower occupancy, as well as weakening Canadian and Australian dollars, as further described in the segment discussion below.</w:t>
      </w:r>
    </w:p>
    <w:p>
      <w:pPr>
        <w:spacing w:after="0" w:line="176"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$43.9 million, or 33%, in the second quarter of 2015 compared to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2014 primarily due to decreases in occupancy in both Canada and Australia, as well as the weakening Canadian and Australian dollars, as further described in the segment discussion below.</w:t>
      </w:r>
    </w:p>
    <w:p>
      <w:pPr>
        <w:spacing w:after="0" w:line="176"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(SG&amp;A) expense decreased $3.3 million, or 15%,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2015 compared to the second quarter of 2014. Increased costs associated with being a publicly traded company and costs associated with the Redomicile Transaction of $2.4 million were more than offset by lower employee costs due to cost containment measures, as well as the impact of the weakening Canadian and Australian dollars.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7" w:name="page28"/>
    <w:bookmarkEnd w:id="27"/>
    <w:p>
      <w:pPr>
        <w:ind w:right="56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$1.9 million relate to transition costs incurred during the second quarter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becoming a stand-alone company.</w:t>
      </w:r>
    </w:p>
    <w:p>
      <w:pPr>
        <w:spacing w:after="0" w:line="162"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increased $0.1 million, or less than 1%, in the second quarter of 2015</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second quarter of 2014. Capital expenditures made during the last twelve months largely related to investments in our Canadian segment were almost entirely offset by reduced depreciation expense resulting from impairments recorded in 2014, as well as the impact of the weakening Canadian and Australian dollars.</w:t>
      </w:r>
    </w:p>
    <w:p>
      <w:pPr>
        <w:spacing w:after="0" w:line="18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$9.5 million in the second quarter of 2015 consisted of the impairment of fixed assets at Kambalda, a</w:t>
      </w:r>
      <w:r>
        <w:rPr>
          <w:rFonts w:ascii="Arial" w:cs="Arial" w:eastAsia="Arial" w:hAnsi="Arial"/>
          <w:sz w:val="18"/>
          <w:szCs w:val="18"/>
          <w:b w:val="1"/>
          <w:bCs w:val="1"/>
          <w:color w:val="auto"/>
        </w:rPr>
        <w:t xml:space="preserve"> </w:t>
      </w:r>
      <w:r>
        <w:rPr>
          <w:rFonts w:ascii="Arial" w:cs="Arial" w:eastAsia="Arial" w:hAnsi="Arial"/>
          <w:sz w:val="18"/>
          <w:szCs w:val="18"/>
          <w:color w:val="auto"/>
        </w:rPr>
        <w:t>village located in Western Australia, due to the continued downturn in gold mining activity and lack of contract renewals. Impairment expense of $11.6 million in the second quarter of 2014 consisted of a $9.0 million impairment of an intangible asset in Australia. Due to the Spin-Off, and the resulting rebranding of our Australian operations from The MAC to Civeo, it was determined that the fair value of an intangible asset associated with The MAC brand was nil. Additionally, we recognized an impairment totaling $2.6 million on assets that are in the custody of non-paying customers in Mexico, and for which the return or reimbursement is unlikely.</w:t>
      </w:r>
    </w:p>
    <w:p>
      <w:pPr>
        <w:spacing w:after="0" w:line="188" w:lineRule="exact"/>
        <w:rPr>
          <w:sz w:val="20"/>
          <w:szCs w:val="20"/>
          <w:color w:val="auto"/>
        </w:rPr>
      </w:pPr>
    </w:p>
    <w:p>
      <w:pPr>
        <w:ind w:right="380" w:firstLine="324"/>
        <w:spacing w:after="0" w:line="347" w:lineRule="auto"/>
        <w:rPr>
          <w:sz w:val="20"/>
          <w:szCs w:val="20"/>
          <w:color w:val="auto"/>
        </w:rPr>
      </w:pPr>
      <w:r>
        <w:rPr>
          <w:rFonts w:ascii="Arial" w:cs="Arial" w:eastAsia="Arial" w:hAnsi="Arial"/>
          <w:sz w:val="16"/>
          <w:szCs w:val="16"/>
          <w:b w:val="1"/>
          <w:bCs w:val="1"/>
          <w:color w:val="auto"/>
        </w:rPr>
        <w:t xml:space="preserve">Operating Income (Loss). </w:t>
      </w:r>
      <w:r>
        <w:rPr>
          <w:rFonts w:ascii="Arial" w:cs="Arial" w:eastAsia="Arial" w:hAnsi="Arial"/>
          <w:sz w:val="16"/>
          <w:szCs w:val="16"/>
          <w:color w:val="auto"/>
        </w:rPr>
        <w:t>Consolidated operating income decreased $30.4 million, or 187%, in the second quarter of 2015 compared to the second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2014 primarily due to lower occupancy levels in Canada and Australia as well as the weakening Canadian and Australian dollars.</w:t>
      </w:r>
    </w:p>
    <w:p>
      <w:pPr>
        <w:spacing w:after="0" w:line="116"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color w:val="auto"/>
        </w:rPr>
        <w:t xml:space="preserve">Interest Expense and Interest Income, net. </w:t>
      </w:r>
      <w:r>
        <w:rPr>
          <w:rFonts w:ascii="Arial" w:cs="Arial" w:eastAsia="Arial" w:hAnsi="Arial"/>
          <w:sz w:val="16"/>
          <w:szCs w:val="16"/>
          <w:color w:val="auto"/>
        </w:rPr>
        <w:t>Net interest expense, including interest expense and income to/from affiliates, decreased by $2.0 million, or</w:t>
      </w:r>
      <w:r>
        <w:rPr>
          <w:rFonts w:ascii="Arial" w:cs="Arial" w:eastAsia="Arial" w:hAnsi="Arial"/>
          <w:sz w:val="16"/>
          <w:szCs w:val="16"/>
          <w:b w:val="1"/>
          <w:bCs w:val="1"/>
          <w:color w:val="auto"/>
        </w:rPr>
        <w:t xml:space="preserve"> </w:t>
      </w:r>
      <w:r>
        <w:rPr>
          <w:rFonts w:ascii="Arial" w:cs="Arial" w:eastAsia="Arial" w:hAnsi="Arial"/>
          <w:sz w:val="16"/>
          <w:szCs w:val="16"/>
          <w:color w:val="auto"/>
        </w:rPr>
        <w:t>26%, in the second quarter of 2015 compared to the second quarter of 2014 primarily due to the 2014 write-off of $3.5 million of debt issuance costs associated with the credit agreement that was terminated in conjunction with the Spin-Off as well as reduced interest expense in 2015 associated with the affiliate debt, which was eliminated as of the Spin-Off, partially offset by increased interest expense associated with the new credit facility in 2015.</w:t>
      </w:r>
    </w:p>
    <w:p>
      <w:pPr>
        <w:spacing w:after="0" w:line="15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three months ended June 30, 2015 totaled $5.9 million, or 30.6% of pretax income,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$4.9 million, or (52.4%) of pretax income, for the three months ended June 30, 2014. Generally, our effective tax rates are lower than U.S. statutory rates because of lower foreign income tax rates. This was partially offset by a $2.7 million charge related to an increase in statutory tax rates in Alberta, Canada included in our 2015 tax benefit. The negative effective tax rate for the three months ended June 30, 2014 is due to a reduction in the 2014 annual effective tax rate from March 31, 2014 to June 30, 2014 due to changes in our corporate structure, including the contribution by Oil States of our affiliate debt. Under ASC 740-270, Accounting for Income Taxes, the quarterly tax provision is based on our current estimate of the annual effective tax rate less the prior quarter’s year-to-date tax provision.</w:t>
      </w:r>
    </w:p>
    <w:p>
      <w:pPr>
        <w:spacing w:after="0" w:line="189" w:lineRule="exact"/>
        <w:rPr>
          <w:sz w:val="20"/>
          <w:szCs w:val="20"/>
          <w:color w:val="auto"/>
        </w:rPr>
      </w:pPr>
    </w:p>
    <w:p>
      <w:pPr>
        <w:ind w:right="260"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income decreased $22.8 million in the second quarter of 2015 compared to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2014 primarily as a result of foreign currency translation adjustments due to changes in the Canadian and Australian dollar exchange rates compared to the U.S. dollar. The Canadian dollar exchange rate compared to the U.S. dollar increased 2% in the second quarter of 2015 compared to a 4% increase in the second quarter of 2014. The Australian dollar exchange rate compared to the U.S. dollar was effectively flat in the second quarter of 2015 compared to a 2% increase in the second quarter of 2014.</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8"/>
          </w:tcPr>
          <w:p>
            <w:pPr>
              <w:jc w:val="center"/>
              <w:ind w:left="550"/>
              <w:spacing w:after="0"/>
              <w:rPr>
                <w:sz w:val="20"/>
                <w:szCs w:val="20"/>
                <w:color w:val="auto"/>
              </w:rPr>
            </w:pPr>
            <w:r>
              <w:rPr>
                <w:rFonts w:ascii="Arial" w:cs="Arial" w:eastAsia="Arial" w:hAnsi="Arial"/>
                <w:sz w:val="18"/>
                <w:szCs w:val="18"/>
                <w:b w:val="1"/>
                <w:bCs w:val="1"/>
                <w:color w:val="auto"/>
              </w:rPr>
              <w:t>THREE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4"/>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70,351</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122,709</w:t>
            </w:r>
          </w:p>
        </w:tc>
        <w:tc>
          <w:tcPr>
            <w:tcW w:w="18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(52,358)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33,770</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0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90,072</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156,479</w:t>
            </w:r>
          </w:p>
        </w:tc>
        <w:tc>
          <w:tcPr>
            <w:tcW w:w="18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(66,407)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61,375</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96,573</w:t>
            </w:r>
          </w:p>
        </w:tc>
        <w:tc>
          <w:tcPr>
            <w:tcW w:w="18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(35,198)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13,229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RevPAR for Lodges (3)</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Occupancy in Lodges (4)</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0.814</w:t>
            </w:r>
          </w:p>
        </w:tc>
        <w:tc>
          <w:tcPr>
            <w:tcW w:w="18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0.917</w:t>
            </w:r>
          </w:p>
        </w:tc>
        <w:tc>
          <w:tcPr>
            <w:tcW w:w="180" w:type="dxa"/>
            <w:vAlign w:val="bottom"/>
          </w:tcPr>
          <w:p>
            <w:pPr>
              <w:spacing w:after="0"/>
              <w:rPr>
                <w:sz w:val="20"/>
                <w:szCs w:val="20"/>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(0.103)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7200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5"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Our Canadian segment reported revenues in the second quarter of 2015 that were $66.4 million, or 42%, lower than the second quarter of 2014. The weakening of the average exchange rates for the Canadian dollar relative to the U.S. dollar by 11% in the second quarter of 2015 compared to the second quarter of 2014 resulted in an $11.4 million year-over-year reduction in revenues. In addition, the segment experienced a 35% decline in lodge revenues primarily due to a 40% year-over-year decrease in RevPAR (excluding the impact of the weaker Canadian exchange rates) largely related to reduced occupancy. Lodge revenues in the second quarter of 2015 were positively affected by the opening of the McClelland Lake facility in the summer of 2014.</w:t>
      </w:r>
    </w:p>
    <w:p>
      <w:pPr>
        <w:spacing w:after="0" w:line="15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Canadian segment cost of sales and services decreased $35.2 million, or 36%, in the second quarter of 2015 compared to the second quarter of 2014 due in part to the weakening of the average exchange rates, as well as lower occupancy.</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38% in the second quarter of 2014 to 32% in the second quarter of 2015 primarily due to lower average daily room rates in Canada.</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Segment Results of Operations – Australian Segment</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4"/>
              </w:rPr>
              <w:t>JUNE 30,</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38,268</w:t>
            </w:r>
          </w:p>
        </w:tc>
        <w:tc>
          <w:tcPr>
            <w:tcW w:w="20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54,383</w:t>
            </w:r>
          </w:p>
        </w:tc>
        <w:tc>
          <w:tcPr>
            <w:tcW w:w="18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(16,115)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38,268</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54,383</w:t>
            </w: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16,032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RevPAR for Villages (3)</w:t>
            </w:r>
          </w:p>
        </w:tc>
        <w:tc>
          <w:tcPr>
            <w:tcW w:w="15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(4)</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0.933</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7200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Australian segment reported revenues in the second quarter of 2015 that were $16.1 million, or 30%, lower than the second quarter of 2014. The weakening of the average exchange rates for Australian dollars relative to the U.S. dollar by 17% in the second quarter of 2015 compared to the second quarter of 2014 resulted in a $7.6 million year-over-year reduction in revenues. Village revenues in the second quarter of 2015 were also negatively impacted by lower occupancy levels in the second quarter 2015 compared to the second quarter of 2014, primarily as a result of the continued slowdown in mining activity.</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Australian segment cost of sales decreased $8.9 million, or 36%, in the second quarter of 2015 compared to the second quarter of 2014. The decrease was driven by the weakening of the Australian dollar, lower occupancy levels and repair and maintenance costs incurred in the second quarter of 2014, that were not incurred in 2015.</w:t>
      </w:r>
    </w:p>
    <w:p>
      <w:pPr>
        <w:spacing w:after="0" w:line="181"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Our Australian segment gross margin as a percentage of revenues increased to 58% in the second quarter of 2015 from 54% in the second quarter of 2014. The increase is largely due to increased repair and maintenance costs in the second quarter of 2014, that were not incurred in 2015.</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Segment Results of Operations – United States Segment</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4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4"/>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4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14,807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4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12,017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United States segment reported revenues in the second quarter of 2015 that were $1.5 million, or 9%, lower than the second quarter of 2014. The reduction was primarily due to lower U.S. drilling activity in the Bakken, Rockies and Texas markets, partially offset by increased sales in our offshore business.</w:t>
      </w:r>
    </w:p>
    <w:p>
      <w:pPr>
        <w:spacing w:after="0" w:line="18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Our United States cost of sales increased $0.2 million, or 2%, in the second quarter of 2015 compared to the second quarter of 2014. Although revenue decreased due to lower activity levels, a corresponding decrease did not occur in cost of sales due to lower margins being realized in the wellsite business.</w:t>
      </w:r>
    </w:p>
    <w:p>
      <w:pPr>
        <w:spacing w:after="0" w:line="12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United States segment gross margin as a percentage of revenues decreased from 28% in the second quarter of 2014 to 19% in the second quarter of 2015 primarily due to overall lower activity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Six Months Ended June 30, 2015 Compared to Six Months Ended June 30, 2014</w:t>
      </w:r>
    </w:p>
    <w:p>
      <w:pPr>
        <w:spacing w:after="0" w:line="1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60" w:type="dxa"/>
            <w:vAlign w:val="bottom"/>
            <w:gridSpan w:val="5"/>
          </w:tcPr>
          <w:p>
            <w:pPr>
              <w:jc w:val="center"/>
              <w:spacing w:after="0"/>
              <w:rPr>
                <w:sz w:val="20"/>
                <w:szCs w:val="20"/>
                <w:color w:val="auto"/>
              </w:rPr>
            </w:pPr>
            <w:r>
              <w:rPr>
                <w:rFonts w:ascii="Arial" w:cs="Arial" w:eastAsia="Arial" w:hAnsi="Arial"/>
                <w:sz w:val="18"/>
                <w:szCs w:val="18"/>
                <w:b w:val="1"/>
                <w:bCs w:val="1"/>
                <w:color w:val="auto"/>
              </w:rPr>
              <w:t>SIX MONTHS ENDED</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4"/>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Canada</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206,972</w:t>
            </w:r>
          </w:p>
        </w:tc>
        <w:tc>
          <w:tcPr>
            <w:tcW w:w="12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336,803</w:t>
            </w:r>
          </w:p>
        </w:tc>
        <w:tc>
          <w:tcPr>
            <w:tcW w:w="14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33,282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314,134</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479,932</w:t>
            </w: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135,081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206,268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24,569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192,335</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276,815</w:t>
            </w: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37,853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Spin-off and formation costs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84,987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82,012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Impairment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Other operating expense (income)</w:t>
            </w:r>
          </w:p>
        </w:tc>
        <w:tc>
          <w:tcPr>
            <w:tcW w:w="3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323,395</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410,846</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(87,451)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(9,261)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69,086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(78,347)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expense and income, net</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(10,048)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(11,752)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(17,745)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58,281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(76,026)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(7,400)</w:t>
            </w: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(13,039)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50,881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3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gridSpan w:val="2"/>
          </w:tcPr>
          <w:p>
            <w:pPr>
              <w:spacing w:after="0"/>
              <w:rPr>
                <w:sz w:val="20"/>
                <w:szCs w:val="20"/>
                <w:color w:val="auto"/>
              </w:rPr>
            </w:pPr>
            <w:r>
              <w:rPr>
                <w:rFonts w:ascii="Arial" w:cs="Arial" w:eastAsia="Arial" w:hAnsi="Arial"/>
                <w:sz w:val="18"/>
                <w:szCs w:val="18"/>
                <w:color w:val="auto"/>
              </w:rPr>
              <w:t>Net income (loss) attributable to Civeo</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spacing w:after="0" w:line="250" w:lineRule="exact"/>
              <w:rPr>
                <w:sz w:val="20"/>
                <w:szCs w:val="20"/>
                <w:color w:val="auto"/>
              </w:rPr>
            </w:pPr>
            <w:r>
              <w:rPr>
                <w:rFonts w:ascii="Arial" w:cs="Arial" w:eastAsia="Arial" w:hAnsi="Arial"/>
                <w:sz w:val="15"/>
                <w:szCs w:val="15"/>
                <w:color w:val="auto"/>
              </w:rPr>
              <w:t>(13,477</w:t>
            </w:r>
            <w:r>
              <w:rPr>
                <w:rFonts w:ascii="Arial" w:cs="Arial" w:eastAsia="Arial" w:hAnsi="Arial"/>
                <w:sz w:val="28"/>
                <w:szCs w:val="28"/>
                <w:color w:val="auto"/>
                <w:vertAlign w:val="superscript"/>
              </w:rPr>
              <w:t>)</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50,188</w:t>
            </w:r>
          </w:p>
        </w:tc>
        <w:tc>
          <w:tcPr>
            <w:tcW w:w="14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reported net loss attributable to Civeo for the six months ended June 30, 2015 of $13.5 million, or $0.13 per diluted share. As further discussed in Impairment expense, below, net loss for 2015 included $6.6 million of after-tax charges, or $0.06 per diluted share, resulting from the impairment of fixed assets at Kambalda, a village located in Western Australia, due to the continued downturn in gold mining activity and lack of contract renewals. Net loss for 2015 also included $2.4 million (or $0.03 per diluted share) in after-tax loss from costs incurred in connection with the migration to Canada. These results compare to net income attributable to Civeo for the six months ended June 30, 2014 of $50.2 million, or $0.47 per diluted share. As further discussed in Impairment expense and Interest expense and income, net, below, net income for 2014 included $10.2 million of after-tax charges, or $0.09 per diluted share, resulting from the Spin-Off. In addition, we incurred after-tax severance costs of $3.1 million, or $0.03 per diluted share, included in Selling, general and administrative expenses below and after-tax impairment costs of $1.7 million, or $0.02 per diluted share, included in Impairment expense below.</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004" w:gutter="0" w:footer="0" w:header="0"/>
        </w:sectPr>
      </w:pPr>
    </w:p>
    <w:bookmarkStart w:id="31" w:name="page32"/>
    <w:bookmarkEnd w:id="31"/>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$165.8 million, or 35%, in the first half of 2015 compared to the first half of 2014. This decline was largely</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decreases in Canada and Australia, due to lower occupancy, as well as weakening Canadian and Australian dollars, as further described in the segment discussion below.</w:t>
      </w:r>
    </w:p>
    <w:p>
      <w:pPr>
        <w:spacing w:after="0" w:line="176"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decreased $84.5 million, or 31%, in the first half of 2015 compared to the first half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decreases in occupancy in both Canada and Australia, as well as the weakening Canadian and Australian dollars. Please see further description in segment discussion below.</w:t>
      </w:r>
    </w:p>
    <w:p>
      <w:pPr>
        <w:spacing w:after="0" w:line="176" w:lineRule="exact"/>
        <w:rPr>
          <w:sz w:val="20"/>
          <w:szCs w:val="20"/>
          <w:color w:val="auto"/>
        </w:rPr>
      </w:pPr>
    </w:p>
    <w:p>
      <w:pPr>
        <w:ind w:right="180" w:firstLine="324"/>
        <w:spacing w:after="0" w:line="314"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Selling, general and administrative (SG&amp;A) expense decreased $2.7 million, or 7.3%, in the first half</w:t>
      </w:r>
      <w:r>
        <w:rPr>
          <w:rFonts w:ascii="Arial" w:cs="Arial" w:eastAsia="Arial" w:hAnsi="Arial"/>
          <w:sz w:val="16"/>
          <w:szCs w:val="16"/>
          <w:b w:val="1"/>
          <w:bCs w:val="1"/>
          <w:color w:val="auto"/>
        </w:rPr>
        <w:t xml:space="preserve"> </w:t>
      </w:r>
      <w:r>
        <w:rPr>
          <w:rFonts w:ascii="Arial" w:cs="Arial" w:eastAsia="Arial" w:hAnsi="Arial"/>
          <w:sz w:val="16"/>
          <w:szCs w:val="16"/>
          <w:color w:val="auto"/>
        </w:rPr>
        <w:t>of 2015 compared to the first half of 2014. Increased costs associated with being a publicly traded company and costs associated with the Redomicile Transaction of $3.6 million were more than offset by lower employee costs as well as the impact of the weakening Canadian and Australian dollars.</w:t>
      </w:r>
    </w:p>
    <w:p>
      <w:pPr>
        <w:spacing w:after="0" w:line="142"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b w:val="1"/>
          <w:bCs w:val="1"/>
          <w:color w:val="auto"/>
        </w:rPr>
        <w:t xml:space="preserve">Spin-Off and Formation Costs. </w:t>
      </w:r>
      <w:r>
        <w:rPr>
          <w:rFonts w:ascii="Arial" w:cs="Arial" w:eastAsia="Arial" w:hAnsi="Arial"/>
          <w:sz w:val="18"/>
          <w:szCs w:val="18"/>
          <w:color w:val="auto"/>
        </w:rPr>
        <w:t>Spin-off and formation costs of $2.5 million relate to transition costs incurred during the first half of 2014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becoming a stand-alone company.</w:t>
      </w:r>
    </w:p>
    <w:p>
      <w:pPr>
        <w:spacing w:after="0" w:line="162"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increased $3.0 million, or 4%, in the first half of 2015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half of 2014 primarily due to capital expenditures made during the last twelve months largely related to investments in our Canadian segment, partially offset by reduced depreciation expense resulting from impairments recorded in 2014, as well as the impact of the weakening Canadian and Australian dollars.</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$12.2 million in the first half of 2015 consisted of the $9.5 million impairment of fixed assets at</w:t>
      </w:r>
      <w:r>
        <w:rPr>
          <w:rFonts w:ascii="Arial" w:cs="Arial" w:eastAsia="Arial" w:hAnsi="Arial"/>
          <w:sz w:val="18"/>
          <w:szCs w:val="18"/>
          <w:b w:val="1"/>
          <w:bCs w:val="1"/>
          <w:color w:val="auto"/>
        </w:rPr>
        <w:t xml:space="preserve"> </w:t>
      </w:r>
      <w:r>
        <w:rPr>
          <w:rFonts w:ascii="Arial" w:cs="Arial" w:eastAsia="Arial" w:hAnsi="Arial"/>
          <w:sz w:val="18"/>
          <w:szCs w:val="18"/>
          <w:color w:val="auto"/>
        </w:rPr>
        <w:t>Kambalda, a village located in Western Australia, due to the continued downturn in gold mining activity and lack of contract renewals. Additionally, we recognized an impairment totaling $2.7 million in 2015 related to a decision to sell our U.S. manufacturing facility. Impairment expense of $11.6 million in the first half of 2014 consisted of a $9.0 million impairment of an intangible asset in Australia. Due to the Spin-Off, and the resulting rebranding of our Australian operations from The MAC to Civeo, it was determined that the fair value of an intangible asset associated with The MAC brand was nil. Additionally, we recognized an impairment totaling $2.6 million on assets that are in the custody of non-paying customers in Mexico, and for which the return or reimbursement is unlikely.</w:t>
      </w:r>
    </w:p>
    <w:p>
      <w:pPr>
        <w:spacing w:after="0" w:line="189"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Consolidated operating income decreased $78.3 million, or 113%, in the first half of 2015 compared to the first half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occupancy levels in Canada and Australia as well as the weakening Canadian and Australian dollars.</w:t>
      </w:r>
    </w:p>
    <w:p>
      <w:pPr>
        <w:spacing w:after="0" w:line="162" w:lineRule="exact"/>
        <w:rPr>
          <w:sz w:val="20"/>
          <w:szCs w:val="20"/>
          <w:color w:val="auto"/>
        </w:rPr>
      </w:pPr>
    </w:p>
    <w:p>
      <w:pPr>
        <w:ind w:right="40" w:firstLine="324"/>
        <w:spacing w:after="0" w:line="281"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including interest expense and income to/from affiliates, decreased by $1.7 million,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14%, in the first half of 2015 compared to the first half of 2014 primarily due to the 2014 write-off of $3.5 million of debt issuance costs associated with the credit agreement that was terminated in conjunction with the Spin-Off as well as reduced interest expense in 2015 associated with the affiliate debt, which was eliminated as of the Spin-Off, partially offset by increased interest expense associated with the new credit facility in 2015.</w:t>
      </w:r>
    </w:p>
    <w:p>
      <w:pPr>
        <w:spacing w:after="0" w:line="16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color w:val="auto"/>
        </w:rPr>
        <w:t xml:space="preserve">Income Tax Benefit (Provision). </w:t>
      </w:r>
      <w:r>
        <w:rPr>
          <w:rFonts w:ascii="Arial" w:cs="Arial" w:eastAsia="Arial" w:hAnsi="Arial"/>
          <w:sz w:val="18"/>
          <w:szCs w:val="18"/>
          <w:color w:val="auto"/>
        </w:rPr>
        <w:t>Our income tax expense for the six months ended June 30, 2015 totaled $4.7 million, or 26.5% of pretax income,</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income tax expense of $7.4 million, or 12.7% of pretax income, for the six months ended June 30, 2014. Generally, our effective tax rates are lower than U.S. statutory rates because of lower foreign income tax rates. The increase in the effective tax rate from the prior year was largely the result of a change in the earnings mix between different tax jurisdictions. This was partially offset by a $2.7 million charge related to an increase in statutory tax rates in Alberta, Canada included in our 2015 tax benefit, as well as a $0.5 million charge related to the impact of a portion of our undistributed foreign earnings which we no longer intend to continue to indefinitely reinvest. Finally, the effective tax rate was reduced in 2014 due to changes in our corporate structure, including the contribution by Oil States of our affiliate debt (as further described in Note 13 – Related Party Transactions to the Unaudited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increased $146.9 million in the first half of 2015 compared to the first half of 2014</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as a result of foreign currency translation adjustments due to changes in the Canadian and Australian dollar exchange rates compared to the U.S. dollar. The Canadian dollar exchange rate compared to the U.S. dollar decreased 7% in the first half of 2015 compared to a 0% decrease in the first half of 2014. The Australian dollar exchange rate compared to the U.S. dollar decreased 6% in the first half of 2015 compared to a 6% increase in the first half of 2014.</w:t>
      </w: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580" w:right="5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rPr>
              <w:t>SIX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4"/>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158,188</w:t>
            </w:r>
          </w:p>
        </w:tc>
        <w:tc>
          <w:tcPr>
            <w:tcW w:w="18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245,099</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(86,911)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48,784</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91,704</w:t>
            </w: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206,972</w:t>
            </w:r>
          </w:p>
        </w:tc>
        <w:tc>
          <w:tcPr>
            <w:tcW w:w="18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336,803</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(129,831)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135,081</w:t>
            </w:r>
          </w:p>
        </w:tc>
        <w:tc>
          <w:tcPr>
            <w:tcW w:w="18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206,268</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(71,187)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12,082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RevPAR for Lodges (3)</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Occupancy in Lodges (4)</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0.810</w:t>
            </w:r>
          </w:p>
        </w:tc>
        <w:tc>
          <w:tcPr>
            <w:tcW w:w="18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0.912</w:t>
            </w:r>
          </w:p>
        </w:tc>
        <w:tc>
          <w:tcPr>
            <w:tcW w:w="20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(0.102)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lodge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7200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Canadian segment reported revenues in the first half of 2015 that were $129.8 million, or 39%, lower than the first half of 2014. The weakening of the average exchange rates for the Canadian dollar relative to the U.S. dollar by 11% in the first half of 2015 compared to the first half of 2014 resulted in a $25.9 million year-over-year reduction in revenues. In addition, the segment experienced a 27% decline in lodge revenues primarily due to a 34% year-over-year decrease in RevPAR (excluding the impact of the weaker Canadian exchange rates) largely related to reduced occupancy. Lodge revenues in the first half of 2015 were positively affected by the opening of the McClelland Lake facility in the summer of 2014.</w:t>
      </w:r>
    </w:p>
    <w:p>
      <w:pPr>
        <w:spacing w:after="0" w:line="1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Canadian segment cost of sales and services decreased $71.2 million, or 35%, in the first half of 2015 compared to the first half of 2014 due in part to the weakening of the average exchange rates, as well as lower occupancy.</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decreased from 39% in the first half of 2014 to 35% in the first half of 2015 primarily due to lower contracted room rates in Canada.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Segment Results of Operations – Australian Segment</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Arial" w:cs="Arial" w:eastAsia="Arial" w:hAnsi="Arial"/>
                <w:sz w:val="18"/>
                <w:szCs w:val="18"/>
                <w:b w:val="1"/>
                <w:bCs w:val="1"/>
                <w:color w:val="auto"/>
              </w:rPr>
              <w:t>SIX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4"/>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80,127</w:t>
            </w:r>
          </w:p>
        </w:tc>
        <w:tc>
          <w:tcPr>
            <w:tcW w:w="18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109,847</w:t>
            </w:r>
          </w:p>
        </w:tc>
        <w:tc>
          <w:tcPr>
            <w:tcW w:w="20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80,127</w:t>
            </w: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109,847</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33,703</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RevPAR for Villages (3)</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(4)</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0.782</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0.915</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RevPAR, or revenue per available room, is defined as village revenue divided by the product of (a) average available rooms and (b) days in the period. An available room is defined as a calendar day during which the room is available for occupancy.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 of service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-1090930</wp:posOffset>
            </wp:positionV>
            <wp:extent cx="7200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Australian segment reported revenues in the first half of 2015 that were $29.7 million, or 27%, lower than the first half of 2014. The weakening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average exchange rates for Australian dollars relative to the U.S. dollar by 15% in the first half of 2015 compared to the first half of 2014 resulted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$13.4 million year-over-year reduction in revenues. Village revenues in the first half of 2015 were also negatively impacted by lower occupancy levels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half 2015 compared to the first half of 2014, primarily as a result of the continued slowdown in mining activity.</w:t>
      </w:r>
    </w:p>
    <w:p>
      <w:pPr>
        <w:spacing w:after="0" w:line="21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Australian segment cost of sales decreased $12.3 million, or 27%, in the first half of 2015 compared to the first half of 2014. The decrease was driven by the weakening of the Australian dollar as well as lower occupancy levels.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Australian segment gross margin as a percentage of revenues decreased to 57.9% in the first half of 2015 from 58.1% in the first half of 2014. This was primarily driven by lower occupancy levels compared to the first half of 2014.</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Segment Results of Operations – United States Segment</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gridSpan w:val="4"/>
          </w:tcPr>
          <w:p>
            <w:pPr>
              <w:jc w:val="center"/>
              <w:spacing w:after="0"/>
              <w:rPr>
                <w:sz w:val="20"/>
                <w:szCs w:val="20"/>
                <w:color w:val="auto"/>
              </w:rPr>
            </w:pPr>
            <w:r>
              <w:rPr>
                <w:rFonts w:ascii="Arial" w:cs="Arial" w:eastAsia="Arial" w:hAnsi="Arial"/>
                <w:sz w:val="18"/>
                <w:szCs w:val="18"/>
                <w:b w:val="1"/>
                <w:bCs w:val="1"/>
                <w:color w:val="auto"/>
              </w:rPr>
              <w:t>SIX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4"/>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27,035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480" w:type="dxa"/>
            <w:vAlign w:val="bottom"/>
            <w:gridSpan w:val="2"/>
            <w:shd w:val="clear" w:color="auto" w:fill="CCEEFF"/>
          </w:tcPr>
          <w:p>
            <w:pPr>
              <w:jc w:val="right"/>
              <w:ind w:right="83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23,551</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24,569</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Our United States segment reported revenues in the first half of 2015 that were $6.2 million, or 19%, lower than the first half of 2014. The reduction was primarily due to lower U.S. drilling activity in the Bakken, Rockies and Texas markets, partially offset by increased sales in our offshore business.</w:t>
      </w:r>
    </w:p>
    <w:p>
      <w:pPr>
        <w:spacing w:after="0" w:line="12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United States cost of sales decreased $1.0 million, or 4%, in the first half of 2015 compared to the first half of 2014. The decrease was driven by overall lower activity levels, partially offset by a $1.1 million write-down of inventory at our U.S. manufacturing facility.</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United States segment gross margin as a percentage of revenues decreased from 26% in the first half of 2014 to 13% in the second quarter of 2015 primarily due to the $1.1 million inventory write-down, as well as overall lower activity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Following the Spin-Off, our primary sources of funds are available cash, cash flow from operations, borrowings under our credit facility and capital markets transactions. The following table summarizes our consolidated liquidity position as of July 27, 2015, June 30, 2015 and December 31, 2014:</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July 27,</w:t>
            </w:r>
          </w:p>
        </w:tc>
        <w:tc>
          <w:tcPr>
            <w:tcW w:w="2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Lender commitments </w:t>
            </w:r>
            <w:r>
              <w:rPr>
                <w:rFonts w:ascii="Arial" w:cs="Arial" w:eastAsia="Arial" w:hAnsi="Arial"/>
                <w:sz w:val="24"/>
                <w:szCs w:val="24"/>
                <w:color w:val="auto"/>
                <w:vertAlign w:val="superscript"/>
              </w:rPr>
              <w:t>(1)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Reductions in availability </w:t>
            </w:r>
            <w:r>
              <w:rPr>
                <w:rFonts w:ascii="Arial" w:cs="Arial" w:eastAsia="Arial" w:hAnsi="Arial"/>
                <w:sz w:val="25"/>
                <w:szCs w:val="25"/>
                <w:color w:val="auto"/>
                <w:vertAlign w:val="superscript"/>
              </w:rPr>
              <w:t>(2)</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(472,458)</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(222,191)</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revolver capacity</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(124,231)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(5,353)</w:t>
            </w: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(5,548)</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(5,851)</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245,416</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171,994</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50,465</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315,169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263,314</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295,881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487,163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685,272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also have an A$10 million bank guarantee facility. We had bank guarantees of A$1.5 million, A$1.5 million and A$1.7 million under this facility outstanding as of July 27, 2015, June 30, 2015 and December 31, 2014, respectively.</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June 30, 2015 and December 31, 2014, $472.5 million and $222.2 million, respectively, of our borrowing capacity under our Credit Facility could not be utilized in order to maintain compliance with the financial covenants in our Credit Facility.</w:t>
      </w:r>
    </w:p>
    <w:p>
      <w:pPr>
        <w:spacing w:after="0" w:line="17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Cash totaling $94.3 million was provided by operations during the first half of 2015 compared to $154.7 million provided by operations during the first half of 2014. The decrease in operating cash flow in 2015 compared to 2014 was primarily due to lower occupancy levels in lodges and villages. During the first halves of 2015 and 2014, $14.0 million and $6.9 million, respectively, was provided by working capital.</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Cash was used in investing activities during the six months ended June 30, 2015 in the amount of $22.3 million compared to cash used in investing activities during the six months ended June 30, 2014 in the amount of $141.1 million. Capital expenditures totaled $24.1 million and $141.7 million during the six months ended June 30, 2015 and 2014, respectively. Capital expenditures in both periods consisted principally of construction and installation of assets for our lodges primarily in support of Canadian oil sands projects and ongoing maintenance related capital. The significant decrease in capital expenditures in 2015 compared to 2014 is primarily a result of the construction of the McClelland Lake Lodge, which was in process in the first half of 2014, and largely completed by the end of 2014. No comparable project is under construction in 2015.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firstLine="324"/>
        <w:spacing w:after="0" w:line="257" w:lineRule="auto"/>
        <w:rPr>
          <w:sz w:val="20"/>
          <w:szCs w:val="20"/>
          <w:color w:val="auto"/>
        </w:rPr>
      </w:pPr>
      <w:r>
        <w:rPr>
          <w:rFonts w:ascii="Arial" w:cs="Arial" w:eastAsia="Arial" w:hAnsi="Arial"/>
          <w:sz w:val="18"/>
          <w:szCs w:val="18"/>
          <w:color w:val="auto"/>
        </w:rPr>
        <w:t>We expect our capital expenditures for 2015 to be in the range of $80 million to $90 million. Whether planned expenditures will actually be spent in 2015 depends on industry conditions, project approvals and schedules, customer room commitments and project and construction timing. We expect to fund these capital expenditures with available cash, internally generated funds and borrowings under our Amended Credit Facility.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Net cash of $0.5 million was provided by financing activities during the six months ended June 30, 2015 due to proceeds from issuance of common stock associated with stock option exercises. Net cash of $44.1 million was provided by financing activities during the six months ended June 30, 2014, in part due to contributions from Oil States of $28.2 million. Borrowings of $775 million under our term loan facility funded the cash distribution of $750.0 million to Oil States on May 28, 2014.</w:t>
      </w:r>
    </w:p>
    <w:p>
      <w:pPr>
        <w:spacing w:after="0" w:line="18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believe that cash on hand and cash flow from operations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Credit Facility and Long Term Debt. </w:t>
      </w:r>
      <w:r>
        <w:rPr>
          <w:rFonts w:ascii="Arial" w:cs="Arial" w:eastAsia="Arial" w:hAnsi="Arial"/>
          <w:sz w:val="18"/>
          <w:szCs w:val="18"/>
          <w:color w:val="auto"/>
        </w:rPr>
        <w:t>On July 17, 2015, our Credit Facility was amended to, among other things:</w:t>
      </w:r>
    </w:p>
    <w:p>
      <w:pPr>
        <w:spacing w:after="0" w:line="229" w:lineRule="exact"/>
        <w:rPr>
          <w:sz w:val="20"/>
          <w:szCs w:val="20"/>
          <w:color w:val="auto"/>
        </w:rPr>
      </w:pPr>
    </w:p>
    <w:p>
      <w:pPr>
        <w:ind w:left="660" w:right="22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Permit us to redomicile to Canada, make associated corporate restructurings and make certain changes to the collateral and guarantees, covenants, events of default and related definitions to reflect the Redomicile Transaction and the new credit facilities referred to below;</w:t>
      </w:r>
    </w:p>
    <w:p>
      <w:pPr>
        <w:spacing w:after="0" w:line="146"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Allow for the incurrence of new credit facilities under the Credit Facility, including (i) a new revolving credit facility in a maximum principal amount of US$125 million available to be borrowed by Civeo Canada after the effectiveness of the Amended Credit Facility (July 17, 2015) and (ii) a new term loan facility in the amount of US$325 million to be borrowed by Civeo Canada on the date of the effectiveness of the Amended Credit Facility;</w:t>
      </w:r>
    </w:p>
    <w:p>
      <w:pPr>
        <w:spacing w:after="0" w:line="18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for the partial prepayment of the existing U.S. term loan under the Credit Facility in the aggregate principal amount of US$725 million and the reduction of the aggregate U.S. revolving credit facility to a maximum principal amount of US$50 million;</w:t>
      </w:r>
    </w:p>
    <w:p>
      <w:pPr>
        <w:spacing w:after="0" w:line="170"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the interest rate margin by 0.25% within existing levels of total leverage and add two additional levels to the total leverage-based grid such that the interest rates for the loans range from LIBOR +2.0% to LIBOR +4.0% and increase the undrawn commitment fee to range from 0.45% to 0.90% based on total leverage;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certain changes to the maximum leverage ratio financial covenant, as follows: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 w:name="page38"/>
    <w:bookmarkEnd w:id="37"/>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2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2"/>
              </w:rPr>
              <w:t>Maximum Leverage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3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Period Ended</w:t>
            </w: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4"/>
          </w:tcPr>
          <w:p>
            <w:pPr>
              <w:jc w:val="center"/>
              <w:ind w:right="560"/>
              <w:spacing w:after="0" w:line="196" w:lineRule="exact"/>
              <w:rPr>
                <w:sz w:val="20"/>
                <w:szCs w:val="20"/>
                <w:color w:val="auto"/>
              </w:rPr>
            </w:pPr>
            <w:r>
              <w:rPr>
                <w:rFonts w:ascii="Arial" w:cs="Arial" w:eastAsia="Arial" w:hAnsi="Arial"/>
                <w:sz w:val="18"/>
                <w:szCs w:val="18"/>
                <w:b w:val="1"/>
                <w:bCs w:val="1"/>
                <w:color w:val="auto"/>
                <w:w w:val="93"/>
              </w:rPr>
              <w:t>Ratio</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9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December 31, 2015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June 30, 2016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December 31, 2016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June 30, 2017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 &amp; thereafter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8"/>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certain changes to the application of prepayments and amortization schedules to reflect the new term loan facility and the prepayment of the U.S. term loans;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other technical changes and amendments to the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borrowings available under the Amended Credit Facility compared to the Credit Facility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Amended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Credit Facility</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Credit Facility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U.S. term loan</w:t>
            </w:r>
          </w:p>
        </w:tc>
        <w:tc>
          <w:tcPr>
            <w:tcW w:w="1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Canadian term loan</w:t>
            </w:r>
          </w:p>
        </w:tc>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term loans outstanding</w:t>
            </w:r>
          </w:p>
        </w:tc>
        <w:tc>
          <w:tcPr>
            <w:tcW w:w="1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775,000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Availability under revolving credit facilities: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revolving credit facility</w:t>
            </w:r>
          </w:p>
        </w:tc>
        <w:tc>
          <w:tcPr>
            <w:tcW w:w="1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Canadian revolving credit facility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Canadian revolving credit facility</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Australian revolving credit facility</w:t>
            </w:r>
          </w:p>
        </w:tc>
        <w:tc>
          <w:tcPr>
            <w:tcW w:w="1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availability under revolving credit facilities</w:t>
            </w: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2.00% to 4.00%, or a base rate plus 1.00% to 3.00%, in each case based on a ratio of our total leverage to EBITDA (as defined in the Amended Credit Facility). Canadian dollar amounts outstanding under the Amended Credit Facility bear interest at a variable rate equal to CDOR plus a margin of 2.00% to 4.00%, or a base rate plus a margin of 1.00% to 3.00%, in each case based on a ratio of our consolidated total leverage to EBITDA (as defined in the Amended Credit Facility). Australian dollar amounts outstanding under the Amended Credit Facility bear interest at a variable rate equal to BBSY plus a margin of 2.00% to 4.00%, based on a ratio of our consolidated total leverage to EBITDA (as defined in the Amended Credit Facility).</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a maximum leverage ratio, defined as the ratio of total debt to consolidated EBITDA, of no greater than 3.5 to 1.0 (as of June 30, 2015). As noted above, the permitted level of the maximum leverage ratio changes over time. Each of the factors considered in the calculations of these ratios are defined in the Amended Credit Facility. EBITDA and consolidated interest, as defined, exclude goodwill impairments, debt discount amortization and other non-cash charges. We were in compliance with these covenants as of June 30, 2015.</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38" w:name="page39"/>
    <w:bookmarkEnd w:id="38"/>
    <w:p>
      <w:pPr>
        <w:ind w:right="440" w:firstLine="324"/>
        <w:spacing w:after="0" w:line="277" w:lineRule="auto"/>
        <w:rPr>
          <w:sz w:val="20"/>
          <w:szCs w:val="20"/>
          <w:color w:val="auto"/>
        </w:rPr>
      </w:pPr>
      <w:r>
        <w:rPr>
          <w:rFonts w:ascii="Arial" w:cs="Arial" w:eastAsia="Arial" w:hAnsi="Arial"/>
          <w:sz w:val="18"/>
          <w:szCs w:val="18"/>
          <w:color w:val="auto"/>
        </w:rPr>
        <w:t>We paid certain customary fees with respect to the Amended Credit Facility. We have 15 lenders in our Amended Credit Facility with commitments ranging from $1.6 million to $143.2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consolidated borrowings outstanding as of July 27, 2015, June 30, 2015 and December 31, 2014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July 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U.S. term loan</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775,000</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Canadian term loan</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323,402</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term loans outstanding</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373,402</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775,000</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revolving credit facility</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Canadian revolving credit facility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Canadian revolving credit facility</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Australian revolving credit facility</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24,722</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borrowings under revolving credit facilities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497,632</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Also in July 2015, total debt was reduced by approximately $275 million.</w:t>
      </w:r>
    </w:p>
    <w:p>
      <w:pPr>
        <w:spacing w:after="0" w:line="22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We paid quarterly dividends in the amount of $0.13 per share during the third and fourth quarters of 2014. In late December 2014, our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upon the unanimous recommendation of the finance and investment committee of the board, unanimously suspended our quarterly dividend in order to maintain our financial flexibility and best position our company for long-term success.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Amended Credit Facility. Future agreements may also limit our ability to pay dividends, and we may incur incremental taxes in the United States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2015,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contained in the Information Statement included in our 2014 Annual Report on Form 10-K. As of June 30, 2015, there were no material changes to this disclosure regarding our contractual obligations made in the Annual Report on Form 10-K.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the Information Statement included in our 2014 Annual Report on Form 10-K.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June 30, 2015, we had floating-rate obligations totaling $775.0 million outstanding under our credit facilities. These floating-rate obligations expose us to the risk of increased interest expense in the event of increases in short-term interest rates. If floating interest rates increase by 1%, our consolidated interest expense would increase by a total of approximately $7.75 million annually based on our floating-rate debt obligations as of June 30, 2015.</w:t>
      </w:r>
    </w:p>
    <w:p>
      <w:pPr>
        <w:spacing w:after="0" w:line="171" w:lineRule="exact"/>
        <w:rPr>
          <w:sz w:val="20"/>
          <w:szCs w:val="20"/>
          <w:color w:val="auto"/>
        </w:rPr>
      </w:pPr>
    </w:p>
    <w:p>
      <w:pPr>
        <w:ind w:left="40" w:right="120" w:firstLine="300"/>
        <w:spacing w:after="0" w:line="264" w:lineRule="auto"/>
        <w:rPr>
          <w:sz w:val="20"/>
          <w:szCs w:val="20"/>
          <w:color w:val="auto"/>
        </w:rPr>
      </w:pPr>
      <w:r>
        <w:rPr>
          <w:rFonts w:ascii="Arial" w:cs="Arial" w:eastAsia="Arial" w:hAnsi="Arial"/>
          <w:sz w:val="18"/>
          <w:szCs w:val="18"/>
          <w:color w:val="auto"/>
        </w:rPr>
        <w:t>As of July 27, 2015, we had floating-rate obligations totaling $497.6 million outstanding under our credit facilities. If floating interest rates increase by 1%, our consolidated interest expense would increase by a total of approximately $5.0 million annually based on our floating-rate debt obligations as of July 27, 2015.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C$1.0 billion and A$763 million, respectively, at June 30, 2015. We use a sensitivity analysis model to measure the impact of a 10% adverse movement of foreign currency exchange rates against the United States dollar. A hypothetical 10% adverse change in the value of the Canadian dollar and Australian dollar relative to the United States dollar as of June 30, 2015 would result in translation adjustments of approximately $101 million and $76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the end of the period covered by this Quarterly Report on Form 10-Q,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2015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During the three months ended June 30, 2015,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3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580" w:right="479" w:bottom="1440" w:gutter="0" w:footer="0" w:header="0"/>
        </w:sectPr>
      </w:pPr>
    </w:p>
    <w:bookmarkStart w:id="41" w:name="page42"/>
    <w:bookmarkEnd w:id="41"/>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 our proxy statement / prospectus dated April 7, 2015 for the 2015 annual meeting of stockholders and in Item 1A of our 2014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purchases of our common stock during the three months ended June 30, 2015.</w:t>
      </w:r>
    </w:p>
    <w:p>
      <w:pPr>
        <w:spacing w:after="0" w:line="216" w:lineRule="exact"/>
        <w:rPr>
          <w:sz w:val="20"/>
          <w:szCs w:val="20"/>
          <w:color w:val="auto"/>
        </w:rPr>
      </w:pPr>
    </w:p>
    <w:tbl>
      <w:tblPr>
        <w:tblLayout w:type="fixed"/>
        <w:tblInd w:w="670" w:type="dxa"/>
        <w:tblCellMar>
          <w:top w:w="0" w:type="dxa"/>
          <w:left w:w="0" w:type="dxa"/>
          <w:bottom w:w="0" w:type="dxa"/>
          <w:right w:w="0" w:type="dxa"/>
        </w:tblCellMar>
      </w:tblPr>
      <w:tr>
        <w:trPr>
          <w:trHeight w:val="214"/>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 Number of</w:t>
            </w:r>
          </w:p>
        </w:tc>
        <w:tc>
          <w:tcPr>
            <w:tcW w:w="220" w:type="dxa"/>
            <w:vAlign w:val="bottom"/>
            <w:tcBorders>
              <w:top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Average Price Paid</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Maximum number of</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6"/>
              </w:rPr>
              <w:t>Shares Purchased</w:t>
            </w:r>
          </w:p>
        </w:tc>
        <w:tc>
          <w:tcPr>
            <w:tcW w:w="220" w:type="dxa"/>
            <w:vAlign w:val="bottom"/>
          </w:tcPr>
          <w:p>
            <w:pPr>
              <w:spacing w:after="0"/>
              <w:rPr>
                <w:sz w:val="18"/>
                <w:szCs w:val="18"/>
                <w:color w:val="auto"/>
              </w:rPr>
            </w:pPr>
          </w:p>
        </w:tc>
        <w:tc>
          <w:tcPr>
            <w:tcW w:w="1860" w:type="dxa"/>
            <w:vAlign w:val="bottom"/>
            <w:tcBorders>
              <w:right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per Share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shares purchased as</w:t>
            </w:r>
          </w:p>
        </w:tc>
        <w:tc>
          <w:tcPr>
            <w:tcW w:w="1960" w:type="dxa"/>
            <w:vAlign w:val="bottom"/>
            <w:tcBorders>
              <w:right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2"/>
              </w:rPr>
              <w:t>shares that may yet be</w:t>
            </w:r>
          </w:p>
        </w:tc>
      </w:tr>
      <w:tr>
        <w:trPr>
          <w:trHeight w:val="197"/>
        </w:trPr>
        <w:tc>
          <w:tcPr>
            <w:tcW w:w="2900" w:type="dxa"/>
            <w:vAlign w:val="bottom"/>
            <w:tcBorders>
              <w:left w:val="single" w:sz="8" w:color="auto"/>
              <w:right w:val="single" w:sz="8" w:color="auto"/>
            </w:tcBorders>
          </w:tcPr>
          <w:p>
            <w:pPr>
              <w:ind w:left="1140"/>
              <w:spacing w:after="0" w:line="197" w:lineRule="exact"/>
              <w:rPr>
                <w:sz w:val="20"/>
                <w:szCs w:val="20"/>
                <w:color w:val="auto"/>
              </w:rPr>
            </w:pPr>
            <w:r>
              <w:rPr>
                <w:rFonts w:ascii="Arial" w:cs="Arial" w:eastAsia="Arial" w:hAnsi="Arial"/>
                <w:sz w:val="18"/>
                <w:szCs w:val="18"/>
                <w:b w:val="1"/>
                <w:bCs w:val="1"/>
                <w:color w:val="auto"/>
              </w:rPr>
              <w:t>Period</w:t>
            </w:r>
          </w:p>
        </w:tc>
        <w:tc>
          <w:tcPr>
            <w:tcW w:w="19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2"/>
              </w:rPr>
              <w:t>part of publicly</w:t>
            </w:r>
          </w:p>
        </w:tc>
        <w:tc>
          <w:tcPr>
            <w:tcW w:w="196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9"/>
              </w:rPr>
              <w:t>purchased under the</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plans or</w:t>
            </w:r>
          </w:p>
        </w:tc>
        <w:tc>
          <w:tcPr>
            <w:tcW w:w="19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9"/>
              </w:rPr>
              <w:t xml:space="preserve">plans or programs </w:t>
            </w:r>
            <w:r>
              <w:rPr>
                <w:rFonts w:ascii="Arial" w:cs="Arial" w:eastAsia="Arial" w:hAnsi="Arial"/>
                <w:sz w:val="25"/>
                <w:szCs w:val="25"/>
                <w:color w:val="auto"/>
                <w:w w:val="99"/>
                <w:vertAlign w:val="superscript"/>
              </w:rPr>
              <w:t>(3)</w:t>
            </w:r>
          </w:p>
        </w:tc>
      </w:tr>
      <w:tr>
        <w:trPr>
          <w:trHeight w:val="254"/>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jc w:val="center"/>
              <w:spacing w:after="0" w:line="253"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9"/>
                <w:szCs w:val="29"/>
                <w:color w:val="auto"/>
                <w:w w:val="85"/>
                <w:vertAlign w:val="superscript"/>
              </w:rPr>
              <w:t>(3)</w:t>
            </w:r>
          </w:p>
        </w:tc>
        <w:tc>
          <w:tcPr>
            <w:tcW w:w="1960" w:type="dxa"/>
            <w:vAlign w:val="bottom"/>
            <w:tcBorders>
              <w:bottom w:val="single" w:sz="8" w:color="auto"/>
              <w:right w:val="single" w:sz="8" w:color="auto"/>
            </w:tcBorders>
          </w:tcPr>
          <w:p>
            <w:pPr>
              <w:spacing w:after="0"/>
              <w:rPr>
                <w:sz w:val="22"/>
                <w:szCs w:val="22"/>
                <w:color w:val="auto"/>
              </w:rPr>
            </w:pPr>
          </w:p>
        </w:tc>
      </w:tr>
      <w:tr>
        <w:trPr>
          <w:trHeight w:val="223"/>
        </w:trPr>
        <w:tc>
          <w:tcPr>
            <w:tcW w:w="29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2015 – April 30, 2015</w:t>
            </w:r>
          </w:p>
        </w:tc>
        <w:tc>
          <w:tcPr>
            <w:tcW w:w="19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May 1, 2015 – May 31, 2015</w:t>
            </w:r>
          </w:p>
        </w:tc>
        <w:tc>
          <w:tcPr>
            <w:tcW w:w="1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6,988(1)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2015 – June 30, 2015</w:t>
            </w:r>
          </w:p>
        </w:tc>
        <w:tc>
          <w:tcPr>
            <w:tcW w:w="19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06"/>
        </w:trPr>
        <w:tc>
          <w:tcPr>
            <w:tcW w:w="2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6,988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4.00</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right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-455930</wp:posOffset>
            </wp:positionV>
            <wp:extent cx="686054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60540" cy="15430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-147320</wp:posOffset>
            </wp:positionV>
            <wp:extent cx="686054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60540" cy="137160"/>
                    </a:xfrm>
                    <a:prstGeom prst="rect">
                      <a:avLst/>
                    </a:prstGeom>
                    <a:noFill/>
                  </pic:spPr>
                </pic:pic>
              </a:graphicData>
            </a:graphic>
          </wp:anchor>
        </w:drawing>
      </w:r>
    </w:p>
    <w:p>
      <w:pPr>
        <w:spacing w:after="0" w:line="7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Consists of shares surrendered to us by participants in our 2014 Equity Participation Plan to settle the participants’ personal tax liabilities that resulted from the lapsing of</w:t>
      </w:r>
    </w:p>
    <w:p>
      <w:pPr>
        <w:ind w:left="980" w:hanging="324"/>
        <w:spacing w:after="0" w:line="184" w:lineRule="auto"/>
        <w:tabs>
          <w:tab w:leader="none" w:pos="980" w:val="left"/>
        </w:tabs>
        <w:numPr>
          <w:ilvl w:val="0"/>
          <w:numId w:val="25"/>
        </w:numPr>
        <w:rPr>
          <w:rFonts w:ascii="Arial" w:cs="Arial" w:eastAsia="Arial" w:hAnsi="Arial"/>
          <w:sz w:val="29"/>
          <w:szCs w:val="29"/>
          <w:color w:val="auto"/>
          <w:vertAlign w:val="superscript"/>
        </w:rPr>
      </w:pPr>
      <w:r>
        <w:rPr>
          <w:rFonts w:ascii="Arial" w:cs="Arial" w:eastAsia="Arial" w:hAnsi="Arial"/>
          <w:sz w:val="15"/>
          <w:szCs w:val="15"/>
          <w:color w:val="auto"/>
        </w:rPr>
        <w:t>restrictions on shares awarded to the participants under the plan.</w:t>
      </w:r>
    </w:p>
    <w:p>
      <w:pPr>
        <w:ind w:left="980" w:hanging="324"/>
        <w:spacing w:after="0" w:line="185" w:lineRule="auto"/>
        <w:tabs>
          <w:tab w:leader="none" w:pos="980" w:val="left"/>
        </w:tabs>
        <w:numPr>
          <w:ilvl w:val="0"/>
          <w:numId w:val="25"/>
        </w:numPr>
        <w:rPr>
          <w:rFonts w:ascii="Arial" w:cs="Arial" w:eastAsia="Arial" w:hAnsi="Arial"/>
          <w:sz w:val="20"/>
          <w:szCs w:val="20"/>
          <w:color w:val="auto"/>
          <w:vertAlign w:val="subscript"/>
        </w:rPr>
      </w:pPr>
      <w:r>
        <w:rPr>
          <w:rFonts w:ascii="Arial" w:cs="Arial" w:eastAsia="Arial" w:hAnsi="Arial"/>
          <w:sz w:val="12"/>
          <w:szCs w:val="12"/>
          <w:color w:val="auto"/>
        </w:rPr>
        <w:t>The price paid per share was based on the closing price of our common stock on May 30, 2015 which represents the dates the restrictions lapsed on such shares.</w:t>
      </w:r>
    </w:p>
    <w:p>
      <w:pPr>
        <w:spacing w:after="0" w:line="27" w:lineRule="exact"/>
        <w:rPr>
          <w:rFonts w:ascii="Arial" w:cs="Arial" w:eastAsia="Arial" w:hAnsi="Arial"/>
          <w:sz w:val="20"/>
          <w:szCs w:val="20"/>
          <w:color w:val="auto"/>
          <w:vertAlign w:val="subscript"/>
        </w:rPr>
      </w:pPr>
    </w:p>
    <w:p>
      <w:pPr>
        <w:ind w:left="980" w:hanging="324"/>
        <w:spacing w:after="0" w:line="187" w:lineRule="auto"/>
        <w:tabs>
          <w:tab w:leader="none" w:pos="980" w:val="left"/>
        </w:tabs>
        <w:numPr>
          <w:ilvl w:val="0"/>
          <w:numId w:val="25"/>
        </w:numPr>
        <w:rPr>
          <w:rFonts w:ascii="Arial" w:cs="Arial" w:eastAsia="Arial" w:hAnsi="Arial"/>
          <w:sz w:val="21"/>
          <w:szCs w:val="21"/>
          <w:color w:val="auto"/>
          <w:vertAlign w:val="subscript"/>
        </w:rPr>
      </w:pPr>
      <w:r>
        <w:rPr>
          <w:rFonts w:ascii="Arial" w:cs="Arial" w:eastAsia="Arial" w:hAnsi="Arial"/>
          <w:sz w:val="12"/>
          <w:szCs w:val="12"/>
          <w:color w:val="auto"/>
        </w:rPr>
        <w:t>We did not have at any time during the quarter, and currently do not have, a share repurchase program in place.</w:t>
      </w:r>
    </w:p>
    <w:p>
      <w:pPr>
        <w:spacing w:after="0" w:line="200" w:lineRule="exact"/>
        <w:rPr>
          <w:sz w:val="20"/>
          <w:szCs w:val="20"/>
          <w:color w:val="auto"/>
        </w:rPr>
      </w:pPr>
    </w:p>
    <w:p>
      <w:pPr>
        <w:spacing w:after="0" w:line="33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500"/>
          </w:cols>
          <w:pgMar w:left="240" w:top="580" w:right="1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280" w:type="dxa"/>
            <w:vAlign w:val="bottom"/>
          </w:tcPr>
          <w:p>
            <w:pPr>
              <w:spacing w:after="0"/>
              <w:rPr>
                <w:sz w:val="17"/>
                <w:szCs w:val="17"/>
                <w:color w:val="auto"/>
              </w:rPr>
            </w:pPr>
          </w:p>
        </w:tc>
      </w:tr>
      <w:tr>
        <w:trPr>
          <w:trHeight w:val="438"/>
        </w:trPr>
        <w:tc>
          <w:tcPr>
            <w:tcW w:w="8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4"/>
              </w:rPr>
              <w:t>—  Agreement and Plan of Merger, dated as of April 6, 2015, among Civeo Corporation, Civeo Canadian Holdings ULC and Civeo</w:t>
            </w: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w w:val="93"/>
              </w:rPr>
              <w:t>US Merger Co (incorporated by reference to Annex A of Civeo Corporation’s definitive proxy statement/prospectus on Schedule</w:t>
            </w: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14A filed with the SEC on April 8, 2015).</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1"/>
              </w:rPr>
              <w:t>—  Executive Agreement between Civeo Corporation and Frank C. Steininger, dated May 4, 2015 (incorporated herein by reference to</w:t>
            </w: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Exhibit 10.1 to the Current Report on Form 8-K (File No. 001-36246) filed on May 7, 2015).</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2"/>
              </w:rPr>
              <w:t>—  First Amendment to Syndicated Facility Agreement, dated as of May 13, 2015, by and among Civeo Corporation, Civeo Canadian</w:t>
            </w: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w w:val="96"/>
              </w:rPr>
              <w:t>Holdings ULC, Civeo Canada Inc., Civeo Premium Camp Services Ltd., and Civeo PTY Limited as Borrowers, the Lenders</w:t>
            </w: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w w:val="91"/>
              </w:rPr>
              <w:t>named therein, Royal Bank of Canada, as Administrative Agent, U.S. Collateral Agent, Canadian Administrative Agent, Canadian</w:t>
            </w: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w w:val="93"/>
              </w:rPr>
              <w:t>Collateral Agent and an Issuing Bank and RBC Europe Limited, as Australian Administrative Agent, Australian Collateral Agent</w:t>
            </w: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w w:val="94"/>
              </w:rPr>
              <w:t>and an Issuing Bank (incorporated herein by reference to Exhibit 10.1 to the Current Report on Form 8-K (File No. 001-36246)</w:t>
            </w: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filed on May 19, 2015).</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7"/>
              </w:rPr>
              <w:t>—  Certification of Chief Executive Officer of Civeo Corporation, pursuant to Rules 13a-14(a) or 15d-14(a) under the Securities</w:t>
            </w: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8"/>
              </w:rPr>
              <w:t>—  Certification of Chief Financial Officer of Civeo Corporation, pursuant to Rules 13a-14(a) or 15d-14(a) under the Securities</w:t>
            </w: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7"/>
              </w:rPr>
              <w:t>—  Certification of Chief Executive Officer of Civeo Corporation, pursuant to Rules 13a-14(b) or 15d-14(b) under the Securities</w:t>
            </w: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8"/>
              </w:rPr>
              <w:t>—  Certification of Chief Financial Officer of Civeo Corporation, pursuant to Rules 13a-14(b) or 15d-14(b) under the Securities</w:t>
            </w: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32"/>
        </w:trPr>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101.INS*</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101.SCH*</w:t>
            </w: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rPr>
              <w:t>101.CAL*</w:t>
            </w: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101.DEF*</w:t>
            </w: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rPr>
              <w:t>101.LAB*</w:t>
            </w: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101.PRE*</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July 31, 2015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800"/>
        <w:spacing w:after="0"/>
        <w:rPr>
          <w:sz w:val="20"/>
          <w:szCs w:val="20"/>
          <w:color w:val="auto"/>
        </w:rPr>
      </w:pPr>
      <w:r>
        <w:rPr>
          <w:rFonts w:ascii="Arial" w:cs="Arial" w:eastAsia="Arial" w:hAnsi="Arial"/>
          <w:sz w:val="16"/>
          <w:szCs w:val="16"/>
          <w:b w:val="1"/>
          <w:bCs w:val="1"/>
          <w:color w:val="auto"/>
        </w:rPr>
        <w:t>/s/ Frank C. Steininger</w:t>
      </w:r>
    </w:p>
    <w:p>
      <w:pPr>
        <w:spacing w:after="0" w:line="50" w:lineRule="exact"/>
        <w:rPr>
          <w:sz w:val="20"/>
          <w:szCs w:val="20"/>
          <w:color w:val="auto"/>
        </w:rPr>
      </w:pPr>
    </w:p>
    <w:p>
      <w:pPr>
        <w:sectPr>
          <w:pgSz w:w="11900" w:h="16838" w:orient="portrait"/>
          <w:cols w:equalWidth="0" w:num="4">
            <w:col w:w="2980" w:space="720"/>
            <w:col w:w="1300" w:space="720"/>
            <w:col w:w="1420" w:space="720"/>
            <w:col w:w="3560"/>
          </w:cols>
          <w:pgMar w:left="240" w:top="580" w:right="239" w:bottom="1440" w:gutter="0" w:footer="0" w:header="0"/>
          <w:type w:val="continuous"/>
        </w:sectPr>
      </w:pPr>
    </w:p>
    <w:p>
      <w:pPr>
        <w:jc w:val="center"/>
        <w:ind w:left="606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-130810</wp:posOffset>
            </wp:positionV>
            <wp:extent cx="54971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97195" cy="8890"/>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Treasurer (Duly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60" w:type="dxa"/>
            <w:vAlign w:val="bottom"/>
            <w:gridSpan w:val="3"/>
          </w:tcPr>
          <w:p>
            <w:pPr>
              <w:ind w:left="322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4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w w:val="94"/>
              </w:rPr>
              <w:t>—  Agreement and Plan of Merger, dated as of April 6, 2015, among Civeo Corporation, Civeo Canadian Holdings ULC and Civeo</w:t>
            </w: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w w:val="93"/>
              </w:rPr>
              <w:t>US Merger Co (incorporated by reference to Annex A of Civeo Corporation’s definitive proxy statement/prospectus on Schedule</w:t>
            </w:r>
          </w:p>
        </w:tc>
      </w:tr>
      <w:tr>
        <w:trPr>
          <w:trHeight w:val="230"/>
        </w:trPr>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rPr>
              <w:t>14A filed with the SEC on April 8, 2015).</w:t>
            </w:r>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w w:val="91"/>
              </w:rPr>
              <w:t>—  Executive Agreement between Civeo Corporation and Frank C. Steininger, dated May 4, 2015 (incorporated herein by reference to</w:t>
            </w:r>
          </w:p>
        </w:tc>
      </w:tr>
      <w:tr>
        <w:trPr>
          <w:trHeight w:val="230"/>
        </w:trPr>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rPr>
              <w:t>Exhibit 10.1 to the Current Report on Form 8-K (File No. 001-36246) filed on May 7, 2015).</w:t>
            </w:r>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w w:val="92"/>
              </w:rPr>
              <w:t>—  First Amendment to Syndicated Facility Agreement, dated as of May 13, 2015, by and among Civeo Corporation, Civeo Canadian</w:t>
            </w: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w w:val="96"/>
              </w:rPr>
              <w:t>Holdings ULC, Civeo Canada Inc., Civeo Premium Camp Services Ltd., and Civeo PTY Limited as Borrowers, the Lenders</w:t>
            </w: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w w:val="91"/>
              </w:rPr>
              <w:t>named therein, Royal Bank of Canada, as Administrative Agent, U.S. Collateral Agent, Canadian Administrative Agent, Canadian</w:t>
            </w: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w w:val="93"/>
              </w:rPr>
              <w:t>Collateral Agent and an Issuing Bank and RBC Europe Limited, as Australian Administrative Agent, Australian Collateral Agent</w:t>
            </w:r>
          </w:p>
        </w:tc>
      </w:tr>
      <w:tr>
        <w:trPr>
          <w:trHeight w:val="216"/>
        </w:trPr>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w w:val="94"/>
              </w:rPr>
              <w:t>and an Issuing Bank (incorporated herein by reference to Exhibit 10.1 to the Current Report on Form 8-K (File No. 001-36246)</w:t>
            </w:r>
          </w:p>
        </w:tc>
      </w:tr>
      <w:tr>
        <w:trPr>
          <w:trHeight w:val="230"/>
        </w:trPr>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rPr>
              <w:t>filed on May 19, 2015).</w:t>
            </w:r>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w w:val="97"/>
              </w:rPr>
              <w:t>—  Certification of Chief Executive Officer of Civeo Corporation, pursuant to Rules 13a-14(a) or 15d-14(a) under the Securities</w:t>
            </w:r>
          </w:p>
        </w:tc>
      </w:tr>
      <w:tr>
        <w:trPr>
          <w:trHeight w:val="230"/>
        </w:trPr>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rPr>
              <w:t>Exchange Act of 1934.</w:t>
            </w:r>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w w:val="98"/>
              </w:rPr>
              <w:t>—  Certification of Chief Financial Officer of Civeo Corporation, pursuant to Rules 13a-14(a) or 15d-14(a) under the Securities</w:t>
            </w:r>
          </w:p>
        </w:tc>
      </w:tr>
      <w:tr>
        <w:trPr>
          <w:trHeight w:val="230"/>
        </w:trPr>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rPr>
              <w:t>Exchange Act of 1934.</w:t>
            </w:r>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rPr>
              <w:t>32.1**</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w w:val="97"/>
              </w:rPr>
              <w:t>—  Certification of Chief Executive Officer of Civeo Corporation, pursuant to Rules 13a-14(b) or 15d-14(b) under the Securities</w:t>
            </w:r>
          </w:p>
        </w:tc>
      </w:tr>
      <w:tr>
        <w:trPr>
          <w:trHeight w:val="230"/>
        </w:trPr>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rPr>
              <w:t>Exchange Act of 1934.</w:t>
            </w:r>
          </w:p>
        </w:tc>
      </w:tr>
      <w:tr>
        <w:trPr>
          <w:trHeight w:val="418"/>
        </w:trPr>
        <w:tc>
          <w:tcPr>
            <w:tcW w:w="1420" w:type="dxa"/>
            <w:vAlign w:val="bottom"/>
          </w:tcPr>
          <w:p>
            <w:pPr>
              <w:jc w:val="center"/>
              <w:spacing w:after="0"/>
              <w:rPr>
                <w:sz w:val="20"/>
                <w:szCs w:val="20"/>
                <w:color w:val="auto"/>
              </w:rPr>
            </w:pPr>
            <w:r>
              <w:rPr>
                <w:rFonts w:ascii="Arial" w:cs="Arial" w:eastAsia="Arial" w:hAnsi="Arial"/>
                <w:sz w:val="18"/>
                <w:szCs w:val="18"/>
                <w:color w:val="auto"/>
              </w:rPr>
              <w:t>32.2**</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w w:val="98"/>
              </w:rPr>
              <w:t>—  Certification of Chief Financial Officer of Civeo Corporation, pursuant to Rules 13a-14(b) or 15d-14(b) under the Securities</w:t>
            </w:r>
          </w:p>
        </w:tc>
      </w:tr>
      <w:tr>
        <w:trPr>
          <w:trHeight w:val="230"/>
        </w:trPr>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540" w:type="dxa"/>
            <w:vAlign w:val="bottom"/>
            <w:gridSpan w:val="4"/>
          </w:tcPr>
          <w:p>
            <w:pPr>
              <w:ind w:left="80"/>
              <w:spacing w:after="0"/>
              <w:rPr>
                <w:sz w:val="20"/>
                <w:szCs w:val="20"/>
                <w:color w:val="auto"/>
              </w:rPr>
            </w:pPr>
            <w:r>
              <w:rPr>
                <w:rFonts w:ascii="Arial" w:cs="Arial" w:eastAsia="Arial" w:hAnsi="Arial"/>
                <w:sz w:val="18"/>
                <w:szCs w:val="18"/>
                <w:color w:val="auto"/>
              </w:rPr>
              <w:t>Exchange Act of 1934.</w:t>
            </w:r>
          </w:p>
        </w:tc>
      </w:tr>
      <w:tr>
        <w:trPr>
          <w:trHeight w:val="432"/>
        </w:trPr>
        <w:tc>
          <w:tcPr>
            <w:tcW w:w="142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540" w:type="dxa"/>
            <w:vAlign w:val="bottom"/>
            <w:gridSpan w:val="4"/>
          </w:tcPr>
          <w:p>
            <w:pPr>
              <w:ind w:left="80"/>
              <w:spacing w:after="0"/>
              <w:rPr>
                <w:sz w:val="20"/>
                <w:szCs w:val="20"/>
                <w:color w:val="auto"/>
              </w:rPr>
            </w:pPr>
            <w:r>
              <w:rPr>
                <w:rFonts w:ascii="Arial" w:cs="Arial" w:eastAsia="Arial" w:hAnsi="Arial"/>
                <w:sz w:val="18"/>
                <w:szCs w:val="18"/>
                <w:color w:val="auto"/>
              </w:rPr>
              <w:t>XBRL Instance Document</w:t>
            </w:r>
          </w:p>
        </w:tc>
      </w:tr>
      <w:tr>
        <w:trPr>
          <w:trHeight w:val="432"/>
        </w:trPr>
        <w:tc>
          <w:tcPr>
            <w:tcW w:w="142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42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42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42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000" w:type="dxa"/>
            <w:vAlign w:val="bottom"/>
            <w:gridSpan w:val="5"/>
          </w:tcPr>
          <w:p>
            <w:pPr>
              <w:ind w:left="18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142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540" w:type="dxa"/>
            <w:vAlign w:val="bottom"/>
            <w:gridSpan w:val="4"/>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right="9740" w:firstLine="8"/>
        <w:spacing w:after="0" w:line="290" w:lineRule="auto"/>
        <w:tabs>
          <w:tab w:leader="none" w:pos="405"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Filed herewith. ** Furnished herewith.</w:t>
      </w:r>
    </w:p>
    <w:p>
      <w:pPr>
        <w:spacing w:after="0" w:line="162"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ectPr>
          <w:pgSz w:w="11900" w:h="16838" w:orient="portrait"/>
          <w:cols w:equalWidth="0" w:num="1">
            <w:col w:w="11420"/>
          </w:cols>
          <w:pgMar w:left="240" w:top="56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left="980" w:hanging="324"/>
        <w:spacing w:after="0" w:line="34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2015</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Bradley J. Dodson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paragraph omitted in accordance with SEC transition instructions;</w:t>
      </w:r>
    </w:p>
    <w:p>
      <w:pPr>
        <w:spacing w:after="0" w:line="225"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ind w:left="98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2015</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Frank C. Steininger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420"/>
          </w:cols>
          <w:pgMar w:left="240" w:top="58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June 30, 2015 filed with the Securities and Exchange Commission (the “Report”), I, Bradley J. Dodson, President and Chief Executive Officer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-130810</wp:posOffset>
            </wp:positionV>
            <wp:extent cx="2478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Date: July 31, 2015</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Quarterly Report on Form 10-Q for the quarterly period ended June 30, 2015 filed with the Securities and Exchange Commission (the “Report”), I, Frank C. Steininger, Senior Vice President, Chief Financial Officer and Treasurer of Civeo Corporation (the “Company”), hereby certify, to the best of my knowledge, that:</w:t>
      </w:r>
    </w:p>
    <w:p>
      <w:pPr>
        <w:spacing w:after="0" w:line="181"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-130810</wp:posOffset>
            </wp:positionV>
            <wp:extent cx="24784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Date: July 31,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6"/>
    </w:lvl>
  </w:abstractNum>
  <w:abstractNum w:abstractNumId="7">
    <w:nsid w:val="333AB105"/>
    <w:multiLevelType w:val="hybridMultilevel"/>
    <w:lvl w:ilvl="0">
      <w:lvlJc w:val="left"/>
      <w:lvlText w:val="%1."/>
      <w:numFmt w:val="decimal"/>
      <w:start w:val="7"/>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8"/>
    </w:lvl>
  </w:abstractNum>
  <w:abstractNum w:abstractNumId="11">
    <w:nsid w:val="6763845E"/>
    <w:multiLevelType w:val="hybridMultilevel"/>
    <w:lvl w:ilvl="0">
      <w:lvlJc w:val="left"/>
      <w:lvlText w:val="%1."/>
      <w:numFmt w:val="decimal"/>
      <w:start w:val="9"/>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5"/>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5"/>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2019-12-09T04:37:48Z</dcterms:created>
  <dcterms:modified xsi:type="dcterms:W3CDTF">2019-12-09T04:37:48Z</dcterms:modified>
</cp:coreProperties>
</file>