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385445</wp:posOffset>
            </wp:positionV>
            <wp:extent cx="1089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June 18,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223520</wp:posOffset>
            </wp:positionV>
            <wp:extent cx="10890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Civeo Corporation</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0"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3040" w:type="dxa"/>
            <w:vAlign w:val="bottom"/>
          </w:tcPr>
          <w:p>
            <w:pPr>
              <w:jc w:val="center"/>
              <w:ind w:right="570"/>
              <w:spacing w:after="0"/>
              <w:rPr>
                <w:sz w:val="20"/>
                <w:szCs w:val="20"/>
                <w:color w:val="auto"/>
              </w:rPr>
            </w:pPr>
            <w:r>
              <w:rPr>
                <w:rFonts w:ascii="Arial" w:cs="Arial" w:eastAsia="Arial" w:hAnsi="Arial"/>
                <w:sz w:val="18"/>
                <w:szCs w:val="18"/>
                <w:b w:val="1"/>
                <w:bCs w:val="1"/>
                <w:color w:val="auto"/>
                <w:w w:val="93"/>
              </w:rPr>
              <w:t>Delaware</w:t>
            </w:r>
          </w:p>
        </w:tc>
        <w:tc>
          <w:tcPr>
            <w:tcW w:w="40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1-36246</w:t>
            </w:r>
          </w:p>
        </w:tc>
        <w:tc>
          <w:tcPr>
            <w:tcW w:w="2200" w:type="dxa"/>
            <w:vAlign w:val="bottom"/>
          </w:tcPr>
          <w:p>
            <w:pPr>
              <w:jc w:val="center"/>
              <w:ind w:left="790"/>
              <w:spacing w:after="0"/>
              <w:rPr>
                <w:sz w:val="20"/>
                <w:szCs w:val="20"/>
                <w:color w:val="auto"/>
              </w:rPr>
            </w:pPr>
            <w:r>
              <w:rPr>
                <w:rFonts w:ascii="Arial" w:cs="Arial" w:eastAsia="Arial" w:hAnsi="Arial"/>
                <w:sz w:val="18"/>
                <w:szCs w:val="18"/>
                <w:b w:val="1"/>
                <w:bCs w:val="1"/>
                <w:color w:val="auto"/>
                <w:w w:val="91"/>
              </w:rPr>
              <w:t>46-3831207</w:t>
            </w:r>
          </w:p>
        </w:tc>
      </w:tr>
      <w:tr>
        <w:trPr>
          <w:trHeight w:val="216"/>
        </w:trPr>
        <w:tc>
          <w:tcPr>
            <w:tcW w:w="3040" w:type="dxa"/>
            <w:vAlign w:val="bottom"/>
          </w:tcPr>
          <w:p>
            <w:pPr>
              <w:jc w:val="center"/>
              <w:ind w:right="570"/>
              <w:spacing w:after="0"/>
              <w:rPr>
                <w:sz w:val="20"/>
                <w:szCs w:val="20"/>
                <w:color w:val="auto"/>
              </w:rPr>
            </w:pPr>
            <w:r>
              <w:rPr>
                <w:rFonts w:ascii="Arial" w:cs="Arial" w:eastAsia="Arial" w:hAnsi="Arial"/>
                <w:sz w:val="18"/>
                <w:szCs w:val="18"/>
                <w:color w:val="auto"/>
                <w:w w:val="92"/>
              </w:rPr>
              <w:t>(State or other jurisdiction</w:t>
            </w:r>
          </w:p>
        </w:tc>
        <w:tc>
          <w:tcPr>
            <w:tcW w:w="4040" w:type="dxa"/>
            <w:vAlign w:val="bottom"/>
          </w:tcPr>
          <w:p>
            <w:pPr>
              <w:jc w:val="center"/>
              <w:ind w:right="50"/>
              <w:spacing w:after="0"/>
              <w:rPr>
                <w:sz w:val="20"/>
                <w:szCs w:val="20"/>
                <w:color w:val="auto"/>
              </w:rPr>
            </w:pPr>
            <w:r>
              <w:rPr>
                <w:rFonts w:ascii="Arial" w:cs="Arial" w:eastAsia="Arial" w:hAnsi="Arial"/>
                <w:sz w:val="18"/>
                <w:szCs w:val="18"/>
                <w:color w:val="auto"/>
                <w:w w:val="93"/>
              </w:rPr>
              <w:t>(Commission File</w:t>
            </w:r>
          </w:p>
        </w:tc>
        <w:tc>
          <w:tcPr>
            <w:tcW w:w="2200" w:type="dxa"/>
            <w:vAlign w:val="bottom"/>
          </w:tcPr>
          <w:p>
            <w:pPr>
              <w:jc w:val="center"/>
              <w:ind w:left="790"/>
              <w:spacing w:after="0"/>
              <w:rPr>
                <w:sz w:val="20"/>
                <w:szCs w:val="20"/>
                <w:color w:val="auto"/>
              </w:rPr>
            </w:pPr>
            <w:r>
              <w:rPr>
                <w:rFonts w:ascii="Arial" w:cs="Arial" w:eastAsia="Arial" w:hAnsi="Arial"/>
                <w:sz w:val="18"/>
                <w:szCs w:val="18"/>
                <w:color w:val="auto"/>
                <w:w w:val="93"/>
              </w:rPr>
              <w:t>(I.R.S. Employer</w:t>
            </w:r>
          </w:p>
        </w:tc>
      </w:tr>
      <w:tr>
        <w:trPr>
          <w:trHeight w:val="230"/>
        </w:trPr>
        <w:tc>
          <w:tcPr>
            <w:tcW w:w="3040" w:type="dxa"/>
            <w:vAlign w:val="bottom"/>
          </w:tcPr>
          <w:p>
            <w:pPr>
              <w:jc w:val="center"/>
              <w:ind w:right="590"/>
              <w:spacing w:after="0"/>
              <w:rPr>
                <w:sz w:val="20"/>
                <w:szCs w:val="20"/>
                <w:color w:val="auto"/>
              </w:rPr>
            </w:pPr>
            <w:r>
              <w:rPr>
                <w:rFonts w:ascii="Arial" w:cs="Arial" w:eastAsia="Arial" w:hAnsi="Arial"/>
                <w:sz w:val="18"/>
                <w:szCs w:val="18"/>
                <w:color w:val="auto"/>
                <w:w w:val="92"/>
              </w:rPr>
              <w:t>of incorporation or organization)</w:t>
            </w:r>
          </w:p>
        </w:tc>
        <w:tc>
          <w:tcPr>
            <w:tcW w:w="4040" w:type="dxa"/>
            <w:vAlign w:val="bottom"/>
          </w:tcPr>
          <w:p>
            <w:pPr>
              <w:jc w:val="center"/>
              <w:ind w:right="50"/>
              <w:spacing w:after="0"/>
              <w:rPr>
                <w:sz w:val="20"/>
                <w:szCs w:val="20"/>
                <w:color w:val="auto"/>
              </w:rPr>
            </w:pPr>
            <w:r>
              <w:rPr>
                <w:rFonts w:ascii="Arial" w:cs="Arial" w:eastAsia="Arial" w:hAnsi="Arial"/>
                <w:sz w:val="18"/>
                <w:szCs w:val="18"/>
                <w:color w:val="auto"/>
                <w:w w:val="94"/>
              </w:rPr>
              <w:t>Number)</w:t>
            </w:r>
          </w:p>
        </w:tc>
        <w:tc>
          <w:tcPr>
            <w:tcW w:w="2200" w:type="dxa"/>
            <w:vAlign w:val="bottom"/>
          </w:tcPr>
          <w:p>
            <w:pPr>
              <w:jc w:val="center"/>
              <w:ind w:left="7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040" w:type="dxa"/>
            <w:vAlign w:val="bottom"/>
          </w:tcPr>
          <w:p>
            <w:pPr>
              <w:spacing w:after="0"/>
              <w:rPr>
                <w:sz w:val="24"/>
                <w:szCs w:val="24"/>
                <w:color w:val="auto"/>
              </w:rPr>
            </w:pPr>
          </w:p>
        </w:tc>
        <w:tc>
          <w:tcPr>
            <w:tcW w:w="404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Three Allen Center</w:t>
            </w:r>
          </w:p>
        </w:tc>
        <w:tc>
          <w:tcPr>
            <w:tcW w:w="220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0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333 Clay Street, Suite 4980</w:t>
            </w:r>
          </w:p>
        </w:tc>
        <w:tc>
          <w:tcPr>
            <w:tcW w:w="2200" w:type="dxa"/>
            <w:vAlign w:val="bottom"/>
          </w:tcPr>
          <w:p>
            <w:pPr>
              <w:spacing w:after="0"/>
              <w:rPr>
                <w:sz w:val="18"/>
                <w:szCs w:val="18"/>
                <w:color w:val="auto"/>
              </w:rPr>
            </w:pPr>
          </w:p>
        </w:tc>
      </w:tr>
      <w:tr>
        <w:trPr>
          <w:trHeight w:val="220"/>
        </w:trPr>
        <w:tc>
          <w:tcPr>
            <w:tcW w:w="3040" w:type="dxa"/>
            <w:vAlign w:val="bottom"/>
          </w:tcPr>
          <w:p>
            <w:pPr>
              <w:spacing w:after="0"/>
              <w:rPr>
                <w:sz w:val="19"/>
                <w:szCs w:val="19"/>
                <w:color w:val="auto"/>
              </w:rPr>
            </w:pPr>
          </w:p>
        </w:tc>
        <w:tc>
          <w:tcPr>
            <w:tcW w:w="40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Houston, Texas 77002</w:t>
            </w:r>
          </w:p>
        </w:tc>
        <w:tc>
          <w:tcPr>
            <w:tcW w:w="2200" w:type="dxa"/>
            <w:vAlign w:val="bottom"/>
          </w:tcPr>
          <w:p>
            <w:pPr>
              <w:spacing w:after="0"/>
              <w:rPr>
                <w:sz w:val="19"/>
                <w:szCs w:val="19"/>
                <w:color w:val="auto"/>
              </w:rPr>
            </w:pPr>
          </w:p>
        </w:tc>
      </w:tr>
      <w:tr>
        <w:trPr>
          <w:trHeight w:val="216"/>
        </w:trPr>
        <w:tc>
          <w:tcPr>
            <w:tcW w:w="3040" w:type="dxa"/>
            <w:vAlign w:val="bottom"/>
          </w:tcPr>
          <w:p>
            <w:pPr>
              <w:spacing w:after="0"/>
              <w:rPr>
                <w:sz w:val="18"/>
                <w:szCs w:val="18"/>
                <w:color w:val="auto"/>
              </w:rPr>
            </w:pPr>
          </w:p>
        </w:tc>
        <w:tc>
          <w:tcPr>
            <w:tcW w:w="4040" w:type="dxa"/>
            <w:vAlign w:val="bottom"/>
          </w:tcPr>
          <w:p>
            <w:pPr>
              <w:jc w:val="center"/>
              <w:ind w:right="90"/>
              <w:spacing w:after="0"/>
              <w:rPr>
                <w:sz w:val="20"/>
                <w:szCs w:val="20"/>
                <w:color w:val="auto"/>
              </w:rPr>
            </w:pPr>
            <w:r>
              <w:rPr>
                <w:rFonts w:ascii="Arial" w:cs="Arial" w:eastAsia="Arial" w:hAnsi="Arial"/>
                <w:sz w:val="18"/>
                <w:szCs w:val="18"/>
                <w:color w:val="auto"/>
                <w:w w:val="92"/>
              </w:rPr>
              <w:t>(Address and zip code of principal</w:t>
            </w:r>
          </w:p>
        </w:tc>
        <w:tc>
          <w:tcPr>
            <w:tcW w:w="220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4040" w:type="dxa"/>
            <w:vAlign w:val="bottom"/>
          </w:tcPr>
          <w:p>
            <w:pPr>
              <w:jc w:val="center"/>
              <w:ind w:right="110"/>
              <w:spacing w:after="0"/>
              <w:rPr>
                <w:sz w:val="20"/>
                <w:szCs w:val="20"/>
                <w:color w:val="auto"/>
              </w:rPr>
            </w:pPr>
            <w:r>
              <w:rPr>
                <w:rFonts w:ascii="Arial" w:cs="Arial" w:eastAsia="Arial" w:hAnsi="Arial"/>
                <w:sz w:val="18"/>
                <w:szCs w:val="18"/>
                <w:color w:val="auto"/>
                <w:w w:val="92"/>
              </w:rPr>
              <w:t>executive offices)</w:t>
            </w:r>
          </w:p>
        </w:tc>
        <w:tc>
          <w:tcPr>
            <w:tcW w:w="2200" w:type="dxa"/>
            <w:vAlign w:val="bottom"/>
          </w:tcPr>
          <w:p>
            <w:pPr>
              <w:spacing w:after="0"/>
              <w:rPr>
                <w:sz w:val="20"/>
                <w:szCs w:val="20"/>
                <w:color w:val="auto"/>
              </w:rPr>
            </w:pP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[_]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234" w:right="359" w:bottom="1440" w:gutter="0" w:footer="0" w:header="0"/>
        </w:sectPr>
      </w:pPr>
    </w:p>
    <w:bookmarkStart w:id="1" w:name="page2"/>
    <w:bookmarkEnd w:id="1"/>
    <w:p>
      <w:pPr>
        <w:jc w:val="both"/>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June 18, 2014, Civeo Corporation terminated the employment of Ron R, Green, former Senior Vice President, North America. In connection with the termination, Civeo expects to provide certain salary, bonus and equity vesting benefits to Mr. Green, subject to his execution of a release of claims agreement that incorporates among other items non-compete, non-solicitation and confidentiality provisions. Civeo will file an amendment to this current report on Form 8-K describing the material terms of any severance package if and when finalized.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485775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Dated: June 23, 2014</w:t>
      </w:r>
    </w:p>
    <w:p>
      <w:pPr>
        <w:spacing w:after="0" w:line="200" w:lineRule="exact"/>
        <w:rPr>
          <w:sz w:val="20"/>
          <w:szCs w:val="20"/>
          <w:color w:val="auto"/>
        </w:rPr>
      </w:pPr>
    </w:p>
    <w:p>
      <w:pPr>
        <w:spacing w:after="0" w:line="23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Frank C. Steininger ,</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Frank C. Steininger</w:t>
      </w:r>
    </w:p>
    <w:p>
      <w:pPr>
        <w:spacing w:after="0" w:line="9" w:lineRule="exact"/>
        <w:rPr>
          <w:sz w:val="20"/>
          <w:szCs w:val="20"/>
          <w:color w:val="auto"/>
        </w:rPr>
      </w:pPr>
    </w:p>
    <w:p>
      <w:pPr>
        <w:ind w:left="5500"/>
        <w:spacing w:after="0"/>
        <w:tabs>
          <w:tab w:leader="none" w:pos="6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Chief Financial Officer and Treasurer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2019-12-08T08:44:53Z</dcterms:created>
  <dcterms:modified xsi:type="dcterms:W3CDTF">2019-12-08T08:44:53Z</dcterms:modified>
</cp:coreProperties>
</file>