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Washington, D.C. 20549</w:t>
      </w:r>
    </w:p>
    <w:p>
      <w:pPr>
        <w:spacing w:after="0" w:line="15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10-Q</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4" w:lineRule="exact"/>
        <w:rPr>
          <w:sz w:val="24"/>
          <w:szCs w:val="24"/>
          <w:color w:val="auto"/>
        </w:rPr>
      </w:pPr>
    </w:p>
    <w:p>
      <w:pPr>
        <w:ind w:left="820" w:hanging="781"/>
        <w:spacing w:after="0"/>
        <w:tabs>
          <w:tab w:leader="none" w:pos="8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quarterly period ended March 31, 2021</w:t>
      </w:r>
    </w:p>
    <w:p>
      <w:pPr>
        <w:spacing w:after="0" w:line="63" w:lineRule="exact"/>
        <w:rPr>
          <w:sz w:val="24"/>
          <w:szCs w:val="24"/>
          <w:color w:val="auto"/>
        </w:rPr>
      </w:pPr>
    </w:p>
    <w:p>
      <w:pPr>
        <w:jc w:val="center"/>
        <w:ind w:left="480"/>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820" w:hanging="781"/>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2" w:lineRule="exact"/>
        <w:rPr>
          <w:sz w:val="24"/>
          <w:szCs w:val="24"/>
          <w:color w:val="auto"/>
        </w:rPr>
      </w:pPr>
    </w:p>
    <w:p>
      <w:pPr>
        <w:ind w:left="820"/>
        <w:spacing w:after="0"/>
        <w:rPr>
          <w:sz w:val="20"/>
          <w:szCs w:val="20"/>
          <w:color w:val="auto"/>
        </w:rPr>
      </w:pPr>
      <w:r>
        <w:rPr>
          <w:rFonts w:ascii="Arial" w:cs="Arial" w:eastAsia="Arial" w:hAnsi="Arial"/>
          <w:sz w:val="18"/>
          <w:szCs w:val="18"/>
          <w:color w:val="auto"/>
        </w:rPr>
        <w:t>For the transition period from _________________________ to _________________________</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001-36246</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88265</wp:posOffset>
            </wp:positionV>
            <wp:extent cx="1362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9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British Columbia, Canada</w:t>
            </w:r>
          </w:p>
        </w:tc>
        <w:tc>
          <w:tcPr>
            <w:tcW w:w="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98-1253716</w:t>
            </w:r>
          </w:p>
        </w:tc>
        <w:tc>
          <w:tcPr>
            <w:tcW w:w="900" w:type="dxa"/>
            <w:vAlign w:val="bottom"/>
          </w:tcPr>
          <w:p>
            <w:pPr>
              <w:spacing w:after="0"/>
              <w:rPr>
                <w:sz w:val="17"/>
                <w:szCs w:val="17"/>
                <w:color w:val="auto"/>
              </w:rPr>
            </w:pPr>
          </w:p>
        </w:tc>
      </w:tr>
      <w:tr>
        <w:trPr>
          <w:trHeight w:val="249"/>
        </w:trPr>
        <w:tc>
          <w:tcPr>
            <w:tcW w:w="4240" w:type="dxa"/>
            <w:vAlign w:val="bottom"/>
            <w:gridSpan w:val="3"/>
          </w:tcPr>
          <w:p>
            <w:pPr>
              <w:jc w:val="center"/>
              <w:ind w:left="1273"/>
              <w:spacing w:after="0"/>
              <w:rPr>
                <w:sz w:val="20"/>
                <w:szCs w:val="20"/>
                <w:color w:val="auto"/>
              </w:rPr>
            </w:pPr>
            <w:r>
              <w:rPr>
                <w:rFonts w:ascii="Arial" w:cs="Arial" w:eastAsia="Arial" w:hAnsi="Arial"/>
                <w:sz w:val="18"/>
                <w:szCs w:val="18"/>
                <w:color w:val="auto"/>
                <w:w w:val="92"/>
              </w:rPr>
              <w:t>(State or other jurisdiction of</w:t>
            </w:r>
          </w:p>
        </w:tc>
        <w:tc>
          <w:tcPr>
            <w:tcW w:w="2260" w:type="dxa"/>
            <w:vAlign w:val="bottom"/>
          </w:tcPr>
          <w:p>
            <w:pPr>
              <w:spacing w:after="0"/>
              <w:rPr>
                <w:sz w:val="21"/>
                <w:szCs w:val="21"/>
                <w:color w:val="auto"/>
              </w:rPr>
            </w:pPr>
          </w:p>
        </w:tc>
        <w:tc>
          <w:tcPr>
            <w:tcW w:w="3240" w:type="dxa"/>
            <w:vAlign w:val="bottom"/>
            <w:gridSpan w:val="5"/>
          </w:tcPr>
          <w:p>
            <w:pPr>
              <w:jc w:val="center"/>
              <w:ind w:left="474"/>
              <w:spacing w:after="0"/>
              <w:rPr>
                <w:sz w:val="20"/>
                <w:szCs w:val="20"/>
                <w:color w:val="auto"/>
              </w:rPr>
            </w:pPr>
            <w:r>
              <w:rPr>
                <w:rFonts w:ascii="Arial" w:cs="Arial" w:eastAsia="Arial" w:hAnsi="Arial"/>
                <w:sz w:val="18"/>
                <w:szCs w:val="18"/>
                <w:color w:val="auto"/>
                <w:w w:val="93"/>
              </w:rPr>
              <w:t>(I.R.S. Employer</w:t>
            </w:r>
          </w:p>
        </w:tc>
      </w:tr>
      <w:tr>
        <w:trPr>
          <w:trHeight w:val="230"/>
        </w:trPr>
        <w:tc>
          <w:tcPr>
            <w:tcW w:w="4240" w:type="dxa"/>
            <w:vAlign w:val="bottom"/>
            <w:gridSpan w:val="3"/>
          </w:tcPr>
          <w:p>
            <w:pPr>
              <w:jc w:val="center"/>
              <w:ind w:left="1273"/>
              <w:spacing w:after="0"/>
              <w:rPr>
                <w:sz w:val="20"/>
                <w:szCs w:val="20"/>
                <w:color w:val="auto"/>
              </w:rPr>
            </w:pPr>
            <w:r>
              <w:rPr>
                <w:rFonts w:ascii="Arial" w:cs="Arial" w:eastAsia="Arial" w:hAnsi="Arial"/>
                <w:sz w:val="18"/>
                <w:szCs w:val="18"/>
                <w:color w:val="auto"/>
                <w:w w:val="92"/>
              </w:rPr>
              <w:t>incorporation or organization)</w:t>
            </w:r>
          </w:p>
        </w:tc>
        <w:tc>
          <w:tcPr>
            <w:tcW w:w="2260" w:type="dxa"/>
            <w:vAlign w:val="bottom"/>
          </w:tcPr>
          <w:p>
            <w:pPr>
              <w:spacing w:after="0"/>
              <w:rPr>
                <w:sz w:val="20"/>
                <w:szCs w:val="20"/>
                <w:color w:val="auto"/>
              </w:rPr>
            </w:pPr>
          </w:p>
        </w:tc>
        <w:tc>
          <w:tcPr>
            <w:tcW w:w="3240" w:type="dxa"/>
            <w:vAlign w:val="bottom"/>
            <w:gridSpan w:val="5"/>
          </w:tcPr>
          <w:p>
            <w:pPr>
              <w:jc w:val="center"/>
              <w:ind w:left="454"/>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500" w:type="dxa"/>
            <w:vAlign w:val="bottom"/>
            <w:gridSpan w:val="4"/>
          </w:tcPr>
          <w:p>
            <w:pPr>
              <w:jc w:val="center"/>
              <w:ind w:right="796"/>
              <w:spacing w:after="0"/>
              <w:rPr>
                <w:sz w:val="20"/>
                <w:szCs w:val="20"/>
                <w:color w:val="auto"/>
              </w:rPr>
            </w:pPr>
            <w:r>
              <w:rPr>
                <w:rFonts w:ascii="Arial" w:cs="Arial" w:eastAsia="Arial" w:hAnsi="Arial"/>
                <w:sz w:val="18"/>
                <w:szCs w:val="18"/>
                <w:color w:val="auto"/>
                <w:w w:val="90"/>
              </w:rPr>
              <w:t>Three Allen Center, 333 Clay Street, Suite 4980,</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77002</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18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49"/>
        </w:trPr>
        <w:tc>
          <w:tcPr>
            <w:tcW w:w="1860" w:type="dxa"/>
            <w:vAlign w:val="bottom"/>
          </w:tcPr>
          <w:p>
            <w:pPr>
              <w:spacing w:after="0"/>
              <w:rPr>
                <w:sz w:val="21"/>
                <w:szCs w:val="21"/>
                <w:color w:val="auto"/>
              </w:rPr>
            </w:pPr>
          </w:p>
        </w:tc>
        <w:tc>
          <w:tcPr>
            <w:tcW w:w="2380" w:type="dxa"/>
            <w:vAlign w:val="bottom"/>
            <w:gridSpan w:val="2"/>
          </w:tcPr>
          <w:p>
            <w:pPr>
              <w:jc w:val="center"/>
              <w:ind w:right="410"/>
              <w:spacing w:after="0"/>
              <w:rPr>
                <w:sz w:val="20"/>
                <w:szCs w:val="20"/>
                <w:color w:val="auto"/>
              </w:rPr>
            </w:pPr>
            <w:r>
              <w:rPr>
                <w:rFonts w:ascii="Arial" w:cs="Arial" w:eastAsia="Arial" w:hAnsi="Arial"/>
                <w:sz w:val="18"/>
                <w:szCs w:val="18"/>
                <w:color w:val="auto"/>
                <w:w w:val="88"/>
              </w:rPr>
              <w:t>Houston, Texas</w:t>
            </w:r>
          </w:p>
        </w:tc>
        <w:tc>
          <w:tcPr>
            <w:tcW w:w="2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8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(Zip Code)</w:t>
            </w:r>
          </w:p>
        </w:tc>
      </w:tr>
      <w:tr>
        <w:trPr>
          <w:trHeight w:val="230"/>
        </w:trPr>
        <w:tc>
          <w:tcPr>
            <w:tcW w:w="4240" w:type="dxa"/>
            <w:vAlign w:val="bottom"/>
            <w:gridSpan w:val="3"/>
          </w:tcPr>
          <w:p>
            <w:pPr>
              <w:jc w:val="center"/>
              <w:ind w:left="1273"/>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0"/>
        </w:trPr>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tcPr>
          <w:p>
            <w:pPr>
              <w:jc w:val="right"/>
              <w:ind w:right="156"/>
              <w:spacing w:after="0"/>
              <w:rPr>
                <w:sz w:val="20"/>
                <w:szCs w:val="20"/>
                <w:color w:val="auto"/>
              </w:rPr>
            </w:pPr>
            <w:r>
              <w:rPr>
                <w:rFonts w:ascii="Arial" w:cs="Arial" w:eastAsia="Arial" w:hAnsi="Arial"/>
                <w:sz w:val="18"/>
                <w:szCs w:val="18"/>
                <w:color w:val="auto"/>
              </w:rPr>
              <w:t>(713) 510-2400</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00" w:type="dxa"/>
            <w:vAlign w:val="bottom"/>
            <w:gridSpan w:val="7"/>
          </w:tcPr>
          <w:p>
            <w:pPr>
              <w:jc w:val="center"/>
              <w:ind w:right="206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324"/>
        </w:trPr>
        <w:tc>
          <w:tcPr>
            <w:tcW w:w="4240" w:type="dxa"/>
            <w:vAlign w:val="bottom"/>
            <w:gridSpan w:val="3"/>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26"/>
        </w:trPr>
        <w:tc>
          <w:tcPr>
            <w:tcW w:w="4240" w:type="dxa"/>
            <w:vAlign w:val="bottom"/>
            <w:gridSpan w:val="3"/>
          </w:tcPr>
          <w:p>
            <w:pPr>
              <w:jc w:val="center"/>
              <w:ind w:left="53"/>
              <w:spacing w:after="0"/>
              <w:rPr>
                <w:sz w:val="20"/>
                <w:szCs w:val="20"/>
                <w:color w:val="auto"/>
              </w:rPr>
            </w:pPr>
            <w:r>
              <w:rPr>
                <w:rFonts w:ascii="Arial" w:cs="Arial" w:eastAsia="Arial" w:hAnsi="Arial"/>
                <w:sz w:val="16"/>
                <w:szCs w:val="16"/>
                <w:color w:val="auto"/>
                <w:w w:val="91"/>
              </w:rPr>
              <w:t>Title of Each Class</w:t>
            </w:r>
          </w:p>
        </w:tc>
        <w:tc>
          <w:tcPr>
            <w:tcW w:w="2260" w:type="dxa"/>
            <w:vAlign w:val="bottom"/>
          </w:tcPr>
          <w:p>
            <w:pPr>
              <w:jc w:val="center"/>
              <w:ind w:right="1076"/>
              <w:spacing w:after="0"/>
              <w:rPr>
                <w:sz w:val="20"/>
                <w:szCs w:val="20"/>
                <w:color w:val="auto"/>
              </w:rPr>
            </w:pPr>
            <w:r>
              <w:rPr>
                <w:rFonts w:ascii="Arial" w:cs="Arial" w:eastAsia="Arial" w:hAnsi="Arial"/>
                <w:sz w:val="16"/>
                <w:szCs w:val="16"/>
                <w:color w:val="auto"/>
                <w:w w:val="94"/>
              </w:rPr>
              <w:t>Trading Symbol</w:t>
            </w:r>
          </w:p>
        </w:tc>
        <w:tc>
          <w:tcPr>
            <w:tcW w:w="3240" w:type="dxa"/>
            <w:vAlign w:val="bottom"/>
            <w:gridSpan w:val="5"/>
          </w:tcPr>
          <w:p>
            <w:pPr>
              <w:jc w:val="center"/>
              <w:ind w:left="134"/>
              <w:spacing w:after="0"/>
              <w:rPr>
                <w:sz w:val="20"/>
                <w:szCs w:val="20"/>
                <w:color w:val="auto"/>
              </w:rPr>
            </w:pPr>
            <w:r>
              <w:rPr>
                <w:rFonts w:ascii="Arial" w:cs="Arial" w:eastAsia="Arial" w:hAnsi="Arial"/>
                <w:sz w:val="16"/>
                <w:szCs w:val="16"/>
                <w:color w:val="auto"/>
                <w:w w:val="91"/>
              </w:rPr>
              <w:t>Name of Each Exchange on Which Registered</w:t>
            </w:r>
          </w:p>
        </w:tc>
      </w:tr>
      <w:tr>
        <w:trPr>
          <w:trHeight w:val="216"/>
        </w:trPr>
        <w:tc>
          <w:tcPr>
            <w:tcW w:w="4240" w:type="dxa"/>
            <w:vAlign w:val="bottom"/>
            <w:gridSpan w:val="3"/>
          </w:tcPr>
          <w:p>
            <w:pPr>
              <w:jc w:val="center"/>
              <w:ind w:left="33"/>
              <w:spacing w:after="0"/>
              <w:rPr>
                <w:sz w:val="20"/>
                <w:szCs w:val="20"/>
                <w:color w:val="auto"/>
              </w:rPr>
            </w:pPr>
            <w:r>
              <w:rPr>
                <w:rFonts w:ascii="Arial" w:cs="Arial" w:eastAsia="Arial" w:hAnsi="Arial"/>
                <w:sz w:val="16"/>
                <w:szCs w:val="16"/>
                <w:color w:val="auto"/>
                <w:w w:val="90"/>
              </w:rPr>
              <w:t>Common Shares, no par value</w:t>
            </w:r>
          </w:p>
        </w:tc>
        <w:tc>
          <w:tcPr>
            <w:tcW w:w="2260" w:type="dxa"/>
            <w:vAlign w:val="bottom"/>
          </w:tcPr>
          <w:p>
            <w:pPr>
              <w:jc w:val="center"/>
              <w:ind w:right="1056"/>
              <w:spacing w:after="0"/>
              <w:rPr>
                <w:sz w:val="20"/>
                <w:szCs w:val="20"/>
                <w:color w:val="auto"/>
              </w:rPr>
            </w:pPr>
            <w:r>
              <w:rPr>
                <w:rFonts w:ascii="Arial" w:cs="Arial" w:eastAsia="Arial" w:hAnsi="Arial"/>
                <w:sz w:val="16"/>
                <w:szCs w:val="16"/>
                <w:color w:val="auto"/>
                <w:w w:val="96"/>
              </w:rPr>
              <w:t>CVEO</w:t>
            </w:r>
          </w:p>
        </w:tc>
        <w:tc>
          <w:tcPr>
            <w:tcW w:w="3240" w:type="dxa"/>
            <w:vAlign w:val="bottom"/>
            <w:gridSpan w:val="5"/>
          </w:tcPr>
          <w:p>
            <w:pPr>
              <w:jc w:val="center"/>
              <w:ind w:left="134"/>
              <w:spacing w:after="0"/>
              <w:rPr>
                <w:sz w:val="20"/>
                <w:szCs w:val="20"/>
                <w:color w:val="auto"/>
              </w:rPr>
            </w:pPr>
            <w:r>
              <w:rPr>
                <w:rFonts w:ascii="Arial" w:cs="Arial" w:eastAsia="Arial" w:hAnsi="Arial"/>
                <w:sz w:val="16"/>
                <w:szCs w:val="16"/>
                <w:color w:val="auto"/>
                <w:w w:val="91"/>
              </w:rPr>
              <w:t>New York Stock Exchange</w:t>
            </w:r>
          </w:p>
        </w:tc>
      </w:tr>
    </w:tbl>
    <w:p>
      <w:pPr>
        <w:spacing w:after="0" w:line="190" w:lineRule="exact"/>
        <w:rPr>
          <w:sz w:val="24"/>
          <w:szCs w:val="24"/>
          <w:color w:val="auto"/>
        </w:rPr>
      </w:pPr>
    </w:p>
    <w:p>
      <w:pPr>
        <w:ind w:right="22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9" w:lineRule="exact"/>
        <w:rPr>
          <w:sz w:val="24"/>
          <w:szCs w:val="24"/>
          <w:color w:val="auto"/>
        </w:rPr>
      </w:pPr>
    </w:p>
    <w:p>
      <w:pPr>
        <w:ind w:left="3260"/>
        <w:spacing w:after="0" w:line="161" w:lineRule="exact"/>
        <w:tabs>
          <w:tab w:leader="none" w:pos="3760" w:val="left"/>
          <w:tab w:leader="none" w:pos="7220" w:val="left"/>
          <w:tab w:leader="none" w:pos="770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204"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19" w:lineRule="exact"/>
        <w:rPr>
          <w:sz w:val="24"/>
          <w:szCs w:val="24"/>
          <w:color w:val="auto"/>
        </w:rPr>
      </w:pPr>
    </w:p>
    <w:p>
      <w:pPr>
        <w:ind w:left="3260"/>
        <w:spacing w:after="0" w:line="161" w:lineRule="exact"/>
        <w:tabs>
          <w:tab w:leader="none" w:pos="3760" w:val="left"/>
          <w:tab w:leader="none" w:pos="7220" w:val="left"/>
          <w:tab w:leader="none" w:pos="770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204" w:lineRule="exact"/>
        <w:rPr>
          <w:sz w:val="24"/>
          <w:szCs w:val="24"/>
          <w:color w:val="auto"/>
        </w:rPr>
      </w:pPr>
    </w:p>
    <w:p>
      <w:pPr>
        <w:ind w:right="4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147"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8" w:lineRule="exact"/>
        <w:rPr>
          <w:sz w:val="24"/>
          <w:szCs w:val="24"/>
          <w:color w:val="auto"/>
        </w:rPr>
      </w:pPr>
    </w:p>
    <w:p>
      <w:pPr>
        <w:sectPr>
          <w:pgSz w:w="11900" w:h="16838" w:orient="portrait"/>
          <w:cols w:equalWidth="0" w:num="6">
            <w:col w:w="1380" w:space="500"/>
            <w:col w:w="180" w:space="400"/>
            <w:col w:w="1540" w:space="720"/>
            <w:col w:w="160" w:space="460"/>
            <w:col w:w="2260" w:space="720"/>
            <w:col w:w="2920"/>
          </w:cols>
          <w:pgMar w:left="320" w:top="1440" w:right="339" w:bottom="1440" w:gutter="0" w:footer="0" w:header="0"/>
          <w:type w:val="continuous"/>
        </w:sectPr>
      </w:pPr>
    </w:p>
    <w:p>
      <w:pPr>
        <w:spacing w:after="0" w:line="69"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8" w:lineRule="exact"/>
        <w:rPr>
          <w:sz w:val="24"/>
          <w:szCs w:val="24"/>
          <w:color w:val="auto"/>
        </w:rPr>
      </w:pPr>
    </w:p>
    <w:p>
      <w:pPr>
        <w:sectPr>
          <w:pgSz w:w="11900" w:h="16838" w:orient="portrait"/>
          <w:cols w:equalWidth="0" w:num="4">
            <w:col w:w="1320" w:space="560"/>
            <w:col w:w="180" w:space="400"/>
            <w:col w:w="1660" w:space="600"/>
            <w:col w:w="6520"/>
          </w:cols>
          <w:pgMar w:left="320" w:top="1440" w:right="339" w:bottom="1440" w:gutter="0" w:footer="0" w:header="0"/>
          <w:type w:val="continuous"/>
        </w:sectPr>
      </w:pPr>
    </w:p>
    <w:p>
      <w:pPr>
        <w:spacing w:after="0" w:line="150" w:lineRule="exact"/>
        <w:rPr>
          <w:sz w:val="24"/>
          <w:szCs w:val="24"/>
          <w:color w:val="auto"/>
        </w:rPr>
      </w:pPr>
    </w:p>
    <w:p>
      <w:pPr>
        <w:ind w:right="560"/>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30" w:lineRule="exact"/>
        <w:rPr>
          <w:sz w:val="20"/>
          <w:szCs w:val="20"/>
          <w:color w:val="auto"/>
        </w:rPr>
      </w:pPr>
    </w:p>
    <w:p>
      <w:pPr>
        <w:jc w:val="both"/>
        <w:ind w:left="3260"/>
        <w:spacing w:after="0" w:line="161" w:lineRule="exact"/>
        <w:tabs>
          <w:tab w:leader="none" w:pos="3760" w:val="left"/>
          <w:tab w:leader="none" w:pos="7220" w:val="left"/>
          <w:tab w:leader="none" w:pos="770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14,292,866 common shares outstanding as of April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color w:val="auto"/>
        </w:rPr>
        <w:t>CIVEO CORPORATION</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INDEX</w:t>
      </w:r>
    </w:p>
    <w:p>
      <w:pPr>
        <w:spacing w:after="0" w:line="149" w:lineRule="exact"/>
        <w:rPr>
          <w:sz w:val="20"/>
          <w:szCs w:val="20"/>
          <w:color w:val="auto"/>
        </w:rPr>
      </w:pPr>
    </w:p>
    <w:p>
      <w:pPr>
        <w:ind w:left="10460"/>
        <w:spacing w:after="0"/>
        <w:rPr>
          <w:sz w:val="20"/>
          <w:szCs w:val="20"/>
          <w:color w:val="auto"/>
        </w:rPr>
      </w:pPr>
      <w:r>
        <w:rPr>
          <w:rFonts w:ascii="Arial" w:cs="Arial" w:eastAsia="Arial" w:hAnsi="Arial"/>
          <w:sz w:val="14"/>
          <w:szCs w:val="14"/>
          <w:b w:val="1"/>
          <w:bCs w:val="1"/>
          <w:u w:val="single" w:color="auto"/>
          <w:color w:val="auto"/>
        </w:rPr>
        <w:t>Page No.</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15175" cy="120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15175" cy="120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 w:type="dxa"/>
            <w:vAlign w:val="bottom"/>
            <w:shd w:val="clear" w:color="auto" w:fill="CCEEFF"/>
          </w:tcPr>
          <w:p>
            <w:pPr>
              <w:spacing w:after="0"/>
              <w:rPr>
                <w:sz w:val="16"/>
                <w:szCs w:val="16"/>
                <w:color w:val="auto"/>
              </w:rPr>
            </w:pPr>
          </w:p>
        </w:tc>
        <w:tc>
          <w:tcPr>
            <w:tcW w:w="10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Consolidated Financial Statements</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48"/>
        </w:trPr>
        <w:tc>
          <w:tcPr>
            <w:tcW w:w="460" w:type="dxa"/>
            <w:vAlign w:val="bottom"/>
          </w:tcPr>
          <w:p>
            <w:pPr>
              <w:spacing w:after="0"/>
              <w:rPr>
                <w:sz w:val="12"/>
                <w:szCs w:val="12"/>
                <w:color w:val="auto"/>
              </w:rPr>
            </w:pP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Unaudited Consolidated Statements of Operations for the Three Months Ended March 31, 2021 and 2020</w:t>
            </w:r>
          </w:p>
        </w:tc>
        <w:tc>
          <w:tcPr>
            <w:tcW w:w="140" w:type="dxa"/>
            <w:vAlign w:val="bottom"/>
            <w:gridSpan w:val="2"/>
          </w:tcPr>
          <w:p>
            <w:pPr>
              <w:jc w:val="right"/>
              <w:spacing w:after="0" w:line="149" w:lineRule="exact"/>
              <w:rPr>
                <w:rFonts w:ascii="Arial" w:cs="Arial" w:eastAsia="Arial" w:hAnsi="Arial"/>
                <w:sz w:val="14"/>
                <w:szCs w:val="14"/>
                <w:color w:val="0000FF"/>
              </w:rPr>
            </w:pPr>
            <w:hyperlink w:anchor="page4">
              <w:r>
                <w:rPr>
                  <w:rFonts w:ascii="Arial" w:cs="Arial" w:eastAsia="Arial" w:hAnsi="Arial"/>
                  <w:sz w:val="14"/>
                  <w:szCs w:val="14"/>
                  <w:color w:val="0000FF"/>
                </w:rPr>
                <w:t>4</w:t>
              </w:r>
            </w:hyperlink>
          </w:p>
        </w:tc>
        <w:tc>
          <w:tcPr>
            <w:tcW w:w="20" w:type="dxa"/>
            <w:vAlign w:val="bottom"/>
          </w:tcPr>
          <w:p>
            <w:pPr>
              <w:spacing w:after="0"/>
              <w:rPr>
                <w:sz w:val="12"/>
                <w:szCs w:val="12"/>
                <w:color w:val="auto"/>
              </w:rPr>
            </w:pPr>
          </w:p>
        </w:tc>
      </w:tr>
      <w:tr>
        <w:trPr>
          <w:trHeight w:val="21"/>
        </w:trPr>
        <w:tc>
          <w:tcPr>
            <w:tcW w:w="46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60" w:type="dxa"/>
            <w:vAlign w:val="bottom"/>
            <w:tcBorders>
              <w:bottom w:val="single" w:sz="8" w:color="CCEEFF"/>
            </w:tcBorders>
            <w:shd w:val="clear" w:color="auto" w:fill="CCEEFF"/>
          </w:tcPr>
          <w:p>
            <w:pPr>
              <w:spacing w:after="0"/>
              <w:rPr>
                <w:sz w:val="14"/>
                <w:szCs w:val="14"/>
                <w:color w:val="auto"/>
              </w:rPr>
            </w:pPr>
          </w:p>
        </w:tc>
        <w:tc>
          <w:tcPr>
            <w:tcW w:w="10600" w:type="dxa"/>
            <w:vAlign w:val="bottom"/>
            <w:tcBorders>
              <w:bottom w:val="single" w:sz="8" w:color="CCEEFF"/>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Unaudited Consolidated Statements of Comprehensive Income (Loss) for the Three Months Ended March 31, 2021 and 2020</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0000FF"/>
            </w:tcBorders>
            <w:shd w:val="clear" w:color="auto" w:fill="CCEEFF"/>
          </w:tcPr>
          <w:p>
            <w:pPr>
              <w:jc w:val="right"/>
              <w:spacing w:after="0" w:line="149" w:lineRule="exact"/>
              <w:rPr>
                <w:rFonts w:ascii="Arial" w:cs="Arial" w:eastAsia="Arial" w:hAnsi="Arial"/>
                <w:sz w:val="14"/>
                <w:szCs w:val="14"/>
                <w:color w:val="0000FF"/>
                <w:w w:val="76"/>
              </w:rPr>
            </w:pPr>
            <w:hyperlink w:anchor="page4">
              <w:r>
                <w:rPr>
                  <w:rFonts w:ascii="Arial" w:cs="Arial" w:eastAsia="Arial" w:hAnsi="Arial"/>
                  <w:sz w:val="14"/>
                  <w:szCs w:val="14"/>
                  <w:color w:val="0000FF"/>
                  <w:w w:val="76"/>
                </w:rPr>
                <w:t>5</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Consolidated Balance Sheets – as of March 31, 2021 (unaudited) and December 31, 2020</w:t>
            </w:r>
          </w:p>
        </w:tc>
        <w:tc>
          <w:tcPr>
            <w:tcW w:w="140" w:type="dxa"/>
            <w:vAlign w:val="bottom"/>
            <w:gridSpan w:val="2"/>
          </w:tcPr>
          <w:p>
            <w:pPr>
              <w:jc w:val="right"/>
              <w:spacing w:after="0" w:line="149" w:lineRule="exact"/>
              <w:rPr>
                <w:rFonts w:ascii="Arial" w:cs="Arial" w:eastAsia="Arial" w:hAnsi="Arial"/>
                <w:sz w:val="14"/>
                <w:szCs w:val="14"/>
                <w:color w:val="0000FF"/>
              </w:rPr>
            </w:pPr>
            <w:hyperlink w:anchor="page5">
              <w:r>
                <w:rPr>
                  <w:rFonts w:ascii="Arial" w:cs="Arial" w:eastAsia="Arial" w:hAnsi="Arial"/>
                  <w:sz w:val="14"/>
                  <w:szCs w:val="14"/>
                  <w:color w:val="0000FF"/>
                </w:rPr>
                <w:t>6</w:t>
              </w:r>
            </w:hyperlink>
          </w:p>
        </w:tc>
        <w:tc>
          <w:tcPr>
            <w:tcW w:w="2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60" w:type="dxa"/>
            <w:vAlign w:val="bottom"/>
            <w:tcBorders>
              <w:bottom w:val="single" w:sz="8" w:color="CCEEFF"/>
            </w:tcBorders>
            <w:shd w:val="clear" w:color="auto" w:fill="CCEEFF"/>
          </w:tcPr>
          <w:p>
            <w:pPr>
              <w:spacing w:after="0"/>
              <w:rPr>
                <w:sz w:val="14"/>
                <w:szCs w:val="14"/>
                <w:color w:val="auto"/>
              </w:rPr>
            </w:pPr>
          </w:p>
        </w:tc>
        <w:tc>
          <w:tcPr>
            <w:tcW w:w="10600" w:type="dxa"/>
            <w:vAlign w:val="bottom"/>
            <w:tcBorders>
              <w:bottom w:val="single" w:sz="8" w:color="CCEEFF"/>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Unaudited Consolidated Statements of Changes in Shareholders’ Equity for the Three Months Ended March 31, 2021 and 2020</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0000FF"/>
            </w:tcBorders>
            <w:shd w:val="clear" w:color="auto" w:fill="CCEEFF"/>
          </w:tcPr>
          <w:p>
            <w:pPr>
              <w:jc w:val="right"/>
              <w:spacing w:after="0" w:line="149" w:lineRule="exact"/>
              <w:rPr>
                <w:rFonts w:ascii="Arial" w:cs="Arial" w:eastAsia="Arial" w:hAnsi="Arial"/>
                <w:sz w:val="14"/>
                <w:szCs w:val="14"/>
                <w:color w:val="0000FF"/>
                <w:w w:val="76"/>
              </w:rPr>
            </w:pPr>
            <w:hyperlink w:anchor="page6">
              <w:r>
                <w:rPr>
                  <w:rFonts w:ascii="Arial" w:cs="Arial" w:eastAsia="Arial" w:hAnsi="Arial"/>
                  <w:sz w:val="14"/>
                  <w:szCs w:val="14"/>
                  <w:color w:val="0000FF"/>
                  <w:w w:val="76"/>
                </w:rPr>
                <w:t>7</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148"/>
        </w:trPr>
        <w:tc>
          <w:tcPr>
            <w:tcW w:w="460" w:type="dxa"/>
            <w:vAlign w:val="bottom"/>
          </w:tcPr>
          <w:p>
            <w:pPr>
              <w:spacing w:after="0"/>
              <w:rPr>
                <w:sz w:val="12"/>
                <w:szCs w:val="12"/>
                <w:color w:val="auto"/>
              </w:rPr>
            </w:pP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Unaudited Consolidated Statements of Cash Flows for the Three Months Ended March 31, 2021 and 2020</w:t>
            </w:r>
          </w:p>
        </w:tc>
        <w:tc>
          <w:tcPr>
            <w:tcW w:w="140" w:type="dxa"/>
            <w:vAlign w:val="bottom"/>
            <w:gridSpan w:val="2"/>
          </w:tcPr>
          <w:p>
            <w:pPr>
              <w:jc w:val="right"/>
              <w:spacing w:after="0" w:line="149" w:lineRule="exact"/>
              <w:rPr>
                <w:rFonts w:ascii="Arial" w:cs="Arial" w:eastAsia="Arial" w:hAnsi="Arial"/>
                <w:sz w:val="14"/>
                <w:szCs w:val="14"/>
                <w:color w:val="0000FF"/>
              </w:rPr>
            </w:pPr>
            <w:hyperlink w:anchor="page7">
              <w:r>
                <w:rPr>
                  <w:rFonts w:ascii="Arial" w:cs="Arial" w:eastAsia="Arial" w:hAnsi="Arial"/>
                  <w:sz w:val="14"/>
                  <w:szCs w:val="14"/>
                  <w:color w:val="0000FF"/>
                </w:rPr>
                <w:t>8</w:t>
              </w:r>
            </w:hyperlink>
          </w:p>
        </w:tc>
        <w:tc>
          <w:tcPr>
            <w:tcW w:w="20" w:type="dxa"/>
            <w:vAlign w:val="bottom"/>
          </w:tcPr>
          <w:p>
            <w:pPr>
              <w:spacing w:after="0"/>
              <w:rPr>
                <w:sz w:val="12"/>
                <w:szCs w:val="12"/>
                <w:color w:val="auto"/>
              </w:rPr>
            </w:pPr>
          </w:p>
        </w:tc>
      </w:tr>
      <w:tr>
        <w:trPr>
          <w:trHeight w:val="21"/>
        </w:trPr>
        <w:tc>
          <w:tcPr>
            <w:tcW w:w="46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60" w:type="dxa"/>
            <w:vAlign w:val="bottom"/>
            <w:shd w:val="clear" w:color="auto" w:fill="CCEEFF"/>
          </w:tcPr>
          <w:p>
            <w:pPr>
              <w:spacing w:after="0"/>
              <w:rPr>
                <w:sz w:val="14"/>
                <w:szCs w:val="14"/>
                <w:color w:val="auto"/>
              </w:rPr>
            </w:pPr>
          </w:p>
        </w:tc>
        <w:tc>
          <w:tcPr>
            <w:tcW w:w="10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Notes to Unaudited Consolidated Financial Statements</w:t>
            </w:r>
          </w:p>
        </w:tc>
        <w:tc>
          <w:tcPr>
            <w:tcW w:w="140" w:type="dxa"/>
            <w:vAlign w:val="bottom"/>
            <w:gridSpan w:val="2"/>
            <w:shd w:val="clear" w:color="auto" w:fill="CCEEFF"/>
          </w:tcPr>
          <w:p>
            <w:pPr>
              <w:jc w:val="right"/>
              <w:spacing w:after="0" w:line="149" w:lineRule="exact"/>
              <w:rPr>
                <w:rFonts w:ascii="Arial" w:cs="Arial" w:eastAsia="Arial" w:hAnsi="Arial"/>
                <w:sz w:val="14"/>
                <w:szCs w:val="14"/>
                <w:color w:val="0000FF"/>
              </w:rPr>
            </w:pPr>
            <w:hyperlink w:anchor="page8">
              <w:r>
                <w:rPr>
                  <w:rFonts w:ascii="Arial" w:cs="Arial" w:eastAsia="Arial" w:hAnsi="Arial"/>
                  <w:sz w:val="14"/>
                  <w:szCs w:val="14"/>
                  <w:color w:val="0000FF"/>
                </w:rPr>
                <w:t>9</w:t>
              </w:r>
            </w:hyperlink>
          </w:p>
        </w:tc>
        <w:tc>
          <w:tcPr>
            <w:tcW w:w="20" w:type="dxa"/>
            <w:vAlign w:val="bottom"/>
            <w:shd w:val="clear" w:color="auto" w:fill="CCEEFF"/>
          </w:tcPr>
          <w:p>
            <w:pPr>
              <w:spacing w:after="0"/>
              <w:rPr>
                <w:sz w:val="14"/>
                <w:szCs w:val="14"/>
                <w:color w:val="auto"/>
              </w:rPr>
            </w:pPr>
          </w:p>
        </w:tc>
      </w:tr>
      <w:tr>
        <w:trPr>
          <w:trHeight w:val="216"/>
        </w:trPr>
        <w:tc>
          <w:tcPr>
            <w:tcW w:w="1106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4"/>
        </w:trPr>
        <w:tc>
          <w:tcPr>
            <w:tcW w:w="11060" w:type="dxa"/>
            <w:vAlign w:val="bottom"/>
            <w:tcBorders>
              <w:bottom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Cautionary Statement Regarding Forward-Looking Statements</w:t>
            </w:r>
          </w:p>
        </w:tc>
        <w:tc>
          <w:tcPr>
            <w:tcW w:w="140" w:type="dxa"/>
            <w:vAlign w:val="bottom"/>
            <w:tcBorders>
              <w:bottom w:val="single" w:sz="8" w:color="0000FF"/>
            </w:tcBorders>
            <w:gridSpan w:val="2"/>
            <w:shd w:val="clear" w:color="auto" w:fill="CCEEFF"/>
          </w:tcPr>
          <w:p>
            <w:pPr>
              <w:jc w:val="right"/>
              <w:spacing w:after="0" w:line="149" w:lineRule="exact"/>
              <w:rPr>
                <w:rFonts w:ascii="Arial" w:cs="Arial" w:eastAsia="Arial" w:hAnsi="Arial"/>
                <w:sz w:val="14"/>
                <w:szCs w:val="14"/>
                <w:color w:val="0000FF"/>
                <w:w w:val="76"/>
              </w:rPr>
            </w:pPr>
            <w:hyperlink w:anchor="page18">
              <w:r>
                <w:rPr>
                  <w:rFonts w:ascii="Arial" w:cs="Arial" w:eastAsia="Arial" w:hAnsi="Arial"/>
                  <w:sz w:val="14"/>
                  <w:szCs w:val="14"/>
                  <w:color w:val="0000FF"/>
                  <w:w w:val="76"/>
                </w:rPr>
                <w:t>19</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216"/>
        </w:trPr>
        <w:tc>
          <w:tcPr>
            <w:tcW w:w="1106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4"/>
        </w:trPr>
        <w:tc>
          <w:tcPr>
            <w:tcW w:w="11060" w:type="dxa"/>
            <w:vAlign w:val="bottom"/>
            <w:tcBorders>
              <w:bottom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40" w:type="dxa"/>
            <w:vAlign w:val="bottom"/>
            <w:tcBorders>
              <w:bottom w:val="single" w:sz="8" w:color="0000FF"/>
            </w:tcBorders>
            <w:gridSpan w:val="2"/>
            <w:shd w:val="clear" w:color="auto" w:fill="CCEEFF"/>
          </w:tcPr>
          <w:p>
            <w:pPr>
              <w:jc w:val="right"/>
              <w:spacing w:after="0" w:line="149" w:lineRule="exact"/>
              <w:rPr>
                <w:rFonts w:ascii="Arial" w:cs="Arial" w:eastAsia="Arial" w:hAnsi="Arial"/>
                <w:sz w:val="14"/>
                <w:szCs w:val="14"/>
                <w:color w:val="0000FF"/>
                <w:w w:val="76"/>
              </w:rPr>
            </w:pPr>
            <w:hyperlink w:anchor="page19">
              <w:r>
                <w:rPr>
                  <w:rFonts w:ascii="Arial" w:cs="Arial" w:eastAsia="Arial" w:hAnsi="Arial"/>
                  <w:sz w:val="14"/>
                  <w:szCs w:val="14"/>
                  <w:color w:val="0000FF"/>
                  <w:w w:val="76"/>
                </w:rPr>
                <w:t>19</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216"/>
        </w:trPr>
        <w:tc>
          <w:tcPr>
            <w:tcW w:w="1106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4"/>
        </w:trPr>
        <w:tc>
          <w:tcPr>
            <w:tcW w:w="11060" w:type="dxa"/>
            <w:vAlign w:val="bottom"/>
            <w:tcBorders>
              <w:bottom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Item 3.  Quantitative and Qualitative Disclosures About Market Risk</w:t>
            </w:r>
          </w:p>
        </w:tc>
        <w:tc>
          <w:tcPr>
            <w:tcW w:w="140" w:type="dxa"/>
            <w:vAlign w:val="bottom"/>
            <w:tcBorders>
              <w:bottom w:val="single" w:sz="8" w:color="0000FF"/>
            </w:tcBorders>
            <w:gridSpan w:val="2"/>
            <w:shd w:val="clear" w:color="auto" w:fill="CCEEFF"/>
          </w:tcPr>
          <w:p>
            <w:pPr>
              <w:jc w:val="right"/>
              <w:spacing w:after="0" w:line="149" w:lineRule="exact"/>
              <w:rPr>
                <w:rFonts w:ascii="Arial" w:cs="Arial" w:eastAsia="Arial" w:hAnsi="Arial"/>
                <w:sz w:val="14"/>
                <w:szCs w:val="14"/>
                <w:color w:val="0000FF"/>
                <w:w w:val="76"/>
              </w:rPr>
            </w:pPr>
            <w:hyperlink w:anchor="page30">
              <w:r>
                <w:rPr>
                  <w:rFonts w:ascii="Arial" w:cs="Arial" w:eastAsia="Arial" w:hAnsi="Arial"/>
                  <w:sz w:val="14"/>
                  <w:szCs w:val="14"/>
                  <w:color w:val="0000FF"/>
                  <w:w w:val="76"/>
                </w:rPr>
                <w:t>31</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216"/>
        </w:trPr>
        <w:tc>
          <w:tcPr>
            <w:tcW w:w="460" w:type="dxa"/>
            <w:vAlign w:val="bottom"/>
            <w:tcBorders>
              <w:top w:val="single" w:sz="8" w:color="CCEEFF"/>
            </w:tcBorders>
          </w:tcPr>
          <w:p>
            <w:pPr>
              <w:spacing w:after="0"/>
              <w:rPr>
                <w:sz w:val="18"/>
                <w:szCs w:val="18"/>
                <w:color w:val="auto"/>
              </w:rPr>
            </w:pPr>
          </w:p>
        </w:tc>
        <w:tc>
          <w:tcPr>
            <w:tcW w:w="10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4"/>
        </w:trPr>
        <w:tc>
          <w:tcPr>
            <w:tcW w:w="4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Item 4.</w:t>
            </w:r>
          </w:p>
        </w:tc>
        <w:tc>
          <w:tcPr>
            <w:tcW w:w="10600" w:type="dxa"/>
            <w:vAlign w:val="bottom"/>
            <w:tcBorders>
              <w:bottom w:val="single" w:sz="8" w:color="CCEEFF"/>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Controls and Procedures</w:t>
            </w:r>
          </w:p>
        </w:tc>
        <w:tc>
          <w:tcPr>
            <w:tcW w:w="140" w:type="dxa"/>
            <w:vAlign w:val="bottom"/>
            <w:tcBorders>
              <w:bottom w:val="single" w:sz="8" w:color="0000FF"/>
            </w:tcBorders>
            <w:gridSpan w:val="2"/>
            <w:shd w:val="clear" w:color="auto" w:fill="CCEEFF"/>
          </w:tcPr>
          <w:p>
            <w:pPr>
              <w:jc w:val="right"/>
              <w:spacing w:after="0" w:line="149" w:lineRule="exact"/>
              <w:rPr>
                <w:rFonts w:ascii="Arial" w:cs="Arial" w:eastAsia="Arial" w:hAnsi="Arial"/>
                <w:sz w:val="14"/>
                <w:szCs w:val="14"/>
                <w:color w:val="0000FF"/>
                <w:w w:val="76"/>
              </w:rPr>
            </w:pPr>
            <w:hyperlink w:anchor="page31">
              <w:r>
                <w:rPr>
                  <w:rFonts w:ascii="Arial" w:cs="Arial" w:eastAsia="Arial" w:hAnsi="Arial"/>
                  <w:sz w:val="14"/>
                  <w:szCs w:val="14"/>
                  <w:color w:val="0000FF"/>
                  <w:w w:val="76"/>
                </w:rPr>
                <w:t>31</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216"/>
        </w:trPr>
        <w:tc>
          <w:tcPr>
            <w:tcW w:w="460" w:type="dxa"/>
            <w:vAlign w:val="bottom"/>
            <w:tcBorders>
              <w:top w:val="single" w:sz="8" w:color="CCEEFF"/>
            </w:tcBorders>
          </w:tcPr>
          <w:p>
            <w:pPr>
              <w:spacing w:after="0"/>
              <w:rPr>
                <w:sz w:val="18"/>
                <w:szCs w:val="18"/>
                <w:color w:val="auto"/>
              </w:rPr>
            </w:pPr>
          </w:p>
        </w:tc>
        <w:tc>
          <w:tcPr>
            <w:tcW w:w="10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460" w:type="dxa"/>
            <w:vAlign w:val="bottom"/>
            <w:shd w:val="clear" w:color="auto" w:fill="CCEEFF"/>
          </w:tcPr>
          <w:p>
            <w:pPr>
              <w:spacing w:after="0"/>
              <w:rPr>
                <w:sz w:val="18"/>
                <w:szCs w:val="18"/>
                <w:color w:val="auto"/>
              </w:rPr>
            </w:pPr>
          </w:p>
        </w:tc>
        <w:tc>
          <w:tcPr>
            <w:tcW w:w="10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6"/>
        </w:trPr>
        <w:tc>
          <w:tcPr>
            <w:tcW w:w="460" w:type="dxa"/>
            <w:vAlign w:val="bottom"/>
          </w:tcPr>
          <w:p>
            <w:pPr>
              <w:spacing w:after="0"/>
              <w:rPr>
                <w:sz w:val="16"/>
                <w:szCs w:val="16"/>
                <w:color w:val="auto"/>
              </w:rPr>
            </w:pPr>
          </w:p>
        </w:tc>
        <w:tc>
          <w:tcPr>
            <w:tcW w:w="10600" w:type="dxa"/>
            <w:vAlign w:val="bottom"/>
          </w:tcPr>
          <w:p>
            <w:pPr>
              <w:ind w:left="980"/>
              <w:spacing w:after="0"/>
              <w:rPr>
                <w:sz w:val="20"/>
                <w:szCs w:val="20"/>
                <w:color w:val="auto"/>
              </w:rPr>
            </w:pPr>
            <w:r>
              <w:rPr>
                <w:rFonts w:ascii="Arial" w:cs="Arial" w:eastAsia="Arial" w:hAnsi="Arial"/>
                <w:sz w:val="14"/>
                <w:szCs w:val="14"/>
                <w:color w:val="auto"/>
              </w:rPr>
              <w:t>Part II -- OTHER INFORMATION</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460" w:type="dxa"/>
            <w:vAlign w:val="bottom"/>
            <w:shd w:val="clear" w:color="auto" w:fill="CCEEFF"/>
          </w:tcPr>
          <w:p>
            <w:pPr>
              <w:spacing w:after="0"/>
              <w:rPr>
                <w:sz w:val="19"/>
                <w:szCs w:val="19"/>
                <w:color w:val="auto"/>
              </w:rPr>
            </w:pPr>
          </w:p>
        </w:tc>
        <w:tc>
          <w:tcPr>
            <w:tcW w:w="10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48"/>
        </w:trPr>
        <w:tc>
          <w:tcPr>
            <w:tcW w:w="460" w:type="dxa"/>
            <w:vAlign w:val="bottom"/>
          </w:tcPr>
          <w:p>
            <w:pPr>
              <w:ind w:left="20"/>
              <w:spacing w:after="0" w:line="149" w:lineRule="exact"/>
              <w:rPr>
                <w:sz w:val="20"/>
                <w:szCs w:val="20"/>
                <w:color w:val="auto"/>
              </w:rPr>
            </w:pPr>
            <w:r>
              <w:rPr>
                <w:rFonts w:ascii="Arial" w:cs="Arial" w:eastAsia="Arial" w:hAnsi="Arial"/>
                <w:sz w:val="14"/>
                <w:szCs w:val="14"/>
                <w:color w:val="auto"/>
                <w:w w:val="98"/>
              </w:rPr>
              <w:t>Item 1.</w:t>
            </w:r>
          </w:p>
        </w:tc>
        <w:tc>
          <w:tcPr>
            <w:tcW w:w="10600" w:type="dxa"/>
            <w:vAlign w:val="bottom"/>
          </w:tcPr>
          <w:p>
            <w:pPr>
              <w:ind w:left="160"/>
              <w:spacing w:after="0" w:line="149" w:lineRule="exact"/>
              <w:rPr>
                <w:sz w:val="20"/>
                <w:szCs w:val="20"/>
                <w:color w:val="auto"/>
              </w:rPr>
            </w:pPr>
            <w:r>
              <w:rPr>
                <w:rFonts w:ascii="Arial" w:cs="Arial" w:eastAsia="Arial" w:hAnsi="Arial"/>
                <w:sz w:val="14"/>
                <w:szCs w:val="14"/>
                <w:color w:val="auto"/>
              </w:rPr>
              <w:t>Legal Proceedings</w:t>
            </w:r>
          </w:p>
        </w:tc>
        <w:tc>
          <w:tcPr>
            <w:tcW w:w="140" w:type="dxa"/>
            <w:vAlign w:val="bottom"/>
            <w:tcBorders>
              <w:bottom w:val="single" w:sz="8" w:color="0000FF"/>
            </w:tcBorders>
            <w:gridSpan w:val="2"/>
          </w:tcPr>
          <w:p>
            <w:pPr>
              <w:jc w:val="right"/>
              <w:spacing w:after="0" w:line="149" w:lineRule="exact"/>
              <w:rPr>
                <w:rFonts w:ascii="Arial" w:cs="Arial" w:eastAsia="Arial" w:hAnsi="Arial"/>
                <w:sz w:val="14"/>
                <w:szCs w:val="14"/>
                <w:color w:val="0000FF"/>
                <w:w w:val="76"/>
              </w:rPr>
            </w:pPr>
            <w:hyperlink w:anchor="page32">
              <w:r>
                <w:rPr>
                  <w:rFonts w:ascii="Arial" w:cs="Arial" w:eastAsia="Arial" w:hAnsi="Arial"/>
                  <w:sz w:val="14"/>
                  <w:szCs w:val="14"/>
                  <w:color w:val="0000FF"/>
                  <w:w w:val="76"/>
                </w:rPr>
                <w:t>32</w:t>
              </w:r>
            </w:hyperlink>
          </w:p>
        </w:tc>
        <w:tc>
          <w:tcPr>
            <w:tcW w:w="2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0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8"/>
        </w:trPr>
        <w:tc>
          <w:tcPr>
            <w:tcW w:w="11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Item 1A. Risk Factors</w:t>
            </w:r>
          </w:p>
        </w:tc>
        <w:tc>
          <w:tcPr>
            <w:tcW w:w="140" w:type="dxa"/>
            <w:vAlign w:val="bottom"/>
            <w:tcBorders>
              <w:bottom w:val="single" w:sz="8" w:color="0000FF"/>
            </w:tcBorders>
            <w:gridSpan w:val="2"/>
          </w:tcPr>
          <w:p>
            <w:pPr>
              <w:jc w:val="right"/>
              <w:spacing w:after="0" w:line="149" w:lineRule="exact"/>
              <w:rPr>
                <w:rFonts w:ascii="Arial" w:cs="Arial" w:eastAsia="Arial" w:hAnsi="Arial"/>
                <w:sz w:val="14"/>
                <w:szCs w:val="14"/>
                <w:color w:val="0000FF"/>
                <w:w w:val="76"/>
              </w:rPr>
            </w:pPr>
            <w:hyperlink w:anchor="page32">
              <w:r>
                <w:rPr>
                  <w:rFonts w:ascii="Arial" w:cs="Arial" w:eastAsia="Arial" w:hAnsi="Arial"/>
                  <w:sz w:val="14"/>
                  <w:szCs w:val="14"/>
                  <w:color w:val="0000FF"/>
                  <w:w w:val="76"/>
                </w:rPr>
                <w:t>32</w:t>
              </w:r>
            </w:hyperlink>
          </w:p>
        </w:tc>
        <w:tc>
          <w:tcPr>
            <w:tcW w:w="2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10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9"/>
        </w:trPr>
        <w:tc>
          <w:tcPr>
            <w:tcW w:w="460" w:type="dxa"/>
            <w:vAlign w:val="bottom"/>
          </w:tcPr>
          <w:p>
            <w:pPr>
              <w:ind w:left="20"/>
              <w:spacing w:after="0" w:line="149" w:lineRule="exact"/>
              <w:rPr>
                <w:sz w:val="20"/>
                <w:szCs w:val="20"/>
                <w:color w:val="auto"/>
              </w:rPr>
            </w:pPr>
            <w:r>
              <w:rPr>
                <w:rFonts w:ascii="Arial" w:cs="Arial" w:eastAsia="Arial" w:hAnsi="Arial"/>
                <w:sz w:val="14"/>
                <w:szCs w:val="14"/>
                <w:color w:val="auto"/>
                <w:w w:val="98"/>
              </w:rPr>
              <w:t>Item 2.</w:t>
            </w:r>
          </w:p>
        </w:tc>
        <w:tc>
          <w:tcPr>
            <w:tcW w:w="10600" w:type="dxa"/>
            <w:vAlign w:val="bottom"/>
          </w:tcPr>
          <w:p>
            <w:pPr>
              <w:ind w:left="40"/>
              <w:spacing w:after="0" w:line="149" w:lineRule="exact"/>
              <w:rPr>
                <w:sz w:val="20"/>
                <w:szCs w:val="20"/>
                <w:color w:val="auto"/>
              </w:rPr>
            </w:pPr>
            <w:r>
              <w:rPr>
                <w:rFonts w:ascii="Arial" w:cs="Arial" w:eastAsia="Arial" w:hAnsi="Arial"/>
                <w:sz w:val="14"/>
                <w:szCs w:val="14"/>
                <w:color w:val="auto"/>
              </w:rPr>
              <w:t>Unregistered Sales of Equity Securities and Use of Proceeds</w:t>
            </w:r>
          </w:p>
        </w:tc>
        <w:tc>
          <w:tcPr>
            <w:tcW w:w="140" w:type="dxa"/>
            <w:vAlign w:val="bottom"/>
            <w:tcBorders>
              <w:bottom w:val="single" w:sz="8" w:color="0000FF"/>
            </w:tcBorders>
            <w:gridSpan w:val="2"/>
          </w:tcPr>
          <w:p>
            <w:pPr>
              <w:jc w:val="right"/>
              <w:spacing w:after="0" w:line="149" w:lineRule="exact"/>
              <w:rPr>
                <w:rFonts w:ascii="Arial" w:cs="Arial" w:eastAsia="Arial" w:hAnsi="Arial"/>
                <w:sz w:val="14"/>
                <w:szCs w:val="14"/>
                <w:color w:val="0000FF"/>
                <w:w w:val="76"/>
              </w:rPr>
            </w:pPr>
            <w:hyperlink w:anchor="page32">
              <w:r>
                <w:rPr>
                  <w:rFonts w:ascii="Arial" w:cs="Arial" w:eastAsia="Arial" w:hAnsi="Arial"/>
                  <w:sz w:val="14"/>
                  <w:szCs w:val="14"/>
                  <w:color w:val="0000FF"/>
                  <w:w w:val="76"/>
                </w:rPr>
                <w:t>32</w:t>
              </w:r>
            </w:hyperlink>
          </w:p>
        </w:tc>
        <w:tc>
          <w:tcPr>
            <w:tcW w:w="2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10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9"/>
        </w:trPr>
        <w:tc>
          <w:tcPr>
            <w:tcW w:w="460" w:type="dxa"/>
            <w:vAlign w:val="bottom"/>
          </w:tcPr>
          <w:p>
            <w:pPr>
              <w:ind w:left="20"/>
              <w:spacing w:after="0" w:line="149" w:lineRule="exact"/>
              <w:rPr>
                <w:sz w:val="20"/>
                <w:szCs w:val="20"/>
                <w:color w:val="auto"/>
              </w:rPr>
            </w:pPr>
            <w:r>
              <w:rPr>
                <w:rFonts w:ascii="Arial" w:cs="Arial" w:eastAsia="Arial" w:hAnsi="Arial"/>
                <w:sz w:val="14"/>
                <w:szCs w:val="14"/>
                <w:color w:val="auto"/>
                <w:w w:val="98"/>
              </w:rPr>
              <w:t>Item 6.</w:t>
            </w:r>
          </w:p>
        </w:tc>
        <w:tc>
          <w:tcPr>
            <w:tcW w:w="10600" w:type="dxa"/>
            <w:vAlign w:val="bottom"/>
          </w:tcPr>
          <w:p>
            <w:pPr>
              <w:ind w:left="160"/>
              <w:spacing w:after="0" w:line="149" w:lineRule="exact"/>
              <w:rPr>
                <w:sz w:val="20"/>
                <w:szCs w:val="20"/>
                <w:color w:val="auto"/>
              </w:rPr>
            </w:pPr>
            <w:r>
              <w:rPr>
                <w:rFonts w:ascii="Arial" w:cs="Arial" w:eastAsia="Arial" w:hAnsi="Arial"/>
                <w:sz w:val="14"/>
                <w:szCs w:val="14"/>
                <w:color w:val="auto"/>
              </w:rPr>
              <w:t>Exhibits</w:t>
            </w:r>
          </w:p>
        </w:tc>
        <w:tc>
          <w:tcPr>
            <w:tcW w:w="140" w:type="dxa"/>
            <w:vAlign w:val="bottom"/>
            <w:tcBorders>
              <w:bottom w:val="single" w:sz="8" w:color="0000FF"/>
            </w:tcBorders>
            <w:gridSpan w:val="2"/>
          </w:tcPr>
          <w:p>
            <w:pPr>
              <w:jc w:val="right"/>
              <w:spacing w:after="0" w:line="149" w:lineRule="exact"/>
              <w:rPr>
                <w:rFonts w:ascii="Arial" w:cs="Arial" w:eastAsia="Arial" w:hAnsi="Arial"/>
                <w:sz w:val="14"/>
                <w:szCs w:val="14"/>
                <w:color w:val="0000FF"/>
                <w:w w:val="76"/>
              </w:rPr>
            </w:pPr>
            <w:hyperlink w:anchor="page32">
              <w:r>
                <w:rPr>
                  <w:rFonts w:ascii="Arial" w:cs="Arial" w:eastAsia="Arial" w:hAnsi="Arial"/>
                  <w:sz w:val="14"/>
                  <w:szCs w:val="14"/>
                  <w:color w:val="0000FF"/>
                  <w:w w:val="76"/>
                </w:rPr>
                <w:t>33</w:t>
              </w:r>
            </w:hyperlink>
          </w:p>
        </w:tc>
        <w:tc>
          <w:tcPr>
            <w:tcW w:w="2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10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9"/>
        </w:trPr>
        <w:tc>
          <w:tcPr>
            <w:tcW w:w="460" w:type="dxa"/>
            <w:vAlign w:val="bottom"/>
          </w:tcPr>
          <w:p>
            <w:pPr>
              <w:spacing w:after="0"/>
              <w:rPr>
                <w:sz w:val="12"/>
                <w:szCs w:val="12"/>
                <w:color w:val="auto"/>
              </w:rPr>
            </w:pPr>
          </w:p>
        </w:tc>
        <w:tc>
          <w:tcPr>
            <w:tcW w:w="10600" w:type="dxa"/>
            <w:vAlign w:val="bottom"/>
          </w:tcPr>
          <w:p>
            <w:pPr>
              <w:ind w:left="340"/>
              <w:spacing w:after="0" w:line="149" w:lineRule="exact"/>
              <w:rPr>
                <w:sz w:val="20"/>
                <w:szCs w:val="20"/>
                <w:color w:val="auto"/>
              </w:rPr>
            </w:pPr>
            <w:r>
              <w:rPr>
                <w:rFonts w:ascii="Arial" w:cs="Arial" w:eastAsia="Arial" w:hAnsi="Arial"/>
                <w:sz w:val="14"/>
                <w:szCs w:val="14"/>
                <w:color w:val="auto"/>
              </w:rPr>
              <w:t>(a) Index of Exhibits</w:t>
            </w:r>
          </w:p>
        </w:tc>
        <w:tc>
          <w:tcPr>
            <w:tcW w:w="140" w:type="dxa"/>
            <w:vAlign w:val="bottom"/>
            <w:tcBorders>
              <w:bottom w:val="single" w:sz="8" w:color="0000FF"/>
            </w:tcBorders>
            <w:gridSpan w:val="2"/>
          </w:tcPr>
          <w:p>
            <w:pPr>
              <w:jc w:val="right"/>
              <w:spacing w:after="0" w:line="149" w:lineRule="exact"/>
              <w:rPr>
                <w:rFonts w:ascii="Arial" w:cs="Arial" w:eastAsia="Arial" w:hAnsi="Arial"/>
                <w:sz w:val="14"/>
                <w:szCs w:val="14"/>
                <w:color w:val="0000FF"/>
                <w:w w:val="76"/>
              </w:rPr>
            </w:pPr>
            <w:hyperlink w:anchor="page32">
              <w:r>
                <w:rPr>
                  <w:rFonts w:ascii="Arial" w:cs="Arial" w:eastAsia="Arial" w:hAnsi="Arial"/>
                  <w:sz w:val="14"/>
                  <w:szCs w:val="14"/>
                  <w:color w:val="0000FF"/>
                  <w:w w:val="76"/>
                </w:rPr>
                <w:t>33</w:t>
              </w:r>
            </w:hyperlink>
          </w:p>
        </w:tc>
        <w:tc>
          <w:tcPr>
            <w:tcW w:w="2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0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9"/>
        </w:trPr>
        <w:tc>
          <w:tcPr>
            <w:tcW w:w="11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Signature Page</w:t>
            </w:r>
          </w:p>
        </w:tc>
        <w:tc>
          <w:tcPr>
            <w:tcW w:w="140" w:type="dxa"/>
            <w:vAlign w:val="bottom"/>
            <w:tcBorders>
              <w:bottom w:val="single" w:sz="8" w:color="0000FF"/>
            </w:tcBorders>
            <w:gridSpan w:val="2"/>
          </w:tcPr>
          <w:p>
            <w:pPr>
              <w:jc w:val="right"/>
              <w:spacing w:after="0" w:line="149" w:lineRule="exact"/>
              <w:rPr>
                <w:rFonts w:ascii="Arial" w:cs="Arial" w:eastAsia="Arial" w:hAnsi="Arial"/>
                <w:sz w:val="14"/>
                <w:szCs w:val="14"/>
                <w:color w:val="0000FF"/>
                <w:w w:val="76"/>
              </w:rPr>
            </w:pPr>
            <w:hyperlink w:anchor="page33">
              <w:r>
                <w:rPr>
                  <w:rFonts w:ascii="Arial" w:cs="Arial" w:eastAsia="Arial" w:hAnsi="Arial"/>
                  <w:sz w:val="14"/>
                  <w:szCs w:val="14"/>
                  <w:color w:val="0000FF"/>
                  <w:w w:val="76"/>
                </w:rPr>
                <w:t>34</w:t>
              </w:r>
            </w:hyperlink>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27"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Three Months Ended</w:t>
      </w:r>
    </w:p>
    <w:p>
      <w:pPr>
        <w:jc w:val="center"/>
        <w:ind w:left="60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1400" w:type="dxa"/>
        <w:tblCellMar>
          <w:top w:w="0" w:type="dxa"/>
          <w:left w:w="0" w:type="dxa"/>
          <w:bottom w:w="0" w:type="dxa"/>
          <w:right w:w="0" w:type="dxa"/>
        </w:tblCellMar>
      </w:tblPr>
      <w:tr>
        <w:trPr>
          <w:trHeight w:val="193"/>
        </w:trPr>
        <w:tc>
          <w:tcPr>
            <w:tcW w:w="60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4"/>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6"/>
        </w:trPr>
        <w:tc>
          <w:tcPr>
            <w:tcW w:w="6060" w:type="dxa"/>
            <w:vAlign w:val="bottom"/>
          </w:tcPr>
          <w:p>
            <w:pPr>
              <w:ind w:left="140"/>
              <w:spacing w:after="0"/>
              <w:rPr>
                <w:sz w:val="20"/>
                <w:szCs w:val="20"/>
                <w:color w:val="auto"/>
              </w:rPr>
            </w:pPr>
            <w:r>
              <w:rPr>
                <w:rFonts w:ascii="Arial" w:cs="Arial" w:eastAsia="Arial" w:hAnsi="Arial"/>
                <w:sz w:val="14"/>
                <w:szCs w:val="14"/>
                <w:color w:val="auto"/>
              </w:rPr>
              <w:t>Service and other</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121,996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129,399</w:t>
            </w:r>
          </w:p>
        </w:tc>
      </w:tr>
      <w:tr>
        <w:trPr>
          <w:trHeight w:val="192"/>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Rental</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6,179</w:t>
            </w:r>
          </w:p>
        </w:tc>
      </w:tr>
      <w:tr>
        <w:trPr>
          <w:trHeight w:val="186"/>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Product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3,214</w:t>
            </w:r>
          </w:p>
        </w:tc>
      </w:tr>
      <w:tr>
        <w:trPr>
          <w:trHeight w:val="186"/>
        </w:trPr>
        <w:tc>
          <w:tcPr>
            <w:tcW w:w="60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125,430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138,792</w:t>
            </w:r>
          </w:p>
        </w:tc>
      </w:tr>
      <w:tr>
        <w:trPr>
          <w:trHeight w:val="166"/>
        </w:trPr>
        <w:tc>
          <w:tcPr>
            <w:tcW w:w="6060" w:type="dxa"/>
            <w:vAlign w:val="bottom"/>
          </w:tcPr>
          <w:p>
            <w:pPr>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2"/>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and other costs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96,462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96,044</w:t>
            </w:r>
          </w:p>
        </w:tc>
      </w:tr>
      <w:tr>
        <w:trPr>
          <w:trHeight w:val="186"/>
        </w:trPr>
        <w:tc>
          <w:tcPr>
            <w:tcW w:w="6060" w:type="dxa"/>
            <w:vAlign w:val="bottom"/>
          </w:tcPr>
          <w:p>
            <w:pPr>
              <w:ind w:left="140"/>
              <w:spacing w:after="0"/>
              <w:rPr>
                <w:sz w:val="20"/>
                <w:szCs w:val="20"/>
                <w:color w:val="auto"/>
              </w:rPr>
            </w:pPr>
            <w:r>
              <w:rPr>
                <w:rFonts w:ascii="Arial" w:cs="Arial" w:eastAsia="Arial" w:hAnsi="Arial"/>
                <w:sz w:val="14"/>
                <w:szCs w:val="14"/>
                <w:color w:val="auto"/>
              </w:rPr>
              <w:t>Rental costs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2,970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4,813</w:t>
            </w:r>
          </w:p>
        </w:tc>
      </w:tr>
      <w:tr>
        <w:trPr>
          <w:trHeight w:val="192"/>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Product costs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r>
      <w:tr>
        <w:trPr>
          <w:trHeight w:val="186"/>
        </w:trPr>
        <w:tc>
          <w:tcPr>
            <w:tcW w:w="606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14,181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13,937</w:t>
            </w:r>
          </w:p>
        </w:tc>
      </w:tr>
      <w:tr>
        <w:trPr>
          <w:trHeight w:val="192"/>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25,502</w:t>
            </w:r>
          </w:p>
        </w:tc>
      </w:tr>
      <w:tr>
        <w:trPr>
          <w:trHeight w:val="186"/>
        </w:trPr>
        <w:tc>
          <w:tcPr>
            <w:tcW w:w="6060" w:type="dxa"/>
            <w:vAlign w:val="bottom"/>
          </w:tcPr>
          <w:p>
            <w:pPr>
              <w:ind w:left="140"/>
              <w:spacing w:after="0"/>
              <w:rPr>
                <w:sz w:val="20"/>
                <w:szCs w:val="20"/>
                <w:color w:val="auto"/>
              </w:rPr>
            </w:pPr>
            <w:r>
              <w:rPr>
                <w:rFonts w:ascii="Arial" w:cs="Arial" w:eastAsia="Arial" w:hAnsi="Arial"/>
                <w:sz w:val="14"/>
                <w:szCs w:val="14"/>
                <w:color w:val="auto"/>
              </w:rPr>
              <w:t>Impairment expense</w:t>
            </w:r>
          </w:p>
        </w:tc>
        <w:tc>
          <w:tcPr>
            <w:tcW w:w="2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144,120</w:t>
            </w:r>
          </w:p>
        </w:tc>
      </w:tr>
      <w:tr>
        <w:trPr>
          <w:trHeight w:val="189"/>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operating expense</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w:t>
            </w:r>
          </w:p>
        </w:tc>
      </w:tr>
      <w:tr>
        <w:trPr>
          <w:trHeight w:val="183"/>
        </w:trPr>
        <w:tc>
          <w:tcPr>
            <w:tcW w:w="60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135,331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287,861</w:t>
            </w:r>
          </w:p>
        </w:tc>
      </w:tr>
      <w:tr>
        <w:trPr>
          <w:trHeight w:val="186"/>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Operating loss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(149,069)</w:t>
            </w:r>
          </w:p>
        </w:tc>
      </w:tr>
      <w:tr>
        <w:trPr>
          <w:trHeight w:val="216"/>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9"/>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(5,595)</w:t>
            </w:r>
          </w:p>
        </w:tc>
      </w:tr>
      <w:tr>
        <w:trPr>
          <w:trHeight w:val="186"/>
        </w:trPr>
        <w:tc>
          <w:tcPr>
            <w:tcW w:w="6060" w:type="dxa"/>
            <w:vAlign w:val="bottom"/>
          </w:tcPr>
          <w:p>
            <w:pPr>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92"/>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79"/>
        </w:trPr>
        <w:tc>
          <w:tcPr>
            <w:tcW w:w="6060" w:type="dxa"/>
            <w:vAlign w:val="bottom"/>
          </w:tcPr>
          <w:p>
            <w:pPr>
              <w:ind w:left="140"/>
              <w:spacing w:after="0"/>
              <w:rPr>
                <w:sz w:val="20"/>
                <w:szCs w:val="20"/>
                <w:color w:val="auto"/>
              </w:rPr>
            </w:pPr>
            <w:r>
              <w:rPr>
                <w:rFonts w:ascii="Arial" w:cs="Arial" w:eastAsia="Arial" w:hAnsi="Arial"/>
                <w:sz w:val="14"/>
                <w:szCs w:val="14"/>
                <w:color w:val="auto"/>
              </w:rPr>
              <w:t>Loss before income taxes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(8,349)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(154,623)</w:t>
            </w:r>
          </w:p>
        </w:tc>
      </w:tr>
      <w:tr>
        <w:trPr>
          <w:trHeight w:val="192"/>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 benefit</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8,811</w:t>
            </w:r>
          </w:p>
        </w:tc>
      </w:tr>
      <w:tr>
        <w:trPr>
          <w:trHeight w:val="179"/>
        </w:trPr>
        <w:tc>
          <w:tcPr>
            <w:tcW w:w="6060" w:type="dxa"/>
            <w:vAlign w:val="bottom"/>
          </w:tcPr>
          <w:p>
            <w:pPr>
              <w:spacing w:after="0"/>
              <w:rPr>
                <w:sz w:val="20"/>
                <w:szCs w:val="20"/>
                <w:color w:val="auto"/>
              </w:rPr>
            </w:pPr>
            <w:r>
              <w:rPr>
                <w:rFonts w:ascii="Arial" w:cs="Arial" w:eastAsia="Arial" w:hAnsi="Arial"/>
                <w:sz w:val="14"/>
                <w:szCs w:val="14"/>
                <w:color w:val="auto"/>
              </w:rPr>
              <w:t>Net loss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(145,812)</w:t>
            </w:r>
          </w:p>
        </w:tc>
      </w:tr>
      <w:tr>
        <w:trPr>
          <w:trHeight w:val="192"/>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Net income attributable to noncontrolling interest</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r>
      <w:tr>
        <w:trPr>
          <w:trHeight w:val="179"/>
        </w:trPr>
        <w:tc>
          <w:tcPr>
            <w:tcW w:w="6060" w:type="dxa"/>
            <w:vAlign w:val="bottom"/>
          </w:tcPr>
          <w:p>
            <w:pPr>
              <w:spacing w:after="0"/>
              <w:rPr>
                <w:sz w:val="20"/>
                <w:szCs w:val="20"/>
                <w:color w:val="auto"/>
              </w:rPr>
            </w:pPr>
            <w:r>
              <w:rPr>
                <w:rFonts w:ascii="Arial" w:cs="Arial" w:eastAsia="Arial" w:hAnsi="Arial"/>
                <w:sz w:val="14"/>
                <w:szCs w:val="14"/>
                <w:color w:val="auto"/>
              </w:rPr>
              <w:t>Net loss attributable to Civeo Corporation</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(9,484)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(146,070)</w:t>
            </w:r>
          </w:p>
        </w:tc>
      </w:tr>
      <w:tr>
        <w:trPr>
          <w:trHeight w:val="189"/>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Dividends attributable to Class A preferred shares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w:t>
            </w:r>
          </w:p>
        </w:tc>
      </w:tr>
      <w:tr>
        <w:trPr>
          <w:trHeight w:val="186"/>
        </w:trPr>
        <w:tc>
          <w:tcPr>
            <w:tcW w:w="6060" w:type="dxa"/>
            <w:vAlign w:val="bottom"/>
          </w:tcPr>
          <w:p>
            <w:pPr>
              <w:spacing w:after="0"/>
              <w:rPr>
                <w:sz w:val="20"/>
                <w:szCs w:val="20"/>
                <w:color w:val="auto"/>
              </w:rPr>
            </w:pPr>
            <w:r>
              <w:rPr>
                <w:rFonts w:ascii="Arial" w:cs="Arial" w:eastAsia="Arial" w:hAnsi="Arial"/>
                <w:sz w:val="14"/>
                <w:szCs w:val="14"/>
                <w:color w:val="auto"/>
              </w:rPr>
              <w:t>Net loss attributable to Civeo common shareholders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(9,962)</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(146,538)</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6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16"/>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9"/>
        </w:trPr>
        <w:tc>
          <w:tcPr>
            <w:tcW w:w="6060" w:type="dxa"/>
            <w:vAlign w:val="bottom"/>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 xml:space="preserve">Per Share Data (see Note 7) </w:t>
            </w:r>
            <w:r>
              <w:rPr>
                <w:rFonts w:ascii="Arial" w:cs="Arial" w:eastAsia="Arial" w:hAnsi="Arial"/>
                <w:sz w:val="18"/>
                <w:szCs w:val="18"/>
                <w:b w:val="1"/>
                <w:bCs w:val="1"/>
                <w:color w:val="auto"/>
                <w:vertAlign w:val="superscript"/>
              </w:rPr>
              <w:t>(1)</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6"/>
        </w:trPr>
        <w:tc>
          <w:tcPr>
            <w:tcW w:w="6060" w:type="dxa"/>
            <w:vAlign w:val="bottom"/>
          </w:tcPr>
          <w:p>
            <w:pPr>
              <w:spacing w:after="0"/>
              <w:rPr>
                <w:sz w:val="20"/>
                <w:szCs w:val="20"/>
                <w:color w:val="auto"/>
              </w:rPr>
            </w:pPr>
            <w:r>
              <w:rPr>
                <w:rFonts w:ascii="Arial" w:cs="Arial" w:eastAsia="Arial" w:hAnsi="Arial"/>
                <w:sz w:val="14"/>
                <w:szCs w:val="14"/>
                <w:color w:val="auto"/>
              </w:rPr>
              <w:t>Basic net loss per share attributable to Civeo Corporation common shareholders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(0.70)</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(10.43)</w:t>
            </w:r>
          </w:p>
        </w:tc>
      </w:tr>
      <w:tr>
        <w:trPr>
          <w:trHeight w:val="219"/>
        </w:trPr>
        <w:tc>
          <w:tcPr>
            <w:tcW w:w="6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86"/>
        </w:trPr>
        <w:tc>
          <w:tcPr>
            <w:tcW w:w="6060" w:type="dxa"/>
            <w:vAlign w:val="bottom"/>
          </w:tcPr>
          <w:p>
            <w:pPr>
              <w:spacing w:after="0"/>
              <w:rPr>
                <w:sz w:val="20"/>
                <w:szCs w:val="20"/>
                <w:color w:val="auto"/>
              </w:rPr>
            </w:pPr>
            <w:r>
              <w:rPr>
                <w:rFonts w:ascii="Arial" w:cs="Arial" w:eastAsia="Arial" w:hAnsi="Arial"/>
                <w:sz w:val="14"/>
                <w:szCs w:val="14"/>
                <w:color w:val="auto"/>
              </w:rPr>
              <w:t>Diluted net loss per share attributable to Civeo Corporation common shareholders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(0.70)</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(10.43)</w:t>
            </w:r>
          </w:p>
        </w:tc>
      </w:tr>
      <w:tr>
        <w:trPr>
          <w:trHeight w:val="219"/>
        </w:trPr>
        <w:tc>
          <w:tcPr>
            <w:tcW w:w="6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86"/>
        </w:trPr>
        <w:tc>
          <w:tcPr>
            <w:tcW w:w="606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2"/>
        </w:trPr>
        <w:tc>
          <w:tcPr>
            <w:tcW w:w="6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14,043</w:t>
            </w:r>
          </w:p>
        </w:tc>
      </w:tr>
      <w:tr>
        <w:trPr>
          <w:trHeight w:val="182"/>
        </w:trPr>
        <w:tc>
          <w:tcPr>
            <w:tcW w:w="6060" w:type="dxa"/>
            <w:vAlign w:val="bottom"/>
          </w:tcPr>
          <w:p>
            <w:pPr>
              <w:ind w:left="14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14,211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14,043</w:t>
            </w:r>
          </w:p>
        </w:tc>
      </w:tr>
    </w:tbl>
    <w:p>
      <w:pPr>
        <w:spacing w:after="0" w:line="150" w:lineRule="exact"/>
        <w:rPr>
          <w:sz w:val="20"/>
          <w:szCs w:val="20"/>
          <w:color w:val="auto"/>
        </w:rPr>
      </w:pPr>
    </w:p>
    <w:p>
      <w:pPr>
        <w:ind w:left="420" w:hanging="412"/>
        <w:spacing w:after="0" w:line="273" w:lineRule="auto"/>
        <w:tabs>
          <w:tab w:leader="none" w:pos="418" w:val="left"/>
        </w:tabs>
        <w:numPr>
          <w:ilvl w:val="0"/>
          <w:numId w:val="3"/>
        </w:numPr>
        <w:rPr>
          <w:rFonts w:ascii="Arial" w:cs="Arial" w:eastAsia="Arial" w:hAnsi="Arial"/>
          <w:sz w:val="13"/>
          <w:szCs w:val="13"/>
          <w:color w:val="auto"/>
        </w:rPr>
      </w:pPr>
      <w:r>
        <w:rPr>
          <w:rFonts w:ascii="Arial" w:cs="Arial" w:eastAsia="Arial" w:hAnsi="Arial"/>
          <w:sz w:val="14"/>
          <w:szCs w:val="14"/>
          <w:color w:val="auto"/>
        </w:rPr>
        <w:t>Reflects our 1-for-12 reverse share split that became effective November 19, 2020. See Note 1 - Description of Business and Basis of Presentation to the notes to the unaudited consolidated financial statements included in Item 1 of this quarterly report for further discussion.</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jc w:val="center"/>
        <w:ind w:right="-16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w:t>
      </w:r>
    </w:p>
    <w:p>
      <w:pPr>
        <w:spacing w:after="0" w:line="327"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Three Months Ended</w:t>
      </w:r>
    </w:p>
    <w:p>
      <w:pPr>
        <w:jc w:val="center"/>
        <w:ind w:left="59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r>
      <w:tr>
        <w:trPr>
          <w:trHeight w:val="238"/>
        </w:trPr>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86"/>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(9,425)</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(145,812)</w:t>
            </w:r>
          </w:p>
        </w:tc>
      </w:tr>
      <w:tr>
        <w:trPr>
          <w:trHeight w:val="132"/>
        </w:trPr>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9"/>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60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Foreign currency translation adjustment, net of zero taxes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(48,541)</w:t>
            </w:r>
          </w:p>
        </w:tc>
      </w:tr>
      <w:tr>
        <w:trPr>
          <w:trHeight w:val="183"/>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Total other comprehensive loss, net of taxes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(48,541)</w:t>
            </w:r>
          </w:p>
        </w:tc>
      </w:tr>
      <w:tr>
        <w:trPr>
          <w:trHeight w:val="132"/>
        </w:trPr>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9"/>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(194,353)</w:t>
            </w:r>
          </w:p>
        </w:tc>
      </w:tr>
      <w:tr>
        <w:trPr>
          <w:trHeight w:val="186"/>
        </w:trPr>
        <w:tc>
          <w:tcPr>
            <w:tcW w:w="6000" w:type="dxa"/>
            <w:vAlign w:val="bottom"/>
            <w:tcBorders>
              <w:bottom w:val="single" w:sz="8" w:color="CCEEFF"/>
            </w:tcBorders>
            <w:gridSpan w:val="3"/>
          </w:tcPr>
          <w:p>
            <w:pPr>
              <w:ind w:left="140"/>
              <w:spacing w:after="0"/>
              <w:rPr>
                <w:sz w:val="20"/>
                <w:szCs w:val="20"/>
                <w:color w:val="auto"/>
              </w:rPr>
            </w:pPr>
            <w:r>
              <w:rPr>
                <w:rFonts w:ascii="Arial" w:cs="Arial" w:eastAsia="Arial" w:hAnsi="Arial"/>
                <w:sz w:val="14"/>
                <w:szCs w:val="14"/>
                <w:color w:val="auto"/>
              </w:rPr>
              <w:t>Less: Comprehensive income attributable to noncontrolling interest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r>
      <w:tr>
        <w:trPr>
          <w:trHeight w:val="211"/>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Comprehensive</w:t>
            </w: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5"/>
                <w:shd w:val="clear" w:color="auto" w:fill="CCEEFF"/>
              </w:rPr>
              <w:t>loss att</w:t>
            </w: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ributable to Civeo Corporation</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(11,101)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(194,516)</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5" w:name="page6"/>
    <w:bookmarkEnd w:id="5"/>
    <w:p>
      <w:pPr>
        <w:jc w:val="center"/>
        <w:ind w:right="-19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(In Thousands, Excluding Share Amounts)</w:t>
      </w:r>
    </w:p>
    <w:p>
      <w:pPr>
        <w:sectPr>
          <w:pgSz w:w="11900" w:h="16838" w:orient="portrait"/>
          <w:cols w:equalWidth="0" w:num="1">
            <w:col w:w="11200"/>
          </w:cols>
          <w:pgMar w:left="320" w:top="14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assets: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and cash equivalents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Accounts receivable, net</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Inventories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Prepaid expenses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current assets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Assets held for sale</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current assets</w:t>
      </w:r>
    </w:p>
    <w:p>
      <w:pPr>
        <w:spacing w:after="0" w:line="190" w:lineRule="exact"/>
        <w:rPr>
          <w:sz w:val="20"/>
          <w:szCs w:val="20"/>
          <w:color w:val="auto"/>
        </w:rPr>
      </w:pPr>
    </w:p>
    <w:p>
      <w:pPr>
        <w:ind w:left="20" w:right="20"/>
        <w:spacing w:after="0" w:line="281" w:lineRule="auto"/>
        <w:rPr>
          <w:sz w:val="20"/>
          <w:szCs w:val="20"/>
          <w:color w:val="auto"/>
        </w:rPr>
      </w:pPr>
      <w:r>
        <w:rPr>
          <w:rFonts w:ascii="Arial" w:cs="Arial" w:eastAsia="Arial" w:hAnsi="Arial"/>
          <w:sz w:val="14"/>
          <w:szCs w:val="14"/>
          <w:color w:val="auto"/>
        </w:rPr>
        <w:t>Property, plant and equipment, net Goodwill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intangible assets, net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Operating lease right-of-use assets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noncurrent assets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122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 2020</w:t>
            </w:r>
          </w:p>
        </w:tc>
      </w:tr>
      <w:tr>
        <w:trPr>
          <w:trHeight w:val="182"/>
        </w:trPr>
        <w:tc>
          <w:tcPr>
            <w:tcW w:w="4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r>
        <w:trPr>
          <w:trHeight w:val="184"/>
        </w:trPr>
        <w:tc>
          <w:tcPr>
            <w:tcW w:w="4360" w:type="dxa"/>
            <w:vAlign w:val="bottom"/>
            <w:gridSpan w:val="2"/>
          </w:tcPr>
          <w:p>
            <w:pPr>
              <w:jc w:val="right"/>
              <w:ind w:right="3768"/>
              <w:spacing w:after="0"/>
              <w:rPr>
                <w:sz w:val="20"/>
                <w:szCs w:val="20"/>
                <w:color w:val="auto"/>
              </w:rPr>
            </w:pPr>
            <w:r>
              <w:rPr>
                <w:rFonts w:ascii="Arial" w:cs="Arial" w:eastAsia="Arial" w:hAnsi="Arial"/>
                <w:sz w:val="14"/>
                <w:szCs w:val="14"/>
                <w:color w:val="auto"/>
                <w:w w:val="90"/>
              </w:rPr>
              <w:t>ASSETS</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540"/>
        </w:trPr>
        <w:tc>
          <w:tcPr>
            <w:tcW w:w="4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5,455</w:t>
            </w:r>
          </w:p>
        </w:tc>
        <w:tc>
          <w:tcPr>
            <w:tcW w:w="10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6,155</w:t>
            </w:r>
          </w:p>
        </w:tc>
      </w:tr>
      <w:tr>
        <w:trPr>
          <w:trHeight w:val="189"/>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87,783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89,782</w:t>
            </w:r>
          </w:p>
        </w:tc>
      </w:tr>
      <w:tr>
        <w:trPr>
          <w:trHeight w:val="189"/>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6,677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6,181</w:t>
            </w:r>
          </w:p>
        </w:tc>
      </w:tr>
      <w:tr>
        <w:trPr>
          <w:trHeight w:val="189"/>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4,312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7,020</w:t>
            </w:r>
          </w:p>
        </w:tc>
      </w:tr>
      <w:tr>
        <w:trPr>
          <w:trHeight w:val="189"/>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4,433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6,165</w:t>
            </w:r>
          </w:p>
        </w:tc>
      </w:tr>
      <w:tr>
        <w:trPr>
          <w:trHeight w:val="195"/>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3,910</w:t>
            </w:r>
          </w:p>
        </w:tc>
      </w:tr>
      <w:tr>
        <w:trPr>
          <w:trHeight w:val="182"/>
        </w:trPr>
        <w:tc>
          <w:tcPr>
            <w:tcW w:w="4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108,660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119,213</w:t>
            </w:r>
          </w:p>
        </w:tc>
      </w:tr>
      <w:tr>
        <w:trPr>
          <w:trHeight w:val="346"/>
        </w:trPr>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468,961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486,930</w:t>
            </w:r>
          </w:p>
        </w:tc>
      </w:tr>
      <w:tr>
        <w:trPr>
          <w:trHeight w:val="189"/>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8,601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8,729</w:t>
            </w:r>
          </w:p>
        </w:tc>
      </w:tr>
      <w:tr>
        <w:trPr>
          <w:trHeight w:val="189"/>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99,269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99,749</w:t>
            </w:r>
          </w:p>
        </w:tc>
      </w:tr>
      <w:tr>
        <w:trPr>
          <w:trHeight w:val="189"/>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22,338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22,606</w:t>
            </w:r>
          </w:p>
        </w:tc>
      </w:tr>
      <w:tr>
        <w:trPr>
          <w:trHeight w:val="195"/>
        </w:trPr>
        <w:tc>
          <w:tcPr>
            <w:tcW w:w="4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3,626</w:t>
            </w:r>
          </w:p>
        </w:tc>
      </w:tr>
      <w:tr>
        <w:trPr>
          <w:trHeight w:val="185"/>
        </w:trPr>
        <w:tc>
          <w:tcPr>
            <w:tcW w:w="414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710,178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740,853</w:t>
            </w:r>
          </w:p>
        </w:tc>
      </w:tr>
      <w:tr>
        <w:trPr>
          <w:trHeight w:val="24"/>
        </w:trPr>
        <w:tc>
          <w:tcPr>
            <w:tcW w:w="4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-2056765</wp:posOffset>
            </wp:positionV>
            <wp:extent cx="7106285"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-1833880</wp:posOffset>
            </wp:positionV>
            <wp:extent cx="7106285"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-1593850</wp:posOffset>
            </wp:positionV>
            <wp:extent cx="7106285"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-1353820</wp:posOffset>
            </wp:positionV>
            <wp:extent cx="7106285"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-1113790</wp:posOffset>
            </wp:positionV>
            <wp:extent cx="7106285"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-865505</wp:posOffset>
            </wp:positionV>
            <wp:extent cx="7106285"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0287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-642620</wp:posOffset>
            </wp:positionV>
            <wp:extent cx="7106285"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-402590</wp:posOffset>
            </wp:positionV>
            <wp:extent cx="7106285"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-162560</wp:posOffset>
            </wp:positionV>
            <wp:extent cx="710628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-98425</wp:posOffset>
            </wp:positionV>
            <wp:extent cx="710628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2020" w:space="400"/>
            <w:col w:w="8780"/>
          </w:cols>
          <w:pgMar w:left="320" w:top="1417" w:right="37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42,336</w:t>
            </w:r>
          </w:p>
        </w:tc>
        <w:tc>
          <w:tcPr>
            <w:tcW w:w="10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42,056</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liabilities</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20,801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27,349</w:t>
            </w:r>
          </w:p>
        </w:tc>
        <w:tc>
          <w:tcPr>
            <w:tcW w:w="0" w:type="dxa"/>
            <w:vAlign w:val="bottom"/>
          </w:tcPr>
          <w:p>
            <w:pPr>
              <w:spacing w:after="0"/>
              <w:rPr>
                <w:sz w:val="1"/>
                <w:szCs w:val="1"/>
                <w:color w:val="auto"/>
              </w:rPr>
            </w:pPr>
          </w:p>
        </w:tc>
      </w:tr>
      <w:tr>
        <w:trPr>
          <w:trHeight w:val="186"/>
        </w:trPr>
        <w:tc>
          <w:tcPr>
            <w:tcW w:w="7780" w:type="dxa"/>
            <w:vAlign w:val="bottom"/>
          </w:tcPr>
          <w:p>
            <w:pPr>
              <w:ind w:left="140"/>
              <w:spacing w:after="0"/>
              <w:rPr>
                <w:sz w:val="20"/>
                <w:szCs w:val="20"/>
                <w:color w:val="auto"/>
              </w:rPr>
            </w:pPr>
            <w:r>
              <w:rPr>
                <w:rFonts w:ascii="Arial" w:cs="Arial" w:eastAsia="Arial" w:hAnsi="Arial"/>
                <w:sz w:val="14"/>
                <w:szCs w:val="14"/>
                <w:color w:val="auto"/>
              </w:rPr>
              <w:t>Income taxes</w:t>
            </w:r>
          </w:p>
        </w:tc>
        <w:tc>
          <w:tcPr>
            <w:tcW w:w="5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portion of long-term debt</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35,047</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34,585</w:t>
            </w:r>
          </w:p>
        </w:tc>
        <w:tc>
          <w:tcPr>
            <w:tcW w:w="0" w:type="dxa"/>
            <w:vAlign w:val="bottom"/>
          </w:tcPr>
          <w:p>
            <w:pPr>
              <w:spacing w:after="0"/>
              <w:rPr>
                <w:sz w:val="1"/>
                <w:szCs w:val="1"/>
                <w:color w:val="auto"/>
              </w:rPr>
            </w:pPr>
          </w:p>
        </w:tc>
      </w:tr>
      <w:tr>
        <w:trPr>
          <w:trHeight w:val="186"/>
        </w:trPr>
        <w:tc>
          <w:tcPr>
            <w:tcW w:w="7780" w:type="dxa"/>
            <w:vAlign w:val="bottom"/>
          </w:tcPr>
          <w:p>
            <w:pPr>
              <w:ind w:left="140"/>
              <w:spacing w:after="0"/>
              <w:rPr>
                <w:sz w:val="20"/>
                <w:szCs w:val="20"/>
                <w:color w:val="auto"/>
              </w:rPr>
            </w:pPr>
            <w:r>
              <w:rPr>
                <w:rFonts w:ascii="Arial" w:cs="Arial" w:eastAsia="Arial" w:hAnsi="Arial"/>
                <w:sz w:val="14"/>
                <w:szCs w:val="14"/>
                <w:color w:val="auto"/>
              </w:rPr>
              <w:t>Deferred revenue</w:t>
            </w:r>
          </w:p>
        </w:tc>
        <w:tc>
          <w:tcPr>
            <w:tcW w:w="5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5,983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6,812</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6,354</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5,760</w:t>
            </w:r>
          </w:p>
        </w:tc>
        <w:tc>
          <w:tcPr>
            <w:tcW w:w="0" w:type="dxa"/>
            <w:vAlign w:val="bottom"/>
          </w:tcPr>
          <w:p>
            <w:pPr>
              <w:spacing w:after="0"/>
              <w:rPr>
                <w:sz w:val="1"/>
                <w:szCs w:val="1"/>
                <w:color w:val="auto"/>
              </w:rPr>
            </w:pPr>
          </w:p>
        </w:tc>
      </w:tr>
      <w:tr>
        <w:trPr>
          <w:trHeight w:val="179"/>
        </w:trPr>
        <w:tc>
          <w:tcPr>
            <w:tcW w:w="778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56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110,776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116,765</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80" w:type="dxa"/>
            <w:vAlign w:val="bottom"/>
          </w:tcPr>
          <w:p>
            <w:pPr>
              <w:ind w:left="20"/>
              <w:spacing w:after="0"/>
              <w:rPr>
                <w:sz w:val="20"/>
                <w:szCs w:val="20"/>
                <w:color w:val="auto"/>
              </w:rPr>
            </w:pPr>
            <w:r>
              <w:rPr>
                <w:rFonts w:ascii="Arial" w:cs="Arial" w:eastAsia="Arial" w:hAnsi="Arial"/>
                <w:sz w:val="14"/>
                <w:szCs w:val="14"/>
                <w:color w:val="auto"/>
              </w:rPr>
              <w:t>Long-term debt, less current maturities</w:t>
            </w:r>
          </w:p>
        </w:tc>
        <w:tc>
          <w:tcPr>
            <w:tcW w:w="5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200,756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214,000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18,941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19,834</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15,566</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14,897</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liabilities</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346,039</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365,496</w:t>
            </w: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10)</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780" w:type="dxa"/>
            <w:vAlign w:val="bottom"/>
          </w:tcPr>
          <w:p>
            <w:pPr>
              <w:ind w:left="140"/>
              <w:spacing w:after="0" w:line="135" w:lineRule="exact"/>
              <w:rPr>
                <w:sz w:val="20"/>
                <w:szCs w:val="20"/>
                <w:color w:val="auto"/>
              </w:rPr>
            </w:pPr>
            <w:r>
              <w:rPr>
                <w:rFonts w:ascii="Arial" w:cs="Arial" w:eastAsia="Arial" w:hAnsi="Arial"/>
                <w:sz w:val="14"/>
                <w:szCs w:val="14"/>
                <w:color w:val="auto"/>
                <w:w w:val="93"/>
              </w:rPr>
              <w:t>Preferred shares (Class A Series 1, no par value; 50,000,000 shares authorized, 9,042 shares issued and outstanding, respectively;</w:t>
            </w:r>
          </w:p>
        </w:tc>
        <w:tc>
          <w:tcPr>
            <w:tcW w:w="560" w:type="dxa"/>
            <w:vAlign w:val="bottom"/>
          </w:tcPr>
          <w:p>
            <w:pPr>
              <w:spacing w:after="0"/>
              <w:rPr>
                <w:sz w:val="11"/>
                <w:szCs w:val="11"/>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60,494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60,016</w:t>
            </w:r>
          </w:p>
        </w:tc>
        <w:tc>
          <w:tcPr>
            <w:tcW w:w="0" w:type="dxa"/>
            <w:vAlign w:val="bottom"/>
          </w:tcPr>
          <w:p>
            <w:pPr>
              <w:spacing w:after="0"/>
              <w:rPr>
                <w:sz w:val="1"/>
                <w:szCs w:val="1"/>
                <w:color w:val="auto"/>
              </w:rPr>
            </w:pPr>
          </w:p>
        </w:tc>
      </w:tr>
      <w:tr>
        <w:trPr>
          <w:trHeight w:val="186"/>
        </w:trPr>
        <w:tc>
          <w:tcPr>
            <w:tcW w:w="7780" w:type="dxa"/>
            <w:vAlign w:val="bottom"/>
          </w:tcPr>
          <w:p>
            <w:pPr>
              <w:ind w:left="140"/>
              <w:spacing w:after="0"/>
              <w:rPr>
                <w:sz w:val="20"/>
                <w:szCs w:val="20"/>
                <w:color w:val="auto"/>
              </w:rPr>
            </w:pPr>
            <w:r>
              <w:rPr>
                <w:rFonts w:ascii="Arial" w:cs="Arial" w:eastAsia="Arial" w:hAnsi="Arial"/>
                <w:sz w:val="14"/>
                <w:szCs w:val="14"/>
                <w:color w:val="auto"/>
              </w:rPr>
              <w:t>aggregate liquidation preference of $95,991,601 and $95,514,031 as of March 31, 2021 and December 31, 2020)</w:t>
            </w:r>
          </w:p>
        </w:tc>
        <w:tc>
          <w:tcPr>
            <w:tcW w:w="5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77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4"/>
              </w:rPr>
              <w:t>Common shares (no par value; 46,000,000 shares authorized, 14,613,464 shares and 14,478,878 shares issued, respectively, and</w:t>
            </w:r>
          </w:p>
        </w:tc>
        <w:tc>
          <w:tcPr>
            <w:tcW w:w="56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14,292,866 shares and 14,215,169 shares outstanding, respectively) </w:t>
            </w:r>
            <w:r>
              <w:rPr>
                <w:rFonts w:ascii="Arial" w:cs="Arial" w:eastAsia="Arial" w:hAnsi="Arial"/>
                <w:sz w:val="18"/>
                <w:szCs w:val="18"/>
                <w:color w:val="auto"/>
                <w:vertAlign w:val="superscript"/>
              </w:rPr>
              <w:t>(1)</w:t>
            </w:r>
          </w:p>
        </w:tc>
        <w:tc>
          <w:tcPr>
            <w:tcW w:w="56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8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5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1,579,342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1,578,315</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(917,689)</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(907,727)</w:t>
            </w:r>
          </w:p>
        </w:tc>
        <w:tc>
          <w:tcPr>
            <w:tcW w:w="0" w:type="dxa"/>
            <w:vAlign w:val="bottom"/>
          </w:tcPr>
          <w:p>
            <w:pPr>
              <w:spacing w:after="0"/>
              <w:rPr>
                <w:sz w:val="1"/>
                <w:szCs w:val="1"/>
                <w:color w:val="auto"/>
              </w:rPr>
            </w:pPr>
          </w:p>
        </w:tc>
      </w:tr>
      <w:tr>
        <w:trPr>
          <w:trHeight w:val="186"/>
        </w:trPr>
        <w:tc>
          <w:tcPr>
            <w:tcW w:w="7780" w:type="dxa"/>
            <w:vAlign w:val="bottom"/>
          </w:tcPr>
          <w:p>
            <w:pPr>
              <w:ind w:left="140"/>
              <w:spacing w:after="0"/>
              <w:rPr>
                <w:sz w:val="20"/>
                <w:szCs w:val="20"/>
                <w:color w:val="auto"/>
              </w:rPr>
            </w:pPr>
            <w:r>
              <w:rPr>
                <w:rFonts w:ascii="Arial" w:cs="Arial" w:eastAsia="Arial" w:hAnsi="Arial"/>
                <w:sz w:val="14"/>
                <w:szCs w:val="14"/>
                <w:color w:val="auto"/>
              </w:rPr>
              <w:t>Common shares held in treasury at cost, 320,598 and 263,709 shares, respectively</w:t>
            </w: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(8,050)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(6,930)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(350,606)</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(348,989)</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Civeo Corporation shareholders’ equity</w:t>
            </w:r>
          </w:p>
        </w:tc>
        <w:tc>
          <w:tcPr>
            <w:tcW w:w="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363,491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374,685</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shareholders’ equity</w:t>
            </w:r>
          </w:p>
        </w:tc>
        <w:tc>
          <w:tcPr>
            <w:tcW w:w="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364,139</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375,357</w:t>
            </w:r>
          </w:p>
        </w:tc>
        <w:tc>
          <w:tcPr>
            <w:tcW w:w="0" w:type="dxa"/>
            <w:vAlign w:val="bottom"/>
          </w:tcPr>
          <w:p>
            <w:pPr>
              <w:spacing w:after="0"/>
              <w:rPr>
                <w:sz w:val="1"/>
                <w:szCs w:val="1"/>
                <w:color w:val="auto"/>
              </w:rPr>
            </w:pPr>
          </w:p>
        </w:tc>
      </w:tr>
      <w:tr>
        <w:trPr>
          <w:trHeight w:val="211"/>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liabilities and shareholders’ equity</w:t>
            </w: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710,178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740,853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20" w:right="720" w:hanging="412"/>
        <w:spacing w:after="0" w:line="217" w:lineRule="auto"/>
        <w:tabs>
          <w:tab w:leader="none" w:pos="407"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Reflects our 1-for-12 reverse share split that became effective November 19, 2020. See Note 1 - Description of Business and Basis of Presentation to the notes to the unaudited consolidated financial statements included in Item 1 of this quarterly report for further discussion.</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00"/>
          </w:cols>
          <w:pgMar w:left="320" w:top="141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type w:val="continuous"/>
        </w:sectPr>
      </w:pPr>
    </w:p>
    <w:bookmarkStart w:id="6" w:name="page7"/>
    <w:bookmarkEnd w:id="6"/>
    <w:p>
      <w:pPr>
        <w:jc w:val="center"/>
        <w:ind w:right="-17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CHANGES IN SHAREHOLDERS’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Attributable to Civeo</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Preferred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tcPr>
          <w:p>
            <w:pPr>
              <w:jc w:val="center"/>
              <w:ind w:right="300"/>
              <w:spacing w:after="0" w:line="122" w:lineRule="exact"/>
              <w:rPr>
                <w:sz w:val="20"/>
                <w:szCs w:val="20"/>
                <w:color w:val="auto"/>
              </w:rPr>
            </w:pPr>
            <w:r>
              <w:rPr>
                <w:rFonts w:ascii="Arial" w:cs="Arial" w:eastAsia="Arial" w:hAnsi="Arial"/>
                <w:sz w:val="13"/>
                <w:szCs w:val="13"/>
                <w:b w:val="1"/>
                <w:bCs w:val="1"/>
                <w:color w:val="auto"/>
                <w:w w:val="88"/>
              </w:rPr>
              <w:t>Common</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Shares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2"/>
              </w:rPr>
              <w:t>Shares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24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restart"/>
          </w:tcPr>
          <w:p>
            <w:pPr>
              <w:jc w:val="center"/>
              <w:ind w:right="5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Treasury</w:t>
            </w: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Amount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4"/>
            <w:vMerge w:val="restart"/>
          </w:tcPr>
          <w:p>
            <w:pPr>
              <w:jc w:val="center"/>
              <w:ind w:right="260"/>
              <w:spacing w:after="0"/>
              <w:rPr>
                <w:sz w:val="20"/>
                <w:szCs w:val="20"/>
                <w:color w:val="auto"/>
              </w:rPr>
            </w:pPr>
            <w:r>
              <w:rPr>
                <w:rFonts w:ascii="Arial" w:cs="Arial" w:eastAsia="Arial" w:hAnsi="Arial"/>
                <w:sz w:val="13"/>
                <w:szCs w:val="13"/>
                <w:b w:val="1"/>
                <w:bCs w:val="1"/>
                <w:color w:val="auto"/>
                <w:w w:val="91"/>
              </w:rPr>
              <w:t>Par Value</w:t>
            </w:r>
          </w:p>
        </w:tc>
        <w:tc>
          <w:tcPr>
            <w:tcW w:w="240" w:type="dxa"/>
            <w:vAlign w:val="bottom"/>
          </w:tcPr>
          <w:p>
            <w:pPr>
              <w:spacing w:after="0"/>
              <w:rPr>
                <w:sz w:val="10"/>
                <w:szCs w:val="10"/>
                <w:color w:val="auto"/>
              </w:rPr>
            </w:pPr>
          </w:p>
        </w:tc>
        <w:tc>
          <w:tcPr>
            <w:tcW w:w="800" w:type="dxa"/>
            <w:vAlign w:val="bottom"/>
            <w:gridSpan w:val="3"/>
          </w:tcPr>
          <w:p>
            <w:pPr>
              <w:jc w:val="center"/>
              <w:ind w:right="360"/>
              <w:spacing w:after="0" w:line="122"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0"/>
              <w:spacing w:after="0" w:line="122" w:lineRule="exact"/>
              <w:rPr>
                <w:sz w:val="20"/>
                <w:szCs w:val="20"/>
                <w:color w:val="auto"/>
              </w:rPr>
            </w:pPr>
            <w:r>
              <w:rPr>
                <w:rFonts w:ascii="Arial" w:cs="Arial" w:eastAsia="Arial" w:hAnsi="Arial"/>
                <w:sz w:val="13"/>
                <w:szCs w:val="13"/>
                <w:b w:val="1"/>
                <w:bCs w:val="1"/>
                <w:color w:val="auto"/>
                <w:w w:val="87"/>
              </w:rPr>
              <w:t>Shareholders’</w:t>
            </w:r>
          </w:p>
        </w:tc>
        <w:tc>
          <w:tcPr>
            <w:tcW w:w="0" w:type="dxa"/>
            <w:vAlign w:val="bottom"/>
          </w:tcPr>
          <w:p>
            <w:pPr>
              <w:spacing w:after="0"/>
              <w:rPr>
                <w:sz w:val="1"/>
                <w:szCs w:val="1"/>
                <w:color w:val="auto"/>
              </w:rPr>
            </w:pPr>
          </w:p>
        </w:tc>
      </w:tr>
      <w:tr>
        <w:trPr>
          <w:trHeight w:val="170"/>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4"/>
                <w:szCs w:val="14"/>
                <w:color w:val="auto"/>
              </w:rPr>
            </w:pPr>
          </w:p>
        </w:tc>
        <w:tc>
          <w:tcPr>
            <w:tcW w:w="920" w:type="dxa"/>
            <w:vAlign w:val="bottom"/>
          </w:tcPr>
          <w:p>
            <w:pPr>
              <w:jc w:val="center"/>
              <w:ind w:right="5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94"/>
        </w:trPr>
        <w:tc>
          <w:tcPr>
            <w:tcW w:w="26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0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58,129</w:t>
            </w:r>
          </w:p>
        </w:tc>
        <w:tc>
          <w:tcPr>
            <w:tcW w:w="6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1,572,249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(771,590)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ind w:left="220"/>
              <w:spacing w:after="0"/>
              <w:rPr>
                <w:sz w:val="20"/>
                <w:szCs w:val="20"/>
                <w:color w:val="auto"/>
              </w:rPr>
            </w:pPr>
            <w:r>
              <w:rPr>
                <w:rFonts w:ascii="Arial" w:cs="Arial" w:eastAsia="Arial" w:hAnsi="Arial"/>
                <w:sz w:val="14"/>
                <w:szCs w:val="14"/>
                <w:b w:val="1"/>
                <w:bCs w:val="1"/>
                <w:color w:val="auto"/>
                <w:w w:val="94"/>
              </w:rPr>
              <w:t>(5,472)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(363,173)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662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490,805</w:t>
            </w:r>
          </w:p>
        </w:tc>
        <w:tc>
          <w:tcPr>
            <w:tcW w:w="0" w:type="dxa"/>
            <w:vAlign w:val="bottom"/>
          </w:tcPr>
          <w:p>
            <w:pPr>
              <w:spacing w:after="0"/>
              <w:rPr>
                <w:sz w:val="1"/>
                <w:szCs w:val="1"/>
                <w:color w:val="auto"/>
              </w:rPr>
            </w:pPr>
          </w:p>
        </w:tc>
      </w:tr>
      <w:tr>
        <w:trPr>
          <w:trHeight w:val="19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(146,070)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(145,812)</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(48,446)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(48,541)</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paid</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4"/>
                <w:szCs w:val="14"/>
                <w:color w:val="auto"/>
                <w:w w:val="98"/>
              </w:rPr>
              <w:t>Dividends attributable to Class A preferred</w:t>
            </w:r>
          </w:p>
        </w:tc>
        <w:tc>
          <w:tcPr>
            <w:tcW w:w="16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468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4"/>
              </w:rPr>
              <w:t>(1,442)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58,597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1,574,457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(918,128)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w w:val="94"/>
              </w:rPr>
              <w:t>(6,914)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(411,619)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296,945</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6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60,016</w:t>
            </w:r>
          </w:p>
        </w:tc>
        <w:tc>
          <w:tcPr>
            <w:tcW w:w="6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1,578,315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(907,727)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ind w:left="220"/>
              <w:spacing w:after="0"/>
              <w:rPr>
                <w:sz w:val="20"/>
                <w:szCs w:val="20"/>
                <w:color w:val="auto"/>
              </w:rPr>
            </w:pPr>
            <w:r>
              <w:rPr>
                <w:rFonts w:ascii="Arial" w:cs="Arial" w:eastAsia="Arial" w:hAnsi="Arial"/>
                <w:sz w:val="14"/>
                <w:szCs w:val="14"/>
                <w:b w:val="1"/>
                <w:bCs w:val="1"/>
                <w:color w:val="auto"/>
                <w:w w:val="94"/>
              </w:rPr>
              <w:t>(6,930)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(348,989)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672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375,357</w:t>
            </w:r>
          </w:p>
        </w:tc>
        <w:tc>
          <w:tcPr>
            <w:tcW w:w="0" w:type="dxa"/>
            <w:vAlign w:val="bottom"/>
          </w:tcPr>
          <w:p>
            <w:pPr>
              <w:spacing w:after="0"/>
              <w:rPr>
                <w:sz w:val="1"/>
                <w:szCs w:val="1"/>
                <w:color w:val="auto"/>
              </w:rPr>
            </w:pPr>
          </w:p>
        </w:tc>
      </w:tr>
      <w:tr>
        <w:trPr>
          <w:trHeight w:val="190"/>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(9,425)</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paid</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4"/>
                <w:szCs w:val="14"/>
                <w:color w:val="auto"/>
                <w:w w:val="98"/>
              </w:rPr>
              <w:t>Dividends attributable to Class A preferred</w:t>
            </w:r>
          </w:p>
        </w:tc>
        <w:tc>
          <w:tcPr>
            <w:tcW w:w="16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478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4"/>
              </w:rPr>
              <w:t>(1,120)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60,494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1,579,342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(917,689)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w w:val="94"/>
              </w:rPr>
              <w:t>(8,050)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(350,606)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364,139</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vMerge w:val="restart"/>
          </w:tcPr>
          <w:p>
            <w:pPr>
              <w:jc w:val="center"/>
              <w:ind w:left="109"/>
              <w:spacing w:after="0"/>
              <w:rPr>
                <w:sz w:val="20"/>
                <w:szCs w:val="20"/>
                <w:color w:val="auto"/>
              </w:rPr>
            </w:pPr>
            <w:r>
              <w:rPr>
                <w:rFonts w:ascii="Arial" w:cs="Arial" w:eastAsia="Arial" w:hAnsi="Arial"/>
                <w:sz w:val="14"/>
                <w:szCs w:val="14"/>
                <w:b w:val="1"/>
                <w:bCs w:val="1"/>
                <w:color w:val="auto"/>
                <w:w w:val="96"/>
              </w:rPr>
              <w:t>Preferred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center"/>
              <w:ind w:left="188"/>
              <w:spacing w:after="0" w:line="135" w:lineRule="exact"/>
              <w:rPr>
                <w:sz w:val="20"/>
                <w:szCs w:val="20"/>
                <w:color w:val="auto"/>
              </w:rPr>
            </w:pPr>
            <w:r>
              <w:rPr>
                <w:rFonts w:ascii="Arial" w:cs="Arial" w:eastAsia="Arial" w:hAnsi="Arial"/>
                <w:sz w:val="14"/>
                <w:szCs w:val="14"/>
                <w:b w:val="1"/>
                <w:bCs w:val="1"/>
                <w:color w:val="auto"/>
                <w:w w:val="91"/>
              </w:rPr>
              <w:t>Shares (in</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center"/>
              <w:ind w:left="149"/>
              <w:spacing w:after="0"/>
              <w:rPr>
                <w:sz w:val="20"/>
                <w:szCs w:val="20"/>
                <w:color w:val="auto"/>
              </w:rPr>
            </w:pPr>
            <w:r>
              <w:rPr>
                <w:rFonts w:ascii="Arial" w:cs="Arial" w:eastAsia="Arial" w:hAnsi="Arial"/>
                <w:sz w:val="14"/>
                <w:szCs w:val="14"/>
                <w:b w:val="1"/>
                <w:bCs w:val="1"/>
                <w:color w:val="auto"/>
                <w:w w:val="85"/>
              </w:rPr>
              <w:t>Shares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6"/>
          </w:tcPr>
          <w:p>
            <w:pPr>
              <w:jc w:val="center"/>
              <w:ind w:right="540"/>
              <w:spacing w:after="0" w:line="189" w:lineRule="exact"/>
              <w:rPr>
                <w:sz w:val="20"/>
                <w:szCs w:val="20"/>
                <w:color w:val="auto"/>
              </w:rPr>
            </w:pPr>
            <w:r>
              <w:rPr>
                <w:rFonts w:ascii="Arial" w:cs="Arial" w:eastAsia="Arial" w:hAnsi="Arial"/>
                <w:sz w:val="14"/>
                <w:szCs w:val="14"/>
                <w:b w:val="1"/>
                <w:bCs w:val="1"/>
                <w:color w:val="auto"/>
                <w:w w:val="86"/>
              </w:rPr>
              <w:t>thousands)</w:t>
            </w:r>
            <w:r>
              <w:rPr>
                <w:rFonts w:ascii="Arial" w:cs="Arial" w:eastAsia="Arial" w:hAnsi="Arial"/>
                <w:sz w:val="18"/>
                <w:szCs w:val="18"/>
                <w:b w:val="1"/>
                <w:bCs w:val="1"/>
                <w:color w:val="auto"/>
                <w:w w:val="86"/>
                <w:vertAlign w:val="superscript"/>
              </w:rPr>
              <w:t>(1)</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9,042</w:t>
            </w: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93"/>
              </w:rPr>
              <w:t>14,215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1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78</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9,042</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93"/>
              </w:rPr>
              <w:t>14,293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20" w:hanging="412"/>
        <w:spacing w:after="0" w:line="217" w:lineRule="auto"/>
        <w:tabs>
          <w:tab w:leader="none" w:pos="407"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Reflects our 1-for-12 reverse share split that became effective November 19, 2020. See Note 1 - Description of Business and Basis of Presentation to the notes to the unaudited consolidated financial statements included in Item 1 of this quarterly report for further discussion.</w:t>
      </w: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 w:name="page8"/>
    <w:bookmarkEnd w:id="7"/>
    <w:p>
      <w:pPr>
        <w:jc w:val="center"/>
        <w:ind w:right="-4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w:t>
      </w:r>
    </w:p>
    <w:p>
      <w:pPr>
        <w:spacing w:after="0" w:line="327"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jc w:val="center"/>
        <w:ind w:left="77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0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4"/>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(9,425)</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(145,812)</w:t>
            </w: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21,269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25,502</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Impairment charges</w:t>
            </w:r>
          </w:p>
        </w:tc>
        <w:tc>
          <w:tcPr>
            <w:tcW w:w="8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144,120</w:t>
            </w: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Deferred income tax expense (benefit)</w:t>
            </w:r>
          </w:p>
        </w:tc>
        <w:tc>
          <w:tcPr>
            <w:tcW w:w="8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(8,941)</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compensation charge</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w:t>
            </w: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Gains on disposals of assets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credit losses, net of recoveries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8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693</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8000" w:type="dxa"/>
            <w:vAlign w:val="bottom"/>
          </w:tcPr>
          <w:p>
            <w:pPr>
              <w:ind w:left="360"/>
              <w:spacing w:after="0"/>
              <w:rPr>
                <w:sz w:val="20"/>
                <w:szCs w:val="20"/>
                <w:color w:val="auto"/>
              </w:rPr>
            </w:pPr>
            <w:r>
              <w:rPr>
                <w:rFonts w:ascii="Arial" w:cs="Arial" w:eastAsia="Arial" w:hAnsi="Arial"/>
                <w:sz w:val="14"/>
                <w:szCs w:val="14"/>
                <w:color w:val="auto"/>
              </w:rPr>
              <w:t>Accounts receivable</w:t>
            </w:r>
          </w:p>
        </w:tc>
        <w:tc>
          <w:tcPr>
            <w:tcW w:w="8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1,806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(1,496)</w:t>
            </w:r>
          </w:p>
        </w:tc>
      </w:tr>
      <w:tr>
        <w:trPr>
          <w:trHeight w:val="192"/>
        </w:trPr>
        <w:tc>
          <w:tcPr>
            <w:tcW w:w="80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Inventories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r>
      <w:tr>
        <w:trPr>
          <w:trHeight w:val="186"/>
        </w:trPr>
        <w:tc>
          <w:tcPr>
            <w:tcW w:w="8000" w:type="dxa"/>
            <w:vAlign w:val="bottom"/>
          </w:tcPr>
          <w:p>
            <w:pPr>
              <w:ind w:left="360"/>
              <w:spacing w:after="0"/>
              <w:rPr>
                <w:sz w:val="20"/>
                <w:szCs w:val="20"/>
                <w:color w:val="auto"/>
              </w:rPr>
            </w:pPr>
            <w:r>
              <w:rPr>
                <w:rFonts w:ascii="Arial" w:cs="Arial" w:eastAsia="Arial" w:hAnsi="Arial"/>
                <w:sz w:val="14"/>
                <w:szCs w:val="14"/>
                <w:color w:val="auto"/>
              </w:rPr>
              <w:t>Accounts payable and accrued liabilities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(5,287)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6,280</w:t>
            </w:r>
          </w:p>
        </w:tc>
      </w:tr>
      <w:tr>
        <w:trPr>
          <w:trHeight w:val="192"/>
        </w:trPr>
        <w:tc>
          <w:tcPr>
            <w:tcW w:w="80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Taxes payable</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186"/>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current and noncurrent assets and liabilities, net</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3,854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(1,143)</w:t>
            </w:r>
          </w:p>
        </w:tc>
      </w:tr>
      <w:tr>
        <w:trPr>
          <w:trHeight w:val="186"/>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flows provided by operating activities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12,817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20,837</w:t>
            </w:r>
          </w:p>
        </w:tc>
      </w:tr>
      <w:tr>
        <w:trPr>
          <w:trHeight w:val="108"/>
        </w:trPr>
        <w:tc>
          <w:tcPr>
            <w:tcW w:w="8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89"/>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(2,651)</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disposition of property, plant and equipment</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6,651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179"/>
        </w:trPr>
        <w:tc>
          <w:tcPr>
            <w:tcW w:w="8000" w:type="dxa"/>
            <w:vAlign w:val="bottom"/>
          </w:tcPr>
          <w:p>
            <w:pPr>
              <w:ind w:left="360"/>
              <w:spacing w:after="0"/>
              <w:rPr>
                <w:sz w:val="20"/>
                <w:szCs w:val="20"/>
                <w:color w:val="auto"/>
              </w:rPr>
            </w:pPr>
            <w:r>
              <w:rPr>
                <w:rFonts w:ascii="Arial" w:cs="Arial" w:eastAsia="Arial" w:hAnsi="Arial"/>
                <w:sz w:val="14"/>
                <w:szCs w:val="14"/>
                <w:color w:val="auto"/>
              </w:rPr>
              <w:t>Net cash flows provided by (used in) investing activities</w:t>
            </w:r>
          </w:p>
        </w:tc>
        <w:tc>
          <w:tcPr>
            <w:tcW w:w="88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3,279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(2,579)</w:t>
            </w:r>
          </w:p>
        </w:tc>
      </w:tr>
      <w:tr>
        <w:trPr>
          <w:trHeight w:val="111"/>
        </w:trPr>
        <w:tc>
          <w:tcPr>
            <w:tcW w:w="80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Revolving credit borrowings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78,628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74,287</w:t>
            </w:r>
          </w:p>
        </w:tc>
      </w:tr>
      <w:tr>
        <w:trPr>
          <w:trHeight w:val="186"/>
        </w:trPr>
        <w:tc>
          <w:tcPr>
            <w:tcW w:w="8000" w:type="dxa"/>
            <w:vAlign w:val="bottom"/>
          </w:tcPr>
          <w:p>
            <w:pPr>
              <w:ind w:left="140"/>
              <w:spacing w:after="0"/>
              <w:rPr>
                <w:sz w:val="20"/>
                <w:szCs w:val="20"/>
                <w:color w:val="auto"/>
              </w:rPr>
            </w:pPr>
            <w:r>
              <w:rPr>
                <w:rFonts w:ascii="Arial" w:cs="Arial" w:eastAsia="Arial" w:hAnsi="Arial"/>
                <w:sz w:val="14"/>
                <w:szCs w:val="14"/>
                <w:color w:val="auto"/>
              </w:rPr>
              <w:t>Revolving credit repayments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5"/>
              </w:rPr>
              <w:t>(85,319)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(80,367)</w:t>
            </w:r>
          </w:p>
        </w:tc>
      </w:tr>
      <w:tr>
        <w:trPr>
          <w:trHeight w:val="192"/>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 loan repayments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(8,109)</w:t>
            </w:r>
          </w:p>
        </w:tc>
      </w:tr>
      <w:tr>
        <w:trPr>
          <w:trHeight w:val="186"/>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Taxes paid on vested shares</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w:t>
            </w:r>
          </w:p>
        </w:tc>
      </w:tr>
      <w:tr>
        <w:trPr>
          <w:trHeight w:val="186"/>
        </w:trPr>
        <w:tc>
          <w:tcPr>
            <w:tcW w:w="80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flows used in financing activities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(16,683)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(15,631)</w:t>
            </w:r>
          </w:p>
        </w:tc>
      </w:tr>
      <w:tr>
        <w:trPr>
          <w:trHeight w:val="108"/>
        </w:trPr>
        <w:tc>
          <w:tcPr>
            <w:tcW w:w="8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89"/>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r>
      <w:tr>
        <w:trPr>
          <w:trHeight w:val="179"/>
        </w:trPr>
        <w:tc>
          <w:tcPr>
            <w:tcW w:w="8000" w:type="dxa"/>
            <w:vAlign w:val="bottom"/>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2,227</w:t>
            </w:r>
          </w:p>
        </w:tc>
      </w:tr>
      <w:tr>
        <w:trPr>
          <w:trHeight w:val="189"/>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6,155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3,331</w:t>
            </w:r>
          </w:p>
        </w:tc>
      </w:tr>
      <w:tr>
        <w:trPr>
          <w:trHeight w:val="91"/>
        </w:trPr>
        <w:tc>
          <w:tcPr>
            <w:tcW w:w="8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1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5,455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financing activities: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2"/>
        </w:trPr>
        <w:tc>
          <w:tcPr>
            <w:tcW w:w="8000" w:type="dxa"/>
            <w:vAlign w:val="bottom"/>
          </w:tcPr>
          <w:p>
            <w:pPr>
              <w:ind w:left="140"/>
              <w:spacing w:after="0"/>
              <w:rPr>
                <w:sz w:val="20"/>
                <w:szCs w:val="20"/>
                <w:color w:val="auto"/>
              </w:rPr>
            </w:pPr>
            <w:r>
              <w:rPr>
                <w:rFonts w:ascii="Arial" w:cs="Arial" w:eastAsia="Arial" w:hAnsi="Arial"/>
                <w:sz w:val="14"/>
                <w:szCs w:val="14"/>
                <w:color w:val="auto"/>
              </w:rPr>
              <w:t>Preferred dividends paid-in-kind</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468</w:t>
            </w:r>
          </w:p>
        </w:tc>
      </w:tr>
    </w:tbl>
    <w:p>
      <w:pPr>
        <w:spacing w:after="0" w:line="208"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17" w:right="619" w:bottom="1440" w:gutter="0" w:footer="0" w:header="0"/>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provide hospitality services to the natural resources industry in Canada, Australia and the U.S. We provide a full suite of hospitality services for our guests, including lodging, catering and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three principal reportable business segments – Canada, Australia and the U.S.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Share Split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November 19, 2020, we effected a reverse share split where each twelve issued and outstanding common shares were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converted into one common share. Our common shares began trading on a reverse share split adjusted basis on November 19, 2020. A total of 14,215,169 common shares were issued and outstanding immediately after the reverse share split. No fractional shares were outstanding following the reverse share split. In lieu of any fractional share, the aggregate number of common shares that a holder was entitled to was, if the fraction was less than half a common share, rounded down to the next closest whole number of common shares, and if the fraction was at least half of a common share, rounded up to one whole common share.</w:t>
      </w:r>
    </w:p>
    <w:p>
      <w:pPr>
        <w:spacing w:after="0" w:line="21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reverse share split did not affect the number of authorized or issued and outstanding shares of our preferred shares. As a result of the reverse share split, the conversion price for the Company’s outstanding Class A Series 1 preferred shares (Series A preferred shares) was automatically increased to $39.60 for each Series A preferred share (previously it was $3.30 per Series A preferred share).</w:t>
      </w:r>
    </w:p>
    <w:p>
      <w:pPr>
        <w:spacing w:after="0" w:line="2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All authorized, issued and outstanding shares and per share amounts contained in the accompanying consolidated financial statements have been adjusted to reflect this reverse share split for all prior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1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17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2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2020.</w:t>
      </w:r>
    </w:p>
    <w:p>
      <w:pPr>
        <w:spacing w:after="0" w:line="19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9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December 2019, the FASB issued Accounting Standards Update (ASU) 2019-12, Income Taxes (Topic 740): Simplifying the Accounting for Income Taxes. The amendments in ASU 2019-12 remove certain exceptions to the general principles in Accounting Standards Codification Topic 740. The amendments also clarify and amend existing guidance to improve consistent application. The amendments are effective for financial statements issued for reporting periods beginning after December 15, 2020 and interim periods within the reporting periods. The transition method (retrospective, modified retrospective or prospective basis) related to the amendments depends on the applicable guidance, and all amendments for which there is no transition guidance specified are to be applied on a prospective basis. We adopted ASU 2019-12 on January 1, 2021 and have applied the prospective basis. The adoption of this new standard did not have an impact on our consolidated financial statements.</w:t>
      </w:r>
    </w:p>
    <w:p>
      <w:pPr>
        <w:spacing w:after="0" w:line="20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following table disaggregates our revenue by our three reportable segments: Canada, Australia and the U.S., and major categories for the periods indicated (in thousands):</w:t>
      </w:r>
    </w:p>
    <w:p>
      <w:pPr>
        <w:spacing w:after="0" w:line="86"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Three Months Ended</w:t>
      </w:r>
    </w:p>
    <w:p>
      <w:pPr>
        <w:jc w:val="center"/>
        <w:ind w:left="556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1440" w:type="dxa"/>
        <w:tblCellMar>
          <w:top w:w="0" w:type="dxa"/>
          <w:left w:w="0" w:type="dxa"/>
          <w:bottom w:w="0" w:type="dxa"/>
          <w:right w:w="0" w:type="dxa"/>
        </w:tblCellMar>
      </w:tblPr>
      <w:tr>
        <w:trPr>
          <w:trHeight w:val="213"/>
        </w:trPr>
        <w:tc>
          <w:tcPr>
            <w:tcW w:w="55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Canada</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Accommodation revenues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46,530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66,066</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Mobile facility rental revenues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w:t>
            </w:r>
          </w:p>
        </w:tc>
      </w:tr>
      <w:tr>
        <w:trPr>
          <w:trHeight w:val="21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10,774</w:t>
            </w:r>
          </w:p>
        </w:tc>
      </w:tr>
      <w:tr>
        <w:trPr>
          <w:trHeight w:val="212"/>
        </w:trPr>
        <w:tc>
          <w:tcPr>
            <w:tcW w:w="5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Canada revenues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79,348</w:t>
            </w:r>
          </w:p>
        </w:tc>
      </w:tr>
      <w:tr>
        <w:trPr>
          <w:trHeight w:val="108"/>
        </w:trPr>
        <w:tc>
          <w:tcPr>
            <w:tcW w:w="5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Australia</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Accommodation revenues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33,675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32,585</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16,528</w:t>
            </w:r>
          </w:p>
        </w:tc>
      </w:tr>
      <w:tr>
        <w:trPr>
          <w:trHeight w:val="206"/>
        </w:trPr>
        <w:tc>
          <w:tcPr>
            <w:tcW w:w="5560" w:type="dxa"/>
            <w:vAlign w:val="bottom"/>
          </w:tcPr>
          <w:p>
            <w:pPr>
              <w:ind w:left="140"/>
              <w:spacing w:after="0"/>
              <w:rPr>
                <w:sz w:val="20"/>
                <w:szCs w:val="20"/>
                <w:color w:val="auto"/>
              </w:rPr>
            </w:pPr>
            <w:r>
              <w:rPr>
                <w:rFonts w:ascii="Arial" w:cs="Arial" w:eastAsia="Arial" w:hAnsi="Arial"/>
                <w:sz w:val="16"/>
                <w:szCs w:val="16"/>
                <w:color w:val="auto"/>
              </w:rPr>
              <w:t>Total Australia revenues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59,637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49,113</w:t>
            </w:r>
          </w:p>
        </w:tc>
      </w:tr>
      <w:tr>
        <w:trPr>
          <w:trHeight w:val="111"/>
        </w:trPr>
        <w:tc>
          <w:tcPr>
            <w:tcW w:w="55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U.S.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Accommodation 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Mobile facility rental revenues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6,187</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 revenues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2,863</w:t>
            </w:r>
          </w:p>
        </w:tc>
      </w:tr>
      <w:tr>
        <w:trPr>
          <w:trHeight w:val="21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5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U.S. revenues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10,331</w:t>
            </w:r>
          </w:p>
        </w:tc>
      </w:tr>
      <w:tr>
        <w:trPr>
          <w:trHeight w:val="108"/>
        </w:trPr>
        <w:tc>
          <w:tcPr>
            <w:tcW w:w="556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r>
      <w:tr>
        <w:trPr>
          <w:trHeight w:val="23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125,430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138,792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payment terms vary by the type and location of our customer and the products or services offered. The term between invoicing and when our performance obligations are satisfied is not significant. Payment terms are generally within 30 days and do not extend beyond 60 days, unless otherwise agreed to. We do not have significant financing components or significant payment terms.</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March 31, 2021,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6"/>
                <w:szCs w:val="16"/>
                <w:b w:val="1"/>
                <w:bCs w:val="1"/>
                <w:color w:val="auto"/>
                <w:w w:val="90"/>
              </w:rPr>
              <w:t>For the years ending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Thereafter</w:t>
            </w:r>
          </w:p>
        </w:tc>
        <w:tc>
          <w:tcPr>
            <w:tcW w:w="300" w:type="dxa"/>
            <w:vAlign w:val="bottom"/>
          </w:tcPr>
          <w:p>
            <w:pPr>
              <w:spacing w:after="0"/>
              <w:rPr>
                <w:sz w:val="18"/>
                <w:szCs w:val="18"/>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12"/>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Revenue expected to be recognized as of March 31, 2021</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85,246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79,365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182,797</w:t>
            </w:r>
          </w:p>
        </w:tc>
      </w:tr>
    </w:tbl>
    <w:p>
      <w:pPr>
        <w:spacing w:after="0" w:line="31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21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March 31, 2021 and December 31, 2020,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During the first quarter of 2020, we recorded goodwill impairment charges related to one of our reporting units.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cash flows, oil, met coal and natural gas prices, anticipated spending by our customers, the cost of capital, and industry and/or local market conditions. We estimated the fair value when conducting the goodwill impairment test primarily using an income approach. The discount rates used to value our reporting units for the goodwill impairment test ranged between 10.5% and 14.0%.</w:t>
      </w:r>
    </w:p>
    <w:p>
      <w:pPr>
        <w:spacing w:after="0" w:line="19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first quarter of 2020, we wrote down certain long-lived assets to fair value. We estimated the fair value when conducting the long-lived asset impairment tests primarily using an income approach. We used a variety of unobservable inputs and underlying assumptions consistent with those discussed above for purposes of our goodwill impairment test. The discount rates used to value our Canadian and U.S. segments long-lived asset impairment analysis ranged between 11.0% and 14.0%.</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6 – Impairment Charges for further information.</w:t>
      </w:r>
    </w:p>
    <w:p>
      <w:pPr>
        <w:spacing w:after="0" w:line="24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Additional information regarding selected balance sheet accounts at March 31, 2021 and December 31, 2020 is presented below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2021</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2020</w:t>
            </w:r>
          </w:p>
        </w:tc>
      </w:tr>
      <w:tr>
        <w:trPr>
          <w:trHeight w:val="21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Accounts receivable, net:</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Trade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60,116</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66,071</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22,565</w:t>
            </w:r>
          </w:p>
        </w:tc>
      </w:tr>
      <w:tr>
        <w:trPr>
          <w:trHeight w:val="216"/>
        </w:trPr>
        <w:tc>
          <w:tcPr>
            <w:tcW w:w="72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w:t>
            </w:r>
          </w:p>
        </w:tc>
      </w:tr>
      <w:tr>
        <w:trPr>
          <w:trHeight w:val="209"/>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accounts receivable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88,241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90,057</w:t>
            </w:r>
          </w:p>
        </w:tc>
      </w:tr>
      <w:tr>
        <w:trPr>
          <w:trHeight w:val="21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credit losses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r>
      <w:tr>
        <w:trPr>
          <w:trHeight w:val="23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accounts receivable,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87,783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89,782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319" w:lineRule="exact"/>
        <w:rPr>
          <w:sz w:val="20"/>
          <w:szCs w:val="20"/>
          <w:color w:val="auto"/>
        </w:rPr>
      </w:pPr>
    </w:p>
    <w:p>
      <w:pPr>
        <w:jc w:val="both"/>
        <w:ind w:left="340" w:right="20" w:hanging="332"/>
        <w:spacing w:after="0" w:line="249" w:lineRule="auto"/>
        <w:tabs>
          <w:tab w:leader="none" w:pos="32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As of March 31, 2021 and December 31, 2020, Other accounts receivable included a $1.7 million and $1.1 million receivable, respectively, related to the Canada Emergency Wage Subsidy (CEWS), a subsidy implemented by the Canadian government in response to the COVID-19 pandemic. Other income related to the CEWS during the three months ended March 31, 2021 and 2020 was $2.8 million and zero, respectively.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2021</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2020</w:t>
            </w:r>
          </w:p>
        </w:tc>
      </w:tr>
      <w:tr>
        <w:trPr>
          <w:trHeight w:val="21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Inventories:</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Finished goods and purchased products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4,944</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5,047</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 in process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Raw materials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w:t>
            </w:r>
          </w:p>
        </w:tc>
      </w:tr>
      <w:tr>
        <w:trPr>
          <w:trHeight w:val="23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6,677</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Estimated</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420" w:type="dxa"/>
            <w:vAlign w:val="bottom"/>
            <w:gridSpan w:val="4"/>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Useful Life</w:t>
            </w:r>
          </w:p>
        </w:tc>
        <w:tc>
          <w:tcPr>
            <w:tcW w:w="160" w:type="dxa"/>
            <w:vAlign w:val="bottom"/>
          </w:tcPr>
          <w:p>
            <w:pPr>
              <w:spacing w:after="0"/>
              <w:rPr>
                <w:sz w:val="14"/>
                <w:szCs w:val="14"/>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March 31, 2021</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2"/>
              </w:rPr>
              <w:t>(in years)</w:t>
            </w: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Land</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47,506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47,751</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Accommodations assets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1,723,838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1,737,620</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c>
          <w:tcPr>
            <w:tcW w:w="460" w:type="dxa"/>
            <w:vAlign w:val="bottom"/>
          </w:tcPr>
          <w:p>
            <w:pPr>
              <w:ind w:left="200"/>
              <w:spacing w:after="0"/>
              <w:rPr>
                <w:sz w:val="20"/>
                <w:szCs w:val="20"/>
                <w:color w:val="auto"/>
              </w:rPr>
            </w:pPr>
            <w:r>
              <w:rPr>
                <w:rFonts w:ascii="Arial" w:cs="Arial" w:eastAsia="Arial" w:hAnsi="Arial"/>
                <w:sz w:val="16"/>
                <w:szCs w:val="16"/>
                <w:color w:val="auto"/>
              </w:rPr>
              <w:t>—</w:t>
            </w:r>
          </w:p>
        </w:tc>
        <w:tc>
          <w:tcPr>
            <w:tcW w:w="540" w:type="dxa"/>
            <w:vAlign w:val="bottom"/>
          </w:tcPr>
          <w:p>
            <w:pPr>
              <w:ind w:left="12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28,840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28,831</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12,784</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Office furniture and equipment</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460" w:type="dxa"/>
            <w:vAlign w:val="bottom"/>
          </w:tcPr>
          <w:p>
            <w:pPr>
              <w:ind w:left="200"/>
              <w:spacing w:after="0"/>
              <w:rPr>
                <w:sz w:val="20"/>
                <w:szCs w:val="20"/>
                <w:color w:val="auto"/>
              </w:rPr>
            </w:pPr>
            <w:r>
              <w:rPr>
                <w:rFonts w:ascii="Arial" w:cs="Arial" w:eastAsia="Arial" w:hAnsi="Arial"/>
                <w:sz w:val="16"/>
                <w:szCs w:val="16"/>
                <w:color w:val="auto"/>
              </w:rPr>
              <w:t>—</w:t>
            </w:r>
          </w:p>
        </w:tc>
        <w:tc>
          <w:tcPr>
            <w:tcW w:w="540" w:type="dxa"/>
            <w:vAlign w:val="bottom"/>
          </w:tcPr>
          <w:p>
            <w:pPr>
              <w:ind w:left="1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63,662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61,850</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15,363</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5,523</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property, plant and equipment</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1,896,323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1,909,722</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depreciation</w:t>
            </w: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(1,427,362)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(1,422,792)</w:t>
            </w:r>
          </w:p>
        </w:tc>
        <w:tc>
          <w:tcPr>
            <w:tcW w:w="0" w:type="dxa"/>
            <w:vAlign w:val="bottom"/>
          </w:tcPr>
          <w:p>
            <w:pPr>
              <w:spacing w:after="0"/>
              <w:rPr>
                <w:sz w:val="1"/>
                <w:szCs w:val="1"/>
                <w:color w:val="auto"/>
              </w:rPr>
            </w:pPr>
          </w:p>
        </w:tc>
      </w:tr>
      <w:tr>
        <w:trPr>
          <w:trHeight w:val="23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property, plant and equipment, net</w:t>
            </w:r>
          </w:p>
        </w:tc>
        <w:tc>
          <w:tcPr>
            <w:tcW w:w="3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468,961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486,930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firstLine="531"/>
        <w:spacing w:after="0" w:line="277" w:lineRule="auto"/>
        <w:rPr>
          <w:sz w:val="20"/>
          <w:szCs w:val="20"/>
          <w:color w:val="auto"/>
        </w:rPr>
      </w:pPr>
      <w:r>
        <w:rPr>
          <w:rFonts w:ascii="Arial" w:cs="Arial" w:eastAsia="Arial" w:hAnsi="Arial"/>
          <w:sz w:val="18"/>
          <w:szCs w:val="18"/>
          <w:color w:val="auto"/>
        </w:rPr>
        <w:t>As of December 31, 2020, assets held for sale included $3.9 million related to our modular construction and manufacturing plant near Edmonton, Alberta, Canada. During the first quarter 2021, the manufacturing facility was sold.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2020</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Accrued liabilities:</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Accrued compensation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16,629</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22,475</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taxes, other than income taxes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w:t>
            </w:r>
          </w:p>
        </w:tc>
      </w:tr>
      <w:tr>
        <w:trPr>
          <w:trHeight w:val="21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w:t>
            </w:r>
          </w:p>
        </w:tc>
      </w:tr>
      <w:tr>
        <w:trPr>
          <w:trHeight w:val="23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27,349</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CHARGES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Quarter ended March 31, 2020</w:t>
      </w:r>
      <w:r>
        <w:rPr>
          <w:rFonts w:ascii="Arial" w:cs="Arial" w:eastAsia="Arial" w:hAnsi="Arial"/>
          <w:sz w:val="17"/>
          <w:szCs w:val="17"/>
          <w:color w:val="auto"/>
        </w:rPr>
        <w:t>. During the first quarter of 2020, we recorded impairment expense related to goodwill and long-lived assets.</w:t>
      </w:r>
    </w:p>
    <w:p>
      <w:pPr>
        <w:spacing w:after="0" w:line="1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spread of the COVID-19 coronavirus (COVID-19) and the response thereto during the first quarter of 2020 negatively impacted the global economy. The resulting unprecedented decline in oil demand, coupled with disagreements between Saudi Arabia and Russia about production limits, resulted in a collapse of global oil prices in March 2020, thereby creating unprecedented downward pressure on stock prices in the energy industry, particularly small-cap companies with operations in the U.S. and Canada, such as Civeo. As a result, we experienced a sustained reduction of our share price during the first quarter of 2020. Our market capitalization implied an enterprise value which was significantly less than the sum of the estimated fair values of our reporting units, and we determined that an indicator of a goodwill impairment was present as of March 31, 2020. Accordingly, we performed an interim goodwill impairment test as of March 31, 2020, and the carrying amount of our Canadian reporting unit exceeded the reporting unit's fair value. Based on the results of the impairment test, we reduced the value of our goodwill in our Canadian reporting unit to zero and recognized impairment expense in the first quarter of 2020 of $93.6 million.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2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Furthermore, as a result of the decline in global oil prices and forecasts for a potentially protracted period of lower prices, as well as the goodwill impairment in our Canadian segment, we determined all asset groups within this segment had experienced a trigger that indicated that the carrying values might not be recoverable. Accordingly, we assessed the carrying value of each asset group to determine if it continued to be recoverable based on estimated future cash flows. Based on the assessment, the carrying values of certain asset groups were determined to not be fully recoverable, and we proceeded to compare the estimated fair value of these asset groups to their respective carrying values. As a result, certain asset groups were written down to their estimated fair values of $43.5 million and we recorded impairment expense of $38.1 million related to certain long-lived assets in our Canadian segment.</w:t>
      </w:r>
    </w:p>
    <w:p>
      <w:pPr>
        <w:spacing w:after="0" w:line="56"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6"/>
          <w:szCs w:val="16"/>
          <w:color w:val="auto"/>
        </w:rPr>
        <w:t>Also, as a result of the decline in global oil prices and forecasts for a potentially protracted period of lower prices, we reviewed all asset groups in our U.S. segment to determine if an indicator of impairment had occurred that would indicate that the carrying values of the asset groups in the segment might not be recoverable. We determined that certain asset groups within the segment had experienced an indicator of impairment, and thus we assessed the carrying values of our long-lived assets in the U.S. to determine if they continued to be recoverable based on estimated future cash flows. Based on the assessment, the carrying values of certain of our U.S. asset groups were determined to not be recoverable, and we proceeded to compare the estimated fair values of the asset groups to their respective carrying values. Accordingly, these assets were written down to their estimated fair values of $12.5 million. We recorded impairment expense of $12.4 million during the first quarter of 2020 related to our U.S. segment.</w:t>
      </w:r>
    </w:p>
    <w:p>
      <w:pPr>
        <w:spacing w:after="0" w:line="18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previously disclosed in Note 1 - Description of Business and Basis of Presentation, a 1-for-12 reverse share split became effective on November 19, 2020 for all authorized, issued and outstanding shares of Civeo common shares. Accordingly, all share and per share amounts have been adjusted to reflect this reverse stock split for all prior periods presented.</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calculate basic and diluted earnings per share by applying the two-class method because we have participating securities in the form of Class A preferred shares. Participating securities are allocated a proportional share of net income determined by dividing total weighted average participating securities by the sum of total weighted average common shares and participating securities. We also apply the treasury stock method with respect to certain share-based awards in the calculation of diluted earnings per share, if dilutive.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3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calculation of earnings per share attributable to Civeo common shareholders is presented below for the periods indicated (in thousands, except per share amounts):</w:t>
      </w:r>
    </w:p>
    <w:p>
      <w:pPr>
        <w:spacing w:after="0" w:line="86"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Three Months Ended March</w:t>
      </w:r>
    </w:p>
    <w:p>
      <w:pPr>
        <w:jc w:val="center"/>
        <w:ind w:left="5960"/>
        <w:spacing w:after="0"/>
        <w:rPr>
          <w:sz w:val="20"/>
          <w:szCs w:val="20"/>
          <w:color w:val="auto"/>
        </w:rPr>
      </w:pPr>
      <w:r>
        <w:rPr>
          <w:rFonts w:ascii="Arial" w:cs="Arial" w:eastAsia="Arial" w:hAnsi="Arial"/>
          <w:sz w:val="16"/>
          <w:szCs w:val="16"/>
          <w:b w:val="1"/>
          <w:bCs w:val="1"/>
          <w:color w:val="auto"/>
        </w:rPr>
        <w:t>31,</w:t>
      </w:r>
    </w:p>
    <w:p>
      <w:pPr>
        <w:spacing w:after="0" w:line="8" w:lineRule="exact"/>
        <w:rPr>
          <w:sz w:val="20"/>
          <w:szCs w:val="20"/>
          <w:color w:val="auto"/>
        </w:rPr>
      </w:pPr>
    </w:p>
    <w:tbl>
      <w:tblPr>
        <w:tblLayout w:type="fixed"/>
        <w:tblInd w:w="1560" w:type="dxa"/>
        <w:tblCellMar>
          <w:top w:w="0" w:type="dxa"/>
          <w:left w:w="0" w:type="dxa"/>
          <w:bottom w:w="0" w:type="dxa"/>
          <w:right w:w="0" w:type="dxa"/>
        </w:tblCellMar>
      </w:tblPr>
      <w:tr>
        <w:trPr>
          <w:trHeight w:val="213"/>
        </w:trPr>
        <w:tc>
          <w:tcPr>
            <w:tcW w:w="59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r>
      <w:tr>
        <w:trPr>
          <w:trHeight w:val="19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Net loss attributable to Civeo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(9,962)</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(146,538)</w:t>
            </w: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allocated to participating securities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980" w:type="dxa"/>
            <w:vAlign w:val="bottom"/>
          </w:tcPr>
          <w:p>
            <w:pPr>
              <w:ind w:left="20"/>
              <w:spacing w:after="0"/>
              <w:rPr>
                <w:sz w:val="20"/>
                <w:szCs w:val="20"/>
                <w:color w:val="auto"/>
              </w:rPr>
            </w:pPr>
            <w:r>
              <w:rPr>
                <w:rFonts w:ascii="Arial" w:cs="Arial" w:eastAsia="Arial" w:hAnsi="Arial"/>
                <w:sz w:val="16"/>
                <w:szCs w:val="16"/>
                <w:color w:val="auto"/>
              </w:rPr>
              <w:t>Basic net loss attributable to Civeo Corporation common shareholders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(9,962)</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(146,538)</w:t>
            </w: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undistributed income attributable to participating securities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Less: undistributed income reallocated to participating securities</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loss attributable to Civeo Corporation common shareholders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(146,538)</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5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Weighted average shares outstanding - basic</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14,043</w:t>
            </w: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 shares - share-based awards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Weighted average shares outstanding - diluted</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14,211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14,043</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5"/>
        </w:trPr>
        <w:tc>
          <w:tcPr>
            <w:tcW w:w="59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216"/>
        </w:trPr>
        <w:tc>
          <w:tcPr>
            <w:tcW w:w="5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Basic net loss per share attributable to Civeo Corporation common shareholders </w:t>
            </w:r>
            <w:r>
              <w:rPr>
                <w:rFonts w:ascii="Arial" w:cs="Arial" w:eastAsia="Arial" w:hAnsi="Arial"/>
                <w:sz w:val="21"/>
                <w:szCs w:val="21"/>
                <w:color w:val="auto"/>
                <w:vertAlign w:val="superscript"/>
              </w:rPr>
              <w:t>(1)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(0.70)</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(10.43)</w:t>
            </w:r>
          </w:p>
        </w:tc>
      </w:tr>
      <w:tr>
        <w:trPr>
          <w:trHeight w:val="108"/>
        </w:trPr>
        <w:tc>
          <w:tcPr>
            <w:tcW w:w="5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273"/>
        </w:trPr>
        <w:tc>
          <w:tcPr>
            <w:tcW w:w="5980" w:type="dxa"/>
            <w:vAlign w:val="bottom"/>
          </w:tcPr>
          <w:p>
            <w:pPr>
              <w:ind w:left="20"/>
              <w:spacing w:after="0"/>
              <w:rPr>
                <w:sz w:val="20"/>
                <w:szCs w:val="20"/>
                <w:color w:val="auto"/>
              </w:rPr>
            </w:pPr>
            <w:r>
              <w:rPr>
                <w:rFonts w:ascii="Arial" w:cs="Arial" w:eastAsia="Arial" w:hAnsi="Arial"/>
                <w:sz w:val="16"/>
                <w:szCs w:val="16"/>
                <w:color w:val="auto"/>
                <w:w w:val="98"/>
              </w:rPr>
              <w:t xml:space="preserve">Diluted net loss per share attributable to Civeo Corporation common shareholders </w:t>
            </w:r>
            <w:r>
              <w:rPr>
                <w:rFonts w:ascii="Arial" w:cs="Arial" w:eastAsia="Arial" w:hAnsi="Arial"/>
                <w:sz w:val="21"/>
                <w:szCs w:val="21"/>
                <w:color w:val="auto"/>
                <w:w w:val="98"/>
                <w:vertAlign w:val="superscript"/>
              </w:rPr>
              <w:t>(1)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(0.70)</w:t>
            </w:r>
          </w:p>
        </w:tc>
        <w:tc>
          <w:tcPr>
            <w:tcW w:w="120" w:type="dxa"/>
            <w:vAlign w:val="bottom"/>
          </w:tcPr>
          <w:p>
            <w:pPr>
              <w:spacing w:after="0"/>
              <w:rPr>
                <w:sz w:val="23"/>
                <w:szCs w:val="23"/>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(10.43)</w:t>
            </w:r>
          </w:p>
        </w:tc>
      </w:tr>
    </w:tbl>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34"/>
        </w:trPr>
        <w:tc>
          <w:tcPr>
            <w:tcW w:w="200" w:type="dxa"/>
            <w:vAlign w:val="bottom"/>
          </w:tcPr>
          <w:p>
            <w:pPr>
              <w:jc w:val="right"/>
              <w:ind w:right="27"/>
              <w:spacing w:after="0"/>
              <w:rPr>
                <w:sz w:val="20"/>
                <w:szCs w:val="20"/>
                <w:color w:val="auto"/>
              </w:rPr>
            </w:pPr>
            <w:r>
              <w:rPr>
                <w:rFonts w:ascii="Arial" w:cs="Arial" w:eastAsia="Arial" w:hAnsi="Arial"/>
                <w:sz w:val="11"/>
                <w:szCs w:val="11"/>
                <w:color w:val="auto"/>
                <w:w w:val="74"/>
              </w:rPr>
              <w:t>(1)</w:t>
            </w:r>
          </w:p>
        </w:tc>
        <w:tc>
          <w:tcPr>
            <w:tcW w:w="3260" w:type="dxa"/>
            <w:vAlign w:val="bottom"/>
            <w:vMerge w:val="restart"/>
          </w:tcPr>
          <w:p>
            <w:pPr>
              <w:ind w:left="100"/>
              <w:spacing w:after="0"/>
              <w:rPr>
                <w:sz w:val="20"/>
                <w:szCs w:val="20"/>
                <w:color w:val="auto"/>
              </w:rPr>
            </w:pPr>
            <w:r>
              <w:rPr>
                <w:rFonts w:ascii="Arial" w:cs="Arial" w:eastAsia="Arial" w:hAnsi="Arial"/>
                <w:sz w:val="16"/>
                <w:szCs w:val="16"/>
                <w:color w:val="auto"/>
                <w:w w:val="91"/>
              </w:rPr>
              <w:t>Computations may reflect rounding adjustments.</w:t>
            </w:r>
          </w:p>
        </w:tc>
        <w:tc>
          <w:tcPr>
            <w:tcW w:w="0" w:type="dxa"/>
            <w:vAlign w:val="bottom"/>
          </w:tcPr>
          <w:p>
            <w:pPr>
              <w:spacing w:after="0"/>
              <w:rPr>
                <w:sz w:val="1"/>
                <w:szCs w:val="1"/>
                <w:color w:val="auto"/>
              </w:rPr>
            </w:pPr>
          </w:p>
        </w:tc>
      </w:tr>
      <w:tr>
        <w:trPr>
          <w:trHeight w:val="72"/>
        </w:trPr>
        <w:tc>
          <w:tcPr>
            <w:tcW w:w="20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three months ended March 31, 2021 and 2020, we excluded 0.2 million and 0.5 million share-based awards, respectively, from the computation of diluted earnings per share because their effect was anti-dilutive. When an entity has a net loss from continuing operations, it is prohibited from including potential common shares in the computation of diluted per share amounts. Additionally, for the three months ended March 31, 2021 and 2020, we excluded from the computation the impact of converting the Preferred Shares into 2.4 million and 2.4 million common shares, respectively, since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31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and December 31, 2020, long-term debt consisted of the following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149"/>
        </w:trPr>
        <w:tc>
          <w:tcPr>
            <w:tcW w:w="77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6"/>
                <w:szCs w:val="16"/>
                <w:color w:val="auto"/>
                <w:w w:val="99"/>
              </w:rPr>
              <w:t>Canadian term loan, which matures on May 30, 2023; C$11.2 million principal repayable per quarter; weighted</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180,997</w:t>
            </w: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vMerge w:val="restart"/>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187,530</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interest rate of 4.0% for the three month period ended March 31, 2021</w:t>
            </w:r>
          </w:p>
        </w:tc>
        <w:tc>
          <w:tcPr>
            <w:tcW w:w="12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6"/>
              </w:rPr>
              <w:t>U.S. revolving credit facility, which matures on May 30, 2023; weighted average interest rate of 5.8% for the three</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month period ended March 31, 2021</w:t>
            </w: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7"/>
              </w:rPr>
              <w:t>Canadian revolving credit facility, which matures on May 30, 2023; weighted average interest rate of 4.5% for the</w:t>
            </w: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40,317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45,789</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three month period ended March 31, 2021</w:t>
            </w: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6"/>
              </w:rPr>
              <w:t>Australian revolving credit facility, which matures on May 30, 2023; weighted average interest rate of 3.6% for the</w:t>
            </w: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16,746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17,767</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three month period ended March 31, 2021</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238,060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251,086</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0" w:type="dxa"/>
            <w:vAlign w:val="bottom"/>
          </w:tcPr>
          <w:p>
            <w:pPr>
              <w:spacing w:after="0"/>
              <w:rPr>
                <w:sz w:val="1"/>
                <w:szCs w:val="1"/>
                <w:color w:val="auto"/>
              </w:rPr>
            </w:pPr>
          </w:p>
        </w:tc>
      </w:tr>
      <w:tr>
        <w:trPr>
          <w:trHeight w:val="207"/>
        </w:trPr>
        <w:tc>
          <w:tcPr>
            <w:tcW w:w="7780" w:type="dxa"/>
            <w:vAlign w:val="bottom"/>
          </w:tcPr>
          <w:p>
            <w:pPr>
              <w:ind w:left="140"/>
              <w:spacing w:after="0"/>
              <w:rPr>
                <w:sz w:val="20"/>
                <w:szCs w:val="20"/>
                <w:color w:val="auto"/>
              </w:rPr>
            </w:pPr>
            <w:r>
              <w:rPr>
                <w:rFonts w:ascii="Arial" w:cs="Arial" w:eastAsia="Arial" w:hAnsi="Arial"/>
                <w:sz w:val="16"/>
                <w:szCs w:val="16"/>
                <w:color w:val="auto"/>
              </w:rPr>
              <w:t>Total debt</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235,803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248,585</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 including unamortized debt issuance costs, net</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35,047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34,585</w:t>
            </w:r>
          </w:p>
        </w:tc>
        <w:tc>
          <w:tcPr>
            <w:tcW w:w="0" w:type="dxa"/>
            <w:vAlign w:val="bottom"/>
          </w:tcPr>
          <w:p>
            <w:pPr>
              <w:spacing w:after="0"/>
              <w:rPr>
                <w:sz w:val="1"/>
                <w:szCs w:val="1"/>
                <w:color w:val="auto"/>
              </w:rPr>
            </w:pP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color w:val="auto"/>
              </w:rPr>
              <w:t>Long-term debt, less current maturities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200,756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214,000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As of March 31, 2021, our Credit Agreement (as then amended to date, the Credit Agreement) provided for: (i) a $167.3 million revolving credit facility scheduled to mature on May 30, 2023, allocated as follows: (A) a $10.0 million senior secured revolving credit facility in favor of certain of our U.S. subsidiaries, as borrowers; (B) a $122.3 million senior secured revolving credit facility in favor of Civeo and certain of our Canadian subsidiaries, as borrowers; and (C) a $35.0 million senior secured revolving credit facility in favor of one of our Australian subsidiaries, as borrower; and (ii) a $194.8 million term loan facility scheduled to mature on May 30, 2023 for certain lenders in favor of Civeo.</w:t>
      </w:r>
    </w:p>
    <w:p>
      <w:pPr>
        <w:spacing w:after="0" w:line="6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U.S. dollar amounts outstanding under the facilities provided by the Credit Agreement bear interest at a variable rate equal to the London Inter-Bank Offered Rate (LIBOR) plus a margin of 3.50% to 4.50%, or a base rate plus 2.50% to 3.50%, in each case based on a ratio of our total debt to consolidated EBITDA (as defined in the Credit Agreement). Canadian dollar amounts outstanding bear interest at a variable rate equal to a Bankers’ Acceptance Discount Rate (as defined in the Credit Agreement) based on the Canadian Dollar Offered Rate (CDOR) plus a margin of 3.50% to 4.50%, or a Canadian Prime rate plus a margin of 2.50% to 3.50%, in each case based on a ratio of our total debt to consolidated EBITDA. Australian dollar amounts outstanding under the Credit Agreement bear interest at a variable rate equal to the Bank Bill Swap Bid Rate plus a margin of 3.50% to 4.50%, based on a ratio of our total debt to consolidated EBITDA. The future transitions from LIBOR and CDOR as interest rate benchmarks is addressed in the Credit Agreement and at such time the transition from LIBOR or CDOR takes place, we will endeavor with the administrative agent to establish an alternate rate of interest to LIBOR or CDOR that gives due consideration to (1) the then prevailing market convention for determining a rate of interest for syndicated loans in the United States at such time for the replacement of LIBOR and (2) any evolving or then existing convention for similar Canadian Dollar denominated syndicated credit facilities for the replacement of CDOR.</w:t>
      </w:r>
    </w:p>
    <w:p>
      <w:pPr>
        <w:spacing w:after="0" w:line="7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3.00 to 1.00 and our maximum leverage ratio, defined as the ratio of total debt to consolidated EBITDA, of no greater than 3.50 to 1.00. Following a qualified offering of indebtedness with gross proceeds in excess of $150.0 million, we will be required to maintain a maximum leverage ratio of no greater than 4.00 to 1.00 and a maximum senior secured ratio less than 2.50 to 1.00. Each of the factors considered in the calculations of these ratios are defined in the Credit Agreement. EBITDA and consolidated interest, as defined, exclude goodwill and asset impairments, debt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discount amortization, amortization of intangibles and other non-cash charges. We were in compliance with our covenants as of March 31, 2021.</w:t>
      </w:r>
    </w:p>
    <w:p>
      <w:pPr>
        <w:spacing w:after="0" w:line="1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Borrowings under the Credit Agreement are secured by a pledge of substantially all of our assets and the assets of our subsidiaries subject to customary exceptions. The obligations under the Credit Agreement are guaranteed by our significant subsidiaries. As of March 31, 2021, we had eight lenders that were parties to the Credit Agreement, with total commitments (including both revolving commitments and term commitments) ranging from $22.4 million to $71.1 million. As of March 31, 2021, we had outstanding letters of credit of $1.2 million under the U.S. facility, $0.1 million under the Australian facility and $2.0 million under the Canadian facility.</w:t>
      </w:r>
    </w:p>
    <w:p>
      <w:pPr>
        <w:spacing w:after="0" w:line="120"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As of March 31, 2021 and December 31, 2020, we also had two bank guarantee facilities totaling A$3.0 million which mature on May 31, 2021. We had bank guarantees of A$0.9 million and A$0.8 million under these facilities outstanding as of March 31, 2021 and December 31, 2020, respectively.</w:t>
      </w:r>
    </w:p>
    <w:p>
      <w:pPr>
        <w:spacing w:after="0" w:line="39"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operate in three jurisdictions, Canada, Australia and the U.S., where statutory tax rates range from 21% to 30%. Our effective tax rate will vary from period to period based on changes in earnings mix between these different jurisdictions.</w:t>
      </w:r>
    </w:p>
    <w:p>
      <w:pPr>
        <w:spacing w:after="0" w:line="62"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March 31, 2021 and 2020, Canada and the U.S. were considered loss jurisdictions for tax accounting purposes and were removed from the annual effective tax rate computation for purposes of computing the interim tax provision.</w:t>
      </w:r>
    </w:p>
    <w:p>
      <w:pPr>
        <w:spacing w:after="0" w:line="1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7"/>
          <w:szCs w:val="17"/>
          <w:color w:val="auto"/>
        </w:rPr>
        <w:t>Our income tax expense for the three months ended March 31, 2021 totaled $1.1 million, or (12.9%) of pretax loss, compared to a tax benefit of $8.8 million, or 5.7% of pretax loss, for the three months ended March 31, 2020. Our effective tax rate for both the three months ended March 31, 2021 and March 31, 2020 was impacted by considering Canada and the U.S. loss jurisdictions that were removed from the annual effective tax rate computation for purposes of computing the interim tax provision. Additionally, for the three months ended March 31, 2020, we recorded a deferred tax benefit of $12.4 million offset by a valuation allowance of $3.4 million against the Canadian net deferred tax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accumulated other comprehensive loss increased $1.6 million from $349.0 million at December 31, 2020 to $350.6 million at March 31, 2021, as a result of foreign currency exchange rate fluctuations. Changes in other comprehensive loss during the first three months of 2021 were primarily driven by the Australian dollar decreasing in value compared to the U.S. dollar, partially offset by the Canadian dollar increasing in value compared to the U.S. dollar. Excluding intercompany balances, our Canadian dollar and Australian dollar functional currency net assets totaled approximately C$160 million and A$285 million, respectively, at March 31, 2021.</w:t>
      </w:r>
    </w:p>
    <w:p>
      <w:pPr>
        <w:spacing w:after="0" w:line="21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SHARE-BASED COMPENSATION</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Certain key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phantom</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 awards and dividend equivalents, awards of deferred shares, and share payments to our employees and non-employee directors. No more than 2.4 million Civeo common shares are authorized to be issued under the Civeo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Restricted Share Awards / Restricted Share Units / Deferred Share Awards. </w:t>
      </w:r>
      <w:r>
        <w:rPr>
          <w:rFonts w:ascii="Arial" w:cs="Arial" w:eastAsia="Arial" w:hAnsi="Arial"/>
          <w:sz w:val="18"/>
          <w:szCs w:val="18"/>
          <w:color w:val="auto"/>
        </w:rPr>
        <w:t>Compensation expense associated with restricted share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share units and deferred share awards recognized in the three months ended March 31, 2021 and 2020 totaled $0.5 million and $1.3 million, respectively. The total fair value of restricted share awards, restricted share units and deferred share awards that vested during the three months ended March 31, 2021 and 2020 was $1.5 million and $2.3 million, respectively.</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At March 31, 2021, unrecognized compensation cost related to restricted share awards, restricted share units and deferred share awards was $0.8 million, which is expected to be recognized over a weighted average period of 0.9 years.</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On February 22, 2021, we granted 270,079 phantom share awards under the Civeo Plan, which vest in three equal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installments beginning on February 22, 2022. We also granted 81,774 phantom share awards under the Canadian Long-Term Incentive Plan, which vest in three equal annual installments beginning on February 22, 2022.</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three months ended March 31, 2021 and 2020, we recognized compensation expense associated with phantom shares totaling $1.4 million and $0.3 million, respectively. At March 31, 2021, unrecognized compensation cost related to phantom shares was $9.5 million, as remeasured at March 31, 2021, which is expected to be recognized over a weighted average period of 2.4 years.</w:t>
      </w:r>
    </w:p>
    <w:p>
      <w:pPr>
        <w:spacing w:after="0" w:line="18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b w:val="1"/>
          <w:bCs w:val="1"/>
          <w:i w:val="1"/>
          <w:iCs w:val="1"/>
          <w:color w:val="auto"/>
        </w:rPr>
        <w:t xml:space="preserve">Performance Awards. </w:t>
      </w:r>
      <w:r>
        <w:rPr>
          <w:rFonts w:ascii="Arial" w:cs="Arial" w:eastAsia="Arial" w:hAnsi="Arial"/>
          <w:sz w:val="16"/>
          <w:szCs w:val="16"/>
          <w:color w:val="auto"/>
        </w:rPr>
        <w:t>On February 22, 2021, we granted 129,754 performance awards under the Civeo Plan, which cliff vest in three years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22, 2024. These awards will be earned in amounts between 0% and 200% of the participant’s target performance share award, based on (1) the payout percentage associated with Civeo’s relative total shareholder return rank among a peer group that includes 17 other companies and (2) the payout percentage associated with Civeo's cumulative free cash flow over the performance period relative to a preset target. The portion of the performance awards tied to cumulative free cash flow includes a performance-based vesting requirement. The fair value of these awards is based on the closing market price of our common shares on the date of grant. We evaluate the probability of achieving the performance criteria throughout the performance period and will adjust share-based compensation expense based on the number of shares expected to vest based on our estimate of the most probable performance outcome. The ultimate payout of the cumulative free cash flow component of the award can vary from 0% to 60% based on actual results.</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three months ended March 31, 2021 and 2020, we recognized compensation expense associated with performance awards totaling $0.5 million and $0.9 million, respectively. The total fair value of performance share awards that vested during the three months ended March 31, 2021 and 2020 was $1.9 million and $1.9 million, respectively. At March 31, 2021, unrecognized compensation cost related to performance shares was $4.5 million, which is expected to be recognized over a weighted average period of 2.4 years.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RELATED INFORMATION</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accordance with current accounting standards regarding disclosures about segments of an enterprise and related information, we have identified the following reportable segments: Canada, Australia and the U.S., which represent our strategic focus on hospitality services and workforce accommodations.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31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Financial information by business segment for each of the three months ended March 31, 2021 and 2020 is summarized in the following table (in thousands):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4"/>
              </w:rPr>
              <w:t>Total</w:t>
            </w: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Depreciation</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Operating</w:t>
            </w:r>
          </w:p>
        </w:tc>
        <w:tc>
          <w:tcPr>
            <w:tcW w:w="200" w:type="dxa"/>
            <w:vAlign w:val="bottom"/>
          </w:tcPr>
          <w:p>
            <w:pPr>
              <w:spacing w:after="0"/>
              <w:rPr>
                <w:sz w:val="16"/>
                <w:szCs w:val="16"/>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7"/>
              </w:rPr>
              <w:t>Capital</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1"/>
              </w:rPr>
              <w:t>and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85"/>
              </w:rPr>
              <w:t>income</w:t>
            </w: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w w:val="95"/>
              </w:rPr>
              <w:t>Total assets</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revenues</w:t>
            </w:r>
          </w:p>
        </w:tc>
        <w:tc>
          <w:tcPr>
            <w:tcW w:w="1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4"/>
              </w:rPr>
              <w:t>(loss)</w:t>
            </w: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expenditures</w:t>
            </w: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32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w w:val="96"/>
              </w:rPr>
              <w:t>Three months ended March 31,</w:t>
            </w:r>
          </w:p>
        </w:tc>
        <w:tc>
          <w:tcPr>
            <w:tcW w:w="2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Canada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61,885</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12,087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(7,659)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1,180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721,841</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265,111</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27,869</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(304,643)</w:t>
            </w:r>
          </w:p>
        </w:tc>
        <w:tc>
          <w:tcPr>
            <w:tcW w:w="0" w:type="dxa"/>
            <w:vAlign w:val="bottom"/>
          </w:tcPr>
          <w:p>
            <w:pPr>
              <w:spacing w:after="0"/>
              <w:rPr>
                <w:sz w:val="1"/>
                <w:szCs w:val="1"/>
                <w:color w:val="auto"/>
              </w:rPr>
            </w:pPr>
          </w:p>
        </w:tc>
      </w:tr>
      <w:tr>
        <w:trPr>
          <w:trHeight w:val="213"/>
        </w:trPr>
        <w:tc>
          <w:tcPr>
            <w:tcW w:w="2320" w:type="dxa"/>
            <w:vAlign w:val="bottom"/>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125,430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21,269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(9,901)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710,178</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3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6"/>
              </w:rPr>
              <w:t>Three months ended March 31,</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649,963</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49,113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242,238</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32,758</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(205,436)</w:t>
            </w:r>
          </w:p>
        </w:tc>
        <w:tc>
          <w:tcPr>
            <w:tcW w:w="0" w:type="dxa"/>
            <w:vAlign w:val="bottom"/>
          </w:tcPr>
          <w:p>
            <w:pPr>
              <w:spacing w:after="0"/>
              <w:rPr>
                <w:sz w:val="1"/>
                <w:szCs w:val="1"/>
                <w:color w:val="auto"/>
              </w:rPr>
            </w:pPr>
          </w:p>
        </w:tc>
      </w:tr>
      <w:tr>
        <w:trPr>
          <w:trHeight w:val="238"/>
        </w:trPr>
        <w:tc>
          <w:tcPr>
            <w:tcW w:w="2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719,523</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impact of COVID-19 and the response thereto and the volatility in the price of and demand for oil, as well as our expectations about capital expenditures in 2021 and beliefs with respect to liquidity needs. Actual results could differ materially from those projected in the forward-looking statements as a result of a number of important factors. For a discussion of known material factors that could affect our results, please refer to “Risk Factors,” “Cautionary Statement Regarding Forward-Looking Statements,” and “Management’s Discussion and Analysis of Financial Condition and Results of Operations” included in our Annual Report on Form 10-K for the year ended December 31, 2020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Share Split</w:t>
      </w:r>
    </w:p>
    <w:p>
      <w:pPr>
        <w:spacing w:after="0" w:line="14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November 19, 2020, we effected a reverse share split where each twelve issued and outstanding common shares were converted into one common share (Reverse Share Split). Our common shares began trading on a reverse share split adjusted basis on November 19, 2020. All common share and per common share data included in this quarterly report have been retroactively adjusted to reflect the Reverse Share Split.</w:t>
      </w:r>
    </w:p>
    <w:p>
      <w:pPr>
        <w:spacing w:after="0" w:line="9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See Note 1 - Description of Business and Basis of Presentation to the notes to the unaudited consolidated financial statements included in Item 1 of this quarterly report for further discussion.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Macroeconomic Environment</w:t>
      </w:r>
    </w:p>
    <w:p>
      <w:pPr>
        <w:spacing w:after="0" w:line="14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maintenance and operation of those facilities as well as expansion of those sites. In general, industry capital spending programs are based on the outlook for commodity prices, economic growth, global commodity supply/demand dynamics and estimates of resource production. As a result, demand for our hospitality services is largely sensitive to expected commodity prices, principally related to oil, metallurgical (met) coal, liquefied natural gas (LNG) and iron ore. Other factors that can affect our business and financial results include the general global economic environment and regulatory changes in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Canada, Australia, the U.S. and other markets, including governmental measures introduced to fight climate change or to help slow the spread or mitigate the impact of COVID-19.</w:t>
      </w:r>
    </w:p>
    <w:p>
      <w:pPr>
        <w:spacing w:after="0" w:line="10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business is predominantly located in northern Alberta, Canada; British Columbia, Canada; Queensland, Australia; and Western Australia. We derive most of our business from natural resource companies who are developing and producing oil sands, met coal, LNG and iron ore resources and, to a lesser extent, other hydrocarbon and mineral resources. Approximately 64% of our revenue is generated by our lodges in Canada and our villages in Australia.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fee-per-person-per-day basis that covers lodging and meals and is based on the duration of customer needs, which can range from several weeks to several years.</w:t>
      </w:r>
    </w:p>
    <w:p>
      <w:pPr>
        <w:spacing w:after="0" w:line="9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Generally, our core Canadian oil sands and Australian mining customers are making significant capital investments to develop their prospects, which have estimated reserve lives ranging from ten years to in excess of 30 years. Consequently, these investments are primarily dependent on those customers’ long-term views of commodity demand and prices.</w:t>
      </w:r>
    </w:p>
    <w:p>
      <w:pPr>
        <w:spacing w:after="0" w:line="10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spread of COVID-19 and the response thereto have negatively impacted the global economy. The actions taken to mitigate the spread of COVID-19 and the risk of infection have altered, and are expected to continue to alter, governmental and private-sector policies and behaviors in ways that have had a significant negative effect on oil consumption, such as government-imposed or voluntary social distancing and quarantining, reduced travel and remote work policies. Additionally, global oil prices dropped to historically low levels in March and April 2020 due to severely reduced global oil demand, high global crude inventory levels, uncertainty around timing and slope of worldwide economic recovery after COVID-19 related economic shut-downs and effectiveness of production cuts by major oil producing countries, such as Saudi Arabia, Russia and the U.S. In mid-April 2020, OPEC+ (the combination of historical OPEC members and other significant oil producers, such as Russia) announced production cuts of up to approximately 10 million barrels per day. However, oil prices remained at depressed levels throughout most of 2020, before modest improvement late in the year and into early 2021. Prices are expected to remain relatively volatile throughout 2021.</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economic disruption caused by the spread of COVID-19 and decline in the price of and demand for oil have impacted the activity in the Canadian oil sands, and we have seen a decrease in demand for rooms by our oil sands customers. The reduction in the occupancy at our Canadian oil sands lodges negatively impacted our occupancy in 2020 and the first quarter of 2021 and could continue to negatively impact our business if oil prices continue to remain volatile.</w:t>
      </w:r>
    </w:p>
    <w:p>
      <w:pPr>
        <w:spacing w:after="0" w:line="11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Despite the aforementioned negative impact of COVID-19 on the global economy, the impact on the Australian mining industry in 2020 was relatively muted. Due to strong Chinese steel demand, supply disruptions in other countries and limited COVID-19 cases in Australia, Australian met coal and iron ore activity was relatively buoyant in 2020 and the beginning of 2021.</w:t>
      </w:r>
    </w:p>
    <w:p>
      <w:pPr>
        <w:spacing w:after="0" w:line="10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continue to closely monitor the COVID-19 situation and have taken measures to help ensure the health and well-being of our employees, guests and contractors, including screening of individuals that enter our facilities, social distancing practices, enhanced cleaning and deep sanitization, the suspension of nonessential employee travel and implementation of work-from-home policies, where applicable.</w:t>
      </w:r>
    </w:p>
    <w:p>
      <w:pPr>
        <w:spacing w:after="0" w:line="116"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i w:val="1"/>
          <w:iCs w:val="1"/>
          <w:color w:val="auto"/>
        </w:rPr>
        <w:t xml:space="preserve">Alberta, Canada. </w:t>
      </w:r>
      <w:r>
        <w:rPr>
          <w:rFonts w:ascii="Arial" w:cs="Arial" w:eastAsia="Arial" w:hAnsi="Arial"/>
          <w:sz w:val="16"/>
          <w:szCs w:val="16"/>
          <w:color w:val="auto"/>
        </w:rPr>
        <w:t>In Canada, Western Canadian Select (WCS) crude is the benchmark price for our oil sands customers. Pricing for WCS is driven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several factors, including the underlying price for West Texas Intermediate (WTI) crude, the availability of transportation infrastructure (consisting of pipelines and crude by railcar) and recent actions by the Alberta provincial government to limit oil production from the province.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spacing w:after="0" w:line="9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Certain expansionary oil pipeline projects have the potential to both drive incremental demand for mobile assets and to improve take-away capacity for Canadian oil sands producers over the longer term. While these pipeline projects, including Kinder Morgan’s Trans Mountain Pipeline (TMX), have recently received incremental regulatory approvals, it is still not certain if any of the proposed pipeline projects will ultimately be completed. Certain segments of the TMX pipeline have begun construction; however, the construction timeline continues to be delayed due to the lack of agreement between the Canadian federal government, which supports the pipeline projects, and the British Columbia provincial government. The Canadian federal government acquired TMX pipeline in 2018, approved the expansion of the project and is currently working through the revised construction timeline.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6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WCS prices in the first quarter of 2021 averaged $46.28 per barrel compared to a low of $19.73 in the second quarter of 2020 and a high of $49.93 in the second quarter of 2018. The WCS Differential decreased from $15.35 per barrel at the end of the fourth quarter of 2020 to $10.26 at the end of the first quarter of 2021. In 2018, the Government of Alberta announced it would mandate temporary curtailments of the province’s oil production. However, monthly production limits were put on hold in December 2020 until further notice, allowing operators to produce freely at their discretion while the government monitors production. Should forecasts show storage inventories approaching maximum capacity, the government may reintroduce production limits. The curtailment initially resulted in a narrowing WCS Differential in December 2018, which increased in 2019 before narrowing again in the first quarter of 2020. As of April 26, 2021, the WTI price was $61.91 and the WCS price was $49.71, resulting in a WCS Differential of $12.20.</w:t>
      </w:r>
    </w:p>
    <w:p>
      <w:pPr>
        <w:spacing w:after="0" w:line="9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Together with the initial spread of COVID-19, the depressed price levels of both WTI and WCS materially impacted 2020 maintenance and production spending and activity by Canadian operators and, therefore, demand for our hospitality services. While some of our Canadian oil sands customers conducted maintenance projects in the third quarter 2020, activity was negatively impacted by the current environment. Customers began increasing production activity in the fourth quarter of 2020 and into the first quarter of 2021. Continued uncertainty, including about the impact of COVID-19, and commodity price volatility and regulatory complications could cause our Canadian oil sands and pipeline customers to reduce production, delay expansionary and maintenance spending and defer additional investments in their oil sands assets. Additionally, if oil prices do not improve or stabilize, the resulting impact could continue to negatively affect the value of our long-lived assets.</w:t>
      </w:r>
    </w:p>
    <w:p>
      <w:pPr>
        <w:spacing w:after="0" w:line="106"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 xml:space="preserve">British Columbia, Canada. </w:t>
      </w:r>
      <w:r>
        <w:rPr>
          <w:rFonts w:ascii="Arial" w:cs="Arial" w:eastAsia="Arial" w:hAnsi="Arial"/>
          <w:sz w:val="18"/>
          <w:szCs w:val="18"/>
          <w:color w:val="auto"/>
        </w:rPr>
        <w:t>Our Sitka Lodge supports the LNG Canada project and related pipeline projects (see discussion below). From a</w:t>
      </w:r>
      <w:r>
        <w:rPr>
          <w:rFonts w:ascii="Arial" w:cs="Arial" w:eastAsia="Arial" w:hAnsi="Arial"/>
          <w:sz w:val="18"/>
          <w:szCs w:val="18"/>
          <w:b w:val="1"/>
          <w:bCs w:val="1"/>
          <w:color w:val="auto"/>
        </w:rPr>
        <w:t xml:space="preserve"> </w:t>
      </w:r>
      <w:r>
        <w:rPr>
          <w:rFonts w:ascii="Arial" w:cs="Arial" w:eastAsia="Arial" w:hAnsi="Arial"/>
          <w:sz w:val="18"/>
          <w:szCs w:val="18"/>
          <w:color w:val="auto"/>
        </w:rPr>
        <w:t>macroeconomic standpoint, LNG demand continued to grow despite the COVID-19 pandemic, reinforcing the need for the global LNG industry to expand access to natural gas. Evolving government energy policies around the world have amplified support for cleaner energy supply, creating more opportunities for natural gas and LNG. Accordingly, the current view is additional investment in LNG supply will be needed to meet the expected long-term LNG demand growth.</w:t>
      </w:r>
    </w:p>
    <w:p>
      <w:pPr>
        <w:spacing w:after="0" w:line="10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Currently, Western Canada does not have any operational LNG export facilities. LNG Canada (LNGC), a joint venture among Shell Canada Energy, an affiliate of Royal Dutch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British Columbia LNG activity and related pipeline projects are a material driver of activity for our Sitka Lodge, as well as for our mobile assets, which are contracted to serve several portions of the related pipeline construction activity. The actual timing of when revenue is realized from the Coastal Gas Link pipeline and Sitka Lodge contracts could be impacted by any delays in the construction of the Kitimat LNG Facility or the pipeline, such as protest blockades and the COVID-19 pandemic.</w:t>
      </w:r>
    </w:p>
    <w:p>
      <w:pPr>
        <w:spacing w:after="0" w:line="9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late March 2020, LNGC announced steps being taken to reduce the spread of COVID-19, including reduction of the workforce at the project site to essential personnel only. This resulted in a reduction in occupancy at our Sitka Lodge during the second quarter of 2020, before returning to expected levels in the second half of 2020. In late December 2020, British Columbia’s public health officer issued a health order limiting workforce size at all large industrial projects across the province, including LNGC. This order once again reduced occupancy at our Sitka Lodge in the first quarter of 2021, and we expect occupancy to remain subdued until this health order is lifted or relaxed.</w:t>
      </w:r>
    </w:p>
    <w:p>
      <w:pPr>
        <w:spacing w:after="0" w:line="12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b w:val="1"/>
          <w:bCs w:val="1"/>
          <w:i w:val="1"/>
          <w:iCs w:val="1"/>
          <w:color w:val="auto"/>
        </w:rPr>
        <w:t xml:space="preserve">Australia. </w:t>
      </w:r>
      <w:r>
        <w:rPr>
          <w:rFonts w:ascii="Arial" w:cs="Arial" w:eastAsia="Arial" w:hAnsi="Arial"/>
          <w:sz w:val="17"/>
          <w:szCs w:val="17"/>
          <w:color w:val="auto"/>
        </w:rPr>
        <w:t>In Australia, 82% of our rooms are located in the Bowen Basin of Queensland, Australia and primarily serve met coal mines in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region. Met coal pricing and production growth in the Bowen Basin region is predominantly influenced by the levels of global steel production, which increased by 10% during the first three months of 2021 compared to the same period of 2020. As of April 26, 2021, met coal spot prices were $111 per metric tonne. Long-term demand for steel is expected to be driven by global infrastructure spending and increased steel consumption per capita in developing economies, such as China and India, whose current consumption per capita is a fraction of developed countries. In 2020, the impact of the outbreak of COVID-19 led to a high level of uncertainty for demand of iron ore and met coal. However, an increase in global infrastructure spending to stimulate economies is expected to support demand for raw materials, particularly met coal and iron ore.</w:t>
      </w:r>
    </w:p>
    <w:p>
      <w:pPr>
        <w:spacing w:after="0" w:line="9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Currently, China and Australia are in a trade dispute that has led to China implementing a trade embargo on Australian coal. China has historically accounted for approximately 22% of Australia’s met coal exports. The continuing uncertainty in the Chinese demand for Australian met coal has led to volatile Australian met coal spot pricing. The Chinese trade embargo and volatile Australian met coal spot pricing have created a shuffling of global export trade flows. If this dispute continues, it could continue to impact pricing volatility, and demand for Australian met coal and consequently lead to reduced occupancy at our Australian villages.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6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Activity in Western Australia is driven primarily by iron ore production, which is a key steel-making ingredient. As of April 26, 2021, iron ore spot prices were $184.43 per metric tonne.</w:t>
      </w:r>
    </w:p>
    <w:p>
      <w:pPr>
        <w:spacing w:after="0" w:line="103"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Our integrated services business provides catering and managed services to the mining industry in Western Australia. We have contracts to manage customer-owned villages in Western Australia which primarily support iron ore mines in addition to gold, lithium and nickel mines. We believe iron ore prices are currently at a level that may contribute to increased activity over the long term if our customers view these price levels as sustainable.</w:t>
      </w:r>
    </w:p>
    <w:p>
      <w:pPr>
        <w:spacing w:after="0" w:line="8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Met coal and iron ore prices to date have remained at levels that should support the current levels of occupancy in our Australia villages and the customer locations that we manage under our integrated services business. Accordingly, we plan to continue focusing on enhancing the quality of our operations, maintaining financial discipline, proactively managing our business as market conditions continue to evolve.</w:t>
      </w:r>
    </w:p>
    <w:p>
      <w:pPr>
        <w:spacing w:after="0" w:line="8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 xml:space="preserve">U.S. </w:t>
      </w:r>
      <w:r>
        <w:rPr>
          <w:rFonts w:ascii="Arial" w:cs="Arial" w:eastAsia="Arial" w:hAnsi="Arial"/>
          <w:sz w:val="16"/>
          <w:szCs w:val="16"/>
          <w:color w:val="auto"/>
        </w:rPr>
        <w:t>Our U.S. business supports oil shale drilling and completion activity and is primarily tied to WTI oil prices in the U.S. shale formations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Permian Basin, the Mid-Continent, the Bakken and the Rockies. During 2019, the U.S. oil rig count and associated completion activity decreased due to the oil price decline in late 2018 and early 2019 coupled with other market dynamics negatively impacting exploration and production (E&amp;P) spending, finishing the year at 677 rigs. In 2020, the U.S. oil rig count and associated completion activity further decreased due to the global oil price decline discussed above. Only 324 oil rigs were active at the end of the first quarter of 2021. The Permian Basin remains the most active U.S. unconventional play, representing 68% of the oil rigs active in the U.S. at the end of the first quarter of 2021. The lower U.S. rig count and decline in oil prices resulted in decreased U.S. oil production from an average of 11.3 million barrels per day in 2020 to an average of 11.1 million barrels per day at the end of the first quarter of 2021. As of April 23, 2021, there were 343 active oil rigs in the U.S. (as measured by Bakerhughes.com). With the recent volatility in oil prices and a resulting reduction in spending by E&amp;P companies, we have exited the Bakken and reduced our presence in the Rockies regions for our U.S. mobile assets. Those assets have either been sold or transported to our Permian Basin and Mid-Continent district locations. This process is underway and we expect it to be completed during the first half of 2021. U.S. oil shale drilling and completion activity will continue to be dependent on sustained higher WTI oil prices, pipeline capacity and sufficient capital to support E&amp;P drilling and completion plans. In addition, consolidation among our E&amp;P customer base</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U.S. has historically created short-term spending and activity dislocations. Should the current trend of industry consolidation continue, we may see activity, utilization and occupancy declines in the near term.</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Recent Commodity Prices. </w:t>
      </w:r>
      <w:r>
        <w:rPr>
          <w:rFonts w:ascii="Arial" w:cs="Arial" w:eastAsia="Arial" w:hAnsi="Arial"/>
          <w:sz w:val="18"/>
          <w:szCs w:val="18"/>
          <w:color w:val="auto"/>
        </w:rPr>
        <w:t>Recent WTI crude, WCS crude and met coal pricing trends are as follows:</w:t>
      </w: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264"/>
        </w:trPr>
        <w:tc>
          <w:tcPr>
            <w:tcW w:w="33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7"/>
              </w:rPr>
              <w:t xml:space="preserve">Average Price </w:t>
            </w:r>
            <w:r>
              <w:rPr>
                <w:rFonts w:ascii="Arial" w:cs="Arial" w:eastAsia="Arial" w:hAnsi="Arial"/>
                <w:sz w:val="23"/>
                <w:szCs w:val="23"/>
                <w:color w:val="auto"/>
                <w:w w:val="87"/>
                <w:vertAlign w:val="superscript"/>
              </w:rPr>
              <w:t>(1)</w:t>
            </w:r>
          </w:p>
        </w:tc>
        <w:tc>
          <w:tcPr>
            <w:tcW w:w="2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center"/>
              <w:ind w:left="430"/>
              <w:spacing w:after="0"/>
              <w:rPr>
                <w:sz w:val="20"/>
                <w:szCs w:val="20"/>
                <w:color w:val="auto"/>
              </w:rPr>
            </w:pPr>
            <w:r>
              <w:rPr>
                <w:rFonts w:ascii="Arial" w:cs="Arial" w:eastAsia="Arial" w:hAnsi="Arial"/>
                <w:sz w:val="18"/>
                <w:szCs w:val="18"/>
                <w:color w:val="auto"/>
              </w:rPr>
              <w:t>WTI</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0"/>
              </w:rPr>
              <w:t>WCS</w:t>
            </w:r>
          </w:p>
        </w:tc>
        <w:tc>
          <w:tcPr>
            <w:tcW w:w="240" w:type="dxa"/>
            <w:vAlign w:val="bottom"/>
          </w:tcPr>
          <w:p>
            <w:pPr>
              <w:spacing w:after="0"/>
              <w:rPr>
                <w:sz w:val="14"/>
                <w:szCs w:val="14"/>
                <w:color w:val="auto"/>
              </w:rPr>
            </w:pPr>
          </w:p>
        </w:tc>
        <w:tc>
          <w:tcPr>
            <w:tcW w:w="144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2"/>
              </w:rPr>
              <w:t>Hard</w:t>
            </w:r>
          </w:p>
        </w:tc>
        <w:tc>
          <w:tcPr>
            <w:tcW w:w="0" w:type="dxa"/>
            <w:vAlign w:val="bottom"/>
          </w:tcPr>
          <w:p>
            <w:pPr>
              <w:spacing w:after="0"/>
              <w:rPr>
                <w:sz w:val="1"/>
                <w:szCs w:val="1"/>
                <w:color w:val="auto"/>
              </w:rPr>
            </w:pPr>
          </w:p>
        </w:tc>
      </w:tr>
      <w:tr>
        <w:trPr>
          <w:trHeight w:val="175"/>
        </w:trPr>
        <w:tc>
          <w:tcPr>
            <w:tcW w:w="34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Quarter</w:t>
            </w:r>
          </w:p>
        </w:tc>
        <w:tc>
          <w:tcPr>
            <w:tcW w:w="11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center"/>
              <w:ind w:right="190"/>
              <w:spacing w:after="0" w:line="176" w:lineRule="exact"/>
              <w:rPr>
                <w:sz w:val="20"/>
                <w:szCs w:val="20"/>
                <w:color w:val="auto"/>
              </w:rPr>
            </w:pPr>
            <w:r>
              <w:rPr>
                <w:rFonts w:ascii="Arial" w:cs="Arial" w:eastAsia="Arial" w:hAnsi="Arial"/>
                <w:sz w:val="18"/>
                <w:szCs w:val="18"/>
                <w:color w:val="auto"/>
                <w:w w:val="93"/>
              </w:rPr>
              <w:t>Coking Coal</w:t>
            </w:r>
          </w:p>
        </w:tc>
        <w:tc>
          <w:tcPr>
            <w:tcW w:w="0" w:type="dxa"/>
            <w:vAlign w:val="bottom"/>
          </w:tcPr>
          <w:p>
            <w:pPr>
              <w:spacing w:after="0"/>
              <w:rPr>
                <w:sz w:val="1"/>
                <w:szCs w:val="1"/>
                <w:color w:val="auto"/>
              </w:rPr>
            </w:pPr>
          </w:p>
        </w:tc>
      </w:tr>
      <w:tr>
        <w:trPr>
          <w:trHeight w:val="175"/>
        </w:trPr>
        <w:tc>
          <w:tcPr>
            <w:tcW w:w="3460" w:type="dxa"/>
            <w:vAlign w:val="bottom"/>
            <w:gridSpan w:val="2"/>
            <w:vMerge w:val="continue"/>
          </w:tcPr>
          <w:p>
            <w:pPr>
              <w:spacing w:after="0"/>
              <w:rPr>
                <w:sz w:val="15"/>
                <w:szCs w:val="15"/>
                <w:color w:val="auto"/>
              </w:rPr>
            </w:pPr>
          </w:p>
        </w:tc>
        <w:tc>
          <w:tcPr>
            <w:tcW w:w="1180" w:type="dxa"/>
            <w:vAlign w:val="bottom"/>
          </w:tcPr>
          <w:p>
            <w:pPr>
              <w:jc w:val="center"/>
              <w:ind w:left="410"/>
              <w:spacing w:after="0" w:line="176" w:lineRule="exact"/>
              <w:rPr>
                <w:sz w:val="20"/>
                <w:szCs w:val="20"/>
                <w:color w:val="auto"/>
              </w:rPr>
            </w:pPr>
            <w:r>
              <w:rPr>
                <w:rFonts w:ascii="Arial" w:cs="Arial" w:eastAsia="Arial" w:hAnsi="Arial"/>
                <w:sz w:val="18"/>
                <w:szCs w:val="18"/>
                <w:color w:val="auto"/>
                <w:w w:val="89"/>
              </w:rPr>
              <w:t>Crude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89"/>
              </w:rPr>
              <w:t>Crude</w:t>
            </w:r>
          </w:p>
        </w:tc>
        <w:tc>
          <w:tcPr>
            <w:tcW w:w="240" w:type="dxa"/>
            <w:vAlign w:val="bottom"/>
          </w:tcPr>
          <w:p>
            <w:pPr>
              <w:spacing w:after="0"/>
              <w:rPr>
                <w:sz w:val="15"/>
                <w:szCs w:val="15"/>
                <w:color w:val="auto"/>
              </w:rPr>
            </w:pPr>
          </w:p>
        </w:tc>
        <w:tc>
          <w:tcPr>
            <w:tcW w:w="144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5"/>
              </w:rPr>
              <w:t>(Met Coal)</w:t>
            </w:r>
          </w:p>
        </w:tc>
        <w:tc>
          <w:tcPr>
            <w:tcW w:w="0" w:type="dxa"/>
            <w:vAlign w:val="bottom"/>
          </w:tcPr>
          <w:p>
            <w:pPr>
              <w:spacing w:after="0"/>
              <w:rPr>
                <w:sz w:val="1"/>
                <w:szCs w:val="1"/>
                <w:color w:val="auto"/>
              </w:rPr>
            </w:pPr>
          </w:p>
        </w:tc>
      </w:tr>
      <w:tr>
        <w:trPr>
          <w:trHeight w:val="230"/>
        </w:trPr>
        <w:tc>
          <w:tcPr>
            <w:tcW w:w="346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ended</w:t>
            </w:r>
          </w:p>
        </w:tc>
        <w:tc>
          <w:tcPr>
            <w:tcW w:w="1180" w:type="dxa"/>
            <w:vAlign w:val="bottom"/>
          </w:tcPr>
          <w:p>
            <w:pPr>
              <w:jc w:val="center"/>
              <w:ind w:left="410"/>
              <w:spacing w:after="0"/>
              <w:rPr>
                <w:sz w:val="20"/>
                <w:szCs w:val="20"/>
                <w:color w:val="auto"/>
              </w:rPr>
            </w:pPr>
            <w:r>
              <w:rPr>
                <w:rFonts w:ascii="Arial" w:cs="Arial" w:eastAsia="Arial" w:hAnsi="Arial"/>
                <w:sz w:val="18"/>
                <w:szCs w:val="18"/>
                <w:color w:val="auto"/>
                <w:w w:val="95"/>
              </w:rPr>
              <w:t>(per bbl)</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(per bbl)</w:t>
            </w:r>
          </w:p>
        </w:tc>
        <w:tc>
          <w:tcPr>
            <w:tcW w:w="240" w:type="dxa"/>
            <w:vAlign w:val="bottom"/>
          </w:tcPr>
          <w:p>
            <w:pPr>
              <w:spacing w:after="0"/>
              <w:rPr>
                <w:sz w:val="19"/>
                <w:szCs w:val="19"/>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color w:val="auto"/>
                <w:w w:val="90"/>
              </w:rPr>
              <w:t>(per tonne)</w:t>
            </w: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Second Quarter through April 26, 2021</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61.20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111.95</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3/31/2021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58.13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127.95</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12/31/2020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109.37</w:t>
            </w:r>
          </w:p>
        </w:tc>
        <w:tc>
          <w:tcPr>
            <w:tcW w:w="0" w:type="dxa"/>
            <w:vAlign w:val="bottom"/>
          </w:tcPr>
          <w:p>
            <w:pPr>
              <w:spacing w:after="0"/>
              <w:rPr>
                <w:sz w:val="1"/>
                <w:szCs w:val="1"/>
                <w:color w:val="auto"/>
              </w:rPr>
            </w:pPr>
          </w:p>
        </w:tc>
      </w:tr>
      <w:tr>
        <w:trPr>
          <w:trHeight w:val="229"/>
        </w:trPr>
        <w:tc>
          <w:tcPr>
            <w:tcW w:w="3360" w:type="dxa"/>
            <w:vAlign w:val="bottom"/>
          </w:tcPr>
          <w:p>
            <w:pPr>
              <w:jc w:val="center"/>
              <w:spacing w:after="0"/>
              <w:rPr>
                <w:sz w:val="20"/>
                <w:szCs w:val="20"/>
                <w:color w:val="auto"/>
              </w:rPr>
            </w:pPr>
            <w:r>
              <w:rPr>
                <w:rFonts w:ascii="Arial" w:cs="Arial" w:eastAsia="Arial" w:hAnsi="Arial"/>
                <w:sz w:val="18"/>
                <w:szCs w:val="18"/>
                <w:color w:val="auto"/>
                <w:w w:val="92"/>
              </w:rPr>
              <w:t>9/30/2020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40.90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113.30</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6/30/2020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120.27</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3/31/2020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45.38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156.17</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12/30/2019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141.39</w:t>
            </w:r>
          </w:p>
        </w:tc>
        <w:tc>
          <w:tcPr>
            <w:tcW w:w="0" w:type="dxa"/>
            <w:vAlign w:val="bottom"/>
          </w:tcPr>
          <w:p>
            <w:pPr>
              <w:spacing w:after="0"/>
              <w:rPr>
                <w:sz w:val="1"/>
                <w:szCs w:val="1"/>
                <w:color w:val="auto"/>
              </w:rPr>
            </w:pPr>
          </w:p>
        </w:tc>
      </w:tr>
      <w:tr>
        <w:trPr>
          <w:trHeight w:val="229"/>
        </w:trPr>
        <w:tc>
          <w:tcPr>
            <w:tcW w:w="3360" w:type="dxa"/>
            <w:vAlign w:val="bottom"/>
          </w:tcPr>
          <w:p>
            <w:pPr>
              <w:jc w:val="center"/>
              <w:spacing w:after="0"/>
              <w:rPr>
                <w:sz w:val="20"/>
                <w:szCs w:val="20"/>
                <w:color w:val="auto"/>
              </w:rPr>
            </w:pPr>
            <w:r>
              <w:rPr>
                <w:rFonts w:ascii="Arial" w:cs="Arial" w:eastAsia="Arial" w:hAnsi="Arial"/>
                <w:sz w:val="18"/>
                <w:szCs w:val="18"/>
                <w:color w:val="auto"/>
                <w:w w:val="92"/>
              </w:rPr>
              <w:t>9/30/2019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56.40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160.25</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204.78</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3/31/2019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54.87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203.30</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223.02</w:t>
            </w:r>
          </w:p>
        </w:tc>
        <w:tc>
          <w:tcPr>
            <w:tcW w:w="0" w:type="dxa"/>
            <w:vAlign w:val="bottom"/>
          </w:tcPr>
          <w:p>
            <w:pPr>
              <w:spacing w:after="0"/>
              <w:rPr>
                <w:sz w:val="1"/>
                <w:szCs w:val="1"/>
                <w:color w:val="auto"/>
              </w:rPr>
            </w:pPr>
          </w:p>
        </w:tc>
      </w:tr>
      <w:tr>
        <w:trPr>
          <w:trHeight w:val="229"/>
        </w:trPr>
        <w:tc>
          <w:tcPr>
            <w:tcW w:w="3360" w:type="dxa"/>
            <w:vAlign w:val="bottom"/>
          </w:tcPr>
          <w:p>
            <w:pPr>
              <w:jc w:val="center"/>
              <w:spacing w:after="0"/>
              <w:rPr>
                <w:sz w:val="20"/>
                <w:szCs w:val="20"/>
                <w:color w:val="auto"/>
              </w:rPr>
            </w:pPr>
            <w:r>
              <w:rPr>
                <w:rFonts w:ascii="Arial" w:cs="Arial" w:eastAsia="Arial" w:hAnsi="Arial"/>
                <w:sz w:val="18"/>
                <w:szCs w:val="18"/>
                <w:color w:val="auto"/>
                <w:w w:val="92"/>
              </w:rPr>
              <w:t>9/30/2018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69.61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188.46</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67.97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189.41</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3/31/2018</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62.89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228.82</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980" w:hanging="324"/>
        <w:spacing w:after="0" w:line="227" w:lineRule="auto"/>
        <w:tabs>
          <w:tab w:leader="none" w:pos="96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Source: WTI crude prices are from U.S. Energy Information Administration (EIA), WCS crude prices are from Bloomberg and hard coking coal prices are from IHS Markit.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261"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7"/>
          <w:szCs w:val="17"/>
          <w:b w:val="1"/>
          <w:bCs w:val="1"/>
          <w:color w:val="auto"/>
        </w:rPr>
        <w:t xml:space="preserve">Foreign Currency Exchange Rates. </w:t>
      </w:r>
      <w:r>
        <w:rPr>
          <w:rFonts w:ascii="Arial" w:cs="Arial" w:eastAsia="Arial" w:hAnsi="Arial"/>
          <w:sz w:val="17"/>
          <w:szCs w:val="17"/>
          <w:color w:val="auto"/>
        </w:rPr>
        <w:t>Exchange rates between the U.S. dollar and each of the Canadian dollar and the Australian dollar influence our</w:t>
      </w:r>
      <w:r>
        <w:rPr>
          <w:rFonts w:ascii="Arial" w:cs="Arial" w:eastAsia="Arial" w:hAnsi="Arial"/>
          <w:sz w:val="17"/>
          <w:szCs w:val="17"/>
          <w:b w:val="1"/>
          <w:bCs w:val="1"/>
          <w:color w:val="auto"/>
        </w:rPr>
        <w:t xml:space="preserve"> </w:t>
      </w:r>
      <w:r>
        <w:rPr>
          <w:rFonts w:ascii="Arial" w:cs="Arial" w:eastAsia="Arial" w:hAnsi="Arial"/>
          <w:sz w:val="17"/>
          <w:szCs w:val="17"/>
          <w:color w:val="auto"/>
        </w:rPr>
        <w:t>U.S. dollar reported financial results. Our business has historically derived the vast majority of its revenues and operating income (loss) in Canada and Australia. These revenues and profits/losses are translated into U.S. dollars for U.S. GAAP financial reporting purposes. The following tables summarize the fluctuations in the exchange rates between the U.S. dollar and each of the Canadian dollar and the Australian dollar:</w:t>
      </w:r>
    </w:p>
    <w:p>
      <w:pPr>
        <w:spacing w:after="0" w:line="57" w:lineRule="exact"/>
        <w:rPr>
          <w:sz w:val="20"/>
          <w:szCs w:val="20"/>
          <w:color w:val="auto"/>
        </w:rPr>
      </w:pPr>
    </w:p>
    <w:tbl>
      <w:tblPr>
        <w:tblLayout w:type="fixed"/>
        <w:tblInd w:w="242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4"/>
          </w:tcPr>
          <w:p>
            <w:pPr>
              <w:jc w:val="center"/>
              <w:ind w:left="12"/>
              <w:spacing w:after="0"/>
              <w:rPr>
                <w:sz w:val="20"/>
                <w:szCs w:val="20"/>
                <w:color w:val="auto"/>
              </w:rPr>
            </w:pPr>
            <w:r>
              <w:rPr>
                <w:rFonts w:ascii="Arial" w:cs="Arial" w:eastAsia="Arial" w:hAnsi="Arial"/>
                <w:sz w:val="18"/>
                <w:szCs w:val="18"/>
                <w:b w:val="1"/>
                <w:bCs w:val="1"/>
                <w:color w:val="auto"/>
                <w:w w:val="90"/>
              </w:rPr>
              <w:t>Three Months Ended</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3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center"/>
              <w:ind w:left="12"/>
              <w:spacing w:after="0"/>
              <w:rPr>
                <w:sz w:val="20"/>
                <w:szCs w:val="20"/>
                <w:color w:val="auto"/>
              </w:rPr>
            </w:pPr>
            <w:r>
              <w:rPr>
                <w:rFonts w:ascii="Arial" w:cs="Arial" w:eastAsia="Arial" w:hAnsi="Arial"/>
                <w:sz w:val="18"/>
                <w:szCs w:val="18"/>
                <w:b w:val="1"/>
                <w:bCs w:val="1"/>
                <w:color w:val="auto"/>
                <w:w w:val="93"/>
              </w:rPr>
              <w:t>March 31,</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340" w:type="dxa"/>
            <w:vAlign w:val="bottom"/>
          </w:tcPr>
          <w:p>
            <w:pPr>
              <w:spacing w:after="0"/>
              <w:rPr>
                <w:sz w:val="17"/>
                <w:szCs w:val="17"/>
                <w:color w:val="auto"/>
              </w:rPr>
            </w:pPr>
          </w:p>
        </w:tc>
        <w:tc>
          <w:tcPr>
            <w:tcW w:w="840" w:type="dxa"/>
            <w:vAlign w:val="bottom"/>
          </w:tcPr>
          <w:p>
            <w:pPr>
              <w:jc w:val="right"/>
              <w:ind w:right="17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Change</w:t>
            </w:r>
          </w:p>
        </w:tc>
        <w:tc>
          <w:tcPr>
            <w:tcW w:w="1060" w:type="dxa"/>
            <w:vAlign w:val="bottom"/>
          </w:tcPr>
          <w:p>
            <w:pPr>
              <w:ind w:left="140"/>
              <w:spacing w:after="0"/>
              <w:rPr>
                <w:sz w:val="20"/>
                <w:szCs w:val="20"/>
                <w:color w:val="auto"/>
              </w:rPr>
            </w:pPr>
            <w:r>
              <w:rPr>
                <w:rFonts w:ascii="Arial" w:cs="Arial" w:eastAsia="Arial" w:hAnsi="Arial"/>
                <w:sz w:val="16"/>
                <w:szCs w:val="16"/>
                <w:b w:val="1"/>
                <w:bCs w:val="1"/>
                <w:color w:val="auto"/>
              </w:rPr>
              <w:t>Percentage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34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rPr>
              <w:t>Average Canadian dollar to</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$0.790</w:t>
            </w: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$0.745</w:t>
            </w: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0.05</w:t>
            </w:r>
          </w:p>
        </w:tc>
        <w:tc>
          <w:tcPr>
            <w:tcW w:w="12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ind w:right="253"/>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w:t>
            </w: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40" w:type="dxa"/>
            <w:vAlign w:val="bottom"/>
          </w:tcPr>
          <w:p>
            <w:pPr>
              <w:ind w:left="20"/>
              <w:spacing w:after="0" w:line="176" w:lineRule="exact"/>
              <w:rPr>
                <w:sz w:val="20"/>
                <w:szCs w:val="20"/>
                <w:color w:val="auto"/>
              </w:rPr>
            </w:pPr>
            <w:r>
              <w:rPr>
                <w:rFonts w:ascii="Arial" w:cs="Arial" w:eastAsia="Arial" w:hAnsi="Arial"/>
                <w:sz w:val="18"/>
                <w:szCs w:val="18"/>
                <w:color w:val="auto"/>
              </w:rPr>
              <w:t>Average Australian dollar to</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$0.773</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$0.658</w:t>
            </w:r>
          </w:p>
        </w:tc>
        <w:tc>
          <w:tcPr>
            <w:tcW w:w="12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1"/>
              </w:rPr>
              <w:t>0.12</w:t>
            </w:r>
          </w:p>
        </w:tc>
        <w:tc>
          <w:tcPr>
            <w:tcW w:w="120" w:type="dxa"/>
            <w:vAlign w:val="bottom"/>
          </w:tcPr>
          <w:p>
            <w:pPr>
              <w:spacing w:after="0"/>
              <w:rPr>
                <w:sz w:val="15"/>
                <w:szCs w:val="15"/>
                <w:color w:val="auto"/>
              </w:rPr>
            </w:pPr>
          </w:p>
        </w:tc>
        <w:tc>
          <w:tcPr>
            <w:tcW w:w="1060" w:type="dxa"/>
            <w:vAlign w:val="bottom"/>
            <w:vMerge w:val="restart"/>
          </w:tcPr>
          <w:p>
            <w:pPr>
              <w:jc w:val="right"/>
              <w:ind w:right="213"/>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U.S. dollar</w:t>
            </w: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b w:val="1"/>
                <w:bCs w:val="1"/>
                <w:color w:val="auto"/>
                <w:w w:val="88"/>
              </w:rPr>
              <w:t>As of</w:t>
            </w: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March 31, 2021</w:t>
            </w:r>
          </w:p>
        </w:tc>
        <w:tc>
          <w:tcPr>
            <w:tcW w:w="1480" w:type="dxa"/>
            <w:vAlign w:val="bottom"/>
            <w:gridSpan w:val="2"/>
          </w:tcPr>
          <w:p>
            <w:pPr>
              <w:ind w:left="180"/>
              <w:spacing w:after="0" w:line="155" w:lineRule="exact"/>
              <w:rPr>
                <w:sz w:val="20"/>
                <w:szCs w:val="20"/>
                <w:color w:val="auto"/>
              </w:rPr>
            </w:pPr>
            <w:r>
              <w:rPr>
                <w:rFonts w:ascii="Arial" w:cs="Arial" w:eastAsia="Arial" w:hAnsi="Arial"/>
                <w:sz w:val="16"/>
                <w:szCs w:val="16"/>
                <w:b w:val="1"/>
                <w:bCs w:val="1"/>
                <w:color w:val="auto"/>
              </w:rPr>
              <w:t>December 31,</w:t>
            </w:r>
          </w:p>
        </w:tc>
        <w:tc>
          <w:tcPr>
            <w:tcW w:w="13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Change</w:t>
            </w:r>
          </w:p>
        </w:tc>
        <w:tc>
          <w:tcPr>
            <w:tcW w:w="1180" w:type="dxa"/>
            <w:vAlign w:val="bottom"/>
            <w:vMerge w:val="restart"/>
          </w:tcPr>
          <w:p>
            <w:pPr>
              <w:jc w:val="right"/>
              <w:ind w:right="133"/>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3"/>
        </w:trPr>
        <w:tc>
          <w:tcPr>
            <w:tcW w:w="308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320" w:type="dxa"/>
            <w:vAlign w:val="bottom"/>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Canadian dollar to U.S. dollar</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$0.795</w:t>
            </w:r>
          </w:p>
        </w:tc>
        <w:tc>
          <w:tcPr>
            <w:tcW w:w="1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$0.785</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0.01</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Australian dollar to U.S. dollar</w:t>
            </w:r>
          </w:p>
        </w:tc>
        <w:tc>
          <w:tcPr>
            <w:tcW w:w="1300" w:type="dxa"/>
            <w:vAlign w:val="bottom"/>
          </w:tcPr>
          <w:p>
            <w:pPr>
              <w:jc w:val="right"/>
              <w:spacing w:after="0"/>
              <w:rPr>
                <w:sz w:val="20"/>
                <w:szCs w:val="20"/>
                <w:color w:val="auto"/>
              </w:rPr>
            </w:pPr>
            <w:r>
              <w:rPr>
                <w:rFonts w:ascii="Arial" w:cs="Arial" w:eastAsia="Arial" w:hAnsi="Arial"/>
                <w:sz w:val="18"/>
                <w:szCs w:val="18"/>
                <w:color w:val="auto"/>
              </w:rPr>
              <w:t>$0.761</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$0.773</w:t>
            </w:r>
          </w:p>
        </w:tc>
        <w:tc>
          <w:tcPr>
            <w:tcW w:w="160" w:type="dxa"/>
            <w:vAlign w:val="bottom"/>
          </w:tcPr>
          <w:p>
            <w:pPr>
              <w:spacing w:after="0"/>
              <w:rPr>
                <w:sz w:val="20"/>
                <w:szCs w:val="20"/>
                <w:color w:val="auto"/>
              </w:rPr>
            </w:pPr>
          </w:p>
        </w:tc>
        <w:tc>
          <w:tcPr>
            <w:tcW w:w="1180" w:type="dxa"/>
            <w:vAlign w:val="bottom"/>
          </w:tcPr>
          <w:p>
            <w:pPr>
              <w:jc w:val="right"/>
              <w:ind w:right="293"/>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0"/>
                <w:szCs w:val="20"/>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93"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16"/>
          <w:szCs w:val="16"/>
          <w:color w:val="auto"/>
        </w:rPr>
        <w:t>We continue to monitor the COVID-19 global pandemic and the responses thereto, the global economy, the price of and</w:t>
      </w:r>
      <w:r>
        <w:rPr>
          <w:rFonts w:ascii="Arial" w:cs="Arial" w:eastAsia="Arial" w:hAnsi="Arial"/>
          <w:sz w:val="16"/>
          <w:szCs w:val="16"/>
          <w:b w:val="1"/>
          <w:bCs w:val="1"/>
          <w:color w:val="auto"/>
        </w:rPr>
        <w:t xml:space="preserve"> </w:t>
      </w:r>
      <w:r>
        <w:rPr>
          <w:rFonts w:ascii="Arial" w:cs="Arial" w:eastAsia="Arial" w:hAnsi="Arial"/>
          <w:sz w:val="16"/>
          <w:szCs w:val="16"/>
          <w:color w:val="auto"/>
        </w:rPr>
        <w:t>demand for crude oil, met coal, LNG and iron ore and the resultant impact on the capital spending plans of our customers in order to plan our business activities. We currently expect that our 2021 capital expenditures, exclusive of any business acquisitions, will total approximately $20 million to $25 million, compared to 2020 capital expenditures of $10.1 million. We may adjust our capital expenditure plans in the future as we continue to monitor customer activity and the impact of COVID-19. See “Liquidity and Capital Resources</w:t>
      </w:r>
      <w:r>
        <w:rPr>
          <w:rFonts w:ascii="Arial" w:cs="Arial" w:eastAsia="Arial" w:hAnsi="Arial"/>
          <w:sz w:val="16"/>
          <w:szCs w:val="16"/>
          <w:i w:val="1"/>
          <w:iCs w:val="1"/>
          <w:color w:val="auto"/>
        </w:rPr>
        <w:t>”</w:t>
      </w:r>
      <w:r>
        <w:rPr>
          <w:rFonts w:ascii="Arial" w:cs="Arial" w:eastAsia="Arial" w:hAnsi="Arial"/>
          <w:sz w:val="16"/>
          <w:szCs w:val="16"/>
          <w:color w:val="auto"/>
        </w:rPr>
        <w:t xml:space="preserve"> below for further discussion of 2021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 months ended March 31, 2021, is based on a comparison to the corresponding period of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Three Months Ended March 31, 2021 Compared to Three Months Ended March 31, 2020</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8"/>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5"/>
              </w:rPr>
              <w:t>March 31,</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3"/>
        </w:trPr>
        <w:tc>
          <w:tcPr>
            <w:tcW w:w="50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218"/>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5"/>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5020" w:type="dxa"/>
            <w:vAlign w:val="bottom"/>
          </w:tcPr>
          <w:p>
            <w:pPr>
              <w:ind w:left="140"/>
              <w:spacing w:after="0"/>
              <w:rPr>
                <w:sz w:val="20"/>
                <w:szCs w:val="20"/>
                <w:color w:val="auto"/>
              </w:rPr>
            </w:pPr>
            <w:r>
              <w:rPr>
                <w:rFonts w:ascii="Arial" w:cs="Arial" w:eastAsia="Arial" w:hAnsi="Arial"/>
                <w:sz w:val="14"/>
                <w:szCs w:val="14"/>
                <w:color w:val="auto"/>
              </w:rPr>
              <w:t>Canada</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61,885</w:t>
            </w:r>
          </w:p>
        </w:tc>
        <w:tc>
          <w:tcPr>
            <w:tcW w:w="12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79,348</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(17,463)</w:t>
            </w:r>
          </w:p>
        </w:tc>
      </w:tr>
      <w:tr>
        <w:trPr>
          <w:trHeight w:val="192"/>
        </w:trPr>
        <w:tc>
          <w:tcPr>
            <w:tcW w:w="5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Australia</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59,637</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10,524</w:t>
            </w:r>
          </w:p>
        </w:tc>
      </w:tr>
      <w:tr>
        <w:trPr>
          <w:trHeight w:val="186"/>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U.S. and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3,908</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(6,423)</w:t>
            </w:r>
          </w:p>
        </w:tc>
      </w:tr>
      <w:tr>
        <w:trPr>
          <w:trHeight w:val="186"/>
        </w:trPr>
        <w:tc>
          <w:tcPr>
            <w:tcW w:w="5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revenues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125,430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138,792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(13,362)</w:t>
            </w:r>
          </w:p>
        </w:tc>
      </w:tr>
      <w:tr>
        <w:trPr>
          <w:trHeight w:val="186"/>
        </w:trPr>
        <w:tc>
          <w:tcPr>
            <w:tcW w:w="502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2"/>
        </w:trPr>
        <w:tc>
          <w:tcPr>
            <w:tcW w:w="5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 of sales and services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5020" w:type="dxa"/>
            <w:vAlign w:val="bottom"/>
          </w:tcPr>
          <w:p>
            <w:pPr>
              <w:ind w:left="360"/>
              <w:spacing w:after="0"/>
              <w:rPr>
                <w:sz w:val="20"/>
                <w:szCs w:val="20"/>
                <w:color w:val="auto"/>
              </w:rPr>
            </w:pPr>
            <w:r>
              <w:rPr>
                <w:rFonts w:ascii="Arial" w:cs="Arial" w:eastAsia="Arial" w:hAnsi="Arial"/>
                <w:sz w:val="14"/>
                <w:szCs w:val="14"/>
                <w:color w:val="auto"/>
              </w:rPr>
              <w:t>Canada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51,885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64,272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(12,387)</w:t>
            </w:r>
          </w:p>
        </w:tc>
      </w:tr>
      <w:tr>
        <w:trPr>
          <w:trHeight w:val="192"/>
        </w:trPr>
        <w:tc>
          <w:tcPr>
            <w:tcW w:w="5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Australia</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42,903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29,553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13,350</w:t>
            </w:r>
          </w:p>
        </w:tc>
      </w:tr>
      <w:tr>
        <w:trPr>
          <w:trHeight w:val="186"/>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U.S. and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(4,466)</w:t>
            </w:r>
          </w:p>
        </w:tc>
      </w:tr>
      <w:tr>
        <w:trPr>
          <w:trHeight w:val="186"/>
        </w:trPr>
        <w:tc>
          <w:tcPr>
            <w:tcW w:w="5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cost of sales and services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99,810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103,313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(3,503)</w:t>
            </w:r>
          </w:p>
        </w:tc>
      </w:tr>
      <w:tr>
        <w:trPr>
          <w:trHeight w:val="186"/>
        </w:trPr>
        <w:tc>
          <w:tcPr>
            <w:tcW w:w="502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14,181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13,937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244</w:t>
            </w:r>
          </w:p>
        </w:tc>
      </w:tr>
      <w:tr>
        <w:trPr>
          <w:trHeight w:val="192"/>
        </w:trPr>
        <w:tc>
          <w:tcPr>
            <w:tcW w:w="5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 expense</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(4,233)</w:t>
            </w:r>
          </w:p>
        </w:tc>
      </w:tr>
      <w:tr>
        <w:trPr>
          <w:trHeight w:val="186"/>
        </w:trPr>
        <w:tc>
          <w:tcPr>
            <w:tcW w:w="5020" w:type="dxa"/>
            <w:vAlign w:val="bottom"/>
          </w:tcPr>
          <w:p>
            <w:pPr>
              <w:ind w:left="140"/>
              <w:spacing w:after="0"/>
              <w:rPr>
                <w:sz w:val="20"/>
                <w:szCs w:val="20"/>
                <w:color w:val="auto"/>
              </w:rPr>
            </w:pPr>
            <w:r>
              <w:rPr>
                <w:rFonts w:ascii="Arial" w:cs="Arial" w:eastAsia="Arial" w:hAnsi="Arial"/>
                <w:sz w:val="14"/>
                <w:szCs w:val="14"/>
                <w:color w:val="auto"/>
              </w:rPr>
              <w:t>Impairment expense</w:t>
            </w:r>
          </w:p>
        </w:tc>
        <w:tc>
          <w:tcPr>
            <w:tcW w:w="42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144,120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(144,120)</w:t>
            </w:r>
          </w:p>
        </w:tc>
      </w:tr>
      <w:tr>
        <w:trPr>
          <w:trHeight w:val="192"/>
        </w:trPr>
        <w:tc>
          <w:tcPr>
            <w:tcW w:w="5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operating income</w:t>
            </w: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(918)</w:t>
            </w:r>
          </w:p>
        </w:tc>
      </w:tr>
      <w:tr>
        <w:trPr>
          <w:trHeight w:val="179"/>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costs and expenses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135,331</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287,861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(152,530)</w:t>
            </w:r>
          </w:p>
        </w:tc>
      </w:tr>
      <w:tr>
        <w:trPr>
          <w:trHeight w:val="18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(149,069)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139,168</w:t>
            </w:r>
          </w:p>
        </w:tc>
      </w:tr>
      <w:tr>
        <w:trPr>
          <w:trHeight w:val="216"/>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and income, net</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2,217</w:t>
            </w:r>
          </w:p>
        </w:tc>
      </w:tr>
      <w:tr>
        <w:trPr>
          <w:trHeight w:val="18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4,889</w:t>
            </w:r>
          </w:p>
        </w:tc>
      </w:tr>
      <w:tr>
        <w:trPr>
          <w:trHeight w:val="186"/>
        </w:trPr>
        <w:tc>
          <w:tcPr>
            <w:tcW w:w="5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before income taxes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(154,623)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146,274</w:t>
            </w:r>
          </w:p>
        </w:tc>
      </w:tr>
      <w:tr>
        <w:trPr>
          <w:trHeight w:val="18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 benefit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(9,887)</w:t>
            </w:r>
          </w:p>
        </w:tc>
      </w:tr>
      <w:tr>
        <w:trPr>
          <w:trHeight w:val="186"/>
        </w:trPr>
        <w:tc>
          <w:tcPr>
            <w:tcW w:w="5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(145,812)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136,387</w:t>
            </w:r>
          </w:p>
        </w:tc>
      </w:tr>
      <w:tr>
        <w:trPr>
          <w:trHeight w:val="18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r>
      <w:tr>
        <w:trPr>
          <w:trHeight w:val="18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Civeo Corporation</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(9,484)</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(146,070)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136,586</w:t>
            </w:r>
          </w:p>
        </w:tc>
      </w:tr>
      <w:tr>
        <w:trPr>
          <w:trHeight w:val="18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attributable to preferred shares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r>
      <w:tr>
        <w:trPr>
          <w:trHeight w:val="211"/>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Civeo common shareholders</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(9,962)</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(146,538)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136,576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reported net loss attributable to Civeo for the quarter ended March 31, 2021 of $10.0 million, or $0.70 per diluted share.</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reported net loss attributable to Civeo for the quarter ended March 31, 2020 of $146.5 million, or $10.43 per diluted share. As further discussed below, net loss included (i) a $93.6 million pre-tax loss ($93.6 million after-tax, or $6.67 per diluted share) resulting from the impairment of goodwill in our Canada segment included in Impairment expense, (ii) a $38.1 million pre-tax loss ($38.1 million after-tax, or $2.71 per diluted share) resulting from the impairment of long-lived assets in our Canada segment included in Impairment expense and (iii) a $12.4 million pre-tax loss ($12.4 million after-tax, or $0.89 per diluted share) resulting from the impairment of long-lived assets in our U.S. segment included in Impairment expense.</w:t>
      </w:r>
    </w:p>
    <w:p>
      <w:pPr>
        <w:spacing w:after="0" w:line="64"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decreased $13.4 million, or 10%, in the first quarter of 2021 compared to the first quarter of 2020. This decrease</w:t>
      </w:r>
      <w:r>
        <w:rPr>
          <w:rFonts w:ascii="Arial" w:cs="Arial" w:eastAsia="Arial" w:hAnsi="Arial"/>
          <w:sz w:val="16"/>
          <w:szCs w:val="16"/>
          <w:b w:val="1"/>
          <w:bCs w:val="1"/>
          <w:color w:val="auto"/>
        </w:rPr>
        <w:t xml:space="preserve"> </w:t>
      </w:r>
      <w:r>
        <w:rPr>
          <w:rFonts w:ascii="Arial" w:cs="Arial" w:eastAsia="Arial" w:hAnsi="Arial"/>
          <w:sz w:val="16"/>
          <w:szCs w:val="16"/>
          <w:color w:val="auto"/>
        </w:rPr>
        <w:t>was primarily due to (i) reduced occupancy at our Canadian lodges related to the COVID-19 pandemic, (ii) reduced food service activity, as an overflow site supporting a LNG-related project in 2020 is no longer required, (iii) decreased activity at our Western Australia and Bowen Basin villages and (iv) lower activity levels in certain markets in the U.S. These items were partially offset by (i) increased occupancy at our Australian integrated services villages, (ii) increased mobile asset activity from a pipeline project in Canada and (iii) a stronger Australian and Canadian dollar relative to the U.S. dollar in the first quarter of 2021 compared to the first quarter of 2020. See the discussion of segment results of operations below for further information.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6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b w:val="1"/>
          <w:bCs w:val="1"/>
          <w:color w:val="auto"/>
        </w:rPr>
        <w:t xml:space="preserve">Cost of Sales and Services. </w:t>
      </w:r>
      <w:r>
        <w:rPr>
          <w:rFonts w:ascii="Arial" w:cs="Arial" w:eastAsia="Arial" w:hAnsi="Arial"/>
          <w:sz w:val="16"/>
          <w:szCs w:val="16"/>
          <w:color w:val="auto"/>
        </w:rPr>
        <w:t>Our consolidated cost of sales and services decreased $3.5 million, or 3%, in the first quarter of 2021 compared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quarter of 2020. This decrease was primarily due to (i) reduced occupancy at our Canadian lodges related to the COVID-19 pandemic, (ii) reduced food services activity, as an overflow site supporting a LNG-related project in 2020 is no longer required, (iii) decreased activity at our Western Australia and Bowen Basin villages and (iii) lower activity in certain markets in the U.S. These items were partially offset by increased cost of sales and services due to (i) increased occupancy at our Australian integrated services villages and increased cost of temporary labor due to ongoing labor shortages in Australia,</w:t>
      </w:r>
    </w:p>
    <w:p>
      <w:pPr>
        <w:spacing w:after="0" w:line="2" w:lineRule="exact"/>
        <w:rPr>
          <w:sz w:val="20"/>
          <w:szCs w:val="20"/>
          <w:color w:val="auto"/>
        </w:rPr>
      </w:pPr>
    </w:p>
    <w:p>
      <w:pPr>
        <w:ind w:firstLine="8"/>
        <w:spacing w:after="0" w:line="290" w:lineRule="auto"/>
        <w:tabs>
          <w:tab w:leader="none" w:pos="277"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increased mobile asset activity from a pipeline project in Canada and (iii) a stronger Australian and Canadian dollar relative to the U.S. dollar in the first quarter of 2021 compared to the first quarter of 2020. See the discussion of segment results of operations below for further information.</w:t>
      </w:r>
    </w:p>
    <w:p>
      <w:pPr>
        <w:spacing w:after="0" w:line="90"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SG&amp;A expense increased $0.2 million, or 2%, in the first quarter of 2021 compared to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2020. This increase was primarily due to higher incentive compensation costs and compensation expense, partially offset by lower professional fees.</w:t>
      </w:r>
    </w:p>
    <w:p>
      <w:pPr>
        <w:spacing w:after="0" w:line="10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$4.2 million, or 17%, in the first quarter of 2021</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first quarter of 2020. The decrease was primarily due to (i) the impairment of certain long-lived assets in Canada and the U.S. during the first quarter of 2020, (ii) the extension of the remaining life of certain long-lived assets in the U.S. during the first quarter of 2020 and (iii) certain assets and intangibles becoming fully depreciated during 2020. These items were partially offset by a stronger Australian and Canadian dollar relative to the U.S. dollar in the first quarter of 2021 compared to the first quarter of 2020.</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Impairment expense of $144.1 million in the first quarter of 2020 included the following items:</w:t>
      </w:r>
    </w:p>
    <w:p>
      <w:pPr>
        <w:spacing w:after="0" w:line="162" w:lineRule="exact"/>
        <w:rPr>
          <w:sz w:val="20"/>
          <w:szCs w:val="20"/>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Pre-tax impairment expense of $93.6 million related to the impairment of goodwill in our Canadian reporting unit.</w:t>
      </w:r>
    </w:p>
    <w:p>
      <w:pPr>
        <w:spacing w:after="0" w:line="157"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Pre-tax impairment expense of $38.1 million associated with long-lived assets in our Canadian reporting unit.</w:t>
      </w:r>
    </w:p>
    <w:p>
      <w:pPr>
        <w:spacing w:after="0" w:line="144"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Pre-tax impairment expense of $12.4 million associated with long-lived assets in our U.S. reporting unit.</w:t>
      </w:r>
    </w:p>
    <w:p>
      <w:pPr>
        <w:spacing w:after="0" w:line="158"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Please see Note 6 - Impairment Charges to the notes to the unaudited consolidated financial statements included in Item 1 of this quarterly report for further discussion.</w:t>
      </w:r>
    </w:p>
    <w:p>
      <w:pPr>
        <w:spacing w:after="0" w:line="193" w:lineRule="exact"/>
        <w:rPr>
          <w:sz w:val="20"/>
          <w:szCs w:val="20"/>
          <w:color w:val="auto"/>
        </w:rPr>
      </w:pPr>
    </w:p>
    <w:p>
      <w:pPr>
        <w:jc w:val="both"/>
        <w:ind w:right="20" w:firstLine="486"/>
        <w:spacing w:after="0" w:line="282" w:lineRule="auto"/>
        <w:rPr>
          <w:sz w:val="20"/>
          <w:szCs w:val="20"/>
          <w:color w:val="auto"/>
        </w:rPr>
      </w:pPr>
      <w:r>
        <w:rPr>
          <w:rFonts w:ascii="Arial" w:cs="Arial" w:eastAsia="Arial" w:hAnsi="Arial"/>
          <w:sz w:val="18"/>
          <w:szCs w:val="18"/>
          <w:b w:val="1"/>
          <w:bCs w:val="1"/>
          <w:color w:val="auto"/>
        </w:rPr>
        <w:t xml:space="preserve">Operating (Loss) Income. </w:t>
      </w:r>
      <w:r>
        <w:rPr>
          <w:rFonts w:ascii="Arial" w:cs="Arial" w:eastAsia="Arial" w:hAnsi="Arial"/>
          <w:sz w:val="18"/>
          <w:szCs w:val="18"/>
          <w:color w:val="auto"/>
        </w:rPr>
        <w:t>Consolidated operating loss decreased $139.2 million, or 93%, in the first quarter of 2021 compared to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2020, primarily due to impairment expense of goodwill and long-lived assets in 2020.</w:t>
      </w:r>
    </w:p>
    <w:p>
      <w:pPr>
        <w:spacing w:after="0" w:line="162"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Interest Expense and Income, net. </w:t>
      </w:r>
      <w:r>
        <w:rPr>
          <w:rFonts w:ascii="Arial" w:cs="Arial" w:eastAsia="Arial" w:hAnsi="Arial"/>
          <w:sz w:val="18"/>
          <w:szCs w:val="18"/>
          <w:color w:val="auto"/>
        </w:rPr>
        <w:t>Net interest expense decreased by $2.2 million, or 40%, in the first quarter of 2021 compared to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2020, primarily related to lower average debt levels and lower interest rates on term loan and revolving credit facility borrowings during 2021 compared to 2020.</w:t>
      </w:r>
    </w:p>
    <w:p>
      <w:pPr>
        <w:spacing w:after="0" w:line="203"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Consolidated other income increased $4.9 million in the first quarter of 2021 compared to the first quarter of 2020, primarily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2021 sale of a manufacturing facility and mobile assets in Canada and $2.8 million related to proceeds from the Canada Emergency Wage Subsidy (CEWS) during 2021.</w:t>
      </w:r>
    </w:p>
    <w:p>
      <w:pPr>
        <w:spacing w:after="0" w:line="176" w:lineRule="exact"/>
        <w:rPr>
          <w:sz w:val="20"/>
          <w:szCs w:val="20"/>
          <w:color w:val="auto"/>
        </w:rPr>
      </w:pPr>
    </w:p>
    <w:p>
      <w:pPr>
        <w:jc w:val="both"/>
        <w:ind w:firstLine="486"/>
        <w:spacing w:after="0" w:line="280" w:lineRule="auto"/>
        <w:rPr>
          <w:sz w:val="20"/>
          <w:szCs w:val="20"/>
          <w:color w:val="auto"/>
        </w:rPr>
      </w:pPr>
      <w:r>
        <w:rPr>
          <w:rFonts w:ascii="Arial" w:cs="Arial" w:eastAsia="Arial" w:hAnsi="Arial"/>
          <w:sz w:val="16"/>
          <w:szCs w:val="16"/>
          <w:b w:val="1"/>
          <w:bCs w:val="1"/>
          <w:color w:val="auto"/>
        </w:rPr>
        <w:t xml:space="preserve">Income Tax (Expense) Benefit. </w:t>
      </w:r>
      <w:r>
        <w:rPr>
          <w:rFonts w:ascii="Arial" w:cs="Arial" w:eastAsia="Arial" w:hAnsi="Arial"/>
          <w:sz w:val="16"/>
          <w:szCs w:val="16"/>
          <w:color w:val="auto"/>
        </w:rPr>
        <w:t>Our income tax expense for the three months ended March 31, 2021 totaled $1.1 million, or (12.9%) of pretax loss,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an income tax benefit of $8.8 million, or 5.7% of pretax loss, for the three months ended March 31, 2020. Our effective tax rate for both the three months ended March 31, 2021 and March 31, 2020 was impacted by considering Canada and the U.S. loss jurisdictions that were removed from the annual effective tax rate computation for purposes of computing the interim tax provision. Additionally, our effective tax rate for the three months ended March 31, 2020 was impacted by a deferred tax benefit of $12.4 million offset by an increase of $3.4 million in the valuation allowance in Canada.</w:t>
      </w:r>
    </w:p>
    <w:p>
      <w:pPr>
        <w:spacing w:after="0" w:line="18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loss decreased $46.9 million in the first quarter of 2021 compared to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2020, primarily as a result of foreign currency translation adjustments due to changes in the Canadian and Australian dollar exchange rates compared to the U.S. dollar. The Canadian dollar exchange rate compared to the U.S. dollar increased 1% in the first quarter of 2021 compared to a 9% decrease in the first quarter of 2020. The Australian dollar exchange rate compared to the U.S. dollar decreased 2% in the first quarter of 2021 compared to a 13% decrease in the first quarter of 2020.</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p>
      <w:pPr>
        <w:spacing w:after="0" w:line="11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8"/>
        </w:trPr>
        <w:tc>
          <w:tcPr>
            <w:tcW w:w="47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3"/>
        </w:trPr>
        <w:tc>
          <w:tcPr>
            <w:tcW w:w="47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184"/>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9"/>
        </w:trPr>
        <w:tc>
          <w:tcPr>
            <w:tcW w:w="4780" w:type="dxa"/>
            <w:vAlign w:val="bottom"/>
          </w:tcPr>
          <w:p>
            <w:pPr>
              <w:ind w:left="140"/>
              <w:spacing w:after="0" w:line="189" w:lineRule="exact"/>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18"/>
                <w:szCs w:val="18"/>
                <w:color w:val="auto"/>
                <w:vertAlign w:val="superscript"/>
              </w:rPr>
              <w:t>(1)</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46,530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66,066</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(19,536)</w:t>
            </w:r>
          </w:p>
        </w:tc>
      </w:tr>
      <w:tr>
        <w:trPr>
          <w:trHeight w:val="189"/>
        </w:trPr>
        <w:tc>
          <w:tcPr>
            <w:tcW w:w="478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Mobile facility rental revenue </w:t>
            </w:r>
            <w:r>
              <w:rPr>
                <w:rFonts w:ascii="Arial" w:cs="Arial" w:eastAsia="Arial" w:hAnsi="Arial"/>
                <w:sz w:val="18"/>
                <w:szCs w:val="18"/>
                <w:color w:val="auto"/>
                <w:vertAlign w:val="superscript"/>
              </w:rPr>
              <w:t>(2)</w:t>
            </w:r>
          </w:p>
        </w:tc>
        <w:tc>
          <w:tcPr>
            <w:tcW w:w="10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10,499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2,508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7,991</w:t>
            </w:r>
          </w:p>
        </w:tc>
      </w:tr>
      <w:tr>
        <w:trPr>
          <w:trHeight w:val="189"/>
        </w:trPr>
        <w:tc>
          <w:tcPr>
            <w:tcW w:w="4780" w:type="dxa"/>
            <w:vAlign w:val="bottom"/>
            <w:tcBorders>
              <w:bottom w:val="single" w:sz="8" w:color="CCEEFF"/>
            </w:tcBorders>
          </w:tcPr>
          <w:p>
            <w:pPr>
              <w:ind w:left="140"/>
              <w:spacing w:after="0" w:line="189" w:lineRule="exact"/>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18"/>
                <w:szCs w:val="18"/>
                <w:color w:val="auto"/>
                <w:vertAlign w:val="superscript"/>
              </w:rPr>
              <w:t>(3)</w:t>
            </w: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4,856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10,774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(5,918)</w:t>
            </w:r>
          </w:p>
        </w:tc>
      </w:tr>
      <w:tr>
        <w:trPr>
          <w:trHeight w:val="183"/>
        </w:trPr>
        <w:tc>
          <w:tcPr>
            <w:tcW w:w="4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revenues</w:t>
            </w:r>
          </w:p>
        </w:tc>
        <w:tc>
          <w:tcPr>
            <w:tcW w:w="108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61,885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79,348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(17,463)</w:t>
            </w:r>
          </w:p>
        </w:tc>
      </w:tr>
      <w:tr>
        <w:trPr>
          <w:trHeight w:val="148"/>
        </w:trPr>
        <w:tc>
          <w:tcPr>
            <w:tcW w:w="4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10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86"/>
        </w:trPr>
        <w:tc>
          <w:tcPr>
            <w:tcW w:w="4780" w:type="dxa"/>
            <w:vAlign w:val="bottom"/>
          </w:tcPr>
          <w:p>
            <w:pPr>
              <w:ind w:left="140"/>
              <w:spacing w:after="0"/>
              <w:rPr>
                <w:sz w:val="20"/>
                <w:szCs w:val="20"/>
                <w:color w:val="auto"/>
              </w:rPr>
            </w:pPr>
            <w:r>
              <w:rPr>
                <w:rFonts w:ascii="Arial" w:cs="Arial" w:eastAsia="Arial" w:hAnsi="Arial"/>
                <w:sz w:val="14"/>
                <w:szCs w:val="14"/>
                <w:color w:val="auto"/>
              </w:rPr>
              <w:t>Accommodation cost</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38,336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48,055</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(9,719)</w:t>
            </w:r>
          </w:p>
        </w:tc>
      </w:tr>
      <w:tr>
        <w:trPr>
          <w:trHeight w:val="192"/>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Mobile facility rental cost</w:t>
            </w:r>
          </w:p>
        </w:tc>
        <w:tc>
          <w:tcPr>
            <w:tcW w:w="10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3,517</w:t>
            </w:r>
          </w:p>
        </w:tc>
      </w:tr>
      <w:tr>
        <w:trPr>
          <w:trHeight w:val="186"/>
        </w:trPr>
        <w:tc>
          <w:tcPr>
            <w:tcW w:w="478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108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4,121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10,015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(5,894)</w:t>
            </w:r>
          </w:p>
        </w:tc>
      </w:tr>
      <w:tr>
        <w:trPr>
          <w:trHeight w:val="192"/>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costs</w:t>
            </w:r>
          </w:p>
        </w:tc>
        <w:tc>
          <w:tcPr>
            <w:tcW w:w="10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2,654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2,945</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(291)</w:t>
            </w:r>
          </w:p>
        </w:tc>
      </w:tr>
      <w:tr>
        <w:trPr>
          <w:trHeight w:val="179"/>
        </w:trPr>
        <w:tc>
          <w:tcPr>
            <w:tcW w:w="4780" w:type="dxa"/>
            <w:vAlign w:val="bottom"/>
          </w:tcPr>
          <w:p>
            <w:pPr>
              <w:ind w:left="360"/>
              <w:spacing w:after="0"/>
              <w:rPr>
                <w:sz w:val="20"/>
                <w:szCs w:val="20"/>
                <w:color w:val="auto"/>
              </w:rPr>
            </w:pPr>
            <w:r>
              <w:rPr>
                <w:rFonts w:ascii="Arial" w:cs="Arial" w:eastAsia="Arial" w:hAnsi="Arial"/>
                <w:sz w:val="14"/>
                <w:szCs w:val="14"/>
                <w:color w:val="auto"/>
              </w:rPr>
              <w:t>Total cost of sales and services</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51,885</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64,272</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(12,387)</w:t>
            </w:r>
          </w:p>
        </w:tc>
      </w:tr>
      <w:tr>
        <w:trPr>
          <w:trHeight w:val="152"/>
        </w:trPr>
        <w:tc>
          <w:tcPr>
            <w:tcW w:w="47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6"/>
        </w:trPr>
        <w:tc>
          <w:tcPr>
            <w:tcW w:w="478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0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52"/>
        </w:trPr>
        <w:tc>
          <w:tcPr>
            <w:tcW w:w="47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9"/>
        </w:trPr>
        <w:tc>
          <w:tcPr>
            <w:tcW w:w="47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Average daily rate for lodges </w:t>
            </w:r>
            <w:r>
              <w:rPr>
                <w:rFonts w:ascii="Arial" w:cs="Arial" w:eastAsia="Arial" w:hAnsi="Arial"/>
                <w:sz w:val="18"/>
                <w:szCs w:val="18"/>
                <w:color w:val="auto"/>
                <w:vertAlign w:val="superscript"/>
              </w:rPr>
              <w:t>(4)</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5</w:t>
            </w:r>
          </w:p>
        </w:tc>
      </w:tr>
      <w:tr>
        <w:trPr>
          <w:trHeight w:val="148"/>
        </w:trPr>
        <w:tc>
          <w:tcPr>
            <w:tcW w:w="47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89"/>
        </w:trPr>
        <w:tc>
          <w:tcPr>
            <w:tcW w:w="47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Total billed rooms for lodges </w:t>
            </w:r>
            <w:r>
              <w:rPr>
                <w:rFonts w:ascii="Arial" w:cs="Arial" w:eastAsia="Arial" w:hAnsi="Arial"/>
                <w:sz w:val="18"/>
                <w:szCs w:val="18"/>
                <w:color w:val="auto"/>
                <w:vertAlign w:val="superscript"/>
              </w:rPr>
              <w:t>(5)</w:t>
            </w:r>
          </w:p>
        </w:tc>
        <w:tc>
          <w:tcPr>
            <w:tcW w:w="108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480,066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708,323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(228,257)</w:t>
            </w:r>
          </w:p>
        </w:tc>
      </w:tr>
      <w:tr>
        <w:trPr>
          <w:trHeight w:val="148"/>
        </w:trPr>
        <w:tc>
          <w:tcPr>
            <w:tcW w:w="47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82"/>
        </w:trPr>
        <w:tc>
          <w:tcPr>
            <w:tcW w:w="4780" w:type="dxa"/>
            <w:vAlign w:val="bottom"/>
          </w:tcPr>
          <w:p>
            <w:pPr>
              <w:ind w:left="20"/>
              <w:spacing w:after="0"/>
              <w:rPr>
                <w:sz w:val="20"/>
                <w:szCs w:val="20"/>
                <w:color w:val="auto"/>
              </w:rPr>
            </w:pPr>
            <w:r>
              <w:rPr>
                <w:rFonts w:ascii="Arial" w:cs="Arial" w:eastAsia="Arial" w:hAnsi="Arial"/>
                <w:sz w:val="14"/>
                <w:szCs w:val="14"/>
                <w:color w:val="auto"/>
              </w:rPr>
              <w:t>Average Canadian dollar to U.S. dollar</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0.790</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0.745</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0.045</w:t>
            </w:r>
          </w:p>
        </w:tc>
      </w:tr>
    </w:tbl>
    <w:p>
      <w:pPr>
        <w:spacing w:after="0" w:line="296"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Includes revenues related to lodge rooms and hospitality services for owned rooms for the periods presented.</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Includes revenues related to mobile assets for the periods presented.</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Includes revenues related to food services, laundry and water and wastewater treatment services for the periods presented.</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Average daily rate is based on billed rooms and accommodation revenue.</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Billed rooms represents total billed days for owned assets for the periods presented.</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Canadian segment reported revenues in the first quarter of 2021 that were $17.5 million, or 22%, lower than the first quarter of 2020. The strengthening of the average exchange rate for the Canadian dollar relative to the U.S. dollar by 6% in the first quarter of 2021 compared to the first quarter of 2020 resulted in a $3.7 million period-over-period increase in revenues. Excluding the impact of the stronger Canadian exchange rate, the segment experienced a 26% decrease in revenues. This decrease was driven by reduced occupancy at our lodges related to the COVID-19 pandemic and reduced food services activity, as an overflow site supporting a LNG-related project in 2020 is no longer required. Partially offsetting these items, revenue was favorably impacted by increased mobile asset activity from a pipeline project.</w:t>
      </w:r>
    </w:p>
    <w:p>
      <w:pPr>
        <w:spacing w:after="0" w:line="21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Canadian segment cost of sales and services decreased $12.4 million, or 19%, in the first quarter of 2021 compared to the first quarter of 2020. The strengthening of the average exchange rate for the Canadian dollar relative to the U.S. dollar by 6% in the first quarter of 2021 compared to the first quarter of 2020 resulted in a $3.1 million period-over-period increase in cost of sales and services. Excluding the impact of the stronger Canadian exchange rate, the decreased cost of sales and services was driven by reduced occupancy at our lodges related to the COVID-19 pandemic and reduced food services activity, as an overflow site supporting a LNG-related project in 2020 is no longer required. These decreases were partially offset by increased mobile asset activity from a pipeline project and increased costs related to enhanced safety measures implemented during the COVID-19 pandemic.</w:t>
      </w:r>
    </w:p>
    <w:p>
      <w:pPr>
        <w:spacing w:after="0" w:line="164"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Our Canadian segment gross margin as a percentage of revenues decreased from 19.0% in the first quarter of 2020 to 16.2% in the first quarter of 2021. This was primarily driven by increased costs related to enhanced safety measures implemented during the COVID-19 pandemic, as well as reduced operating efficiencies at our lodges due to lower occupancy, partially offset by increased mobile asset activity and related operating efficiencies.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p>
      <w:pPr>
        <w:spacing w:after="0" w:line="18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8"/>
        </w:trPr>
        <w:tc>
          <w:tcPr>
            <w:tcW w:w="4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3"/>
        </w:trPr>
        <w:tc>
          <w:tcPr>
            <w:tcW w:w="46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170"/>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0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86"/>
        </w:trPr>
        <w:tc>
          <w:tcPr>
            <w:tcW w:w="4660" w:type="dxa"/>
            <w:vAlign w:val="bottom"/>
          </w:tcPr>
          <w:p>
            <w:pPr>
              <w:ind w:left="14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33,675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32,585</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1,090</w:t>
            </w:r>
          </w:p>
        </w:tc>
      </w:tr>
      <w:tr>
        <w:trPr>
          <w:trHeight w:val="192"/>
        </w:trPr>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9"/>
                <w:szCs w:val="9"/>
                <w:color w:val="auto"/>
              </w:rPr>
              <w:t>(2)</w:t>
            </w:r>
          </w:p>
        </w:tc>
        <w:tc>
          <w:tcPr>
            <w:tcW w:w="10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25,962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16,528</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9,434</w:t>
            </w:r>
          </w:p>
        </w:tc>
      </w:tr>
      <w:tr>
        <w:trPr>
          <w:trHeight w:val="179"/>
        </w:trPr>
        <w:tc>
          <w:tcPr>
            <w:tcW w:w="4660" w:type="dxa"/>
            <w:vAlign w:val="bottom"/>
          </w:tcPr>
          <w:p>
            <w:pPr>
              <w:ind w:left="360"/>
              <w:spacing w:after="0"/>
              <w:rPr>
                <w:sz w:val="20"/>
                <w:szCs w:val="20"/>
                <w:color w:val="auto"/>
              </w:rPr>
            </w:pPr>
            <w:r>
              <w:rPr>
                <w:rFonts w:ascii="Arial" w:cs="Arial" w:eastAsia="Arial" w:hAnsi="Arial"/>
                <w:sz w:val="14"/>
                <w:szCs w:val="14"/>
                <w:color w:val="auto"/>
              </w:rPr>
              <w:t>Total revenues</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59,637</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49,113</w:t>
            </w:r>
          </w:p>
        </w:tc>
        <w:tc>
          <w:tcPr>
            <w:tcW w:w="12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10,524</w:t>
            </w:r>
          </w:p>
        </w:tc>
      </w:tr>
      <w:tr>
        <w:trPr>
          <w:trHeight w:val="219"/>
        </w:trPr>
        <w:tc>
          <w:tcPr>
            <w:tcW w:w="4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86"/>
        </w:trPr>
        <w:tc>
          <w:tcPr>
            <w:tcW w:w="4660" w:type="dxa"/>
            <w:vAlign w:val="bottom"/>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2"/>
        </w:trPr>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Accommodation cost</w:t>
            </w:r>
          </w:p>
        </w:tc>
        <w:tc>
          <w:tcPr>
            <w:tcW w:w="108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17,105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14,995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2,110</w:t>
            </w:r>
          </w:p>
        </w:tc>
      </w:tr>
      <w:tr>
        <w:trPr>
          <w:trHeight w:val="186"/>
        </w:trPr>
        <w:tc>
          <w:tcPr>
            <w:tcW w:w="466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108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24,297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13,707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10,590</w:t>
            </w:r>
          </w:p>
        </w:tc>
      </w:tr>
      <w:tr>
        <w:trPr>
          <w:trHeight w:val="192"/>
        </w:trPr>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w:t>
            </w:r>
          </w:p>
        </w:tc>
        <w:tc>
          <w:tcPr>
            <w:tcW w:w="10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1,501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851</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650</w:t>
            </w:r>
          </w:p>
        </w:tc>
      </w:tr>
      <w:tr>
        <w:trPr>
          <w:trHeight w:val="179"/>
        </w:trPr>
        <w:tc>
          <w:tcPr>
            <w:tcW w:w="4660" w:type="dxa"/>
            <w:vAlign w:val="bottom"/>
          </w:tcPr>
          <w:p>
            <w:pPr>
              <w:ind w:left="360"/>
              <w:spacing w:after="0"/>
              <w:rPr>
                <w:sz w:val="20"/>
                <w:szCs w:val="20"/>
                <w:color w:val="auto"/>
              </w:rPr>
            </w:pPr>
            <w:r>
              <w:rPr>
                <w:rFonts w:ascii="Arial" w:cs="Arial" w:eastAsia="Arial" w:hAnsi="Arial"/>
                <w:sz w:val="14"/>
                <w:szCs w:val="14"/>
                <w:color w:val="auto"/>
              </w:rPr>
              <w:t>Total cost of sales and services</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42,903</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29,553</w:t>
            </w:r>
          </w:p>
        </w:tc>
        <w:tc>
          <w:tcPr>
            <w:tcW w:w="12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13,350</w:t>
            </w:r>
          </w:p>
        </w:tc>
      </w:tr>
      <w:tr>
        <w:trPr>
          <w:trHeight w:val="219"/>
        </w:trPr>
        <w:tc>
          <w:tcPr>
            <w:tcW w:w="4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86"/>
        </w:trPr>
        <w:tc>
          <w:tcPr>
            <w:tcW w:w="466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0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39.8 %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219"/>
        </w:trPr>
        <w:tc>
          <w:tcPr>
            <w:tcW w:w="4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86"/>
        </w:trPr>
        <w:tc>
          <w:tcPr>
            <w:tcW w:w="4660" w:type="dxa"/>
            <w:vAlign w:val="bottom"/>
          </w:tcPr>
          <w:p>
            <w:pPr>
              <w:ind w:left="20"/>
              <w:spacing w:after="0"/>
              <w:rPr>
                <w:sz w:val="20"/>
                <w:szCs w:val="20"/>
                <w:color w:val="auto"/>
              </w:rPr>
            </w:pPr>
            <w:r>
              <w:rPr>
                <w:rFonts w:ascii="Arial" w:cs="Arial" w:eastAsia="Arial" w:hAnsi="Arial"/>
                <w:sz w:val="14"/>
                <w:szCs w:val="14"/>
                <w:color w:val="auto"/>
              </w:rPr>
              <w:t xml:space="preserve">Average daily rate for villages </w:t>
            </w:r>
            <w:r>
              <w:rPr>
                <w:rFonts w:ascii="Arial" w:cs="Arial" w:eastAsia="Arial" w:hAnsi="Arial"/>
                <w:sz w:val="9"/>
                <w:szCs w:val="9"/>
                <w:color w:val="auto"/>
              </w:rPr>
              <w:t>(3)</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10</w:t>
            </w:r>
          </w:p>
        </w:tc>
      </w:tr>
      <w:tr>
        <w:trPr>
          <w:trHeight w:val="219"/>
        </w:trPr>
        <w:tc>
          <w:tcPr>
            <w:tcW w:w="4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86"/>
        </w:trPr>
        <w:tc>
          <w:tcPr>
            <w:tcW w:w="4660" w:type="dxa"/>
            <w:vAlign w:val="bottom"/>
          </w:tcPr>
          <w:p>
            <w:pPr>
              <w:ind w:left="20"/>
              <w:spacing w:after="0"/>
              <w:rPr>
                <w:sz w:val="20"/>
                <w:szCs w:val="20"/>
                <w:color w:val="auto"/>
              </w:rPr>
            </w:pPr>
            <w:r>
              <w:rPr>
                <w:rFonts w:ascii="Arial" w:cs="Arial" w:eastAsia="Arial" w:hAnsi="Arial"/>
                <w:sz w:val="14"/>
                <w:szCs w:val="14"/>
                <w:color w:val="auto"/>
              </w:rPr>
              <w:t xml:space="preserve">Total billed rooms for villages </w:t>
            </w:r>
            <w:r>
              <w:rPr>
                <w:rFonts w:ascii="Arial" w:cs="Arial" w:eastAsia="Arial" w:hAnsi="Arial"/>
                <w:sz w:val="9"/>
                <w:szCs w:val="9"/>
                <w:color w:val="auto"/>
              </w:rPr>
              <w:t>(4)</w:t>
            </w:r>
          </w:p>
        </w:tc>
        <w:tc>
          <w:tcPr>
            <w:tcW w:w="108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424,666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471,840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(47,174)</w:t>
            </w:r>
          </w:p>
        </w:tc>
      </w:tr>
      <w:tr>
        <w:trPr>
          <w:trHeight w:val="219"/>
        </w:trPr>
        <w:tc>
          <w:tcPr>
            <w:tcW w:w="4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82"/>
        </w:trPr>
        <w:tc>
          <w:tcPr>
            <w:tcW w:w="4660" w:type="dxa"/>
            <w:vAlign w:val="bottom"/>
          </w:tcPr>
          <w:p>
            <w:pPr>
              <w:ind w:left="20"/>
              <w:spacing w:after="0"/>
              <w:rPr>
                <w:sz w:val="20"/>
                <w:szCs w:val="20"/>
                <w:color w:val="auto"/>
              </w:rPr>
            </w:pPr>
            <w:r>
              <w:rPr>
                <w:rFonts w:ascii="Arial" w:cs="Arial" w:eastAsia="Arial" w:hAnsi="Arial"/>
                <w:sz w:val="14"/>
                <w:szCs w:val="14"/>
                <w:color w:val="auto"/>
              </w:rPr>
              <w:t>Australian dollar to U.S. dollar</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0.773</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0.658</w:t>
            </w:r>
          </w:p>
        </w:tc>
        <w:tc>
          <w:tcPr>
            <w:tcW w:w="12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0.115</w:t>
            </w:r>
          </w:p>
        </w:tc>
      </w:tr>
    </w:tbl>
    <w:p>
      <w:pPr>
        <w:spacing w:after="0" w:line="296"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Includes revenues related to village rooms and hospitality services for owned rooms for the periods presented.</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Includes revenues related to food services and other services, including facilities management for the periods presented.</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Average daily rate is based on billed rooms and accommodation revenue.</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Billed rooms represent total billed days for owned assets for the periods presented.</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Australian segment reported revenues in the first quarter of 2021 that were $10.5 million, or 21%, higher than the first quarter of 2020. The strengthening of the average exchange rate for Australian dollars relative to the U.S. dollar by 17% in the first quarter of 2021 compared to the first quarter of 2020 resulted in a $8.9 million period-over-period increase in revenues. Accordingly, the increase in the average daily rate is entirely attributable to the strengthening of the Australia dollar. Excluding the impact of the stronger Australian exchange rate, the Australian segment experienced a 3% increase in revenues largely due to increased occupancy at our integrated services villages, partially offset by decreased activity at our Bowen Basin and Western Australia villages.</w:t>
      </w:r>
    </w:p>
    <w:p>
      <w:pPr>
        <w:spacing w:after="0" w:line="19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Australian segment cost of sales and services increased $13.4 million, or 45%, in the first quarter of 2021 compared to the first quarter of 2020. The strengthening of the average exchange rate for Australian dollars relative to the U.S. dollar by 17% in the first quarter of 2021 compared to the first quarter of 2020 resulted in a $6.4 million period-over-period increase in cost of sales and services. Excluding the impact of the stronger Australian exchange rate, the increase in cost of sales and services was largely driven by increased occupancy at our integrated services villages and increased staff costs as a result of a hospitality labor shortage in Australia, which has been exacerbated by state and international border closures due to the COVID-19 pandemic. State and international border closures have affected the number of staff available which has subsequently led to an increased reliance on more expensive temporary labor hire resources and has placed upward pressure on wages for permanent staff as competitors compete for a smaller labor pool.</w:t>
      </w:r>
    </w:p>
    <w:p>
      <w:pPr>
        <w:spacing w:after="0" w:line="193"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Our Australian segment gross margin as a percentage of revenues decreased to 28.1% in the first quarter of 2021 from 39.8% in the first quarter of 2020. This was primarily driven by our integrated services business, which has a service-only business model, and therefore results in lower overall gross margins than the accommodation business and reduced occupancy at our Bowen Basin and Western Australia villages. The gross margin has also been negatively impacted by the increased cost of temporary labor due to ongoing labor shortages.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8"/>
        </w:trPr>
        <w:tc>
          <w:tcPr>
            <w:tcW w:w="48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3"/>
        </w:trPr>
        <w:tc>
          <w:tcPr>
            <w:tcW w:w="48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184"/>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3,908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10,331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(6,423)</w:t>
            </w:r>
          </w:p>
        </w:tc>
      </w:tr>
      <w:tr>
        <w:trPr>
          <w:trHeight w:val="216"/>
        </w:trPr>
        <w:tc>
          <w:tcPr>
            <w:tcW w:w="4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9"/>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 in thousands)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5,022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9,488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(4,466)</w:t>
            </w:r>
          </w:p>
        </w:tc>
      </w:tr>
      <w:tr>
        <w:trPr>
          <w:trHeight w:val="216"/>
        </w:trPr>
        <w:tc>
          <w:tcPr>
            <w:tcW w:w="4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9"/>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 as a % of revenues</w:t>
            </w:r>
          </w:p>
        </w:tc>
        <w:tc>
          <w:tcPr>
            <w:tcW w:w="1180" w:type="dxa"/>
            <w:vAlign w:val="bottom"/>
            <w:shd w:val="clear" w:color="auto" w:fill="CCEEFF"/>
          </w:tcPr>
          <w:p>
            <w:pPr>
              <w:spacing w:after="0"/>
              <w:rPr>
                <w:sz w:val="16"/>
                <w:szCs w:val="16"/>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3"/>
              </w:rPr>
              <w:t>(28.5)%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8.2 %</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U.S. segment reported revenues in the first quarter of 2021 that were $6.4 million, or 62%, lower than the first quarter of 2020. This decrease was due to reduced occupancy at our West Permian and Killdeer lodges, reduced U.S. drilling activity in the Bakken, Rockies, Mid-Continent and West Permian markets affecting our wellsite business and reduced activity in our offshore fabrication business as a project was completed in the first quarter of 2020.</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U.S. segment cost of sales decreased $4.5 million, or 47%, in the first quarter of 2021 compared to the first quarter of 2020. This decrease was due to reduced occupancy at our West Permian and Killdeer lodges, reduced U.S. drilling activity in the Bakken, Rockies, Mid-Continent and West Permian markets affecting our wellsite business and reduced activity in our offshore fabrication business as a project was completed in the first quarter of 2020.</w:t>
      </w:r>
    </w:p>
    <w:p>
      <w:pPr>
        <w:spacing w:after="0" w:line="21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U.S. segment gross margin as a percentage of revenues decreased from 8.2% in the first quarter of 2020 to (28.5)% in the first quarter of 2021 primarily due to reduced activity at our lodges, wellsite markets and offshore fabrication business and reduced operating efficiencies at lower activity levels.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and fund strategic business acquisitions. Historically, our primary sources of funds have been available cash, cash flow from operations, borrowings under our Credit Agreement and proceeds from equity issuances. In the future, we may seek to access the debt and equity capital markets from time to time to raise additional capital, increase liquidity, fund acquisitions, refinance debt or retire preferred shares.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consolidated liquidity position as of March 31, 2021 and December 31, 2020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6"/>
                <w:szCs w:val="16"/>
                <w:color w:val="auto"/>
              </w:rPr>
            </w:pPr>
          </w:p>
        </w:tc>
        <w:tc>
          <w:tcPr>
            <w:tcW w:w="1560" w:type="dxa"/>
            <w:vAlign w:val="bottom"/>
          </w:tcPr>
          <w:p>
            <w:pPr>
              <w:jc w:val="right"/>
              <w:ind w:right="228"/>
              <w:spacing w:after="0"/>
              <w:rPr>
                <w:sz w:val="20"/>
                <w:szCs w:val="20"/>
                <w:color w:val="auto"/>
              </w:rPr>
            </w:pPr>
            <w:r>
              <w:rPr>
                <w:rFonts w:ascii="Arial" w:cs="Arial" w:eastAsia="Arial" w:hAnsi="Arial"/>
                <w:sz w:val="14"/>
                <w:szCs w:val="14"/>
                <w:b w:val="1"/>
                <w:bCs w:val="1"/>
                <w:color w:val="auto"/>
                <w:w w:val="98"/>
              </w:rPr>
              <w:t>December 31, 2020</w:t>
            </w:r>
          </w:p>
        </w:tc>
      </w:tr>
      <w:tr>
        <w:trPr>
          <w:trHeight w:val="188"/>
        </w:trPr>
        <w:tc>
          <w:tcPr>
            <w:tcW w:w="7140" w:type="dxa"/>
            <w:vAlign w:val="bottom"/>
            <w:tcBorders>
              <w:top w:val="single" w:sz="8" w:color="CCEEFF"/>
            </w:tcBorders>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Lender commitments </w:t>
            </w:r>
            <w:r>
              <w:rPr>
                <w:rFonts w:ascii="Arial" w:cs="Arial" w:eastAsia="Arial" w:hAnsi="Arial"/>
                <w:sz w:val="18"/>
                <w:szCs w:val="18"/>
                <w:color w:val="auto"/>
                <w:vertAlign w:val="superscript"/>
              </w:rPr>
              <w:t>(1)</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167,300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167,300</w:t>
            </w:r>
          </w:p>
        </w:tc>
      </w:tr>
      <w:tr>
        <w:trPr>
          <w:trHeight w:val="186"/>
        </w:trPr>
        <w:tc>
          <w:tcPr>
            <w:tcW w:w="7140" w:type="dxa"/>
            <w:vAlign w:val="bottom"/>
          </w:tcPr>
          <w:p>
            <w:pPr>
              <w:ind w:left="140"/>
              <w:spacing w:after="0"/>
              <w:rPr>
                <w:sz w:val="20"/>
                <w:szCs w:val="20"/>
                <w:color w:val="auto"/>
              </w:rPr>
            </w:pPr>
            <w:r>
              <w:rPr>
                <w:rFonts w:ascii="Arial" w:cs="Arial" w:eastAsia="Arial" w:hAnsi="Arial"/>
                <w:sz w:val="14"/>
                <w:szCs w:val="14"/>
                <w:color w:val="auto"/>
              </w:rPr>
              <w:t>Borrowings against revolving credit capacity</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(57,063)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(63,556)</w:t>
            </w:r>
          </w:p>
        </w:tc>
      </w:tr>
      <w:tr>
        <w:trPr>
          <w:trHeight w:val="192"/>
        </w:trPr>
        <w:tc>
          <w:tcPr>
            <w:tcW w:w="7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Outstanding letters of credit</w:t>
            </w:r>
          </w:p>
        </w:tc>
        <w:tc>
          <w:tcPr>
            <w:tcW w:w="2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(4,487)</w:t>
            </w:r>
          </w:p>
        </w:tc>
      </w:tr>
      <w:tr>
        <w:trPr>
          <w:trHeight w:val="179"/>
        </w:trPr>
        <w:tc>
          <w:tcPr>
            <w:tcW w:w="7140" w:type="dxa"/>
            <w:vAlign w:val="bottom"/>
          </w:tcPr>
          <w:p>
            <w:pPr>
              <w:ind w:left="20"/>
              <w:spacing w:after="0"/>
              <w:rPr>
                <w:sz w:val="20"/>
                <w:szCs w:val="20"/>
                <w:color w:val="auto"/>
              </w:rPr>
            </w:pPr>
            <w:r>
              <w:rPr>
                <w:rFonts w:ascii="Arial" w:cs="Arial" w:eastAsia="Arial" w:hAnsi="Arial"/>
                <w:sz w:val="14"/>
                <w:szCs w:val="14"/>
                <w:color w:val="auto"/>
              </w:rPr>
              <w:t>Unused availability</w:t>
            </w:r>
          </w:p>
        </w:tc>
        <w:tc>
          <w:tcPr>
            <w:tcW w:w="240" w:type="dxa"/>
            <w:vAlign w:val="bottom"/>
          </w:tcPr>
          <w:p>
            <w:pPr>
              <w:spacing w:after="0"/>
              <w:rPr>
                <w:sz w:val="15"/>
                <w:szCs w:val="15"/>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106,957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99,257</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5,455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6,155</w:t>
            </w:r>
          </w:p>
        </w:tc>
      </w:tr>
      <w:tr>
        <w:trPr>
          <w:trHeight w:val="186"/>
        </w:trPr>
        <w:tc>
          <w:tcPr>
            <w:tcW w:w="7140" w:type="dxa"/>
            <w:vAlign w:val="bottom"/>
          </w:tcPr>
          <w:p>
            <w:pPr>
              <w:ind w:left="20"/>
              <w:spacing w:after="0"/>
              <w:rPr>
                <w:sz w:val="20"/>
                <w:szCs w:val="20"/>
                <w:color w:val="auto"/>
              </w:rPr>
            </w:pPr>
            <w:r>
              <w:rPr>
                <w:rFonts w:ascii="Arial" w:cs="Arial" w:eastAsia="Arial" w:hAnsi="Arial"/>
                <w:sz w:val="14"/>
                <w:szCs w:val="14"/>
                <w:color w:val="auto"/>
              </w:rPr>
              <w:t>Total available liquidity</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112,412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105,412</w:t>
            </w:r>
          </w:p>
        </w:tc>
      </w:tr>
      <w:tr>
        <w:trPr>
          <w:trHeight w:val="20"/>
        </w:trPr>
        <w:tc>
          <w:tcPr>
            <w:tcW w:w="7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right="20" w:hanging="332"/>
        <w:spacing w:after="0" w:line="267" w:lineRule="auto"/>
        <w:tabs>
          <w:tab w:leader="none" w:pos="328" w:val="left"/>
        </w:tabs>
        <w:numPr>
          <w:ilvl w:val="0"/>
          <w:numId w:val="21"/>
        </w:numPr>
        <w:rPr>
          <w:rFonts w:ascii="Arial" w:cs="Arial" w:eastAsia="Arial" w:hAnsi="Arial"/>
          <w:sz w:val="21"/>
          <w:szCs w:val="21"/>
          <w:color w:val="auto"/>
          <w:vertAlign w:val="subscript"/>
        </w:rPr>
      </w:pPr>
      <w:r>
        <w:rPr>
          <w:rFonts w:ascii="Arial" w:cs="Arial" w:eastAsia="Arial" w:hAnsi="Arial"/>
          <w:sz w:val="16"/>
          <w:szCs w:val="16"/>
          <w:color w:val="auto"/>
        </w:rPr>
        <w:t>As of March 31, 2021 and December 31, 2020, we had two bank guarantee facilities totaling A$3.0 million which mature on May 31, 2021. We had bank guarantees of A$0.9 million and A$0.8 million under these facilities outstanding as of March 31, 2021 and December 31, 2020, respectively.</w:t>
      </w:r>
    </w:p>
    <w:p>
      <w:pPr>
        <w:spacing w:after="0" w:line="20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Cash totaling $12.8 million was provided by operations during the three months ended March 31, 2021, compared to $20.8 million provided by operations during the three months ended March 31, 2020. During the three months ended March 31, 2021 and 2020, $0.1 million was used in working capital and $3.0 million was provided by working capital, respectively. The decrease in cash provided by working capital in 2021 compared to 2020 is largely due to decreased accounts payable balances, partially offset by decreased accounts receivable balances in Australia.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line="26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Cash was provided by investing activities during the three months ended March 31, 2021 in the amount of $3.3 million, compared to cash used in investing activities during the three months ended March 31, 2020 in the amount of $2.6 million. The increase in cash provided by investing activities was primarily due to proceeds from the sale of our manufacturing facility and mobile assets in Canada during the three months ended March 31, 2021. Capital expenditures totaled $3.4 million and $2.7 million during the three months ended March 31, 2021 and 2020, respectively.</w:t>
      </w:r>
    </w:p>
    <w:p>
      <w:pPr>
        <w:spacing w:after="0" w:line="19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expect our capital expenditures for 2021, exclusive of any business acquisitions or any growth capital expenditures, to be approximately $20 million to $25 million, which excludes any unannounced and uncommitted projects, the spending for which is contingent on obtaining customer contracts. Whether planned expenditures will actually be spent in 2021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should the economic environment in our industry improve and the transaction economics are deemed to be attractive to us. We continue to monitor the COVID-19 global pandemic and the responses thereto, the global economy, the prices of and demand for crude oil, met coal and iron ore and the resultant impact on the capital spending plans of our customers in order to plan our business activities, and we may adjust our capital expenditure plans in the future.</w:t>
      </w:r>
    </w:p>
    <w:p>
      <w:pPr>
        <w:spacing w:after="0" w:line="19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Net cash of $16.7 million was used in financing activities during the three months ended March 31, 2021 primarily due to net repayments under our revolving credit facilities of $6.7 million, repayments of term loan borrowings of $8.9 million and $1.1 million used to settle tax obligations on vested shares under our share-based compensation plans. Net cash of $15.6 million was used in financing activities during the three months ended March 31, 2020 primarily due to net repayments under our revolving credit facilities of $6.1 million, repayments of term loan borrowings of $8.1 million and $1.4 million used to settle tax obligations on vested shares under our share-based compensation plans.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changes in debt outstanding during the three months ended March 31, 2021 (in thousands):</w:t>
      </w:r>
    </w:p>
    <w:p>
      <w:pPr>
        <w:spacing w:after="0" w:line="334" w:lineRule="exact"/>
        <w:rPr>
          <w:sz w:val="20"/>
          <w:szCs w:val="20"/>
          <w:color w:val="auto"/>
        </w:rPr>
      </w:pPr>
    </w:p>
    <w:tbl>
      <w:tblPr>
        <w:tblLayout w:type="fixed"/>
        <w:tblInd w:w="2460" w:type="dxa"/>
        <w:tblCellMar>
          <w:top w:w="0" w:type="dxa"/>
          <w:left w:w="0" w:type="dxa"/>
          <w:bottom w:w="0" w:type="dxa"/>
          <w:right w:w="0" w:type="dxa"/>
        </w:tblCellMar>
      </w:tblPr>
      <w:tr>
        <w:trPr>
          <w:trHeight w:val="189"/>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251,086</w:t>
            </w:r>
          </w:p>
        </w:tc>
      </w:tr>
      <w:tr>
        <w:trPr>
          <w:trHeight w:val="186"/>
        </w:trPr>
        <w:tc>
          <w:tcPr>
            <w:tcW w:w="4980" w:type="dxa"/>
            <w:vAlign w:val="bottom"/>
          </w:tcPr>
          <w:p>
            <w:pPr>
              <w:ind w:left="140"/>
              <w:spacing w:after="0"/>
              <w:rPr>
                <w:sz w:val="20"/>
                <w:szCs w:val="20"/>
                <w:color w:val="auto"/>
              </w:rPr>
            </w:pPr>
            <w:r>
              <w:rPr>
                <w:rFonts w:ascii="Arial" w:cs="Arial" w:eastAsia="Arial" w:hAnsi="Arial"/>
                <w:sz w:val="14"/>
                <w:szCs w:val="14"/>
                <w:color w:val="auto"/>
              </w:rPr>
              <w:t>Borrowings under revolving credit facilities</w:t>
            </w:r>
          </w:p>
        </w:tc>
        <w:tc>
          <w:tcPr>
            <w:tcW w:w="44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78,628</w:t>
            </w:r>
          </w:p>
        </w:tc>
      </w:tr>
      <w:tr>
        <w:trPr>
          <w:trHeight w:val="192"/>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Repayments of borrowings under revolving credit facilities</w:t>
            </w: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(85,319)</w:t>
            </w:r>
          </w:p>
        </w:tc>
      </w:tr>
      <w:tr>
        <w:trPr>
          <w:trHeight w:val="186"/>
        </w:trPr>
        <w:tc>
          <w:tcPr>
            <w:tcW w:w="4980" w:type="dxa"/>
            <w:vAlign w:val="bottom"/>
          </w:tcPr>
          <w:p>
            <w:pPr>
              <w:ind w:left="140"/>
              <w:spacing w:after="0"/>
              <w:rPr>
                <w:sz w:val="20"/>
                <w:szCs w:val="20"/>
                <w:color w:val="auto"/>
              </w:rPr>
            </w:pPr>
            <w:r>
              <w:rPr>
                <w:rFonts w:ascii="Arial" w:cs="Arial" w:eastAsia="Arial" w:hAnsi="Arial"/>
                <w:sz w:val="14"/>
                <w:szCs w:val="14"/>
                <w:color w:val="auto"/>
              </w:rPr>
              <w:t>Repayments of term loans</w:t>
            </w: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(8,872)</w:t>
            </w:r>
          </w:p>
        </w:tc>
      </w:tr>
      <w:tr>
        <w:trPr>
          <w:trHeight w:val="189"/>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w:t>
            </w:r>
          </w:p>
        </w:tc>
        <w:tc>
          <w:tcPr>
            <w:tcW w:w="4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2,537</w:t>
            </w:r>
          </w:p>
        </w:tc>
      </w:tr>
      <w:tr>
        <w:trPr>
          <w:trHeight w:val="186"/>
        </w:trPr>
        <w:tc>
          <w:tcPr>
            <w:tcW w:w="4980" w:type="dxa"/>
            <w:vAlign w:val="bottom"/>
          </w:tcPr>
          <w:p>
            <w:pPr>
              <w:ind w:left="20"/>
              <w:spacing w:after="0"/>
              <w:rPr>
                <w:sz w:val="20"/>
                <w:szCs w:val="20"/>
                <w:color w:val="auto"/>
              </w:rPr>
            </w:pPr>
            <w:r>
              <w:rPr>
                <w:rFonts w:ascii="Arial" w:cs="Arial" w:eastAsia="Arial" w:hAnsi="Arial"/>
                <w:sz w:val="14"/>
                <w:szCs w:val="14"/>
                <w:color w:val="auto"/>
              </w:rPr>
              <w:t>Balance at March 31, 2021</w:t>
            </w: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238,060</w:t>
            </w:r>
          </w:p>
        </w:tc>
      </w:tr>
      <w:tr>
        <w:trPr>
          <w:trHeight w:val="20"/>
        </w:trPr>
        <w:tc>
          <w:tcPr>
            <w:tcW w:w="4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believe that cash on hand and cash flow from operations will be sufficient to meet our anticipated liquidity needs in the coming 12 months. If our plans or assumptions change, including as a result of the impact of COVID-19 or the decline in the price of and demand for oil,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March 31, 2021, our Credit Agreement (as then amended to date, the Credit Agreement) provided for: (i) a $167.3 million revolving credit facility scheduled to mature on May 30, 2023, allocated as follows: (A) a $10.0 million senior secured revolving credit facility in favor of certain of our U.S. subsidiaries, as borrowers; (B) a $122.3 million senior secured revolving credit facility in favor of Civeo and certain of our Canadian subsidiaries, as borrowers; and (C) a $35.0 million senior secured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revolving credit facility in favor of one of our Australian subsidiaries, as borrower; and (ii) a $194.8 million term loan facility scheduled to mature on May 30, 2023 for certain lenders in favor of Civeo.</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March 31, 2021, we had outstanding letters of credit of $1.2 million under the U.S. facility, $0.1 million under the Australian facility and $2.0 million under the Canadian facility.</w:t>
      </w:r>
    </w:p>
    <w:p>
      <w:pPr>
        <w:spacing w:after="0" w:line="19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As of March 31, 2021 and December 31, 2020, we also had two bank guarantee facilities totaling A$3.0 million which mature on May 31, 2021. We had bank guarantees of A$0.9 million and A$0.8 million under these facilities outstanding as of March 31, 2021 and December 31, 2020, respectively.</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8 – Debt to the notes to the unaudited consolidated financial statements included in Item 1 of this quarterly report for further discussion.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cash dividends on common or preferred shares is limited by covenants in the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be suspended, without advance notice. The likelihood that dividends will be reduced or suspended is increased during periods of market weakness. There can be no assurance that we will pay a dividend in the future.</w:t>
      </w:r>
    </w:p>
    <w:p>
      <w:pPr>
        <w:spacing w:after="0" w:line="21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preferred shares we issued in the Noralta acquisition are entitled to receive a 2% annual dividend on the liquidation preference (initially $10,000 per share), paid quarterly in cash or, at our option, by increasing the preferred shares’ liquidation preference, or any combination thereof. Quarterly dividends were paid in-kind on March 31, 2021, thereby increasing the liquidation preference to $10,616 per share as of March 31, 2021. We currently expect to pay dividends on the preferred shares for the foreseeable future through an increase in liquidation preference rather than cash.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additional information about our contractual obligations, refer to “Liquidity and Capital Resources—Contractual Obligations” in our Annual Report on Form 10-K for the year ended December 31, 2020. As of March 31, 2021, except for net repayments under our revolving credit facilities, there were no material changes to the disclosure regarding our contractual obligations made in our Annual Report on Form 10-K for the year ended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2020.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credit facilities that are subject to the risk of higher interest charges associated with increases in interest rates. As of March 31, 2021, we had $238.1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$2.4 million annually, based on our floating-rate debt obligations and interest rates in effect as of 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C$160 million and A$285 million, respectively, at March 31, 2021. We use a sensitivity analysis model to measure the impact of a 10% adverse movement of foreign currency exchange rates against the United States dollar. A hypothetical 10% adverse change in the value of the Canadian dollar and Australian dollar relative to the U.S. dollar as of March 31, 2021 would result in translation adjustments of approximately $16 million and $28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March 31, 2021,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three months ended March 31, 2021,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6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additional information about our risk factors, you should carefully read the section entitled "Risk Factors” included in our Annual Report on Form 10-K for the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about purchases of our common shares during the three months ended March 31,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4"/>
              </w:rPr>
              <w:t>Maximum number of</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w:t>
            </w:r>
          </w:p>
        </w:tc>
        <w:tc>
          <w:tcPr>
            <w:tcW w:w="300" w:type="dxa"/>
            <w:vAlign w:val="bottom"/>
          </w:tcPr>
          <w:p>
            <w:pPr>
              <w:spacing w:after="0"/>
              <w:rPr>
                <w:sz w:val="14"/>
                <w:szCs w:val="14"/>
                <w:color w:val="auto"/>
              </w:rPr>
            </w:pPr>
          </w:p>
        </w:tc>
        <w:tc>
          <w:tcPr>
            <w:tcW w:w="18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Average Price Paid</w:t>
            </w:r>
          </w:p>
        </w:tc>
        <w:tc>
          <w:tcPr>
            <w:tcW w:w="18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purchased as part of</w:t>
            </w:r>
          </w:p>
        </w:tc>
        <w:tc>
          <w:tcPr>
            <w:tcW w:w="17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shares that may yet be</w:t>
            </w:r>
          </w:p>
        </w:tc>
        <w:tc>
          <w:tcPr>
            <w:tcW w:w="0" w:type="dxa"/>
            <w:vAlign w:val="bottom"/>
          </w:tcPr>
          <w:p>
            <w:pPr>
              <w:spacing w:after="0"/>
              <w:rPr>
                <w:sz w:val="1"/>
                <w:szCs w:val="1"/>
                <w:color w:val="auto"/>
              </w:rPr>
            </w:pPr>
          </w:p>
        </w:tc>
      </w:tr>
      <w:tr>
        <w:trPr>
          <w:trHeight w:val="162"/>
        </w:trPr>
        <w:tc>
          <w:tcPr>
            <w:tcW w:w="3040" w:type="dxa"/>
            <w:vAlign w:val="bottom"/>
            <w:vMerge w:val="restart"/>
          </w:tcPr>
          <w:p>
            <w:pPr>
              <w:ind w:left="1560"/>
              <w:spacing w:after="0"/>
              <w:rPr>
                <w:sz w:val="20"/>
                <w:szCs w:val="20"/>
                <w:color w:val="auto"/>
              </w:rPr>
            </w:pPr>
            <w:r>
              <w:rPr>
                <w:rFonts w:ascii="Arial" w:cs="Arial" w:eastAsia="Arial" w:hAnsi="Arial"/>
                <w:sz w:val="16"/>
                <w:szCs w:val="16"/>
                <w:b w:val="1"/>
                <w:bCs w:val="1"/>
                <w:color w:val="auto"/>
              </w:rPr>
              <w:t>Period</w:t>
            </w:r>
          </w:p>
        </w:tc>
        <w:tc>
          <w:tcPr>
            <w:tcW w:w="1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7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16"/>
        </w:trPr>
        <w:tc>
          <w:tcPr>
            <w:tcW w:w="3040" w:type="dxa"/>
            <w:vAlign w:val="bottom"/>
            <w:vMerge w:val="continue"/>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Shares Purchased</w:t>
            </w:r>
          </w:p>
        </w:tc>
        <w:tc>
          <w:tcPr>
            <w:tcW w:w="300" w:type="dxa"/>
            <w:vAlign w:val="bottom"/>
          </w:tcPr>
          <w:p>
            <w:pPr>
              <w:spacing w:after="0"/>
              <w:rPr>
                <w:sz w:val="18"/>
                <w:szCs w:val="18"/>
                <w:color w:val="auto"/>
              </w:rPr>
            </w:pPr>
          </w:p>
        </w:tc>
        <w:tc>
          <w:tcPr>
            <w:tcW w:w="1840" w:type="dxa"/>
            <w:vAlign w:val="bottom"/>
          </w:tcPr>
          <w:p>
            <w:pPr>
              <w:ind w:left="480"/>
              <w:spacing w:after="0"/>
              <w:rPr>
                <w:sz w:val="20"/>
                <w:szCs w:val="20"/>
                <w:color w:val="auto"/>
              </w:rPr>
            </w:pPr>
            <w:r>
              <w:rPr>
                <w:rFonts w:ascii="Arial" w:cs="Arial" w:eastAsia="Arial" w:hAnsi="Arial"/>
                <w:sz w:val="16"/>
                <w:szCs w:val="16"/>
                <w:b w:val="1"/>
                <w:bCs w:val="1"/>
                <w:color w:val="auto"/>
              </w:rPr>
              <w:t>per Share</w:t>
            </w:r>
          </w:p>
        </w:tc>
        <w:tc>
          <w:tcPr>
            <w:tcW w:w="182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8"/>
              </w:rPr>
              <w:t xml:space="preserve">plans or programs </w:t>
            </w:r>
            <w:r>
              <w:rPr>
                <w:rFonts w:ascii="Arial" w:cs="Arial" w:eastAsia="Arial" w:hAnsi="Arial"/>
                <w:sz w:val="21"/>
                <w:szCs w:val="21"/>
                <w:b w:val="1"/>
                <w:bCs w:val="1"/>
                <w:color w:val="auto"/>
                <w:w w:val="88"/>
                <w:vertAlign w:val="superscript"/>
              </w:rPr>
              <w:t>(3)</w:t>
            </w:r>
          </w:p>
        </w:tc>
        <w:tc>
          <w:tcPr>
            <w:tcW w:w="172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8"/>
              </w:rPr>
              <w:t xml:space="preserve">plans or programs </w:t>
            </w:r>
            <w:r>
              <w:rPr>
                <w:rFonts w:ascii="Arial" w:cs="Arial" w:eastAsia="Arial" w:hAnsi="Arial"/>
                <w:sz w:val="21"/>
                <w:szCs w:val="21"/>
                <w:b w:val="1"/>
                <w:bCs w:val="1"/>
                <w:color w:val="auto"/>
                <w:w w:val="88"/>
                <w:vertAlign w:val="superscript"/>
              </w:rPr>
              <w:t>(3)</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1, 2021 - January 31, 2021</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February 1, 2021 - February 28, 2021</w:t>
            </w:r>
          </w:p>
        </w:tc>
        <w:tc>
          <w:tcPr>
            <w:tcW w:w="1840" w:type="dxa"/>
            <w:vAlign w:val="bottom"/>
          </w:tcPr>
          <w:p>
            <w:pPr>
              <w:jc w:val="right"/>
              <w:spacing w:after="0"/>
              <w:rPr>
                <w:sz w:val="20"/>
                <w:szCs w:val="20"/>
                <w:color w:val="auto"/>
              </w:rPr>
            </w:pPr>
            <w:r>
              <w:rPr>
                <w:rFonts w:ascii="Arial" w:cs="Arial" w:eastAsia="Arial" w:hAnsi="Arial"/>
                <w:sz w:val="16"/>
                <w:szCs w:val="16"/>
                <w:color w:val="auto"/>
              </w:rPr>
              <w:t>56,889</w:t>
            </w:r>
          </w:p>
        </w:tc>
        <w:tc>
          <w:tcPr>
            <w:tcW w:w="300" w:type="dxa"/>
            <w:vAlign w:val="bottom"/>
          </w:tcPr>
          <w:p>
            <w:pPr>
              <w:jc w:val="right"/>
              <w:ind w:right="115"/>
              <w:spacing w:after="0"/>
              <w:rPr>
                <w:sz w:val="20"/>
                <w:szCs w:val="20"/>
                <w:color w:val="auto"/>
              </w:rPr>
            </w:pPr>
            <w:r>
              <w:rPr>
                <w:rFonts w:ascii="Arial" w:cs="Arial" w:eastAsia="Arial" w:hAnsi="Arial"/>
                <w:sz w:val="9"/>
                <w:szCs w:val="9"/>
                <w:color w:val="auto"/>
              </w:rPr>
              <w:t>(1)</w:t>
            </w:r>
          </w:p>
        </w:tc>
        <w:tc>
          <w:tcPr>
            <w:tcW w:w="1840" w:type="dxa"/>
            <w:vAlign w:val="bottom"/>
          </w:tcPr>
          <w:p>
            <w:pPr>
              <w:ind w:left="1100"/>
              <w:spacing w:after="0"/>
              <w:rPr>
                <w:sz w:val="20"/>
                <w:szCs w:val="20"/>
                <w:color w:val="auto"/>
              </w:rPr>
            </w:pPr>
            <w:r>
              <w:rPr>
                <w:rFonts w:ascii="Arial" w:cs="Arial" w:eastAsia="Arial" w:hAnsi="Arial"/>
                <w:sz w:val="16"/>
                <w:szCs w:val="16"/>
                <w:color w:val="auto"/>
              </w:rPr>
              <w:t xml:space="preserve">$19.57 </w:t>
            </w:r>
            <w:r>
              <w:rPr>
                <w:rFonts w:ascii="Arial" w:cs="Arial" w:eastAsia="Arial" w:hAnsi="Arial"/>
                <w:sz w:val="17"/>
                <w:szCs w:val="17"/>
                <w:color w:val="auto"/>
                <w:vertAlign w:val="superscript"/>
              </w:rPr>
              <w:t>(2)</w:t>
            </w:r>
          </w:p>
        </w:tc>
        <w:tc>
          <w:tcPr>
            <w:tcW w:w="1820" w:type="dxa"/>
            <w:vAlign w:val="bottom"/>
          </w:tcPr>
          <w:p>
            <w:pPr>
              <w:ind w:left="1580"/>
              <w:spacing w:after="0"/>
              <w:rPr>
                <w:sz w:val="20"/>
                <w:szCs w:val="20"/>
                <w:color w:val="auto"/>
              </w:rPr>
            </w:pPr>
            <w:r>
              <w:rPr>
                <w:rFonts w:ascii="Arial" w:cs="Arial" w:eastAsia="Arial" w:hAnsi="Arial"/>
                <w:sz w:val="16"/>
                <w:szCs w:val="16"/>
                <w:color w:val="auto"/>
              </w:rPr>
              <w:t>—</w:t>
            </w:r>
          </w:p>
        </w:tc>
        <w:tc>
          <w:tcPr>
            <w:tcW w:w="1720" w:type="dxa"/>
            <w:vAlign w:val="bottom"/>
          </w:tcPr>
          <w:p>
            <w:pPr>
              <w:ind w:left="1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1, 2021 - March 31, 2021</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040" w:type="dxa"/>
            <w:vAlign w:val="bottom"/>
          </w:tcPr>
          <w:p>
            <w:pPr>
              <w:ind w:left="20"/>
              <w:spacing w:after="0"/>
              <w:rPr>
                <w:sz w:val="20"/>
                <w:szCs w:val="20"/>
                <w:color w:val="auto"/>
              </w:rPr>
            </w:pPr>
            <w:r>
              <w:rPr>
                <w:rFonts w:ascii="Arial" w:cs="Arial" w:eastAsia="Arial" w:hAnsi="Arial"/>
                <w:sz w:val="16"/>
                <w:szCs w:val="16"/>
                <w:color w:val="auto"/>
              </w:rPr>
              <w:t>Total</w:t>
            </w:r>
          </w:p>
        </w:tc>
        <w:tc>
          <w:tcPr>
            <w:tcW w:w="1840" w:type="dxa"/>
            <w:vAlign w:val="bottom"/>
          </w:tcPr>
          <w:p>
            <w:pPr>
              <w:jc w:val="right"/>
              <w:spacing w:after="0"/>
              <w:rPr>
                <w:sz w:val="20"/>
                <w:szCs w:val="20"/>
                <w:color w:val="auto"/>
              </w:rPr>
            </w:pPr>
            <w:r>
              <w:rPr>
                <w:rFonts w:ascii="Arial" w:cs="Arial" w:eastAsia="Arial" w:hAnsi="Arial"/>
                <w:sz w:val="16"/>
                <w:szCs w:val="16"/>
                <w:color w:val="auto"/>
              </w:rPr>
              <w:t>56,889</w:t>
            </w:r>
          </w:p>
        </w:tc>
        <w:tc>
          <w:tcPr>
            <w:tcW w:w="300" w:type="dxa"/>
            <w:vAlign w:val="bottom"/>
          </w:tcPr>
          <w:p>
            <w:pPr>
              <w:spacing w:after="0"/>
              <w:rPr>
                <w:sz w:val="18"/>
                <w:szCs w:val="18"/>
                <w:color w:val="auto"/>
              </w:rPr>
            </w:pPr>
          </w:p>
        </w:tc>
        <w:tc>
          <w:tcPr>
            <w:tcW w:w="1840" w:type="dxa"/>
            <w:vAlign w:val="bottom"/>
          </w:tcPr>
          <w:p>
            <w:pPr>
              <w:ind w:left="1100"/>
              <w:spacing w:after="0"/>
              <w:rPr>
                <w:sz w:val="20"/>
                <w:szCs w:val="20"/>
                <w:color w:val="auto"/>
              </w:rPr>
            </w:pPr>
            <w:r>
              <w:rPr>
                <w:rFonts w:ascii="Arial" w:cs="Arial" w:eastAsia="Arial" w:hAnsi="Arial"/>
                <w:sz w:val="16"/>
                <w:szCs w:val="16"/>
                <w:color w:val="auto"/>
              </w:rPr>
              <w:t>$19.57</w:t>
            </w:r>
          </w:p>
        </w:tc>
        <w:tc>
          <w:tcPr>
            <w:tcW w:w="1820" w:type="dxa"/>
            <w:vAlign w:val="bottom"/>
          </w:tcPr>
          <w:p>
            <w:pPr>
              <w:ind w:left="1580"/>
              <w:spacing w:after="0"/>
              <w:rPr>
                <w:sz w:val="20"/>
                <w:szCs w:val="20"/>
                <w:color w:val="auto"/>
              </w:rPr>
            </w:pPr>
            <w:r>
              <w:rPr>
                <w:rFonts w:ascii="Arial" w:cs="Arial" w:eastAsia="Arial" w:hAnsi="Arial"/>
                <w:sz w:val="16"/>
                <w:szCs w:val="16"/>
                <w:color w:val="auto"/>
              </w:rPr>
              <w:t>—</w:t>
            </w:r>
          </w:p>
        </w:tc>
        <w:tc>
          <w:tcPr>
            <w:tcW w:w="1720" w:type="dxa"/>
            <w:vAlign w:val="bottom"/>
          </w:tcPr>
          <w:p>
            <w:pPr>
              <w:ind w:left="1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340" w:hanging="332"/>
        <w:spacing w:after="0" w:line="227"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Consists of shares surrendered to us by participants in our 2014 Equity Participation Plan to settle the participants' personal tax liabilities that resulted from the lapsing of restrictions on shares awarded to the participants under the plan.</w:t>
      </w:r>
    </w:p>
    <w:p>
      <w:pPr>
        <w:ind w:left="340" w:hanging="332"/>
        <w:spacing w:after="0" w:line="219"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The price paid per share was based on the closing price of our common shares on February 20, 2021, February 21, 2021 and February 25, 2021, the respective dates as of which the restrictions lapsed on such shares.</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We did not have at any time during the quarter ended March 31, 2021, and currently do not have, a share repurchase program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56" w:lineRule="exact"/>
        <w:rPr>
          <w:sz w:val="20"/>
          <w:szCs w:val="20"/>
          <w:color w:val="auto"/>
        </w:rPr>
      </w:pPr>
    </w:p>
    <w:p>
      <w:pPr>
        <w:ind w:left="660" w:hanging="490"/>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INDEX OF EXHIBITS</w:t>
      </w:r>
    </w:p>
    <w:p>
      <w:pPr>
        <w:spacing w:after="0" w:line="140" w:lineRule="exact"/>
        <w:rPr>
          <w:sz w:val="20"/>
          <w:szCs w:val="20"/>
          <w:color w:val="auto"/>
        </w:rPr>
      </w:pPr>
    </w:p>
    <w:p>
      <w:pPr>
        <w:ind w:left="800"/>
        <w:spacing w:after="0"/>
        <w:tabs>
          <w:tab w:leader="none" w:pos="62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66"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9620" w:type="dxa"/>
            <w:vAlign w:val="bottom"/>
            <w:gridSpan w:val="8"/>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35">
              <w:r>
                <w:rPr>
                  <w:rFonts w:ascii="Arial" w:cs="Arial" w:eastAsia="Arial" w:hAnsi="Arial"/>
                  <w:sz w:val="18"/>
                  <w:szCs w:val="18"/>
                  <w:color w:val="0000FF"/>
                  <w:w w:val="94"/>
                </w:rPr>
                <w:t>Certification of Chief Executive Officer of Civeo Corporation pursuant to Rules 13a-14(a) or 15d-14(a) under the Securities</w:t>
              </w:r>
            </w:hyperlink>
          </w:p>
        </w:tc>
      </w:tr>
      <w:tr>
        <w:trPr>
          <w:trHeight w:val="156"/>
        </w:trPr>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35">
              <w:r>
                <w:rPr>
                  <w:rFonts w:ascii="Arial" w:cs="Arial" w:eastAsia="Arial" w:hAnsi="Arial"/>
                  <w:sz w:val="18"/>
                  <w:szCs w:val="18"/>
                  <w:color w:val="0000FF"/>
                  <w:w w:val="90"/>
                </w:rPr>
                <w:t>Exchange Act of 1934.</w:t>
              </w:r>
            </w:hyperlink>
          </w:p>
        </w:tc>
        <w:tc>
          <w:tcPr>
            <w:tcW w:w="73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39"/>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9620" w:type="dxa"/>
            <w:vAlign w:val="bottom"/>
            <w:gridSpan w:val="8"/>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36">
              <w:r>
                <w:rPr>
                  <w:rFonts w:ascii="Arial" w:cs="Arial" w:eastAsia="Arial" w:hAnsi="Arial"/>
                  <w:sz w:val="18"/>
                  <w:szCs w:val="18"/>
                  <w:color w:val="0000FF"/>
                  <w:w w:val="94"/>
                </w:rPr>
                <w:t>Certification of Chief Financial Officer of Civeo Corporation pursuant to Rules 13a-14(a) or 15d-14(a) under the Securities</w:t>
              </w:r>
            </w:hyperlink>
          </w:p>
        </w:tc>
      </w:tr>
      <w:tr>
        <w:trPr>
          <w:trHeight w:val="155"/>
        </w:trPr>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36">
              <w:r>
                <w:rPr>
                  <w:rFonts w:ascii="Arial" w:cs="Arial" w:eastAsia="Arial" w:hAnsi="Arial"/>
                  <w:sz w:val="18"/>
                  <w:szCs w:val="18"/>
                  <w:color w:val="0000FF"/>
                  <w:w w:val="90"/>
                </w:rPr>
                <w:t>Exchange Act of 1934.</w:t>
              </w:r>
            </w:hyperlink>
          </w:p>
        </w:tc>
        <w:tc>
          <w:tcPr>
            <w:tcW w:w="73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39"/>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9620" w:type="dxa"/>
            <w:vAlign w:val="bottom"/>
            <w:gridSpan w:val="8"/>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37">
              <w:r>
                <w:rPr>
                  <w:rFonts w:ascii="Arial" w:cs="Arial" w:eastAsia="Arial" w:hAnsi="Arial"/>
                  <w:sz w:val="18"/>
                  <w:szCs w:val="18"/>
                  <w:color w:val="0000FF"/>
                  <w:w w:val="94"/>
                </w:rPr>
                <w:t>Certification of Chief Executive Officer of Civeo Corporation pursuant to Rules 13a-14(b) or 15d-14(b) under the Securities</w:t>
              </w:r>
            </w:hyperlink>
          </w:p>
        </w:tc>
      </w:tr>
      <w:tr>
        <w:trPr>
          <w:trHeight w:val="156"/>
        </w:trPr>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4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37">
              <w:r>
                <w:rPr>
                  <w:rFonts w:ascii="Arial" w:cs="Arial" w:eastAsia="Arial" w:hAnsi="Arial"/>
                  <w:sz w:val="18"/>
                  <w:szCs w:val="18"/>
                  <w:color w:val="0000FF"/>
                </w:rPr>
                <w:t>Exchange Act of 1934 and 18 U.S.C. Section 1350.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9620" w:type="dxa"/>
            <w:vAlign w:val="bottom"/>
            <w:gridSpan w:val="8"/>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38">
              <w:r>
                <w:rPr>
                  <w:rFonts w:ascii="Arial" w:cs="Arial" w:eastAsia="Arial" w:hAnsi="Arial"/>
                  <w:sz w:val="18"/>
                  <w:szCs w:val="18"/>
                  <w:color w:val="0000FF"/>
                  <w:w w:val="94"/>
                </w:rPr>
                <w:t>Certification of Chief Financial Officer of Civeo Corporation pursuant to Rules 13a-14(b) or 15d-14(b) under the Securities</w:t>
              </w:r>
            </w:hyperlink>
          </w:p>
        </w:tc>
      </w:tr>
      <w:tr>
        <w:trPr>
          <w:trHeight w:val="156"/>
        </w:trPr>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38">
              <w:r>
                <w:rPr>
                  <w:rFonts w:ascii="Arial" w:cs="Arial" w:eastAsia="Arial" w:hAnsi="Arial"/>
                  <w:sz w:val="18"/>
                  <w:szCs w:val="18"/>
                  <w:color w:val="0000FF"/>
                </w:rPr>
                <w:t>Exchange Act of 1934 and 18 U.S.C. Section 1350.</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r>
      <w:tr>
        <w:trPr>
          <w:trHeight w:val="425"/>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9620" w:type="dxa"/>
            <w:vAlign w:val="bottom"/>
            <w:gridSpan w:val="8"/>
          </w:tcPr>
          <w:p>
            <w:pPr>
              <w:ind w:left="200"/>
              <w:spacing w:after="0"/>
              <w:rPr>
                <w:sz w:val="20"/>
                <w:szCs w:val="20"/>
                <w:color w:val="auto"/>
              </w:rPr>
            </w:pPr>
            <w:r>
              <w:rPr>
                <w:rFonts w:ascii="Arial" w:cs="Arial" w:eastAsia="Arial" w:hAnsi="Arial"/>
                <w:sz w:val="18"/>
                <w:szCs w:val="18"/>
                <w:color w:val="auto"/>
                <w:w w:val="92"/>
              </w:rPr>
              <w:t>—  Inline XBRL Instance Document - the instance document does not appear in the Interactive Data File because its XBRL tags</w:t>
            </w:r>
          </w:p>
        </w:tc>
      </w:tr>
      <w:tr>
        <w:trPr>
          <w:trHeight w:val="230"/>
        </w:trPr>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80" w:type="dxa"/>
            <w:vAlign w:val="bottom"/>
            <w:gridSpan w:val="7"/>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58"/>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9620" w:type="dxa"/>
            <w:vAlign w:val="bottom"/>
            <w:gridSpan w:val="8"/>
          </w:tcPr>
          <w:p>
            <w:pPr>
              <w:ind w:left="200"/>
              <w:spacing w:after="0"/>
              <w:rPr>
                <w:sz w:val="20"/>
                <w:szCs w:val="20"/>
                <w:color w:val="auto"/>
              </w:rPr>
            </w:pPr>
            <w:r>
              <w:rPr>
                <w:rFonts w:ascii="Arial" w:cs="Arial" w:eastAsia="Arial" w:hAnsi="Arial"/>
                <w:sz w:val="18"/>
                <w:szCs w:val="18"/>
                <w:color w:val="auto"/>
              </w:rPr>
              <w:t>—  Inline XBRL Taxonomy Extension Schema Document</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9620" w:type="dxa"/>
            <w:vAlign w:val="bottom"/>
            <w:gridSpan w:val="8"/>
          </w:tcPr>
          <w:p>
            <w:pPr>
              <w:ind w:left="20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9620" w:type="dxa"/>
            <w:vAlign w:val="bottom"/>
            <w:gridSpan w:val="8"/>
          </w:tcPr>
          <w:p>
            <w:pPr>
              <w:ind w:left="200"/>
              <w:spacing w:after="0"/>
              <w:rPr>
                <w:sz w:val="20"/>
                <w:szCs w:val="20"/>
                <w:color w:val="auto"/>
              </w:rPr>
            </w:pPr>
            <w:r>
              <w:rPr>
                <w:rFonts w:ascii="Arial" w:cs="Arial" w:eastAsia="Arial" w:hAnsi="Arial"/>
                <w:sz w:val="18"/>
                <w:szCs w:val="18"/>
                <w:color w:val="auto"/>
              </w:rPr>
              <w:t>—  Inline Taxonomy Extension Definition Linkbase Document</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9620" w:type="dxa"/>
            <w:vAlign w:val="bottom"/>
            <w:gridSpan w:val="8"/>
          </w:tcPr>
          <w:p>
            <w:pPr>
              <w:ind w:left="20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9620" w:type="dxa"/>
            <w:vAlign w:val="bottom"/>
            <w:gridSpan w:val="8"/>
          </w:tcPr>
          <w:p>
            <w:pPr>
              <w:ind w:left="20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9620" w:type="dxa"/>
            <w:vAlign w:val="bottom"/>
            <w:gridSpan w:val="8"/>
          </w:tcPr>
          <w:p>
            <w:pPr>
              <w:ind w:left="200"/>
              <w:spacing w:after="0"/>
              <w:rPr>
                <w:sz w:val="20"/>
                <w:szCs w:val="20"/>
                <w:color w:val="auto"/>
              </w:rPr>
            </w:pPr>
            <w:r>
              <w:rPr>
                <w:rFonts w:ascii="Arial" w:cs="Arial" w:eastAsia="Arial" w:hAnsi="Arial"/>
                <w:sz w:val="18"/>
                <w:szCs w:val="18"/>
                <w:color w:val="auto"/>
              </w:rPr>
              <w:t>—  Cover Page Interactive Data File (formatted as Inline XBRL and contained in Exhibit 101)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40" w:hanging="41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440" w:hanging="41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3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3" w:name="page34"/>
    <w:bookmarkEnd w:id="33"/>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CIVEO CORPORATION</w:t>
      </w:r>
    </w:p>
    <w:p>
      <w:pPr>
        <w:spacing w:after="0" w:line="356"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8"/>
          <w:szCs w:val="18"/>
          <w:u w:val="single" w:color="auto"/>
          <w:color w:val="auto"/>
        </w:rPr>
        <w:t>Date: April 30, 2021</w:t>
      </w:r>
      <w:r>
        <w:rPr>
          <w:sz w:val="20"/>
          <w:szCs w:val="20"/>
          <w:color w:val="auto"/>
        </w:rPr>
        <w:tab/>
      </w:r>
      <w:r>
        <w:rPr>
          <w:rFonts w:ascii="Arial" w:cs="Arial" w:eastAsia="Arial" w:hAnsi="Arial"/>
          <w:sz w:val="16"/>
          <w:szCs w:val="16"/>
          <w:b w:val="1"/>
          <w:bCs w:val="1"/>
          <w:color w:val="auto"/>
        </w:rPr>
        <w:t>By /s/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3653155</wp:posOffset>
            </wp:positionH>
            <wp:positionV relativeFrom="paragraph">
              <wp:posOffset>-7620</wp:posOffset>
            </wp:positionV>
            <wp:extent cx="16929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9291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Carolyn J. Stone</w:t>
      </w:r>
    </w:p>
    <w:p>
      <w:pPr>
        <w:spacing w:after="0" w:line="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Senior Vice President, Chief Financial Officer and Treasurer (Duly</w:t>
      </w:r>
    </w:p>
    <w:p>
      <w:pPr>
        <w:ind w:left="5460"/>
        <w:spacing w:after="0"/>
        <w:rPr>
          <w:sz w:val="20"/>
          <w:szCs w:val="20"/>
          <w:color w:val="auto"/>
        </w:rPr>
      </w:pPr>
      <w:r>
        <w:rPr>
          <w:rFonts w:ascii="Arial" w:cs="Arial" w:eastAsia="Arial" w:hAnsi="Arial"/>
          <w:sz w:val="18"/>
          <w:szCs w:val="18"/>
          <w:b w:val="1"/>
          <w:bCs w:val="1"/>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Bradley J. Dodson, certify that:</w:t>
      </w:r>
    </w:p>
    <w:p>
      <w:pPr>
        <w:spacing w:after="0" w:line="360" w:lineRule="exact"/>
        <w:rPr>
          <w:sz w:val="20"/>
          <w:szCs w:val="20"/>
          <w:color w:val="auto"/>
        </w:rPr>
      </w:pPr>
    </w:p>
    <w:p>
      <w:pPr>
        <w:ind w:left="360" w:hanging="334"/>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63" w:lineRule="exact"/>
        <w:rPr>
          <w:sz w:val="20"/>
          <w:szCs w:val="20"/>
          <w:color w:val="auto"/>
        </w:rPr>
      </w:pPr>
    </w:p>
    <w:p>
      <w:pPr>
        <w:jc w:val="both"/>
        <w:ind w:left="360" w:right="2040" w:hanging="334"/>
        <w:spacing w:after="0" w:line="224"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sz w:val="20"/>
          <w:szCs w:val="20"/>
          <w:color w:val="auto"/>
        </w:rPr>
      </w:pPr>
    </w:p>
    <w:p>
      <w:pPr>
        <w:jc w:val="both"/>
        <w:ind w:left="360" w:right="2020" w:hanging="334"/>
        <w:spacing w:after="0" w:line="224"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sz w:val="20"/>
          <w:szCs w:val="20"/>
          <w:color w:val="auto"/>
        </w:rPr>
      </w:pPr>
    </w:p>
    <w:p>
      <w:pPr>
        <w:jc w:val="both"/>
        <w:ind w:left="360" w:right="2040" w:hanging="334"/>
        <w:spacing w:after="0" w:line="224"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ind w:left="720" w:right="2040" w:hanging="378"/>
        <w:spacing w:after="0" w:line="219"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720" w:right="2040" w:hanging="378"/>
        <w:spacing w:after="0" w:line="219"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720" w:right="2040" w:hanging="378"/>
        <w:spacing w:after="0" w:line="224" w:lineRule="auto"/>
        <w:rPr>
          <w:rFonts w:ascii="Arial" w:cs="Arial" w:eastAsia="Arial" w:hAnsi="Arial"/>
          <w:sz w:val="18"/>
          <w:szCs w:val="18"/>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sz w:val="20"/>
          <w:szCs w:val="20"/>
          <w:color w:val="auto"/>
        </w:rPr>
      </w:pPr>
    </w:p>
    <w:p>
      <w:pPr>
        <w:jc w:val="both"/>
        <w:ind w:left="720" w:right="2040" w:hanging="370"/>
        <w:spacing w:after="0" w:line="219"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sz w:val="20"/>
          <w:szCs w:val="20"/>
          <w:color w:val="auto"/>
        </w:rPr>
      </w:pPr>
    </w:p>
    <w:p>
      <w:pPr>
        <w:jc w:val="both"/>
        <w:ind w:left="360" w:right="2040" w:hanging="334"/>
        <w:spacing w:after="0" w:line="224"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720" w:right="2040" w:hanging="378"/>
        <w:spacing w:after="0" w:line="224" w:lineRule="auto"/>
        <w:rPr>
          <w:rFonts w:ascii="Arial" w:cs="Arial" w:eastAsia="Arial" w:hAnsi="Arial"/>
          <w:sz w:val="18"/>
          <w:szCs w:val="18"/>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8"/>
          <w:szCs w:val="18"/>
          <w:color w:val="auto"/>
        </w:rPr>
      </w:pPr>
    </w:p>
    <w:p>
      <w:pPr>
        <w:ind w:left="720" w:right="2040" w:hanging="378"/>
        <w:spacing w:after="0" w:line="235"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pacing w:after="0" w:line="144"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14605</wp:posOffset>
            </wp:positionV>
            <wp:extent cx="28803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Bradley J. Dodson</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Carolyn J. Stone, certify that:</w:t>
      </w:r>
    </w:p>
    <w:p>
      <w:pPr>
        <w:spacing w:after="0" w:line="360" w:lineRule="exact"/>
        <w:rPr>
          <w:sz w:val="20"/>
          <w:szCs w:val="20"/>
          <w:color w:val="auto"/>
        </w:rPr>
      </w:pPr>
    </w:p>
    <w:p>
      <w:pPr>
        <w:ind w:left="340" w:hanging="31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63" w:lineRule="exact"/>
        <w:rPr>
          <w:sz w:val="20"/>
          <w:szCs w:val="20"/>
          <w:color w:val="auto"/>
        </w:rPr>
      </w:pPr>
    </w:p>
    <w:p>
      <w:pPr>
        <w:jc w:val="both"/>
        <w:ind w:left="340" w:right="2120" w:hanging="314"/>
        <w:spacing w:after="0" w:line="22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sz w:val="20"/>
          <w:szCs w:val="20"/>
          <w:color w:val="auto"/>
        </w:rPr>
      </w:pPr>
    </w:p>
    <w:p>
      <w:pPr>
        <w:jc w:val="both"/>
        <w:ind w:left="340" w:right="2120" w:hanging="314"/>
        <w:spacing w:after="0" w:line="22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sz w:val="20"/>
          <w:szCs w:val="20"/>
          <w:color w:val="auto"/>
        </w:rPr>
      </w:pPr>
    </w:p>
    <w:p>
      <w:pPr>
        <w:jc w:val="both"/>
        <w:ind w:left="340" w:right="2120" w:hanging="314"/>
        <w:spacing w:after="0" w:line="237"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ind w:left="740" w:right="2120" w:hanging="405"/>
        <w:spacing w:after="0" w:line="219" w:lineRule="auto"/>
        <w:rPr>
          <w:rFonts w:ascii="Arial" w:cs="Arial" w:eastAsia="Arial" w:hAnsi="Arial"/>
          <w:sz w:val="17"/>
          <w:szCs w:val="17"/>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7"/>
          <w:szCs w:val="17"/>
          <w:color w:val="auto"/>
        </w:rPr>
      </w:pPr>
    </w:p>
    <w:p>
      <w:pPr>
        <w:ind w:left="740" w:right="2140" w:hanging="405"/>
        <w:spacing w:after="0" w:line="219" w:lineRule="auto"/>
        <w:rPr>
          <w:rFonts w:ascii="Arial" w:cs="Arial" w:eastAsia="Arial" w:hAnsi="Arial"/>
          <w:sz w:val="17"/>
          <w:szCs w:val="17"/>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7"/>
          <w:szCs w:val="17"/>
          <w:color w:val="auto"/>
        </w:rPr>
      </w:pPr>
    </w:p>
    <w:p>
      <w:pPr>
        <w:ind w:left="740" w:right="2120" w:hanging="405"/>
        <w:spacing w:after="0" w:line="224" w:lineRule="auto"/>
        <w:rPr>
          <w:rFonts w:ascii="Arial" w:cs="Arial" w:eastAsia="Arial" w:hAnsi="Arial"/>
          <w:sz w:val="17"/>
          <w:szCs w:val="17"/>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7"/>
          <w:szCs w:val="17"/>
          <w:color w:val="auto"/>
        </w:rPr>
      </w:pPr>
    </w:p>
    <w:p>
      <w:pPr>
        <w:ind w:left="740" w:right="2140" w:hanging="405"/>
        <w:spacing w:after="0" w:line="219" w:lineRule="auto"/>
        <w:rPr>
          <w:rFonts w:ascii="Arial" w:cs="Arial" w:eastAsia="Arial" w:hAnsi="Arial"/>
          <w:sz w:val="17"/>
          <w:szCs w:val="17"/>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sz w:val="20"/>
          <w:szCs w:val="20"/>
          <w:color w:val="auto"/>
        </w:rPr>
      </w:pPr>
    </w:p>
    <w:p>
      <w:pPr>
        <w:jc w:val="both"/>
        <w:ind w:left="340" w:right="2120" w:hanging="314"/>
        <w:spacing w:after="0" w:line="22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740" w:right="2120" w:hanging="405"/>
        <w:spacing w:after="0" w:line="224" w:lineRule="auto"/>
        <w:rPr>
          <w:rFonts w:ascii="Arial" w:cs="Arial" w:eastAsia="Arial" w:hAnsi="Arial"/>
          <w:sz w:val="18"/>
          <w:szCs w:val="18"/>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8"/>
          <w:szCs w:val="18"/>
          <w:color w:val="auto"/>
        </w:rPr>
      </w:pPr>
    </w:p>
    <w:p>
      <w:pPr>
        <w:ind w:left="740" w:right="2120" w:hanging="405"/>
        <w:spacing w:after="0" w:line="235"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pacing w:after="0" w:line="36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14605</wp:posOffset>
            </wp:positionV>
            <wp:extent cx="28803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Carolyn J. Stone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Senior Vice President, Chief Financial Officer and Treasurer</w:t>
      </w:r>
    </w:p>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March 31, 2021,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322"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Report fully complies with the requirements of Section 13(a) or 15(d) of the Securities Exchange Act of 1934; and</w:t>
      </w:r>
    </w:p>
    <w:p>
      <w:pPr>
        <w:spacing w:after="0" w:line="63" w:lineRule="exact"/>
        <w:rPr>
          <w:sz w:val="20"/>
          <w:szCs w:val="20"/>
          <w:color w:val="auto"/>
        </w:rPr>
      </w:pPr>
    </w:p>
    <w:p>
      <w:pPr>
        <w:ind w:left="280" w:right="2040" w:hanging="254"/>
        <w:spacing w:after="0" w:line="235"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tbl>
      <w:tblPr>
        <w:tblLayout w:type="fixed"/>
        <w:tblInd w:w="5900" w:type="dxa"/>
        <w:tblCellMar>
          <w:top w:w="0" w:type="dxa"/>
          <w:left w:w="0" w:type="dxa"/>
          <w:bottom w:w="0" w:type="dxa"/>
          <w:right w:w="0" w:type="dxa"/>
        </w:tblCellMar>
      </w:tblPr>
      <w:tr>
        <w:trPr>
          <w:trHeight w:val="222"/>
        </w:trPr>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4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Bradley J. Dodson</w:t>
            </w:r>
          </w:p>
        </w:tc>
      </w:tr>
      <w:tr>
        <w:trPr>
          <w:trHeight w:val="230"/>
        </w:trPr>
        <w:tc>
          <w:tcPr>
            <w:tcW w:w="620" w:type="dxa"/>
            <w:vAlign w:val="bottom"/>
          </w:tcPr>
          <w:p>
            <w:pPr>
              <w:ind w:left="20"/>
              <w:spacing w:after="0"/>
              <w:rPr>
                <w:sz w:val="20"/>
                <w:szCs w:val="20"/>
                <w:color w:val="auto"/>
              </w:rPr>
            </w:pPr>
            <w:r>
              <w:rPr>
                <w:rFonts w:ascii="Arial" w:cs="Arial" w:eastAsia="Arial" w:hAnsi="Arial"/>
                <w:sz w:val="18"/>
                <w:szCs w:val="18"/>
                <w:color w:val="auto"/>
              </w:rPr>
              <w:t>Date:</w:t>
            </w:r>
          </w:p>
        </w:tc>
        <w:tc>
          <w:tcPr>
            <w:tcW w:w="3440" w:type="dxa"/>
            <w:vAlign w:val="bottom"/>
          </w:tcPr>
          <w:p>
            <w:pPr>
              <w:ind w:left="120"/>
              <w:spacing w:after="0"/>
              <w:rPr>
                <w:sz w:val="20"/>
                <w:szCs w:val="20"/>
                <w:color w:val="auto"/>
              </w:rPr>
            </w:pPr>
            <w:r>
              <w:rPr>
                <w:rFonts w:ascii="Arial" w:cs="Arial" w:eastAsia="Arial" w:hAnsi="Arial"/>
                <w:sz w:val="18"/>
                <w:szCs w:val="18"/>
                <w:color w:val="auto"/>
              </w:rPr>
              <w:t>April 30, 2021</w:t>
            </w:r>
          </w:p>
        </w:tc>
      </w:tr>
    </w:tbl>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March 31, 2021,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spacing w:after="0" w:line="322"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Report fully complies with the requirements of Section 13(a) or 15(d) of the Securities Exchange Act of 1934; and</w:t>
      </w:r>
    </w:p>
    <w:p>
      <w:pPr>
        <w:spacing w:after="0" w:line="63" w:lineRule="exact"/>
        <w:rPr>
          <w:sz w:val="20"/>
          <w:szCs w:val="20"/>
          <w:color w:val="auto"/>
        </w:rPr>
      </w:pPr>
    </w:p>
    <w:p>
      <w:pPr>
        <w:ind w:left="280" w:right="2040" w:hanging="254"/>
        <w:spacing w:after="0" w:line="235"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Carolyn J. Stone</w:t>
      </w:r>
    </w:p>
    <w:p>
      <w:pPr>
        <w:spacing w:after="0" w:line="23" w:lineRule="exact"/>
        <w:rPr>
          <w:sz w:val="20"/>
          <w:szCs w:val="20"/>
          <w:color w:val="auto"/>
        </w:rPr>
      </w:pPr>
    </w:p>
    <w:tbl>
      <w:tblPr>
        <w:tblLayout w:type="fixed"/>
        <w:tblInd w:w="5760" w:type="dxa"/>
        <w:tblCellMar>
          <w:top w:w="0" w:type="dxa"/>
          <w:left w:w="0" w:type="dxa"/>
          <w:bottom w:w="0" w:type="dxa"/>
          <w:right w:w="0" w:type="dxa"/>
        </w:tblCellMar>
      </w:tblPr>
      <w:tr>
        <w:trPr>
          <w:trHeight w:val="222"/>
        </w:trPr>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Carolyn J. Stone</w:t>
            </w:r>
          </w:p>
        </w:tc>
      </w:tr>
      <w:tr>
        <w:trPr>
          <w:trHeight w:val="230"/>
        </w:trPr>
        <w:tc>
          <w:tcPr>
            <w:tcW w:w="700" w:type="dxa"/>
            <w:vAlign w:val="bottom"/>
          </w:tcPr>
          <w:p>
            <w:pPr>
              <w:ind w:left="20"/>
              <w:spacing w:after="0"/>
              <w:rPr>
                <w:sz w:val="20"/>
                <w:szCs w:val="20"/>
                <w:color w:val="auto"/>
              </w:rPr>
            </w:pPr>
            <w:r>
              <w:rPr>
                <w:rFonts w:ascii="Arial" w:cs="Arial" w:eastAsia="Arial" w:hAnsi="Arial"/>
                <w:sz w:val="18"/>
                <w:szCs w:val="18"/>
                <w:color w:val="auto"/>
              </w:rPr>
              <w:t>Date:</w:t>
            </w:r>
          </w:p>
        </w:tc>
        <w:tc>
          <w:tcPr>
            <w:tcW w:w="3480" w:type="dxa"/>
            <w:vAlign w:val="bottom"/>
          </w:tcPr>
          <w:p>
            <w:pPr>
              <w:ind w:left="220"/>
              <w:spacing w:after="0"/>
              <w:rPr>
                <w:sz w:val="20"/>
                <w:szCs w:val="20"/>
                <w:color w:val="auto"/>
              </w:rPr>
            </w:pPr>
            <w:r>
              <w:rPr>
                <w:rFonts w:ascii="Arial" w:cs="Arial" w:eastAsia="Arial" w:hAnsi="Arial"/>
                <w:sz w:val="18"/>
                <w:szCs w:val="18"/>
                <w:color w:val="auto"/>
              </w:rPr>
              <w:t>April 30,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1."/>
      <w:numFmt w:val="decimal"/>
      <w:start w:val="3"/>
    </w:lvl>
  </w:abstractNum>
  <w:abstractNum w:abstractNumId="8">
    <w:nsid w:val="6763845E"/>
    <w:multiLevelType w:val="hybridMultilevel"/>
    <w:lvl w:ilvl="0">
      <w:lvlJc w:val="left"/>
      <w:lvlText w:val="%1."/>
      <w:numFmt w:val="decimal"/>
      <w:start w:val="4"/>
    </w:lvl>
  </w:abstractNum>
  <w:abstractNum w:abstractNumId="9">
    <w:nsid w:val="75A2A8D4"/>
    <w:multiLevelType w:val="hybridMultilevel"/>
    <w:lvl w:ilvl="0">
      <w:lvlJc w:val="left"/>
      <w:lvlText w:val="%1."/>
      <w:numFmt w:val="decimal"/>
      <w:start w:val="5"/>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6"/>
    </w:lvl>
  </w:abstractNum>
  <w:abstractNum w:abstractNumId="12">
    <w:nsid w:val="4353D0CD"/>
    <w:multiLevelType w:val="hybridMultilevel"/>
    <w:lvl w:ilvl="0">
      <w:lvlJc w:val="left"/>
      <w:lvlText w:val="%1."/>
      <w:numFmt w:val="decimal"/>
      <w:start w:val="7"/>
    </w:lvl>
  </w:abstractNum>
  <w:abstractNum w:abstractNumId="13">
    <w:nsid w:val="B03E0C6"/>
    <w:multiLevelType w:val="hybridMultilevel"/>
    <w:lvl w:ilvl="0">
      <w:lvlJc w:val="left"/>
      <w:lvlText w:val="%1."/>
      <w:numFmt w:val="decimal"/>
      <w:start w:val="8"/>
    </w:lvl>
  </w:abstractNum>
  <w:abstractNum w:abstractNumId="14">
    <w:nsid w:val="189A769B"/>
    <w:multiLevelType w:val="hybridMultilevel"/>
    <w:lvl w:ilvl="0">
      <w:lvlJc w:val="left"/>
      <w:lvlText w:val="%1."/>
      <w:numFmt w:val="decimal"/>
      <w:start w:val="9"/>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lowerRoman"/>
      <w:start w:val="2"/>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bullet"/>
      <w:start w:val="1"/>
    </w:lvl>
  </w:abstractNum>
  <w:abstractNum w:abstractNumId="26">
    <w:nsid w:val="22221A70"/>
    <w:multiLevelType w:val="hybridMultilevel"/>
    <w:lvl w:ilvl="0">
      <w:lvlJc w:val="left"/>
      <w:lvlText w:val="2"/>
      <w:numFmt w:val="bullet"/>
      <w:start w:val="1"/>
    </w:lvl>
  </w:abstractNum>
  <w:abstractNum w:abstractNumId="27">
    <w:nsid w:val="4516DDE9"/>
    <w:multiLevelType w:val="hybridMultilevel"/>
    <w:lvl w:ilvl="0">
      <w:lvlJc w:val="left"/>
      <w:lvlText w:val="3"/>
      <w:numFmt w:val="bullet"/>
      <w:start w:val="1"/>
    </w:lvl>
  </w:abstractNum>
  <w:abstractNum w:abstractNumId="28">
    <w:nsid w:val="3006C83E"/>
    <w:multiLevelType w:val="hybridMultilevel"/>
    <w:lvl w:ilvl="0">
      <w:lvlJc w:val="left"/>
      <w:lvlText w:val="4"/>
      <w:numFmt w:val="bullet"/>
      <w:start w:val="1"/>
    </w:lvl>
  </w:abstractNum>
  <w:abstractNum w:abstractNumId="29">
    <w:nsid w:val="614FD4A1"/>
    <w:multiLevelType w:val="hybridMultilevel"/>
    <w:lvl w:ilvl="0">
      <w:lvlJc w:val="left"/>
      <w:lvlText w:val="d"/>
      <w:numFmt w:val="bullet"/>
      <w:start w:val="1"/>
    </w:lvl>
  </w:abstractNum>
  <w:abstractNum w:abstractNumId="30">
    <w:nsid w:val="419AC241"/>
    <w:multiLevelType w:val="hybridMultilevel"/>
    <w:lvl w:ilvl="0">
      <w:lvlJc w:val="left"/>
      <w:lvlText w:val="5"/>
      <w:numFmt w:val="bullet"/>
      <w:start w:val="1"/>
    </w:lvl>
  </w:abstractNum>
  <w:abstractNum w:abstractNumId="31">
    <w:nsid w:val="5577F8E1"/>
    <w:multiLevelType w:val="hybridMultilevel"/>
    <w:lvl w:ilvl="0">
      <w:lvlJc w:val="left"/>
      <w:lvlText w:val="1"/>
      <w:numFmt w:val="bullet"/>
      <w:start w:val="1"/>
    </w:lvl>
  </w:abstractNum>
  <w:abstractNum w:abstractNumId="32">
    <w:nsid w:val="440BADFC"/>
    <w:multiLevelType w:val="hybridMultilevel"/>
    <w:lvl w:ilvl="0">
      <w:lvlJc w:val="left"/>
      <w:lvlText w:val="2"/>
      <w:numFmt w:val="bullet"/>
      <w:start w:val="1"/>
    </w:lvl>
  </w:abstractNum>
  <w:abstractNum w:abstractNumId="33">
    <w:nsid w:val="5072367"/>
    <w:multiLevelType w:val="hybridMultilevel"/>
    <w:lvl w:ilvl="0">
      <w:lvlJc w:val="left"/>
      <w:lvlText w:val="3"/>
      <w:numFmt w:val="bullet"/>
      <w:start w:val="1"/>
    </w:lvl>
  </w:abstractNum>
  <w:abstractNum w:abstractNumId="34">
    <w:nsid w:val="3804823E"/>
    <w:multiLevelType w:val="hybridMultilevel"/>
    <w:lvl w:ilvl="0">
      <w:lvlJc w:val="left"/>
      <w:lvlText w:val="4"/>
      <w:numFmt w:val="bullet"/>
      <w:start w:val="1"/>
    </w:lvl>
  </w:abstractNum>
  <w:abstractNum w:abstractNumId="35">
    <w:nsid w:val="77465F01"/>
    <w:multiLevelType w:val="hybridMultilevel"/>
    <w:lvl w:ilvl="0">
      <w:lvlJc w:val="left"/>
      <w:lvlText w:val="5"/>
      <w:numFmt w:val="bullet"/>
      <w:start w:val="1"/>
    </w:lvl>
  </w:abstractNum>
  <w:abstractNum w:abstractNumId="36">
    <w:nsid w:val="7724C67E"/>
    <w:multiLevelType w:val="hybridMultilevel"/>
    <w:lvl w:ilvl="0">
      <w:lvlJc w:val="left"/>
      <w:lvlText w:val="2"/>
      <w:numFmt w:val="bullet"/>
      <w:start w:val="1"/>
    </w:lvl>
  </w:abstractNum>
  <w:abstractNum w:abstractNumId="37">
    <w:nsid w:val="5C482A9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2021-04-30T13:51:00Z</dcterms:created>
  <dcterms:modified xsi:type="dcterms:W3CDTF">2021-04-30T13:51:00Z</dcterms:modified>
</cp:coreProperties>
</file>