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3"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February 17, 2017</w:t>
      </w:r>
    </w:p>
    <w:p>
      <w:pPr>
        <w:spacing w:after="0" w:line="24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CIVEO CORPORATION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ectPr>
          <w:pgSz w:w="11900" w:h="16838" w:orient="portrait"/>
          <w:cols w:equalWidth="0" w:num="1">
            <w:col w:w="11300"/>
          </w:cols>
          <w:pgMar w:left="240" w:top="639" w:right="359" w:bottom="1440" w:gutter="0" w:footer="0" w:header="0"/>
        </w:sectPr>
      </w:pPr>
    </w:p>
    <w:p>
      <w:pPr>
        <w:spacing w:after="0" w:line="225" w:lineRule="exact"/>
        <w:rPr>
          <w:sz w:val="24"/>
          <w:szCs w:val="24"/>
          <w:color w:val="auto"/>
        </w:rPr>
      </w:pPr>
    </w:p>
    <w:p>
      <w:pPr>
        <w:ind w:left="940"/>
        <w:spacing w:after="0"/>
        <w:rPr>
          <w:sz w:val="20"/>
          <w:szCs w:val="20"/>
          <w:color w:val="auto"/>
        </w:rPr>
      </w:pPr>
      <w:r>
        <w:rPr>
          <w:rFonts w:ascii="Arial" w:cs="Arial" w:eastAsia="Arial" w:hAnsi="Arial"/>
          <w:sz w:val="16"/>
          <w:szCs w:val="16"/>
          <w:b w:val="1"/>
          <w:bCs w:val="1"/>
          <w:color w:val="auto"/>
        </w:rPr>
        <w:t>British Columbia, Canada</w:t>
      </w:r>
    </w:p>
    <w:p>
      <w:pPr>
        <w:spacing w:after="0" w:line="50"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60" w:space="720"/>
            <w:col w:w="3380" w:space="720"/>
            <w:col w:w="2520"/>
          </w:cols>
          <w:pgMar w:left="240" w:top="639" w:right="359" w:bottom="1440" w:gutter="0" w:footer="0" w:header="0"/>
          <w:type w:val="continuous"/>
        </w:sectPr>
      </w:pP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3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ectPr>
          <w:pgSz w:w="11900" w:h="16838" w:orient="portrait"/>
          <w:cols w:equalWidth="0" w:num="1">
            <w:col w:w="11300"/>
          </w:cols>
          <w:pgMar w:left="240" w:top="639" w:right="359" w:bottom="1440" w:gutter="0" w:footer="0" w:header="0"/>
          <w:type w:val="continuous"/>
        </w:sectPr>
      </w:pP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39"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February 17, 2017, Civeo Corporation (the “Company”) entered into a Third Amendment (the “Third Amendment”) to its Syndicated Facility Agreement, dated as of May 28, 2014 (as amended by the First Amendment, dated May 13, 2015 (the “First Amendment”), the Second Amendment, dated February 18, 2016, and the Third Amendment, and as the same may be further amended from time to time, the “Syndicated Facility Agreement”), among the Company and certain subsidiaries of the Company, as borrowers, the guarantors party thereto, the lenders named therein, Royal Bank of Canada, as Administrative Agent, and the other agents party thereto. Pursuant to the Third Amendment, the Syndicated Facility Agreement has been amended to, among other things:</w:t>
      </w:r>
    </w:p>
    <w:p>
      <w:pPr>
        <w:spacing w:after="0" w:line="193"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 the aggregate revolving loan commitments for (i) the U.S. revolving credit facility from a maximum principal amount of</w:t>
      </w:r>
    </w:p>
    <w:p>
      <w:pPr>
        <w:spacing w:after="0" w:line="23" w:lineRule="exact"/>
        <w:rPr>
          <w:rFonts w:ascii="Arial" w:cs="Arial" w:eastAsia="Arial" w:hAnsi="Arial"/>
          <w:sz w:val="18"/>
          <w:szCs w:val="18"/>
          <w:color w:val="auto"/>
        </w:rPr>
      </w:pPr>
    </w:p>
    <w:p>
      <w:pPr>
        <w:ind w:left="1300" w:right="80"/>
        <w:spacing w:after="0" w:line="252" w:lineRule="auto"/>
        <w:rPr>
          <w:rFonts w:ascii="Arial" w:cs="Arial" w:eastAsia="Arial" w:hAnsi="Arial"/>
          <w:sz w:val="18"/>
          <w:szCs w:val="18"/>
          <w:color w:val="auto"/>
        </w:rPr>
      </w:pPr>
      <w:r>
        <w:rPr>
          <w:rFonts w:ascii="Arial" w:cs="Arial" w:eastAsia="Arial" w:hAnsi="Arial"/>
          <w:sz w:val="18"/>
          <w:szCs w:val="18"/>
          <w:color w:val="auto"/>
        </w:rPr>
        <w:t>US$50,000,000 to a maximum principal amount of US$40,000,000; (ii) the Australian revolving credit facility from a maximum principal amount of US$100,000,000 to a maximum principal amount of US$85,000,000, (iii) the original Canadian revolving credit facility under the Syndicated Facility Agreement (known as the “Canadian Tranche A Revolving Credit Facility”) from a maximum principal amount of US$100,000,000 to a maximum principal amount of US$90,000,000, and (iv) the Canadian revolving facility, which was incurred in connection with the First Amendment (known as the “Canadian Tranche B Revolving Credit Facility”), from a maximum principal amount of US$100,000,000 to a maximum principal amount of US$60,000,000;</w:t>
      </w:r>
    </w:p>
    <w:p>
      <w:pPr>
        <w:spacing w:after="0" w:line="194"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one additional level to the total leverage-based grid, such that interest rates for the loans range from LIBOR +2.25% to LIBOR +5.50% and the undrawn commitment fees range from 0.51% to 1.24% based on total leverage;</w:t>
      </w:r>
    </w:p>
    <w:p>
      <w:pPr>
        <w:spacing w:after="0" w:line="170" w:lineRule="exact"/>
        <w:rPr>
          <w:rFonts w:ascii="Arial" w:cs="Arial" w:eastAsia="Arial" w:hAnsi="Arial"/>
          <w:sz w:val="18"/>
          <w:szCs w:val="18"/>
          <w:color w:val="auto"/>
        </w:rPr>
      </w:pPr>
    </w:p>
    <w:p>
      <w:pPr>
        <w:ind w:left="1300" w:right="140" w:hanging="320"/>
        <w:spacing w:after="0" w:line="279"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certain changes to the maximum leverage ratio financial covenant, including an increase in the permitted level of the total leverage ratio to a range of 5.25x to 5.85x (as specified in the Third Amendment) for each fiscal quarter beginning with the fiscal quarter ending September 30, 2017, when the maximum leverage ratio increases to 5.85x, before a decrease to 5.50x for the fourth fiscal quarter of 2018, with a further decrease to 5.25x for the first fiscal quarter of 2019 and each fiscal quarter thereafter;</w:t>
      </w:r>
    </w:p>
    <w:p>
      <w:pPr>
        <w:spacing w:after="0" w:line="171" w:lineRule="exact"/>
        <w:rPr>
          <w:rFonts w:ascii="Arial" w:cs="Arial" w:eastAsia="Arial" w:hAnsi="Arial"/>
          <w:sz w:val="17"/>
          <w:szCs w:val="17"/>
          <w:color w:val="auto"/>
        </w:rPr>
      </w:pPr>
    </w:p>
    <w:p>
      <w:pPr>
        <w:ind w:left="1300" w:right="5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an adjustment under the definition of EBITDA for certain identifiable cost synergies for the pro-forma calculations related to acquisitions;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the limitations on certain restricted payments under the Syndicated Facility Agreement to January 2018;</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permit investments by the Company and its subsidiaries into any non-wholly owned subsidiary, subject to certain customary conditions; and</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Syndicated Facility Agreement.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description of the Third Amendment set forth herein is summary in nature and is qualified in its entirety by reference to the full text of the Third Amendment, a copy of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0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w w:val="92"/>
              </w:rPr>
              <w:t>Third Amendment to Syndicated Facility Agreement, dated as of February 17, 2017, by and among Civeo Corporation, Civeo U.S. Holdings</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w w:val="98"/>
              </w:rPr>
              <w:t>LLC, Civeo Management LLC, Civeo Canada Inc., Civeo Premium Camp Services Ltd., and Civeo PTY Limited, as Borrowers, the</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w w:val="93"/>
              </w:rPr>
              <w:t>Guarantors and Lenders named therein, Royal Bank of Canada, as Administrative Agent, U.S. Collateral Agent, Canadian Administrative</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w w:val="93"/>
              </w:rPr>
              <w:t>Agent, Canadian Collateral Agent and an Issuing Bank and RBC Europe Limited, as Australian Administrative Agent, Australian Collateral</w:t>
            </w: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rPr>
              <w:t>Agent and an Issuing Bank.</w:t>
            </w:r>
          </w:p>
        </w:tc>
      </w:tr>
      <w:tr>
        <w:trPr>
          <w:trHeight w:val="780"/>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61"/>
        </w:trPr>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9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tbl>
      <w:tblPr>
        <w:tblLayout w:type="fixed"/>
        <w:tblInd w:w="64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Frank C. Steininger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30"/>
        </w:trPr>
        <w:tc>
          <w:tcPr>
            <w:tcW w:w="7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Third Amendment to Syndicated Facility Agreement, dated as of February 17, 2017, by and among Civeo Corporation, Civeo U.S. Holdings</w:t>
            </w: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7"/>
              </w:rPr>
              <w:t>LLC, Civeo Management LLC, Civeo Canada Inc., Civeo Premium Camp Services Ltd., and Civeo PTY Limited, as Borrowers, the</w:t>
            </w: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Guarantors and Lenders named therein, Royal Bank of Canada, as Administrative Agent, U.S. Collateral Agent, Canadian Administrative</w:t>
            </w: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Agent, Canadian Collateral Agent and an Issuing Bank and RBC Europe Limited, as Australian Administrative Agent, Australian Collateral</w:t>
            </w:r>
          </w:p>
        </w:tc>
      </w:tr>
      <w:tr>
        <w:trPr>
          <w:trHeight w:val="230"/>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Agent and an Issuing Bank.</w:t>
            </w:r>
          </w:p>
        </w:tc>
      </w:tr>
    </w:tbl>
    <w:p>
      <w:pPr>
        <w:sectPr>
          <w:pgSz w:w="11900" w:h="16838" w:orient="portrait"/>
          <w:cols w:equalWidth="0" w:num="1">
            <w:col w:w="11280"/>
          </w:cols>
          <w:pgMar w:left="240" w:top="580"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U.S.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MANAGEMENT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314325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331470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THIRD AMENDMENT TO SYNDICATED FACILITY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THIRD AMENDMENT TO SYNDICATED FACILITY AGREEMENT (this “</w:t>
      </w:r>
      <w:r>
        <w:rPr>
          <w:rFonts w:ascii="Arial" w:cs="Arial" w:eastAsia="Arial" w:hAnsi="Arial"/>
          <w:sz w:val="17"/>
          <w:szCs w:val="17"/>
          <w:u w:val="single" w:color="auto"/>
          <w:color w:val="auto"/>
        </w:rPr>
        <w:t>Third Amendment</w:t>
      </w:r>
      <w:r>
        <w:rPr>
          <w:rFonts w:ascii="Arial" w:cs="Arial" w:eastAsia="Arial" w:hAnsi="Arial"/>
          <w:sz w:val="17"/>
          <w:szCs w:val="17"/>
          <w:color w:val="auto"/>
        </w:rPr>
        <w:t>”), dated as of February 17, 2017, is among CIVEO CORPORATION, a corporation incorporated under the laws of the Province of British Columbia (the “</w:t>
      </w:r>
      <w:r>
        <w:rPr>
          <w:rFonts w:ascii="Arial" w:cs="Arial" w:eastAsia="Arial" w:hAnsi="Arial"/>
          <w:sz w:val="17"/>
          <w:szCs w:val="17"/>
          <w:u w:val="single" w:color="auto"/>
          <w:color w:val="auto"/>
        </w:rPr>
        <w:t>Parent Borrower</w:t>
      </w:r>
      <w:r>
        <w:rPr>
          <w:rFonts w:ascii="Arial" w:cs="Arial" w:eastAsia="Arial" w:hAnsi="Arial"/>
          <w:sz w:val="17"/>
          <w:szCs w:val="17"/>
          <w:color w:val="auto"/>
        </w:rPr>
        <w:t>”), CIVEO U.S. HOLDINGS LLC, a Delaware limited liability company (formerly Civeo USA Corp., a Delaware corporation) (the “</w:t>
      </w:r>
      <w:r>
        <w:rPr>
          <w:rFonts w:ascii="Arial" w:cs="Arial" w:eastAsia="Arial" w:hAnsi="Arial"/>
          <w:sz w:val="17"/>
          <w:szCs w:val="17"/>
          <w:u w:val="single" w:color="auto"/>
          <w:color w:val="auto"/>
        </w:rPr>
        <w:t>Original U.S. Borrower</w:t>
      </w:r>
      <w:r>
        <w:rPr>
          <w:rFonts w:ascii="Arial" w:cs="Arial" w:eastAsia="Arial" w:hAnsi="Arial"/>
          <w:sz w:val="17"/>
          <w:szCs w:val="17"/>
          <w:color w:val="auto"/>
        </w:rPr>
        <w:t>”), CIVEO MANAGEMENT LLC, a Delaware limited liability company (together with the Original U.S. Borrower, the “</w:t>
      </w:r>
      <w:r>
        <w:rPr>
          <w:rFonts w:ascii="Arial" w:cs="Arial" w:eastAsia="Arial" w:hAnsi="Arial"/>
          <w:sz w:val="17"/>
          <w:szCs w:val="17"/>
          <w:u w:val="single" w:color="auto"/>
          <w:color w:val="auto"/>
        </w:rPr>
        <w:t>U.S. Borrowers</w:t>
      </w:r>
      <w:r>
        <w:rPr>
          <w:rFonts w:ascii="Arial" w:cs="Arial" w:eastAsia="Arial" w:hAnsi="Arial"/>
          <w:sz w:val="17"/>
          <w:szCs w:val="17"/>
          <w:color w:val="auto"/>
        </w:rPr>
        <w:t>”), CIVEO CANADA INC., a corporation amalgamated under the laws of the Province of Alberta (the “</w:t>
      </w:r>
      <w:r>
        <w:rPr>
          <w:rFonts w:ascii="Arial" w:cs="Arial" w:eastAsia="Arial" w:hAnsi="Arial"/>
          <w:sz w:val="17"/>
          <w:szCs w:val="17"/>
          <w:u w:val="single" w:color="auto"/>
          <w:color w:val="auto"/>
        </w:rPr>
        <w:t>Canadian Parent</w:t>
      </w:r>
      <w:r>
        <w:rPr>
          <w:rFonts w:ascii="Arial" w:cs="Arial" w:eastAsia="Arial" w:hAnsi="Arial"/>
          <w:sz w:val="17"/>
          <w:szCs w:val="17"/>
          <w:color w:val="auto"/>
        </w:rPr>
        <w:t>”), CIVEO PREMIUM CAMP SERVICES LTD., a corporation amalgamated under the laws of the Province of Alberta (“</w:t>
      </w:r>
      <w:r>
        <w:rPr>
          <w:rFonts w:ascii="Arial" w:cs="Arial" w:eastAsia="Arial" w:hAnsi="Arial"/>
          <w:sz w:val="17"/>
          <w:szCs w:val="17"/>
          <w:u w:val="single" w:color="auto"/>
          <w:color w:val="auto"/>
        </w:rPr>
        <w:t>Civeo Premium</w:t>
      </w:r>
      <w:r>
        <w:rPr>
          <w:rFonts w:ascii="Arial" w:cs="Arial" w:eastAsia="Arial" w:hAnsi="Arial"/>
          <w:sz w:val="17"/>
          <w:szCs w:val="17"/>
          <w:color w:val="auto"/>
        </w:rPr>
        <w:t>” and, together with the Canadian Parent, the “</w:t>
      </w:r>
      <w:r>
        <w:rPr>
          <w:rFonts w:ascii="Arial" w:cs="Arial" w:eastAsia="Arial" w:hAnsi="Arial"/>
          <w:sz w:val="17"/>
          <w:szCs w:val="17"/>
          <w:u w:val="single" w:color="auto"/>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u w:val="single" w:color="auto"/>
          <w:color w:val="auto"/>
        </w:rPr>
        <w:t>Australian Borrower</w:t>
      </w:r>
      <w:r>
        <w:rPr>
          <w:rFonts w:ascii="Arial" w:cs="Arial" w:eastAsia="Arial" w:hAnsi="Arial"/>
          <w:sz w:val="17"/>
          <w:szCs w:val="17"/>
          <w:color w:val="auto"/>
        </w:rPr>
        <w:t>” and, together with the Parent Borrower, the U.S. Borrowers and the Canadian Borrowers, the “</w:t>
      </w:r>
      <w:r>
        <w:rPr>
          <w:rFonts w:ascii="Arial" w:cs="Arial" w:eastAsia="Arial" w:hAnsi="Arial"/>
          <w:sz w:val="17"/>
          <w:szCs w:val="17"/>
          <w:u w:val="single" w:color="auto"/>
          <w:color w:val="auto"/>
        </w:rPr>
        <w:t>Borrowers</w:t>
      </w:r>
      <w:r>
        <w:rPr>
          <w:rFonts w:ascii="Arial" w:cs="Arial" w:eastAsia="Arial" w:hAnsi="Arial"/>
          <w:sz w:val="17"/>
          <w:szCs w:val="17"/>
          <w:color w:val="auto"/>
        </w:rPr>
        <w:t>”), certain subsidiary guarantors of the Borrowers party hereto, the Lenders party hereto (the “</w:t>
      </w:r>
      <w:r>
        <w:rPr>
          <w:rFonts w:ascii="Arial" w:cs="Arial" w:eastAsia="Arial" w:hAnsi="Arial"/>
          <w:sz w:val="17"/>
          <w:szCs w:val="17"/>
          <w:u w:val="single" w:color="auto"/>
          <w:color w:val="auto"/>
        </w:rPr>
        <w:t>Lenders</w:t>
      </w:r>
      <w:r>
        <w:rPr>
          <w:rFonts w:ascii="Arial" w:cs="Arial" w:eastAsia="Arial" w:hAnsi="Arial"/>
          <w:sz w:val="17"/>
          <w:szCs w:val="17"/>
          <w:color w:val="auto"/>
        </w:rPr>
        <w:t>”), the Issuing Banks, the Swing Line Lenders, the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9" w:lineRule="exact"/>
        <w:rPr>
          <w:sz w:val="20"/>
          <w:szCs w:val="20"/>
          <w:color w:val="auto"/>
        </w:rPr>
      </w:pPr>
    </w:p>
    <w:p>
      <w:pPr>
        <w:jc w:val="both"/>
        <w:ind w:firstLine="656"/>
        <w:spacing w:after="0" w:line="259" w:lineRule="auto"/>
        <w:tabs>
          <w:tab w:leader="none" w:pos="10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Borrowers, the Agents and the Lenders are parties to that certain Syndicated Facility Agreement, dated as of May 28, 2014 (as amended by the First Amendment to Syndicated Facility Agreement dated as of May 13, 2015 and the Second Amendment to Syndicated Facility Agreement dated as of February 18, 2016,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as amended by this Third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pursuant to which the Lenders have made certain loans to and other extensions of credit on behalf of the Borrowers.</w:t>
      </w:r>
    </w:p>
    <w:p>
      <w:pPr>
        <w:spacing w:after="0" w:line="186" w:lineRule="exact"/>
        <w:rPr>
          <w:rFonts w:ascii="Arial" w:cs="Arial" w:eastAsia="Arial" w:hAnsi="Arial"/>
          <w:sz w:val="18"/>
          <w:szCs w:val="18"/>
          <w:color w:val="auto"/>
        </w:rPr>
      </w:pPr>
    </w:p>
    <w:p>
      <w:pPr>
        <w:ind w:left="1160" w:hanging="504"/>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Borrowers, the Agents, the Issuing Banks, the Swing Line Lenders and the Lenders desire to amend certain provisions of the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Each capitalized term used herein but not otherwise defined herein has the meaning given such term in the Amended Credit Agreement. Unless otherwise indicated, all article and section references in this Third Amendment refer to articles and sections of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660"/>
        <w:spacing w:after="0"/>
        <w:tabs>
          <w:tab w:leader="none" w:pos="18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b w:val="1"/>
          <w:b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Effective as of the Third Amendment Effective Date, the Credit Agreement is hereby amended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“Applicable Percentage” is amended in its entirety to read as follows:</w:t>
      </w:r>
    </w:p>
    <w:p>
      <w:pPr>
        <w:spacing w:after="0" w:line="225" w:lineRule="exact"/>
        <w:rPr>
          <w:sz w:val="20"/>
          <w:szCs w:val="20"/>
          <w:color w:val="auto"/>
        </w:rPr>
      </w:pPr>
    </w:p>
    <w:p>
      <w:pPr>
        <w:jc w:val="both"/>
        <w:ind w:left="660"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gridSpan w:val="3"/>
          </w:tcPr>
          <w:p>
            <w:pPr>
              <w:ind w:left="660"/>
              <w:spacing w:after="0"/>
              <w:rPr>
                <w:sz w:val="20"/>
                <w:szCs w:val="20"/>
                <w:color w:val="auto"/>
              </w:rPr>
            </w:pPr>
            <w:r>
              <w:rPr>
                <w:rFonts w:ascii="Arial" w:cs="Arial" w:eastAsia="Arial" w:hAnsi="Arial"/>
                <w:sz w:val="18"/>
                <w:szCs w:val="18"/>
                <w:color w:val="auto"/>
              </w:rPr>
              <w:t>Leverage Ratio</w:t>
            </w:r>
          </w:p>
        </w:tc>
        <w:tc>
          <w:tcPr>
            <w:tcW w:w="1980" w:type="dxa"/>
            <w:vAlign w:val="bottom"/>
          </w:tcPr>
          <w:p>
            <w:pPr>
              <w:jc w:val="center"/>
              <w:ind w:left="150"/>
              <w:spacing w:after="0"/>
              <w:rPr>
                <w:sz w:val="20"/>
                <w:szCs w:val="20"/>
                <w:color w:val="auto"/>
              </w:rPr>
            </w:pPr>
            <w:r>
              <w:rPr>
                <w:rFonts w:ascii="Arial" w:cs="Arial" w:eastAsia="Arial" w:hAnsi="Arial"/>
                <w:sz w:val="18"/>
                <w:szCs w:val="18"/>
                <w:color w:val="auto"/>
                <w:w w:val="93"/>
              </w:rPr>
              <w:t>Eurocurrency/BBSY</w:t>
            </w:r>
          </w:p>
        </w:tc>
        <w:tc>
          <w:tcPr>
            <w:tcW w:w="3260" w:type="dxa"/>
            <w:vAlign w:val="bottom"/>
          </w:tcPr>
          <w:p>
            <w:pPr>
              <w:jc w:val="center"/>
              <w:ind w:left="390"/>
              <w:spacing w:after="0"/>
              <w:rPr>
                <w:sz w:val="20"/>
                <w:szCs w:val="20"/>
                <w:color w:val="auto"/>
              </w:rPr>
            </w:pPr>
            <w:r>
              <w:rPr>
                <w:rFonts w:ascii="Arial" w:cs="Arial" w:eastAsia="Arial" w:hAnsi="Arial"/>
                <w:sz w:val="18"/>
                <w:szCs w:val="18"/>
                <w:color w:val="auto"/>
                <w:w w:val="91"/>
              </w:rPr>
              <w:t>ABR, Canadian</w:t>
            </w:r>
          </w:p>
        </w:tc>
        <w:tc>
          <w:tcPr>
            <w:tcW w:w="2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Commitment Fee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jc w:val="center"/>
              <w:ind w:left="150"/>
              <w:spacing w:after="0"/>
              <w:rPr>
                <w:sz w:val="20"/>
                <w:szCs w:val="20"/>
                <w:color w:val="auto"/>
              </w:rPr>
            </w:pPr>
            <w:r>
              <w:rPr>
                <w:rFonts w:ascii="Arial" w:cs="Arial" w:eastAsia="Arial" w:hAnsi="Arial"/>
                <w:sz w:val="18"/>
                <w:szCs w:val="18"/>
                <w:color w:val="auto"/>
                <w:w w:val="90"/>
              </w:rPr>
              <w:t>Rate/B/A Spread</w:t>
            </w:r>
          </w:p>
        </w:tc>
        <w:tc>
          <w:tcPr>
            <w:tcW w:w="3260" w:type="dxa"/>
            <w:vAlign w:val="bottom"/>
          </w:tcPr>
          <w:p>
            <w:pPr>
              <w:jc w:val="center"/>
              <w:ind w:left="370"/>
              <w:spacing w:after="0"/>
              <w:rPr>
                <w:sz w:val="20"/>
                <w:szCs w:val="20"/>
                <w:color w:val="auto"/>
              </w:rPr>
            </w:pPr>
            <w:r>
              <w:rPr>
                <w:rFonts w:ascii="Arial" w:cs="Arial" w:eastAsia="Arial" w:hAnsi="Arial"/>
                <w:sz w:val="18"/>
                <w:szCs w:val="18"/>
                <w:color w:val="auto"/>
                <w:w w:val="89"/>
              </w:rPr>
              <w:t>Prime Rate and U.S.</w:t>
            </w:r>
          </w:p>
        </w:tc>
        <w:tc>
          <w:tcPr>
            <w:tcW w:w="26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60" w:type="dxa"/>
            <w:vAlign w:val="bottom"/>
          </w:tcPr>
          <w:p>
            <w:pPr>
              <w:jc w:val="center"/>
              <w:ind w:left="370"/>
              <w:spacing w:after="0"/>
              <w:rPr>
                <w:sz w:val="20"/>
                <w:szCs w:val="20"/>
                <w:color w:val="auto"/>
              </w:rPr>
            </w:pPr>
            <w:r>
              <w:rPr>
                <w:rFonts w:ascii="Arial" w:cs="Arial" w:eastAsia="Arial" w:hAnsi="Arial"/>
                <w:sz w:val="18"/>
                <w:szCs w:val="18"/>
                <w:color w:val="auto"/>
                <w:w w:val="86"/>
              </w:rPr>
              <w:t>Base Rate Spread</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2.25%</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1.25%</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0.51%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than 2.00 to 1.00</w:t>
            </w:r>
          </w:p>
        </w:tc>
        <w:tc>
          <w:tcPr>
            <w:tcW w:w="19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2.50%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1.50%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0.56%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2.00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2.50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2.75%</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1.75%</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2.50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3.00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3.00%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2.00%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0.68%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3.00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3.50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3.50%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2.50%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0.79%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3.50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4.00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6</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4.00%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3.00%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4.00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4.50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7</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4.50%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3.50%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4.50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5.00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8</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5.00%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4.00%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5.00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 but less than 5.50 to 1.00</w:t>
            </w: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9</w:t>
            </w:r>
          </w:p>
        </w:tc>
        <w:tc>
          <w:tcPr>
            <w:tcW w:w="198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0"/>
              </w:rPr>
              <w:t>5.50%</w:t>
            </w:r>
          </w:p>
        </w:tc>
        <w:tc>
          <w:tcPr>
            <w:tcW w:w="326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93"/>
              </w:rPr>
              <w:t>4.50%</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Greater than or equal to 5.50 to</w:t>
            </w:r>
          </w:p>
        </w:tc>
        <w:tc>
          <w:tcPr>
            <w:tcW w:w="19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2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60" w:type="dxa"/>
            <w:vAlign w:val="bottom"/>
          </w:tcPr>
          <w:p>
            <w:pPr>
              <w:jc w:val="right"/>
              <w:ind w:right="297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80" w:right="179" w:bottom="1440" w:gutter="0" w:footer="0" w:header="0"/>
        </w:sectPr>
      </w:pPr>
    </w:p>
    <w:bookmarkStart w:id="8" w:name="page9"/>
    <w:bookmarkEnd w:id="8"/>
    <w:p>
      <w:pPr>
        <w:jc w:val="both"/>
        <w:ind w:left="4"/>
        <w:spacing w:after="0" w:line="290" w:lineRule="auto"/>
        <w:rPr>
          <w:sz w:val="20"/>
          <w:szCs w:val="20"/>
          <w:color w:val="auto"/>
        </w:rPr>
      </w:pPr>
      <w:r>
        <w:rPr>
          <w:rFonts w:ascii="Arial" w:cs="Arial" w:eastAsia="Arial" w:hAnsi="Arial"/>
          <w:sz w:val="16"/>
          <w:szCs w:val="16"/>
          <w:color w:val="auto"/>
        </w:rPr>
        <w:t xml:space="preserve">Each change in the Applicable Percentage resulting from a change in the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during which the Parent Borrower has failed to deliver when due the financial statements required by Section 5.04(a) or (b) and the Compliance Certificate required by Section 5.04(c), respectively, the Leverage Ratio shall be deemed to be in Category 9 for purposes of determining the Applicable Percentage. Notwithstanding the foregoing, as of the Third Amendment Effective Date, the Applicable Percentage shall be based on the Leverage Ratio reflected in the most recently delivered financial statements required by Section 5.04(a) or (b) and the Compliance Certificate required by Section 5.04(c), respectively.</w:t>
      </w:r>
    </w:p>
    <w:p>
      <w:pPr>
        <w:spacing w:after="0" w:line="166" w:lineRule="exact"/>
        <w:rPr>
          <w:sz w:val="20"/>
          <w:szCs w:val="20"/>
          <w:color w:val="auto"/>
        </w:rPr>
      </w:pPr>
    </w:p>
    <w:p>
      <w:pPr>
        <w:ind w:left="704" w:hanging="704"/>
        <w:spacing w:after="0"/>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sentence of the definition of “Australian Revolving Commitment” is amended in its entirety to read as follows:</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aggregate amount of the Australian Revolving Commitments as of the Third Amendment Effective Date (subsequent to the reduction of the Australian Revolving Commitments pursuant to Section 2 of the Third Amendment) is $85,000,000.</w:t>
      </w:r>
    </w:p>
    <w:p>
      <w:pPr>
        <w:spacing w:after="0" w:line="170" w:lineRule="exact"/>
        <w:rPr>
          <w:sz w:val="20"/>
          <w:szCs w:val="20"/>
          <w:color w:val="auto"/>
        </w:rPr>
      </w:pPr>
    </w:p>
    <w:p>
      <w:pPr>
        <w:ind w:left="704" w:hanging="704"/>
        <w:spacing w:after="0"/>
        <w:tabs>
          <w:tab w:leader="none" w:pos="70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last sentence of the definition of “Canadian Tranche A Revolving Commitment” is amended in its entirety to read as follows:</w:t>
      </w:r>
    </w:p>
    <w:p>
      <w:pPr>
        <w:spacing w:after="0" w:line="23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aggregate amount of the Canadian Tranche A Revolving Commitments as of the Third Amendment Effective Date (subsequent to the reduction of the Canadian Tranche A Revolving Commitments pursuant to Section 2 of the Third Amendment) is $90,000,000.</w:t>
      </w:r>
    </w:p>
    <w:p>
      <w:pPr>
        <w:spacing w:after="0" w:line="170" w:lineRule="exact"/>
        <w:rPr>
          <w:sz w:val="20"/>
          <w:szCs w:val="20"/>
          <w:color w:val="auto"/>
        </w:rPr>
      </w:pPr>
    </w:p>
    <w:p>
      <w:pPr>
        <w:ind w:left="704" w:hanging="704"/>
        <w:spacing w:after="0"/>
        <w:tabs>
          <w:tab w:leader="none" w:pos="70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last sentence of the definition of “Canadian Tranche B Revolving Commitment” is amended in its entirety to read as follows:</w:t>
      </w:r>
    </w:p>
    <w:p>
      <w:pPr>
        <w:spacing w:after="0" w:line="23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aggregate amount of the Canadian Tranche B Revolving Commitments as of the Third Amendment Effective Date (subsequent to the reduction of the Canadian Tranche B Revolving Commitments pursuant to Section 2 of the Third Amendment) is $60,000,000.</w:t>
      </w:r>
    </w:p>
    <w:p>
      <w:pPr>
        <w:spacing w:after="0" w:line="200" w:lineRule="exact"/>
        <w:rPr>
          <w:sz w:val="20"/>
          <w:szCs w:val="20"/>
          <w:color w:val="auto"/>
        </w:rPr>
      </w:pPr>
    </w:p>
    <w:p>
      <w:pPr>
        <w:spacing w:after="0" w:line="21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9" w:name="page10"/>
    <w:bookmarkEnd w:id="9"/>
    <w:p>
      <w:pPr>
        <w:ind w:left="704" w:hanging="704"/>
        <w:spacing w:after="0"/>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“EBITDA” is amended in its entirety to read as follows:</w:t>
      </w:r>
    </w:p>
    <w:p>
      <w:pPr>
        <w:spacing w:after="0" w:line="225"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mean, for any person for any period, Consolidated Net Income of such person for such period plus (a) without duplication and to the extent deducted in determining such Consolidated Net Income, the sum of (i) Consolidated Interest Expense for such period,</w:t>
      </w:r>
    </w:p>
    <w:p>
      <w:pPr>
        <w:jc w:val="both"/>
        <w:ind w:left="4" w:hanging="4"/>
        <w:spacing w:after="0" w:line="285" w:lineRule="auto"/>
        <w:tabs>
          <w:tab w:leader="none" w:pos="2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consolidated income tax expense for such period, (iii) all amounts attributable to depreciation and amortization for such period, (iv) any noncash charges or extraordinary losses for such period, (v) transaction costs associated with the Transactions in an aggregate amount not to exceed $25,000,000 plus such additional amounts as a result of currency exchange fluctuations in an amount reasonably acceptable to the Administrative Agent and (vi)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cost savings, operating expense reductions and synergies (1) are reasonably identifiable and factually supportable and (2) have been approved by the Administrative Agent in its reasonable discretion and (B) the aggregate amount of such cost savings, operating expense reductions and synergies included pursuant to this clause (a)(vi), shall not exceed 10% of EBITDA (after giving effect to this clause (a)(vi)),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168" w:lineRule="exact"/>
        <w:rPr>
          <w:sz w:val="20"/>
          <w:szCs w:val="20"/>
          <w:color w:val="auto"/>
        </w:rPr>
      </w:pPr>
    </w:p>
    <w:p>
      <w:pPr>
        <w:ind w:left="724" w:hanging="724"/>
        <w:spacing w:after="0"/>
        <w:tabs>
          <w:tab w:leader="none" w:pos="7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definition of “Permitted Acquisition” is amended in its entirety to read as follows: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shall mean any acquisition meeting all the criteria of either Section 6.04(i) or Section 6.04(m).</w:t>
      </w:r>
    </w:p>
    <w:p>
      <w:pPr>
        <w:spacing w:after="0" w:line="225" w:lineRule="exact"/>
        <w:rPr>
          <w:sz w:val="20"/>
          <w:szCs w:val="20"/>
          <w:color w:val="auto"/>
        </w:rPr>
      </w:pPr>
    </w:p>
    <w:p>
      <w:pPr>
        <w:ind w:left="704" w:hanging="704"/>
        <w:spacing w:after="0"/>
        <w:tabs>
          <w:tab w:leader="none" w:pos="7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sentence of the definition of “U.S. Revolving Commitment” is amended in its entirety to read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aggregate amount of the U.S. Revolving Commitments as of the Third Amendment Effective Date (subsequent to the reduction of the U.S.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Revolving Commitments pursuant to Section 2 of the Third Amendment) is $40,000,000.</w:t>
      </w:r>
    </w:p>
    <w:p>
      <w:pPr>
        <w:spacing w:after="0" w:line="211" w:lineRule="exact"/>
        <w:rPr>
          <w:sz w:val="20"/>
          <w:szCs w:val="20"/>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1.01 of the Credit Agreement is amended by adding the following definitions where alphabetically appropriate:</w:t>
      </w:r>
    </w:p>
    <w:p>
      <w:pPr>
        <w:spacing w:after="0" w:line="225"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w:t>
      </w:r>
      <w:r>
        <w:rPr>
          <w:rFonts w:ascii="Arial" w:cs="Arial" w:eastAsia="Arial" w:hAnsi="Arial"/>
          <w:sz w:val="18"/>
          <w:szCs w:val="18"/>
          <w:color w:val="auto"/>
        </w:rPr>
        <w:t>” shall mean that certain Third Amendment to Syndicated Facility Agreement, dated as of February 17, 2017, among the Borrowers, the Administrative Agents and the Lenders party thereto.</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 Effective Date</w:t>
      </w:r>
      <w:r>
        <w:rPr>
          <w:rFonts w:ascii="Arial" w:cs="Arial" w:eastAsia="Arial" w:hAnsi="Arial"/>
          <w:sz w:val="18"/>
          <w:szCs w:val="18"/>
          <w:color w:val="auto"/>
        </w:rPr>
        <w:t>” shall have the meaning set forth in the Third Amendment.</w:t>
      </w:r>
    </w:p>
    <w:p>
      <w:pPr>
        <w:spacing w:after="0" w:line="225" w:lineRule="exact"/>
        <w:rPr>
          <w:sz w:val="20"/>
          <w:szCs w:val="20"/>
          <w:color w:val="auto"/>
        </w:rPr>
      </w:pPr>
    </w:p>
    <w:p>
      <w:pPr>
        <w:ind w:left="5004" w:right="3040" w:hanging="5004"/>
        <w:spacing w:after="0" w:line="810"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1.01 of the Credit Agreement is amended by deleting the definition of “Acquired Entity”.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-245110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 w:name="page11"/>
    <w:bookmarkEnd w:id="10"/>
    <w:p>
      <w:pPr>
        <w:ind w:left="704" w:hanging="704"/>
        <w:spacing w:after="0"/>
        <w:tabs>
          <w:tab w:leader="none" w:pos="7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6.04 of the Credit Agreement is amended by:</w:t>
      </w:r>
    </w:p>
    <w:p>
      <w:pPr>
        <w:spacing w:after="0" w:line="225" w:lineRule="exact"/>
        <w:rPr>
          <w:sz w:val="20"/>
          <w:szCs w:val="20"/>
          <w:color w:val="auto"/>
        </w:rPr>
      </w:pPr>
    </w:p>
    <w:p>
      <w:pPr>
        <w:ind w:left="1364" w:hanging="715"/>
        <w:spacing w:after="0"/>
        <w:tabs>
          <w:tab w:leader="none" w:pos="13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amending subsection (i) as follows:</w:t>
      </w:r>
    </w:p>
    <w:p>
      <w:pPr>
        <w:spacing w:after="0" w:line="225" w:lineRule="exact"/>
        <w:rPr>
          <w:rFonts w:ascii="Arial" w:cs="Arial" w:eastAsia="Arial" w:hAnsi="Arial"/>
          <w:sz w:val="18"/>
          <w:szCs w:val="18"/>
          <w:color w:val="auto"/>
        </w:rPr>
      </w:pPr>
    </w:p>
    <w:p>
      <w:pPr>
        <w:ind w:left="1584" w:hanging="287"/>
        <w:spacing w:after="0"/>
        <w:tabs>
          <w:tab w:leader="none" w:pos="15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amending the lead in paragraph in its entirety to read as follows:</w:t>
      </w:r>
    </w:p>
    <w:p>
      <w:pPr>
        <w:spacing w:after="0" w:line="225" w:lineRule="exact"/>
        <w:rPr>
          <w:sz w:val="20"/>
          <w:szCs w:val="20"/>
          <w:color w:val="auto"/>
        </w:rPr>
      </w:pPr>
    </w:p>
    <w:p>
      <w:pPr>
        <w:ind w:left="644" w:firstLine="648"/>
        <w:spacing w:after="0" w:line="308" w:lineRule="auto"/>
        <w:rPr>
          <w:sz w:val="20"/>
          <w:szCs w:val="20"/>
          <w:color w:val="auto"/>
        </w:rPr>
      </w:pPr>
      <w:r>
        <w:rPr>
          <w:rFonts w:ascii="Arial" w:cs="Arial" w:eastAsia="Arial" w:hAnsi="Arial"/>
          <w:sz w:val="17"/>
          <w:szCs w:val="17"/>
          <w:color w:val="auto"/>
        </w:rPr>
        <w:t xml:space="preserve">the Parent Borrower and its Subsidiaries may acquire all or substantially all the assets of a person or line of business of such person, or Equity Interests of a person that would become a wholly owned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transaction:</w:t>
      </w:r>
    </w:p>
    <w:p>
      <w:pPr>
        <w:spacing w:after="0" w:line="147"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(B) amending the parenthetical in subsection (ii) in its entirety to read as follows:</w:t>
      </w:r>
    </w:p>
    <w:p>
      <w:pPr>
        <w:spacing w:after="0" w:line="225"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(including any Asset Sale and any other transaction described in this Section 6.04(i) or Section 6.04(m) occurring during or after such period)</w:t>
      </w:r>
    </w:p>
    <w:p>
      <w:pPr>
        <w:spacing w:after="0" w:line="170" w:lineRule="exact"/>
        <w:rPr>
          <w:sz w:val="20"/>
          <w:szCs w:val="20"/>
          <w:color w:val="auto"/>
        </w:rPr>
      </w:pPr>
    </w:p>
    <w:p>
      <w:pPr>
        <w:ind w:left="1584" w:hanging="287"/>
        <w:spacing w:after="0"/>
        <w:tabs>
          <w:tab w:leader="none" w:pos="15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amending clause (A) in the final proviso thereof in its entirety to read as follows:</w:t>
      </w:r>
    </w:p>
    <w:p>
      <w:pPr>
        <w:spacing w:after="0" w:line="225" w:lineRule="exact"/>
        <w:rPr>
          <w:rFonts w:ascii="Arial" w:cs="Arial" w:eastAsia="Arial" w:hAnsi="Arial"/>
          <w:sz w:val="18"/>
          <w:szCs w:val="18"/>
          <w:color w:val="auto"/>
        </w:rPr>
      </w:pPr>
    </w:p>
    <w:p>
      <w:pPr>
        <w:ind w:left="644" w:right="160" w:firstLine="5"/>
        <w:spacing w:after="0" w:line="277" w:lineRule="auto"/>
        <w:tabs>
          <w:tab w:leader="none" w:pos="9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than adjustments pursuant to clause (a)(vi) of the definition of EBITDA, include only those adjustments that would be permitted or required by Regulation S-X under the Securities Act of 1933, as amended and</w:t>
      </w:r>
    </w:p>
    <w:p>
      <w:pPr>
        <w:spacing w:after="0" w:line="170" w:lineRule="exact"/>
        <w:rPr>
          <w:sz w:val="20"/>
          <w:szCs w:val="20"/>
          <w:color w:val="auto"/>
        </w:rPr>
      </w:pPr>
    </w:p>
    <w:p>
      <w:pPr>
        <w:ind w:left="1404" w:hanging="755"/>
        <w:spacing w:after="0"/>
        <w:tabs>
          <w:tab w:leader="none" w:pos="14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amending subsection (k) in its entirety as follows:</w:t>
      </w:r>
    </w:p>
    <w:p>
      <w:pPr>
        <w:spacing w:after="0" w:line="225" w:lineRule="exact"/>
        <w:rPr>
          <w:rFonts w:ascii="Arial" w:cs="Arial" w:eastAsia="Arial" w:hAnsi="Arial"/>
          <w:sz w:val="18"/>
          <w:szCs w:val="18"/>
          <w:color w:val="auto"/>
        </w:rPr>
      </w:pPr>
    </w:p>
    <w:p>
      <w:pPr>
        <w:ind w:left="644" w:right="20" w:firstLine="653"/>
        <w:spacing w:after="0" w:line="342" w:lineRule="auto"/>
        <w:tabs>
          <w:tab w:leader="none" w:pos="17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Investments by the Parent Borrower or an existing Subsidiary in or to the Parent Borrower or an existing Subsidiary (but excluding, for the avoidance of doubt, Investments in any Person that will become a Subsidiary upon the making of such Investment);</w:t>
      </w:r>
    </w:p>
    <w:p>
      <w:pPr>
        <w:spacing w:after="0" w:line="124" w:lineRule="exact"/>
        <w:rPr>
          <w:sz w:val="20"/>
          <w:szCs w:val="20"/>
          <w:color w:val="auto"/>
        </w:rPr>
      </w:pPr>
    </w:p>
    <w:p>
      <w:pPr>
        <w:ind w:left="4" w:right="20" w:firstLine="645"/>
        <w:spacing w:after="0" w:line="277" w:lineRule="auto"/>
        <w:tabs>
          <w:tab w:leader="none" w:pos="1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deleting the word “and” at the end of subsection (k), (B) replacing the period at the end of subsection (l) with a semicolon and adding the word “and” at the end thereof and (C) adding a new subsection (m) as follows:</w:t>
      </w:r>
    </w:p>
    <w:p>
      <w:pPr>
        <w:spacing w:after="0" w:line="170" w:lineRule="exact"/>
        <w:rPr>
          <w:rFonts w:ascii="Arial" w:cs="Arial" w:eastAsia="Arial" w:hAnsi="Arial"/>
          <w:sz w:val="18"/>
          <w:szCs w:val="18"/>
          <w:color w:val="auto"/>
        </w:rPr>
      </w:pPr>
    </w:p>
    <w:p>
      <w:pPr>
        <w:ind w:left="4" w:firstLine="1293"/>
        <w:spacing w:after="0" w:line="277" w:lineRule="auto"/>
        <w:tabs>
          <w:tab w:leader="none" w:pos="18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Parent Borrower and its Subsidiaries may acquire Equity Interests of a person that would become a non-wholly owned Subsidiary (in each case referred to herein as the “</w:t>
      </w:r>
      <w:r>
        <w:rPr>
          <w:rFonts w:ascii="Arial" w:cs="Arial" w:eastAsia="Arial" w:hAnsi="Arial"/>
          <w:sz w:val="18"/>
          <w:szCs w:val="18"/>
          <w:i w:val="1"/>
          <w:iCs w:val="1"/>
          <w:color w:val="auto"/>
        </w:rPr>
        <w:t>Non-Wholly Owned Entity</w:t>
      </w:r>
      <w:r>
        <w:rPr>
          <w:rFonts w:ascii="Arial" w:cs="Arial" w:eastAsia="Arial" w:hAnsi="Arial"/>
          <w:sz w:val="18"/>
          <w:szCs w:val="18"/>
          <w:color w:val="auto"/>
        </w:rPr>
        <w:t>”); provided that:</w:t>
      </w:r>
    </w:p>
    <w:p>
      <w:pPr>
        <w:spacing w:after="0" w:line="170" w:lineRule="exact"/>
        <w:rPr>
          <w:sz w:val="20"/>
          <w:szCs w:val="20"/>
          <w:color w:val="auto"/>
        </w:rPr>
      </w:pPr>
    </w:p>
    <w:p>
      <w:pPr>
        <w:ind w:left="1784" w:hanging="487"/>
        <w:spacing w:after="0"/>
        <w:tabs>
          <w:tab w:leader="none" w:pos="1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5" w:lineRule="exact"/>
        <w:rPr>
          <w:rFonts w:ascii="Arial" w:cs="Arial" w:eastAsia="Arial" w:hAnsi="Arial"/>
          <w:sz w:val="18"/>
          <w:szCs w:val="18"/>
          <w:color w:val="auto"/>
        </w:rPr>
      </w:pPr>
    </w:p>
    <w:p>
      <w:pPr>
        <w:jc w:val="both"/>
        <w:ind w:left="644" w:firstLine="653"/>
        <w:spacing w:after="0" w:line="272" w:lineRule="auto"/>
        <w:tabs>
          <w:tab w:leader="none" w:pos="182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Parent Borrower would (A) be in compliance with the covenants set forth in Section 6.10 and (B) after giving effect to such acquisition, have a Leverage Ratio less than the Leverage Ratio immediately prior to such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w:t>
      </w:r>
    </w:p>
    <w:p>
      <w:pPr>
        <w:spacing w:after="0" w:line="200" w:lineRule="exact"/>
        <w:rPr>
          <w:sz w:val="20"/>
          <w:szCs w:val="20"/>
          <w:color w:val="auto"/>
        </w:rPr>
      </w:pPr>
    </w:p>
    <w:p>
      <w:pPr>
        <w:spacing w:after="0" w:line="22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11" w:name="page12"/>
    <w:bookmarkEnd w:id="11"/>
    <w:p>
      <w:pPr>
        <w:ind w:left="1844" w:hanging="547"/>
        <w:spacing w:after="0"/>
        <w:tabs>
          <w:tab w:leader="none" w:pos="18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210" w:lineRule="exact"/>
        <w:rPr>
          <w:rFonts w:ascii="Arial" w:cs="Arial" w:eastAsia="Arial" w:hAnsi="Arial"/>
          <w:sz w:val="16"/>
          <w:szCs w:val="16"/>
          <w:color w:val="auto"/>
        </w:rPr>
      </w:pPr>
    </w:p>
    <w:p>
      <w:pPr>
        <w:jc w:val="both"/>
        <w:ind w:left="644" w:firstLine="653"/>
        <w:spacing w:after="0" w:line="264" w:lineRule="auto"/>
        <w:tabs>
          <w:tab w:leader="none" w:pos="18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w:t>
      </w:r>
    </w:p>
    <w:p>
      <w:pPr>
        <w:spacing w:after="0" w:line="181" w:lineRule="exact"/>
        <w:rPr>
          <w:rFonts w:ascii="Arial" w:cs="Arial" w:eastAsia="Arial" w:hAnsi="Arial"/>
          <w:sz w:val="18"/>
          <w:szCs w:val="18"/>
          <w:color w:val="auto"/>
        </w:rPr>
      </w:pPr>
    </w:p>
    <w:p>
      <w:pPr>
        <w:jc w:val="both"/>
        <w:ind w:left="644" w:firstLine="653"/>
        <w:spacing w:after="0" w:line="264"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w:t>
      </w:r>
    </w:p>
    <w:p>
      <w:pPr>
        <w:spacing w:after="0" w:line="181" w:lineRule="exact"/>
        <w:rPr>
          <w:rFonts w:ascii="Arial" w:cs="Arial" w:eastAsia="Arial" w:hAnsi="Arial"/>
          <w:sz w:val="18"/>
          <w:szCs w:val="18"/>
          <w:color w:val="auto"/>
        </w:rPr>
      </w:pPr>
    </w:p>
    <w:p>
      <w:pPr>
        <w:jc w:val="both"/>
        <w:ind w:left="644" w:firstLine="653"/>
        <w:spacing w:after="0" w:line="264" w:lineRule="auto"/>
        <w:tabs>
          <w:tab w:leader="none" w:pos="18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amount of the consideration for all such acquisitions made pursuant to this Section 6.04(m) after the Third Amendment Effective Date shall not exceed 10% of the Parent Borrower’s Consolidated Net Worth calculated on the date of such acquisition as of the most recent fiscal quarter for which financial statements are available;</w:t>
      </w:r>
    </w:p>
    <w:p>
      <w:pPr>
        <w:spacing w:after="0" w:line="18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all pro forma calculations required to be made pursuant to this Section 6.04(m) shall (A) other than adjustments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87" w:lineRule="exact"/>
        <w:rPr>
          <w:sz w:val="20"/>
          <w:szCs w:val="20"/>
          <w:color w:val="auto"/>
        </w:rPr>
      </w:pPr>
    </w:p>
    <w:p>
      <w:pPr>
        <w:ind w:left="704" w:hanging="704"/>
        <w:spacing w:after="0"/>
        <w:tabs>
          <w:tab w:leader="none" w:pos="7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6.06 of the Credit Agreement is amended by replacing “January 1, 2017” with “January 1, 2018”.</w:t>
      </w:r>
    </w:p>
    <w:p>
      <w:pPr>
        <w:spacing w:after="0" w:line="225" w:lineRule="exact"/>
        <w:rPr>
          <w:rFonts w:ascii="Arial" w:cs="Arial" w:eastAsia="Arial" w:hAnsi="Arial"/>
          <w:sz w:val="18"/>
          <w:szCs w:val="18"/>
          <w:color w:val="auto"/>
        </w:rPr>
      </w:pPr>
    </w:p>
    <w:p>
      <w:pPr>
        <w:ind w:left="704" w:hanging="704"/>
        <w:spacing w:after="0"/>
        <w:tabs>
          <w:tab w:leader="none" w:pos="7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6.11 of the Credit Agreement is amended in its entirety to read as follows:</w:t>
      </w:r>
    </w:p>
    <w:p>
      <w:pPr>
        <w:spacing w:after="0" w:line="22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b w:val="1"/>
          <w:bCs w:val="1"/>
          <w:i w:val="1"/>
          <w:iCs w:val="1"/>
          <w:color w:val="auto"/>
        </w:rPr>
        <w:t>Maximum Leverage Ratio</w:t>
      </w:r>
      <w:r>
        <w:rPr>
          <w:rFonts w:ascii="Arial" w:cs="Arial" w:eastAsia="Arial" w:hAnsi="Arial"/>
          <w:sz w:val="18"/>
          <w:szCs w:val="18"/>
          <w:color w:val="auto"/>
        </w:rPr>
        <w:t>. Commencing with the four fiscal quarter period ending March 31, 2017, permit the Leverage Ratio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four consecutive fiscal quarters of the Parent Borrower, in each case taken as one accounting period, as of the last day of any fiscal quarter, to be greater than:</w:t>
      </w:r>
    </w:p>
    <w:p>
      <w:pPr>
        <w:spacing w:after="0" w:line="172" w:lineRule="exact"/>
        <w:rPr>
          <w:sz w:val="20"/>
          <w:szCs w:val="20"/>
          <w:color w:val="auto"/>
        </w:rPr>
      </w:pPr>
    </w:p>
    <w:tbl>
      <w:tblPr>
        <w:tblLayout w:type="fixed"/>
        <w:tblInd w:w="514" w:type="dxa"/>
        <w:tblCellMar>
          <w:top w:w="0" w:type="dxa"/>
          <w:left w:w="0" w:type="dxa"/>
          <w:bottom w:w="0" w:type="dxa"/>
          <w:right w:w="0" w:type="dxa"/>
        </w:tblCellMar>
      </w:tblPr>
      <w:tr>
        <w:trPr>
          <w:trHeight w:val="233"/>
        </w:trPr>
        <w:tc>
          <w:tcPr>
            <w:tcW w:w="476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Fiscal Quarter Ending</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Leverage Ratio</w:t>
            </w:r>
          </w:p>
        </w:tc>
      </w:tr>
      <w:tr>
        <w:trPr>
          <w:trHeight w:val="210"/>
        </w:trPr>
        <w:tc>
          <w:tcPr>
            <w:tcW w:w="4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2017 and June 30, 2017</w:t>
            </w:r>
          </w:p>
        </w:tc>
        <w:tc>
          <w:tcPr>
            <w:tcW w:w="4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5.25:1.00</w:t>
            </w:r>
          </w:p>
        </w:tc>
      </w:tr>
      <w:tr>
        <w:trPr>
          <w:trHeight w:val="195"/>
        </w:trPr>
        <w:tc>
          <w:tcPr>
            <w:tcW w:w="47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September 30, 2017,</w:t>
            </w:r>
          </w:p>
        </w:tc>
        <w:tc>
          <w:tcPr>
            <w:tcW w:w="4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5.85:1.00</w:t>
            </w:r>
          </w:p>
        </w:tc>
      </w:tr>
      <w:tr>
        <w:trPr>
          <w:trHeight w:val="216"/>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31, 2017, March 31, 2018, June 30, 2018 and</w:t>
            </w:r>
          </w:p>
        </w:tc>
        <w:tc>
          <w:tcPr>
            <w:tcW w:w="4360" w:type="dxa"/>
            <w:vAlign w:val="bottom"/>
            <w:tcBorders>
              <w:right w:val="single" w:sz="8" w:color="auto"/>
            </w:tcBorders>
          </w:tcPr>
          <w:p>
            <w:pPr>
              <w:spacing w:after="0"/>
              <w:rPr>
                <w:sz w:val="18"/>
                <w:szCs w:val="18"/>
                <w:color w:val="auto"/>
              </w:rPr>
            </w:pPr>
          </w:p>
        </w:tc>
      </w:tr>
      <w:tr>
        <w:trPr>
          <w:trHeight w:val="230"/>
        </w:trPr>
        <w:tc>
          <w:tcPr>
            <w:tcW w:w="4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September 30, 2018</w:t>
            </w:r>
          </w:p>
        </w:tc>
        <w:tc>
          <w:tcPr>
            <w:tcW w:w="4360" w:type="dxa"/>
            <w:vAlign w:val="bottom"/>
            <w:tcBorders>
              <w:bottom w:val="single" w:sz="8" w:color="auto"/>
              <w:right w:val="single" w:sz="8" w:color="auto"/>
            </w:tcBorders>
          </w:tcPr>
          <w:p>
            <w:pPr>
              <w:spacing w:after="0"/>
              <w:rPr>
                <w:sz w:val="20"/>
                <w:szCs w:val="20"/>
                <w:color w:val="auto"/>
              </w:rPr>
            </w:pPr>
          </w:p>
        </w:tc>
      </w:tr>
      <w:tr>
        <w:trPr>
          <w:trHeight w:val="210"/>
        </w:trPr>
        <w:tc>
          <w:tcPr>
            <w:tcW w:w="4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4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5.50:1.00</w:t>
            </w:r>
          </w:p>
        </w:tc>
      </w:tr>
      <w:tr>
        <w:trPr>
          <w:trHeight w:val="206"/>
        </w:trPr>
        <w:tc>
          <w:tcPr>
            <w:tcW w:w="4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31, 2019 and thereafter</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5.25:1.00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-713105</wp:posOffset>
            </wp:positionV>
            <wp:extent cx="578040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0405" cy="42037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-147320</wp:posOffset>
            </wp:positionV>
            <wp:extent cx="57804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0405" cy="137160"/>
                    </a:xfrm>
                    <a:prstGeom prst="rect">
                      <a:avLst/>
                    </a:prstGeom>
                    <a:noFill/>
                  </pic:spPr>
                </pic:pic>
              </a:graphicData>
            </a:graphic>
          </wp:anchor>
        </w:drawing>
      </w:r>
    </w:p>
    <w:p>
      <w:pPr>
        <w:spacing w:after="0" w:line="178" w:lineRule="exact"/>
        <w:rPr>
          <w:sz w:val="20"/>
          <w:szCs w:val="20"/>
          <w:color w:val="auto"/>
        </w:rPr>
      </w:pPr>
    </w:p>
    <w:p>
      <w:pPr>
        <w:ind w:left="5004" w:right="2260" w:hanging="5004"/>
        <w:spacing w:after="0" w:line="810" w:lineRule="auto"/>
        <w:tabs>
          <w:tab w:leader="none" w:pos="7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Schedule 2.01 to the Credit Agreement is amended and replaced in its entirety with Annex I attached hereto.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-245110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12" w:name="page13"/>
    <w:bookmarkEnd w:id="12"/>
    <w:p>
      <w:pPr>
        <w:jc w:val="both"/>
        <w:ind w:firstLine="648"/>
        <w:spacing w:after="0" w:line="27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Reduction of Revolving Commitments</w:t>
      </w:r>
      <w:r>
        <w:rPr>
          <w:rFonts w:ascii="Arial" w:cs="Arial" w:eastAsia="Arial" w:hAnsi="Arial"/>
          <w:sz w:val="17"/>
          <w:szCs w:val="17"/>
          <w:color w:val="auto"/>
        </w:rPr>
        <w:t>. The Borrowers agree that on the Third Amendment Effective Date, (a) the Australian Revolving Commitments will be permanently reduced to an aggregate amount of $85,000,000, the Canadian Tranche A Revolving Commitments will be permanently reduced to an aggregate amount of $90,000,000, the Canadian Tranche B Revolving Commitments will be permanently reduced to an aggregate amount of $60,000,000 and the U.S. Revolving Commitments will be permanently reduced to an aggregate amount of $40,000,000.</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Consent Fees</w:t>
      </w:r>
      <w:r>
        <w:rPr>
          <w:rFonts w:ascii="Arial" w:cs="Arial" w:eastAsia="Arial" w:hAnsi="Arial"/>
          <w:sz w:val="17"/>
          <w:szCs w:val="17"/>
          <w:color w:val="auto"/>
        </w:rPr>
        <w:t>. The Borrowers agree to pay to the Administrative Agent for the account of each Lender that (a) notifies the Administrative Agent (or its counsel) that it has consented to this Third Amendment and (b) delivers evidence satisfactory to the Administrative Agent that it has obtained all credit and other internal approvals necessary to enter into this Third Amendment, in each case at or prior to 5:00 p.m., New York City time, on February 15, 2017, a consent fee (the “</w:t>
      </w:r>
      <w:r>
        <w:rPr>
          <w:rFonts w:ascii="Arial" w:cs="Arial" w:eastAsia="Arial" w:hAnsi="Arial"/>
          <w:sz w:val="17"/>
          <w:szCs w:val="17"/>
          <w:u w:val="single" w:color="auto"/>
          <w:color w:val="auto"/>
        </w:rPr>
        <w:t>Consent Fees</w:t>
      </w:r>
      <w:r>
        <w:rPr>
          <w:rFonts w:ascii="Arial" w:cs="Arial" w:eastAsia="Arial" w:hAnsi="Arial"/>
          <w:sz w:val="17"/>
          <w:szCs w:val="17"/>
          <w:color w:val="auto"/>
        </w:rPr>
        <w:t>”) in an amount equal to 0.25% of the aggregate principal amount of the outstanding U.S. Term Loans, Canadian Term Loans, the U.S. Revolving Commitment, the Canadian Tranche A Revolving Commitment, the Canadian Tranche B Revolving Commitment and the Australian Revolving Commitment of such Lender as of the Third Amendment Effective Date, after giving effect to the Amended Credit Agreement. Consent Fees shall be payable (i) in U.S. dollars for the U.S. Term Loans and the U.S. Revolving Commitment, (ii) in U.S. Dollar Equivalent for the Australian Revolving Commitment, the Canadian Tranche A Revolving Commitment and the Canadian Tranche B Revolving Commitment and (iii) in Canadian dollars for the Canadian Term Loans.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Third Amendment shall not be deemed to be effective until the date on which each of the following conditions is satisfied (or waived in accordance with Section 9.08 of the Credit Agreement)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w:t>
      </w:r>
    </w:p>
    <w:p>
      <w:pPr>
        <w:spacing w:after="0" w:line="170" w:lineRule="exact"/>
        <w:rPr>
          <w:sz w:val="20"/>
          <w:szCs w:val="20"/>
          <w:color w:val="auto"/>
        </w:rPr>
      </w:pPr>
    </w:p>
    <w:p>
      <w:pPr>
        <w:ind w:firstLine="656"/>
        <w:spacing w:after="0" w:line="277" w:lineRule="auto"/>
        <w:tabs>
          <w:tab w:leader="none" w:pos="13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Required Lenders, the Borrowers and the Guarantors, counterparts (in such number as may be requested by the Administrative Agent) of this Third Amendment signed on behalf of such Persons.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Agents and the Lead Arranger shall have received all Fees and other amounts due and payable on or prior to the Third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3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Third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64" w:lineRule="exact"/>
        <w:rPr>
          <w:rFonts w:ascii="Arial" w:cs="Arial" w:eastAsia="Arial" w:hAnsi="Arial"/>
          <w:sz w:val="16"/>
          <w:szCs w:val="16"/>
          <w:color w:val="auto"/>
        </w:rPr>
      </w:pPr>
    </w:p>
    <w:p>
      <w:pPr>
        <w:ind w:left="1360" w:hanging="70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after giving effect to the terms of this Third Amendment.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5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itself, the other Agents, the Lenders and the Issuing Banks (i) any Note requested by a Lender pursuant to Section 2.04 of the Amended Credit Agreement payable to such requesting Lender and (ii) such other documents as Administrative Agent or special counsel to Administrative Agent may reasonably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each Borrower hereby represents and warrants to the Administrative Agent and each of the Lenders as follows:</w:t>
      </w:r>
    </w:p>
    <w:p>
      <w:pPr>
        <w:spacing w:after="0" w:line="170" w:lineRule="exact"/>
        <w:rPr>
          <w:sz w:val="20"/>
          <w:szCs w:val="20"/>
          <w:color w:val="auto"/>
        </w:rPr>
      </w:pPr>
    </w:p>
    <w:p>
      <w:pPr>
        <w:jc w:val="both"/>
        <w:ind w:firstLine="656"/>
        <w:spacing w:after="0" w:line="273" w:lineRule="auto"/>
        <w:tabs>
          <w:tab w:leader="none" w:pos="12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57" w:lineRule="auto"/>
        <w:tabs>
          <w:tab w:leader="none" w:pos="140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The provisions of the Credit Agreement, as amended by this Third Amendment, are hereby ratified and confirmed by the Borrowers and shall remain in full force and effect following the effectiveness of this Third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36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Ratification and Affirmation</w:t>
      </w:r>
      <w:r>
        <w:rPr>
          <w:rFonts w:ascii="Arial" w:cs="Arial" w:eastAsia="Arial" w:hAnsi="Arial"/>
          <w:sz w:val="17"/>
          <w:szCs w:val="17"/>
          <w:color w:val="auto"/>
        </w:rPr>
        <w:t>. Each of the Borrowers and Guarantors hereby (a) acknowledges the terms of this Third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165" w:lineRule="exact"/>
        <w:rPr>
          <w:rFonts w:ascii="Arial" w:cs="Arial" w:eastAsia="Arial" w:hAnsi="Arial"/>
          <w:sz w:val="17"/>
          <w:szCs w:val="17"/>
          <w:color w:val="auto"/>
        </w:rPr>
      </w:pPr>
    </w:p>
    <w:p>
      <w:pPr>
        <w:jc w:val="both"/>
        <w:ind w:firstLine="656"/>
        <w:spacing w:after="0" w:line="271" w:lineRule="auto"/>
        <w:tabs>
          <w:tab w:leader="none" w:pos="12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Limited Waiver of Certain Notice Requirements</w:t>
      </w:r>
      <w:r>
        <w:rPr>
          <w:rFonts w:ascii="Arial" w:cs="Arial" w:eastAsia="Arial" w:hAnsi="Arial"/>
          <w:sz w:val="17"/>
          <w:szCs w:val="17"/>
          <w:color w:val="auto"/>
        </w:rPr>
        <w:t>. Solely for purposes of the permanent reduction of the Australian Revolving Commitments, the Canadian Tranche A Revolving Commitments, the Canadian Tranche B Revolving Commitments and the U.S. Revolving Commitments, in accordance with Section 9.08 of the Credit Agreement, the Lenders party hereto hereby waive the requirement under Section 2.09(c) of the Credit Agreement that the Australian Borrower, Canadian Borrowers and U.S. Borrowers provide three Business Days’ prior irrevocable written notice in connection with such permanent reduction of the Australian Revolving Commitments, the Canadian Tranche A Revolving Commitments, the Canadian Tranche B Revolving Commitments and the U.S. Revolving Commitments, as applicable. The waivers by the Lenders described in this Section 7(c) shall not be construed to be a consent to, or a permanent waiver of, Sections 2.09(c) of the Credit Agreement, or any other terms, provisions, covenants, warranties or agreements contained in the Credit Agreement or in any of the other Loan Documents.</w:t>
      </w:r>
    </w:p>
    <w:p>
      <w:pPr>
        <w:spacing w:after="0" w:line="178" w:lineRule="exact"/>
        <w:rPr>
          <w:rFonts w:ascii="Arial" w:cs="Arial" w:eastAsia="Arial" w:hAnsi="Arial"/>
          <w:sz w:val="17"/>
          <w:szCs w:val="17"/>
          <w:color w:val="auto"/>
        </w:rPr>
      </w:pPr>
    </w:p>
    <w:p>
      <w:pPr>
        <w:ind w:firstLine="656"/>
        <w:spacing w:after="0" w:line="277" w:lineRule="auto"/>
        <w:tabs>
          <w:tab w:leader="none" w:pos="134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Third Amendment is a “Loan Document” as defined and described in the Credit Agreement and all of the terms and provisions of the Amended Credit Agreement relating to Loan Documents shall apply 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56"/>
        <w:spacing w:after="0" w:line="264" w:lineRule="auto"/>
        <w:tabs>
          <w:tab w:leader="none" w:pos="132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by one or more of the parties hereto in any number of separate counterparts, and all of such counterparts taken together shall be deemed to constitute one and the same instrument. Delivery of this Third Amendment by facsimile or electronic transmission shall be effective as delivery of a manually executed counterpart hereof.</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42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ORAL AGREEMENT</w:t>
      </w:r>
      <w:r>
        <w:rPr>
          <w:rFonts w:ascii="Arial" w:cs="Arial" w:eastAsia="Arial" w:hAnsi="Arial"/>
          <w:sz w:val="18"/>
          <w:szCs w:val="18"/>
          <w:color w:val="auto"/>
        </w:rPr>
        <w:t>. THIS THIRD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86" w:lineRule="exact"/>
        <w:rPr>
          <w:rFonts w:ascii="Arial" w:cs="Arial" w:eastAsia="Arial" w:hAnsi="Arial"/>
          <w:sz w:val="18"/>
          <w:szCs w:val="18"/>
          <w:color w:val="auto"/>
        </w:rPr>
      </w:pPr>
    </w:p>
    <w:p>
      <w:pPr>
        <w:ind w:firstLine="656"/>
        <w:spacing w:after="0" w:line="277" w:lineRule="auto"/>
        <w:tabs>
          <w:tab w:leader="none" w:pos="133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THIRD AMENDMENT SHALL BE CONSTRUED IN ACCORDANCE WITH AND GOVERNED BY THE LAWS OF THE STATE OF NEW YORK.</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 Fiduciary Relationship</w:t>
      </w:r>
      <w:r>
        <w:rPr>
          <w:rFonts w:ascii="Arial" w:cs="Arial" w:eastAsia="Arial" w:hAnsi="Arial"/>
          <w:sz w:val="18"/>
          <w:szCs w:val="18"/>
          <w:color w:val="auto"/>
        </w:rPr>
        <w:t>. The Loan Parties acknowledge that none of the Agents, the Issuing Banks, the Swing Line Lenders, the Lenders or their respective Affiliates is acting as a fiduciary for or advisor to the Loan Parties.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BEGIN NEXT PAGE]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IN WITNESS WHEREOF, the parties hereto have caused this Third Amendment to be duly executed as of the date first written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U.S. HOLDINGS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CANADA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PREMIUM CAMP SERVICES LTD.</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MANAGEMENT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60"/>
          </w:cols>
          <w:pgMar w:left="240" w:top="584" w:right="129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Bradley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Bradley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Signature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2752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-123190</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GUARANTORS:</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OFFSHORE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USA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USA MANUFACTURING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jc w:val="center"/>
        <w:ind w:left="374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CIVEO WATER AND WASTE WATER USA,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INVESTMENTS,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CANADA HOLDCO 1 LTD.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546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18" w:name="page19"/>
    <w:bookmarkEnd w:id="18"/>
    <w:p>
      <w:pPr>
        <w:ind w:left="4500"/>
        <w:spacing w:after="0"/>
        <w:rPr>
          <w:sz w:val="20"/>
          <w:szCs w:val="20"/>
          <w:color w:val="auto"/>
        </w:rPr>
      </w:pPr>
      <w:r>
        <w:rPr>
          <w:rFonts w:ascii="Arial" w:cs="Arial" w:eastAsia="Arial" w:hAnsi="Arial"/>
          <w:sz w:val="18"/>
          <w:szCs w:val="18"/>
          <w:color w:val="auto"/>
        </w:rPr>
        <w:t>CIVEO CANADA HOLDCO2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CIVEO CANADA HOLDCO3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STRUCTURES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WATER CANADA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PACIFIC CATERING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CANADA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PREMIUM SERVICES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9" w:name="page20"/>
    <w:bookmarkEnd w:id="19"/>
    <w:p>
      <w:pPr>
        <w:ind w:left="4500"/>
        <w:spacing w:after="0"/>
        <w:rPr>
          <w:sz w:val="20"/>
          <w:szCs w:val="20"/>
          <w:color w:val="auto"/>
        </w:rPr>
      </w:pPr>
      <w:r>
        <w:rPr>
          <w:rFonts w:ascii="Arial" w:cs="Arial" w:eastAsia="Arial" w:hAnsi="Arial"/>
          <w:sz w:val="18"/>
          <w:szCs w:val="18"/>
          <w:color w:val="auto"/>
        </w:rPr>
        <w:t>NORTHERN METIS CATERING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BUFFALO METIS CATERING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INSTALLATIONS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CROWN SERVICES GP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CIVEO LODGE SERVICES LIMITED PARTNERSHIP</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CIVEO STRUCTURES EMPLOYEES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0" w:name="page21"/>
    <w:bookmarkEnd w:id="20"/>
    <w:p>
      <w:pPr>
        <w:ind w:left="4500"/>
        <w:spacing w:after="0"/>
        <w:rPr>
          <w:sz w:val="20"/>
          <w:szCs w:val="20"/>
          <w:color w:val="auto"/>
        </w:rPr>
      </w:pPr>
      <w:r>
        <w:rPr>
          <w:rFonts w:ascii="Arial" w:cs="Arial" w:eastAsia="Arial" w:hAnsi="Arial"/>
          <w:sz w:val="18"/>
          <w:szCs w:val="18"/>
          <w:color w:val="auto"/>
        </w:rPr>
        <w:t>CIVEO WATER CANADA EMPLOYEES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CIVEO PACIFIC CATERING EMPLOYEES LIMITED</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CIVEO PREMIUM SERVICES EMPLOYEES LIMITED</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CIVEO INSTALLATIONS EMPLOYEES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CIVEO CROWN SERVICES EMPLOYEES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CIVEO CANADA EMPLOYEES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1" w:name="page22"/>
    <w:bookmarkEnd w:id="21"/>
    <w:p>
      <w:pPr>
        <w:ind w:left="4500"/>
        <w:spacing w:after="0"/>
        <w:rPr>
          <w:sz w:val="20"/>
          <w:szCs w:val="20"/>
          <w:color w:val="auto"/>
        </w:rPr>
      </w:pPr>
      <w:r>
        <w:rPr>
          <w:rFonts w:ascii="Arial" w:cs="Arial" w:eastAsia="Arial" w:hAnsi="Arial"/>
          <w:sz w:val="18"/>
          <w:szCs w:val="18"/>
          <w:color w:val="auto"/>
        </w:rPr>
        <w:t>CIVEO STRUCTURES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892493 ALBERTA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892489 ALBERTA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Frank C. Steininger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CIVEO HOLDING COMPANY 2 PTY LTD</w:t>
            </w:r>
          </w:p>
        </w:tc>
      </w:tr>
      <w:tr>
        <w:trPr>
          <w:trHeight w:val="648"/>
        </w:trPr>
        <w:tc>
          <w:tcPr>
            <w:tcW w:w="5620" w:type="dxa"/>
            <w:vAlign w:val="bottom"/>
          </w:tcPr>
          <w:p>
            <w:pPr>
              <w:spacing w:after="0"/>
              <w:rPr>
                <w:sz w:val="20"/>
                <w:szCs w:val="20"/>
                <w:color w:val="auto"/>
              </w:rPr>
            </w:pPr>
            <w:r>
              <w:rPr>
                <w:rFonts w:ascii="Arial" w:cs="Arial" w:eastAsia="Arial" w:hAnsi="Arial"/>
                <w:sz w:val="18"/>
                <w:szCs w:val="18"/>
                <w:color w:val="auto"/>
              </w:rPr>
              <w:t>/s/ Bradley Dodson</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 Frank Steininger</w:t>
            </w:r>
          </w:p>
        </w:tc>
      </w:tr>
      <w:tr>
        <w:trPr>
          <w:trHeight w:val="224"/>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2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Bradley Dodson</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Frank C. Steininger</w:t>
            </w:r>
          </w:p>
        </w:tc>
      </w:tr>
      <w:tr>
        <w:trPr>
          <w:trHeight w:val="224"/>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c>
          <w:tcPr>
            <w:tcW w:w="2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r>
      <w:tr>
        <w:trPr>
          <w:trHeight w:val="634"/>
        </w:trPr>
        <w:tc>
          <w:tcPr>
            <w:tcW w:w="56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CIVEO PROPERTY PTY LTD</w:t>
            </w:r>
          </w:p>
        </w:tc>
      </w:tr>
    </w:tbl>
    <w:p>
      <w:pPr>
        <w:spacing w:after="0" w:line="200" w:lineRule="exact"/>
        <w:rPr>
          <w:sz w:val="20"/>
          <w:szCs w:val="20"/>
          <w:color w:val="auto"/>
        </w:rPr>
      </w:pPr>
    </w:p>
    <w:p>
      <w:pPr>
        <w:sectPr>
          <w:pgSz w:w="11900" w:h="16838" w:orient="portrait"/>
          <w:cols w:equalWidth="0" w:num="1">
            <w:col w:w="11420"/>
          </w:cols>
          <w:pgMar w:left="240" w:top="827"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Bradley Dodson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59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Bradley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Frank Steininger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42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Frank C. Steininger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827" w:right="239" w:bottom="1440" w:gutter="0" w:footer="0" w:header="0"/>
          <w:type w:val="continuous"/>
        </w:sect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CIVEO LINEN PTY LTD</w:t>
      </w:r>
    </w:p>
    <w:p>
      <w:pPr>
        <w:sectPr>
          <w:pgSz w:w="11900" w:h="16838" w:orient="portrait"/>
          <w:cols w:equalWidth="0" w:num="1">
            <w:col w:w="11420"/>
          </w:cols>
          <w:pgMar w:left="240" w:top="827"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Bradley Dodson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59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Bradley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 Frank Steininger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42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Frank C. Steininger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827" w:right="239" w:bottom="1440" w:gutter="0" w:footer="0" w:header="0"/>
          <w:type w:val="continuous"/>
        </w:sect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23" w:name="page24"/>
    <w:bookmarkEnd w:id="23"/>
    <w:p>
      <w:pPr>
        <w:ind w:left="450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Administrative Agent, U.S. Collateral Agent, Canadian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Administrative Agent and Canadian Collateral Agent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Ann Hurley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 w:name="page25"/>
    <w:bookmarkEnd w:id="24"/>
    <w:p>
      <w:pPr>
        <w:ind w:left="4500"/>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Australian Administrative Agent, Australian Collateral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Agent and an Issuing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Johnson Tse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5" w:name="page26"/>
    <w:bookmarkEnd w:id="25"/>
    <w:p>
      <w:pPr>
        <w:ind w:left="4500"/>
        <w:spacing w:after="0"/>
        <w:rPr>
          <w:sz w:val="20"/>
          <w:szCs w:val="20"/>
          <w:color w:val="auto"/>
        </w:rPr>
      </w:pPr>
      <w:r>
        <w:rPr>
          <w:rFonts w:ascii="Arial" w:cs="Arial" w:eastAsia="Arial" w:hAnsi="Arial"/>
          <w:sz w:val="16"/>
          <w:szCs w:val="16"/>
          <w:color w:val="auto"/>
        </w:rPr>
        <w:t>ROYAL BANK OF CANADA, as a U.S. Lender, the U.S.</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Jay T. Sartain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6" w:name="page27"/>
    <w:bookmarkEnd w:id="26"/>
    <w:p>
      <w:pPr>
        <w:ind w:left="4500"/>
        <w:spacing w:after="0"/>
        <w:rPr>
          <w:sz w:val="20"/>
          <w:szCs w:val="20"/>
          <w:color w:val="auto"/>
        </w:rPr>
      </w:pPr>
      <w:r>
        <w:rPr>
          <w:rFonts w:ascii="Arial" w:cs="Arial" w:eastAsia="Arial" w:hAnsi="Arial"/>
          <w:sz w:val="16"/>
          <w:szCs w:val="16"/>
          <w:color w:val="auto"/>
        </w:rPr>
        <w:t>ROYAL BANK OF CANADA, as a Canadian Lender, the</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Bryn Davies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Name:Bryn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 w:name="page28"/>
    <w:bookmarkEnd w:id="27"/>
    <w:p>
      <w:pPr>
        <w:ind w:left="4500"/>
        <w:spacing w:after="0"/>
        <w:rPr>
          <w:sz w:val="20"/>
          <w:szCs w:val="20"/>
          <w:color w:val="auto"/>
        </w:rPr>
      </w:pPr>
      <w:r>
        <w:rPr>
          <w:rFonts w:ascii="Arial" w:cs="Arial" w:eastAsia="Arial" w:hAnsi="Arial"/>
          <w:sz w:val="17"/>
          <w:szCs w:val="17"/>
          <w:color w:val="auto"/>
        </w:rPr>
        <w:t>ROYAL BANK OF CANADA, as an Australian Lender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Marcus Rayment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Name:Marcus Rayment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 w:name="page29"/>
    <w:bookmarkEnd w:id="28"/>
    <w:p>
      <w:pPr>
        <w:ind w:left="4500"/>
        <w:spacing w:after="0"/>
        <w:rPr>
          <w:sz w:val="20"/>
          <w:szCs w:val="20"/>
          <w:color w:val="auto"/>
        </w:rPr>
      </w:pPr>
      <w:r>
        <w:rPr>
          <w:rFonts w:ascii="Arial" w:cs="Arial" w:eastAsia="Arial" w:hAnsi="Arial"/>
          <w:sz w:val="16"/>
          <w:szCs w:val="16"/>
          <w:color w:val="auto"/>
        </w:rPr>
        <w:t>THE BANK OF NOVA SCOTIA, as a Canadian Lender</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Mark Sparrow</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9" w:name="page30"/>
    <w:bookmarkEnd w:id="29"/>
    <w:p>
      <w:pPr>
        <w:ind w:left="4500"/>
        <w:spacing w:after="0"/>
        <w:rPr>
          <w:sz w:val="20"/>
          <w:szCs w:val="20"/>
          <w:color w:val="auto"/>
        </w:rPr>
      </w:pPr>
      <w:r>
        <w:rPr>
          <w:rFonts w:ascii="Arial" w:cs="Arial" w:eastAsia="Arial" w:hAnsi="Arial"/>
          <w:sz w:val="18"/>
          <w:szCs w:val="18"/>
          <w:color w:val="auto"/>
        </w:rPr>
        <w:t>BNS ASIA LIMITED, as an Australian Lender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Mark Levia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Name:Mark Levia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Title: Director and Head of Credit Execution &amp; Head</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of BNS Asia Limited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0" w:name="page31"/>
    <w:bookmarkEnd w:id="30"/>
    <w:p>
      <w:pPr>
        <w:ind w:left="450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Branch, a Canadian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Dennis Dasilva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Name:Dennis Dasilva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Lindy Couillard</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Name:Lindy Couillard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1" w:name="page32"/>
    <w:bookmarkEnd w:id="31"/>
    <w:p>
      <w:pPr>
        <w:ind w:left="45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Michael W. Nygren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Name:Michael W. Nygren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 w:name="page33"/>
    <w:bookmarkEnd w:id="32"/>
    <w:p>
      <w:pPr>
        <w:ind w:left="4500"/>
        <w:spacing w:after="0"/>
        <w:rPr>
          <w:sz w:val="20"/>
          <w:szCs w:val="20"/>
          <w:color w:val="auto"/>
        </w:rPr>
      </w:pPr>
      <w:r>
        <w:rPr>
          <w:rFonts w:ascii="Arial" w:cs="Arial" w:eastAsia="Arial" w:hAnsi="Arial"/>
          <w:sz w:val="17"/>
          <w:szCs w:val="17"/>
          <w:color w:val="auto"/>
        </w:rPr>
        <w:t>THE TORONTO-DOMINION BANK, as a Canadian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 and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Ian McGuire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Name:Ian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Title: Director, Commercial National Accounts</w:t>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Curtis Neumann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Name:Curtis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Title: Director, Commercial National Accounts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 w:name="page34"/>
    <w:bookmarkEnd w:id="33"/>
    <w:p>
      <w:pPr>
        <w:jc w:val="right"/>
        <w:ind w:right="259"/>
        <w:spacing w:after="0"/>
        <w:rPr>
          <w:sz w:val="20"/>
          <w:szCs w:val="20"/>
          <w:color w:val="auto"/>
        </w:rPr>
      </w:pPr>
      <w:r>
        <w:rPr>
          <w:rFonts w:ascii="Arial" w:cs="Arial" w:eastAsia="Arial" w:hAnsi="Arial"/>
          <w:sz w:val="18"/>
          <w:szCs w:val="18"/>
          <w:color w:val="auto"/>
        </w:rPr>
        <w:t>TORONTO-DOMINION (TEXAS) LLC, as a U.S. Lender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Mark Narbey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Name:Mark Narbey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 w:name="page35"/>
    <w:bookmarkEnd w:id="34"/>
    <w:p>
      <w:pPr>
        <w:ind w:left="450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CANADA BRANCH, as a Canadian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Alfred Lee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Name:Alfred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U.S.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Ryo Suzuki</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Name:Ryo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6" w:name="page37"/>
    <w:bookmarkEnd w:id="36"/>
    <w:p>
      <w:pPr>
        <w:jc w:val="right"/>
        <w:ind w:right="859"/>
        <w:spacing w:after="0"/>
        <w:rPr>
          <w:sz w:val="20"/>
          <w:szCs w:val="20"/>
          <w:color w:val="auto"/>
        </w:rPr>
      </w:pPr>
      <w:r>
        <w:rPr>
          <w:rFonts w:ascii="Arial" w:cs="Arial" w:eastAsia="Arial" w:hAnsi="Arial"/>
          <w:sz w:val="18"/>
          <w:szCs w:val="18"/>
          <w:color w:val="auto"/>
        </w:rPr>
        <w:t>HSBC BANK USA, NATIONAL ASSOCIATION</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Patrick M. Hanley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Name:Patrick M.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7" w:name="page38"/>
    <w:bookmarkEnd w:id="37"/>
    <w:p>
      <w:pPr>
        <w:ind w:left="4500"/>
        <w:spacing w:after="0"/>
        <w:rPr>
          <w:sz w:val="20"/>
          <w:szCs w:val="20"/>
          <w:color w:val="auto"/>
        </w:rPr>
      </w:pPr>
      <w:r>
        <w:rPr>
          <w:rFonts w:ascii="Arial" w:cs="Arial" w:eastAsia="Arial" w:hAnsi="Arial"/>
          <w:sz w:val="17"/>
          <w:szCs w:val="17"/>
          <w:color w:val="auto"/>
        </w:rPr>
        <w:t>HSBC BANK CANADA, as a Canadian Lender</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Paul Irving</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Name:Paul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Marshall Curtis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Name:Marshall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Title: County Head, Loan Management Unit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8" w:name="page39"/>
    <w:bookmarkEnd w:id="38"/>
    <w:p>
      <w:pPr>
        <w:ind w:left="4500"/>
        <w:spacing w:after="0"/>
        <w:rPr>
          <w:sz w:val="20"/>
          <w:szCs w:val="20"/>
          <w:color w:val="auto"/>
        </w:rPr>
      </w:pPr>
      <w:r>
        <w:rPr>
          <w:rFonts w:ascii="Arial" w:cs="Arial" w:eastAsia="Arial" w:hAnsi="Arial"/>
          <w:sz w:val="17"/>
          <w:szCs w:val="17"/>
          <w:color w:val="auto"/>
        </w:rPr>
        <w:t>CAPITAL ONE, NATIONAL ASSOCIATION, as a U.S.</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 and Issuing Bank</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Matthew Brice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Name:Matthew Brice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9" w:name="page40"/>
    <w:bookmarkEnd w:id="39"/>
    <w:p>
      <w:pPr>
        <w:jc w:val="right"/>
        <w:ind w:right="1519"/>
        <w:spacing w:after="0"/>
        <w:rPr>
          <w:sz w:val="20"/>
          <w:szCs w:val="20"/>
          <w:color w:val="auto"/>
        </w:rPr>
      </w:pPr>
      <w:r>
        <w:rPr>
          <w:rFonts w:ascii="Arial" w:cs="Arial" w:eastAsia="Arial" w:hAnsi="Arial"/>
          <w:sz w:val="18"/>
          <w:szCs w:val="18"/>
          <w:color w:val="auto"/>
        </w:rPr>
        <w:t>ATB FINANCIAL,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Neil Ternovatsky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Name:Neil Ternovatsky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Jeff Lam</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Name:Jeff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0" w:name="page41"/>
    <w:bookmarkEnd w:id="40"/>
    <w:p>
      <w:pPr>
        <w:ind w:left="4500"/>
        <w:spacing w:after="0"/>
        <w:rPr>
          <w:sz w:val="20"/>
          <w:szCs w:val="20"/>
          <w:color w:val="auto"/>
        </w:rPr>
      </w:pPr>
      <w:r>
        <w:rPr>
          <w:rFonts w:ascii="Arial" w:cs="Arial" w:eastAsia="Arial" w:hAnsi="Arial"/>
          <w:sz w:val="17"/>
          <w:szCs w:val="17"/>
          <w:color w:val="auto"/>
        </w:rPr>
        <w:t>NATIONAL BANK OF CANADA, as a Canadian Lender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Jason Anderson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Name:Jason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Manager, Energy Services Group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Darrell Stelmack</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 Energy Services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1" w:name="page42"/>
    <w:bookmarkEnd w:id="41"/>
    <w:p>
      <w:pPr>
        <w:ind w:left="4500"/>
        <w:spacing w:after="0"/>
        <w:rPr>
          <w:sz w:val="20"/>
          <w:szCs w:val="20"/>
          <w:color w:val="auto"/>
        </w:rPr>
      </w:pPr>
      <w:r>
        <w:rPr>
          <w:rFonts w:ascii="Arial" w:cs="Arial" w:eastAsia="Arial" w:hAnsi="Arial"/>
          <w:sz w:val="16"/>
          <w:szCs w:val="16"/>
          <w:color w:val="auto"/>
        </w:rPr>
        <w:t>COMPASS BANK, as a U.S. Lender, a Canadian Lender,</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Michael Song</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Name:Michael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2" w:name="page43"/>
    <w:bookmarkEnd w:id="42"/>
    <w:p>
      <w:pPr>
        <w:jc w:val="right"/>
        <w:ind w:right="1399"/>
        <w:spacing w:after="0"/>
        <w:rPr>
          <w:sz w:val="20"/>
          <w:szCs w:val="20"/>
          <w:color w:val="auto"/>
        </w:rPr>
      </w:pPr>
      <w:r>
        <w:rPr>
          <w:rFonts w:ascii="Arial" w:cs="Arial" w:eastAsia="Arial" w:hAnsi="Arial"/>
          <w:sz w:val="18"/>
          <w:szCs w:val="18"/>
          <w:color w:val="auto"/>
        </w:rPr>
        <w:t>COMERICA BANK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Guy Culbertson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Name:Guy Culbertson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3" w:name="page44"/>
    <w:bookmarkEnd w:id="43"/>
    <w:p>
      <w:pPr>
        <w:ind w:left="4500"/>
        <w:spacing w:after="0"/>
        <w:rPr>
          <w:sz w:val="20"/>
          <w:szCs w:val="20"/>
          <w:color w:val="auto"/>
        </w:rPr>
      </w:pPr>
      <w:r>
        <w:rPr>
          <w:rFonts w:ascii="Arial" w:cs="Arial" w:eastAsia="Arial" w:hAnsi="Arial"/>
          <w:sz w:val="17"/>
          <w:szCs w:val="17"/>
          <w:color w:val="auto"/>
        </w:rPr>
        <w:t>CANADIAN WESTERN BANK, as a Canadian Lender</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Kuno Ryckborst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Name:Kuno Ryckborst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Title: Senior Manager, Energy &amp; Corporate Banking</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Amin Haque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Name:Amin Haque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Manager, Energy &amp; Corporate Banking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4" w:name="page45"/>
    <w:bookmarkEnd w:id="44"/>
    <w:p>
      <w:pPr>
        <w:jc w:val="right"/>
        <w:ind w:right="1899"/>
        <w:spacing w:after="0"/>
        <w:rPr>
          <w:sz w:val="20"/>
          <w:szCs w:val="20"/>
          <w:color w:val="auto"/>
        </w:rPr>
      </w:pPr>
      <w:r>
        <w:rPr>
          <w:rFonts w:ascii="Arial" w:cs="Arial" w:eastAsia="Arial" w:hAnsi="Arial"/>
          <w:sz w:val="18"/>
          <w:szCs w:val="18"/>
          <w:color w:val="auto"/>
        </w:rPr>
        <w:t>REGIONS BANK, as a U.S. Lender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Mike Zingraf</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Name;Mike Zingraf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5" w:name="page46"/>
    <w:bookmarkEnd w:id="45"/>
    <w:p>
      <w:pPr>
        <w:ind w:left="4500"/>
        <w:spacing w:after="0"/>
        <w:rPr>
          <w:sz w:val="20"/>
          <w:szCs w:val="20"/>
          <w:color w:val="auto"/>
        </w:rPr>
      </w:pPr>
      <w:r>
        <w:rPr>
          <w:rFonts w:ascii="Arial" w:cs="Arial" w:eastAsia="Arial" w:hAnsi="Arial"/>
          <w:sz w:val="17"/>
          <w:szCs w:val="17"/>
          <w:color w:val="auto"/>
        </w:rPr>
        <w:t>THE HUNTINGTON NATIONAL BANK, as successor in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interest by merger to FirstMerit Bank, N.A., as a U.S.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Jason Schachter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Name:Jason Schachter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2546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Third Amendment to Syndicated Facility Agreement</w:t>
      </w:r>
    </w:p>
    <w:sectPr>
      <w:pgSz w:w="11900" w:h="16838" w:orient="portrait"/>
      <w:cols w:equalWidth="0" w:num="1">
        <w:col w:w="9019"/>
      </w:cols>
      <w:pgMar w:left="14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1."/>
      <w:numFmt w:val="upp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1)"/>
      <w:numFmt w:val="lowerLetter"/>
      <w:start w:val="3"/>
    </w:lvl>
  </w:abstractNum>
  <w:abstractNum w:abstractNumId="7">
    <w:nsid w:val="431BD7B7"/>
    <w:multiLevelType w:val="hybridMultilevel"/>
    <w:lvl w:ilvl="0">
      <w:lvlJc w:val="left"/>
      <w:lvlText w:val="(%1)"/>
      <w:numFmt w:val="lowerLetter"/>
      <w:start w:val="4"/>
    </w:lvl>
  </w:abstractNum>
  <w:abstractNum w:abstractNumId="8">
    <w:nsid w:val="3F2DBA31"/>
    <w:multiLevelType w:val="hybridMultilevel"/>
    <w:lvl w:ilvl="0">
      <w:lvlJc w:val="left"/>
      <w:lvlText w:val="(%1)"/>
      <w:numFmt w:val="lowerLetter"/>
      <w:start w:val="5"/>
    </w:lvl>
  </w:abstractNum>
  <w:abstractNum w:abstractNumId="9">
    <w:nsid w:val="7C83E458"/>
    <w:multiLevelType w:val="hybridMultilevel"/>
    <w:lvl w:ilvl="0">
      <w:lvlJc w:val="left"/>
      <w:lvlText w:val="(%1)"/>
      <w:numFmt w:val="lowerRoman"/>
      <w:start w:val="2"/>
    </w:lvl>
  </w:abstractNum>
  <w:abstractNum w:abstractNumId="10">
    <w:nsid w:val="257130A3"/>
    <w:multiLevelType w:val="hybridMultilevel"/>
    <w:lvl w:ilvl="0">
      <w:lvlJc w:val="left"/>
      <w:lvlText w:val="(%1)"/>
      <w:numFmt w:val="lowerLetter"/>
      <w:start w:val="6"/>
    </w:lvl>
  </w:abstractNum>
  <w:abstractNum w:abstractNumId="11">
    <w:nsid w:val="62BBD95A"/>
    <w:multiLevelType w:val="hybridMultilevel"/>
    <w:lvl w:ilvl="0">
      <w:lvlJc w:val="left"/>
      <w:lvlText w:val="(%1)"/>
      <w:numFmt w:val="lowerLetter"/>
      <w:start w:val="7"/>
    </w:lvl>
  </w:abstractNum>
  <w:abstractNum w:abstractNumId="12">
    <w:nsid w:val="436C6125"/>
    <w:multiLevelType w:val="hybridMultilevel"/>
    <w:lvl w:ilvl="0">
      <w:lvlJc w:val="left"/>
      <w:lvlText w:val="(%1)"/>
      <w:numFmt w:val="lowerLetter"/>
      <w:start w:val="8"/>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Letter"/>
      <w:start w:val="10"/>
    </w:lvl>
  </w:abstractNum>
  <w:abstractNum w:abstractNumId="15">
    <w:nsid w:val="721DA317"/>
    <w:multiLevelType w:val="hybridMultilevel"/>
    <w:lvl w:ilvl="0">
      <w:lvlJc w:val="left"/>
      <w:lvlText w:val="(%1)"/>
      <w:numFmt w:val="lowerRoman"/>
      <w:start w:val="1"/>
    </w:lvl>
    <w:lvl w:ilvl="1">
      <w:lvlJc w:val="left"/>
      <w:lvlText w:val="(%2)"/>
      <w:numFmt w:val="upperLetter"/>
      <w:start w:val="1"/>
    </w:lvl>
  </w:abstractNum>
  <w:abstractNum w:abstractNumId="16">
    <w:nsid w:val="2443A858"/>
    <w:multiLevelType w:val="hybridMultilevel"/>
    <w:lvl w:ilvl="0">
      <w:lvlJc w:val="left"/>
      <w:lvlText w:val="%1"/>
      <w:numFmt w:val="upperLetter"/>
      <w:start w:val="1"/>
    </w:lvl>
    <w:lvl w:ilvl="1">
      <w:lvlJc w:val="left"/>
      <w:lvlText w:val="(%2)"/>
      <w:numFmt w:val="upperLetter"/>
      <w:start w:val="3"/>
    </w:lvl>
  </w:abstractNum>
  <w:abstractNum w:abstractNumId="17">
    <w:nsid w:val="2D1D5AE9"/>
    <w:multiLevelType w:val="hybridMultilevel"/>
    <w:lvl w:ilvl="0">
      <w:lvlJc w:val="left"/>
      <w:lvlText w:val="(%1)"/>
      <w:numFmt w:val="upperLetter"/>
      <w:start w:val="1"/>
    </w:lvl>
    <w:lvl w:ilvl="1">
      <w:lvlJc w:val="left"/>
      <w:lvlText w:val="%2"/>
      <w:numFmt w:val="upperLetter"/>
      <w:start w:val="1"/>
    </w:lvl>
  </w:abstractNum>
  <w:abstractNum w:abstractNumId="18">
    <w:nsid w:val="6763845E"/>
    <w:multiLevelType w:val="hybridMultilevel"/>
    <w:lvl w:ilvl="0">
      <w:lvlJc w:val="left"/>
      <w:lvlText w:val="(%1)"/>
      <w:numFmt w:val="lowerLetter"/>
      <w:start w:val="35"/>
    </w:lvl>
    <w:lvl w:ilvl="1">
      <w:lvlJc w:val="left"/>
      <w:lvlText w:val="(%2)"/>
      <w:numFmt w:val="lowerLetter"/>
      <w:start w:val="11"/>
    </w:lvl>
  </w:abstractNum>
  <w:abstractNum w:abstractNumId="19">
    <w:nsid w:val="75A2A8D4"/>
    <w:multiLevelType w:val="hybridMultilevel"/>
    <w:lvl w:ilvl="0">
      <w:lvlJc w:val="left"/>
      <w:lvlText w:val="(%1)"/>
      <w:numFmt w:val="lowerLetter"/>
      <w:start w:val="61"/>
    </w:lvl>
    <w:lvl w:ilvl="1">
      <w:lvlJc w:val="left"/>
      <w:lvlText w:val="(%2)"/>
      <w:numFmt w:val="lowerLetter"/>
      <w:start w:val="13"/>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1)"/>
      <w:numFmt w:val="lowerLetter"/>
      <w:start w:val="11"/>
    </w:lvl>
  </w:abstractNum>
  <w:abstractNum w:abstractNumId="23">
    <w:nsid w:val="B03E0C6"/>
    <w:multiLevelType w:val="hybridMultilevel"/>
    <w:lvl w:ilvl="0">
      <w:lvlJc w:val="left"/>
      <w:lvlText w:val="(%1)"/>
      <w:numFmt w:val="lowerLetter"/>
      <w:start w:val="13"/>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2019-12-07T21:29:35Z</dcterms:created>
  <dcterms:modified xsi:type="dcterms:W3CDTF">2019-12-07T21:29:35Z</dcterms:modified>
</cp:coreProperties>
</file>