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September 30, 2022</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6" w:lineRule="exact"/>
        <w:rPr>
          <w:sz w:val="24"/>
          <w:szCs w:val="24"/>
          <w:color w:val="auto"/>
        </w:rPr>
      </w:pPr>
    </w:p>
    <w:p>
      <w:pPr>
        <w:ind w:left="1280" w:hanging="786"/>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41275</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3"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British Columbia, Canada</w:t>
            </w:r>
          </w:p>
        </w:tc>
        <w:tc>
          <w:tcPr>
            <w:tcW w:w="1100" w:type="dxa"/>
            <w:vAlign w:val="bottom"/>
          </w:tcPr>
          <w:p>
            <w:pPr>
              <w:spacing w:after="0"/>
              <w:rPr>
                <w:sz w:val="17"/>
                <w:szCs w:val="17"/>
                <w:color w:val="auto"/>
              </w:rPr>
            </w:pPr>
          </w:p>
        </w:tc>
        <w:tc>
          <w:tcPr>
            <w:tcW w:w="424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40" w:type="dxa"/>
            <w:vAlign w:val="bottom"/>
            <w:gridSpan w:val="5"/>
          </w:tcPr>
          <w:p>
            <w:pPr>
              <w:jc w:val="center"/>
              <w:ind w:left="283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4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(Zip Code)</w:t>
            </w:r>
          </w:p>
        </w:tc>
      </w:tr>
      <w:tr>
        <w:trPr>
          <w:trHeight w:val="228"/>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8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3"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1"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7"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1"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50" w:lineRule="exact"/>
        <w:rPr>
          <w:sz w:val="24"/>
          <w:szCs w:val="24"/>
          <w:color w:val="auto"/>
        </w:rPr>
      </w:pPr>
    </w:p>
    <w:p>
      <w:pPr>
        <w:ind w:right="320"/>
        <w:spacing w:after="0" w:line="20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573405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13,712,661 common shares outstanding as of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2"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shd w:val="clear" w:color="auto" w:fill="CCEEFF"/>
          </w:tcPr>
          <w:p>
            <w:pPr>
              <w:spacing w:after="0"/>
              <w:rPr>
                <w:sz w:val="17"/>
                <w:szCs w:val="17"/>
                <w:color w:val="auto"/>
              </w:rPr>
            </w:pPr>
          </w:p>
        </w:tc>
        <w:tc>
          <w:tcPr>
            <w:tcW w:w="10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2022 and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460" w:type="dxa"/>
            <w:vAlign w:val="bottom"/>
            <w:shd w:val="clear" w:color="auto" w:fill="CCEEFF"/>
          </w:tcPr>
          <w:p>
            <w:pPr>
              <w:spacing w:after="0"/>
              <w:rPr>
                <w:sz w:val="12"/>
                <w:szCs w:val="12"/>
                <w:color w:val="auto"/>
              </w:rPr>
            </w:pPr>
          </w:p>
        </w:tc>
        <w:tc>
          <w:tcPr>
            <w:tcW w:w="106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Nine Months Ended September 30, 2022 and 2021</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460" w:type="dxa"/>
            <w:vAlign w:val="bottom"/>
            <w:tcBorders>
              <w:top w:val="single" w:sz="8" w:color="CCEEFF"/>
            </w:tcBorders>
            <w:shd w:val="clear" w:color="auto" w:fill="CCEEFF"/>
          </w:tcPr>
          <w:p>
            <w:pPr>
              <w:spacing w:after="0"/>
              <w:rPr>
                <w:sz w:val="2"/>
                <w:szCs w:val="2"/>
                <w:color w:val="auto"/>
              </w:rPr>
            </w:pPr>
          </w:p>
        </w:tc>
        <w:tc>
          <w:tcPr>
            <w:tcW w:w="10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September 30, 2022 (unaudited) and December 31,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460" w:type="dxa"/>
            <w:vAlign w:val="bottom"/>
            <w:shd w:val="clear" w:color="auto" w:fill="CCEEFF"/>
          </w:tcPr>
          <w:p>
            <w:pPr>
              <w:spacing w:after="0"/>
              <w:rPr>
                <w:sz w:val="12"/>
                <w:szCs w:val="12"/>
                <w:color w:val="auto"/>
              </w:rPr>
            </w:pPr>
          </w:p>
        </w:tc>
        <w:tc>
          <w:tcPr>
            <w:tcW w:w="1062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Nine Months Ended September 30, 2022 and 2021</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460" w:type="dxa"/>
            <w:vAlign w:val="bottom"/>
            <w:tcBorders>
              <w:top w:val="single" w:sz="8" w:color="CCEEFF"/>
            </w:tcBorders>
            <w:shd w:val="clear" w:color="auto" w:fill="CCEEFF"/>
          </w:tcPr>
          <w:p>
            <w:pPr>
              <w:spacing w:after="0"/>
              <w:rPr>
                <w:sz w:val="2"/>
                <w:szCs w:val="2"/>
                <w:color w:val="auto"/>
              </w:rPr>
            </w:pPr>
          </w:p>
        </w:tc>
        <w:tc>
          <w:tcPr>
            <w:tcW w:w="10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2022 and 2021</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460" w:type="dxa"/>
            <w:vAlign w:val="bottom"/>
            <w:shd w:val="clear" w:color="auto" w:fill="CCEEFF"/>
          </w:tcPr>
          <w:p>
            <w:pPr>
              <w:spacing w:after="0"/>
              <w:rPr>
                <w:sz w:val="15"/>
                <w:szCs w:val="15"/>
                <w:color w:val="auto"/>
              </w:rPr>
            </w:pPr>
          </w:p>
        </w:tc>
        <w:tc>
          <w:tcPr>
            <w:tcW w:w="106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20</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20</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46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w:t>
            </w:r>
          </w:p>
        </w:tc>
        <w:tc>
          <w:tcPr>
            <w:tcW w:w="10620" w:type="dxa"/>
            <w:vAlign w:val="bottom"/>
            <w:tcBorders>
              <w:bottom w:val="single" w:sz="8" w:color="CCEEFF"/>
            </w:tcBorders>
            <w:shd w:val="clear" w:color="auto" w:fill="CCEEFF"/>
          </w:tcPr>
          <w:p>
            <w:pPr>
              <w:ind w:left="60"/>
              <w:spacing w:after="0" w:line="144" w:lineRule="exact"/>
              <w:rPr>
                <w:sz w:val="20"/>
                <w:szCs w:val="20"/>
                <w:color w:val="auto"/>
              </w:rPr>
            </w:pPr>
            <w:r>
              <w:rPr>
                <w:rFonts w:ascii="Times New Roman" w:cs="Times New Roman" w:eastAsia="Times New Roman" w:hAnsi="Times New Roman"/>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46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106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6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 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w:t>
            </w:r>
          </w:p>
        </w:tc>
        <w:tc>
          <w:tcPr>
            <w:tcW w:w="106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6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60" w:type="dxa"/>
            <w:vAlign w:val="bottom"/>
            <w:shd w:val="clear" w:color="auto" w:fill="CCEEFF"/>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460" w:type="dxa"/>
            <w:vAlign w:val="bottom"/>
          </w:tcPr>
          <w:p>
            <w:pPr>
              <w:spacing w:after="0"/>
              <w:rPr>
                <w:sz w:val="12"/>
                <w:szCs w:val="12"/>
                <w:color w:val="auto"/>
              </w:rPr>
            </w:pPr>
          </w:p>
        </w:tc>
        <w:tc>
          <w:tcPr>
            <w:tcW w:w="106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r>
        <w:trPr>
          <w:trHeight w:val="32"/>
        </w:trPr>
        <w:tc>
          <w:tcPr>
            <w:tcW w:w="460" w:type="dxa"/>
            <w:vAlign w:val="bottom"/>
          </w:tcPr>
          <w:p>
            <w:pPr>
              <w:spacing w:after="0"/>
              <w:rPr>
                <w:sz w:val="2"/>
                <w:szCs w:val="2"/>
                <w:color w:val="auto"/>
              </w:rPr>
            </w:pPr>
          </w:p>
        </w:tc>
        <w:tc>
          <w:tcPr>
            <w:tcW w:w="10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40</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4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7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and other</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177,504</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150,081</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514,328</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419,861</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Rental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w:t>
            </w:r>
          </w:p>
        </w:tc>
      </w:tr>
      <w:tr>
        <w:trPr>
          <w:trHeight w:val="19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w:t>
            </w:r>
          </w:p>
        </w:tc>
      </w:tr>
      <w:tr>
        <w:trPr>
          <w:trHeight w:val="196"/>
        </w:trPr>
        <w:tc>
          <w:tcPr>
            <w:tcW w:w="6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184,227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534,859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434,669</w:t>
            </w:r>
          </w:p>
        </w:tc>
      </w:tr>
      <w:tr>
        <w:trPr>
          <w:trHeight w:val="16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373,123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307,198</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Rental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10,523</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46,204</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62,928</w:t>
            </w: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19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0"/>
        </w:trPr>
        <w:tc>
          <w:tcPr>
            <w:tcW w:w="6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173,442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505,595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436,431</w:t>
            </w: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w:t>
            </w:r>
          </w:p>
        </w:tc>
      </w:tr>
      <w:tr>
        <w:trPr>
          <w:trHeight w:val="19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w:t>
            </w:r>
          </w:p>
        </w:tc>
      </w:tr>
      <w:tr>
        <w:trPr>
          <w:trHeight w:val="19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w:t>
            </w:r>
          </w:p>
        </w:tc>
      </w:tr>
      <w:tr>
        <w:trPr>
          <w:trHeight w:val="19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Dividends attributable to Class A preferred shares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w:t>
            </w:r>
          </w:p>
        </w:tc>
      </w:tr>
      <w:tr>
        <w:trPr>
          <w:trHeight w:val="22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common shareholders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10"/>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r>
      <w:tr>
        <w:trPr>
          <w:trHeight w:val="20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w:t>
            </w:r>
          </w:p>
        </w:tc>
      </w:tr>
    </w:tbl>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480" w:top="1377"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0"/>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5"/>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w:t>
            </w:r>
          </w:p>
        </w:tc>
      </w:tr>
      <w:tr>
        <w:trPr>
          <w:trHeight w:val="131"/>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0"/>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(15,417)</w:t>
            </w: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loss, net of taxes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r>
      <w:tr>
        <w:trPr>
          <w:trHeight w:val="131"/>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(23,810)</w:t>
            </w:r>
          </w:p>
        </w:tc>
      </w:tr>
      <w:tr>
        <w:trPr>
          <w:trHeight w:val="190"/>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Civeo Corporation</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66040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1377"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Assets held for sale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3"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320" w:type="dxa"/>
            <w:vAlign w:val="bottom"/>
            <w:gridSpan w:val="2"/>
          </w:tcPr>
          <w:p>
            <w:pPr>
              <w:jc w:val="right"/>
              <w:ind w:right="3730"/>
              <w:spacing w:after="0"/>
              <w:rPr>
                <w:sz w:val="20"/>
                <w:szCs w:val="20"/>
                <w:color w:val="auto"/>
              </w:rPr>
            </w:pPr>
            <w:r>
              <w:rPr>
                <w:rFonts w:ascii="Times New Roman" w:cs="Times New Roman" w:eastAsia="Times New Roman" w:hAnsi="Times New Roman"/>
                <w:sz w:val="14"/>
                <w:szCs w:val="14"/>
                <w:color w:val="auto"/>
                <w:w w:val="98"/>
              </w:rPr>
              <w:t>ASSETS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50"/>
        </w:trPr>
        <w:tc>
          <w:tcPr>
            <w:tcW w:w="43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114,859</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6,876</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10,946</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157,193</w:t>
            </w:r>
          </w:p>
        </w:tc>
      </w:tr>
      <w:tr>
        <w:trPr>
          <w:trHeight w:val="344"/>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389,996</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r>
      <w:tr>
        <w:trPr>
          <w:trHeight w:val="23"/>
        </w:trPr>
        <w:tc>
          <w:tcPr>
            <w:tcW w:w="43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4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583,329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672,734</w:t>
            </w:r>
          </w:p>
        </w:tc>
      </w:tr>
      <w:tr>
        <w:trPr>
          <w:trHeight w:val="26"/>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-2120265</wp:posOffset>
            </wp:positionV>
            <wp:extent cx="7098030"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-1895475</wp:posOffset>
            </wp:positionV>
            <wp:extent cx="7098030"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-1645920</wp:posOffset>
            </wp:positionV>
            <wp:extent cx="7098030"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-1397000</wp:posOffset>
            </wp:positionV>
            <wp:extent cx="7098030"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-1147445</wp:posOffset>
            </wp:positionV>
            <wp:extent cx="7098030"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-889635</wp:posOffset>
            </wp:positionV>
            <wp:extent cx="7098030"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969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-664845</wp:posOffset>
            </wp:positionV>
            <wp:extent cx="7098030"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-415290</wp:posOffset>
            </wp:positionV>
            <wp:extent cx="7098030"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-165735</wp:posOffset>
            </wp:positionV>
            <wp:extent cx="7098030" cy="149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986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-95885</wp:posOffset>
            </wp:positionV>
            <wp:extent cx="7098030"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2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520"/>
            <w:col w:w="8720"/>
          </w:cols>
          <w:pgMar w:left="480" w:top="1377"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46,225</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33,564</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30,576</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18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136,918</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96,727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142,602</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15,429</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13,778</w:t>
            </w:r>
          </w:p>
        </w:tc>
        <w:tc>
          <w:tcPr>
            <w:tcW w:w="0" w:type="dxa"/>
            <w:vAlign w:val="bottom"/>
          </w:tcPr>
          <w:p>
            <w:pPr>
              <w:spacing w:after="0"/>
              <w:rPr>
                <w:sz w:val="1"/>
                <w:szCs w:val="1"/>
                <w:color w:val="auto"/>
              </w:rPr>
            </w:pPr>
          </w:p>
        </w:tc>
      </w:tr>
      <w:tr>
        <w:trPr>
          <w:trHeight w:val="183"/>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247,132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309,623</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Preferred shares (Class A Series 1, no par value; 50,000,000 shares authorized, 9,042 shares issued and outstanding, aggregate</w:t>
            </w:r>
          </w:p>
        </w:tc>
        <w:tc>
          <w:tcPr>
            <w:tcW w:w="5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61,941</w:t>
            </w:r>
          </w:p>
        </w:tc>
        <w:tc>
          <w:tcPr>
            <w:tcW w:w="0" w:type="dxa"/>
            <w:vAlign w:val="bottom"/>
          </w:tcPr>
          <w:p>
            <w:pPr>
              <w:spacing w:after="0"/>
              <w:rPr>
                <w:sz w:val="1"/>
                <w:szCs w:val="1"/>
                <w:color w:val="auto"/>
              </w:rPr>
            </w:pPr>
          </w:p>
        </w:tc>
      </w:tr>
      <w:tr>
        <w:trPr>
          <w:trHeight w:val="19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liquidation preference of $98,907,587 and $97,438,687 as of September 30, 2022 and December 31, 2021, respectively)</w:t>
            </w:r>
          </w:p>
        </w:tc>
        <w:tc>
          <w:tcPr>
            <w:tcW w:w="5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(no par value; 46,000,000 shares authorized, 14,079,336 shares and 14,431,819 shares issued, respectively, and</w:t>
            </w:r>
          </w:p>
        </w:tc>
        <w:tc>
          <w:tcPr>
            <w:tcW w:w="5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13,712,661 shares and 14,111,221 shares outstanding, respectively)</w:t>
            </w: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1,585,303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1,582,442</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(911,934)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(912,951)</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366,675 and 320,598 shares, respectively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(394,408)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(361,883)</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333,308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361,499</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0" w:type="dxa"/>
            <w:vAlign w:val="bottom"/>
          </w:tcPr>
          <w:p>
            <w:pPr>
              <w:spacing w:after="0"/>
              <w:rPr>
                <w:sz w:val="1"/>
                <w:szCs w:val="1"/>
                <w:color w:val="auto"/>
              </w:rPr>
            </w:pPr>
          </w:p>
        </w:tc>
      </w:tr>
      <w:tr>
        <w:trPr>
          <w:trHeight w:val="19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336,197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363,111</w:t>
            </w:r>
          </w:p>
        </w:tc>
        <w:tc>
          <w:tcPr>
            <w:tcW w:w="0" w:type="dxa"/>
            <w:vAlign w:val="bottom"/>
          </w:tcPr>
          <w:p>
            <w:pPr>
              <w:spacing w:after="0"/>
              <w:rPr>
                <w:sz w:val="1"/>
                <w:szCs w:val="1"/>
                <w:color w:val="auto"/>
              </w:rPr>
            </w:pPr>
          </w:p>
        </w:tc>
      </w:tr>
      <w:tr>
        <w:trPr>
          <w:trHeight w:val="196"/>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583,329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672,734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1180"/>
          </w:cols>
          <w:pgMar w:left="480" w:top="137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480" w:top="1377" w:right="239" w:bottom="1440" w:gutter="0" w:footer="0" w:header="0"/>
          <w:type w:val="continuous"/>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5"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80" w:type="dxa"/>
            <w:vAlign w:val="bottom"/>
          </w:tcPr>
          <w:p>
            <w:pPr>
              <w:spacing w:after="0" w:line="20" w:lineRule="exact"/>
              <w:rPr>
                <w:sz w:val="1"/>
                <w:szCs w:val="1"/>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7"/>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078345"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8345" cy="133350"/>
                    </a:xfrm>
                    <a:prstGeom prst="rect">
                      <a:avLst/>
                    </a:prstGeom>
                    <a:noFill/>
                  </pic:spPr>
                </pic:pic>
              </a:graphicData>
            </a:graphic>
          </wp:anchor>
        </w:drawing>
      </w:r>
    </w:p>
    <w:p>
      <w:pPr>
        <w:sectPr>
          <w:pgSz w:w="11900" w:h="16838" w:orient="portrait"/>
          <w:cols w:equalWidth="0" w:num="1">
            <w:col w:w="11160"/>
          </w:cols>
          <w:pgMar w:left="320" w:top="1377" w:right="419" w:bottom="1440" w:gutter="0" w:footer="0" w:header="0"/>
        </w:sectPr>
      </w:pPr>
    </w:p>
    <w:tbl>
      <w:tblPr>
        <w:tblLayout w:type="fixed"/>
        <w:tblInd w:w="20" w:type="dxa"/>
        <w:tblCellMar>
          <w:top w:w="0" w:type="dxa"/>
          <w:left w:w="0" w:type="dxa"/>
          <w:bottom w:w="0" w:type="dxa"/>
          <w:right w:w="0" w:type="dxa"/>
        </w:tblCellMar>
      </w:tblPr>
      <w:tr>
        <w:trPr>
          <w:trHeight w:val="19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60,974</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1,580,213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61,456</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1,581,248</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62,918</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1,584,416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63,410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1,585,303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60,016</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1,578,315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61,456</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1,581,248</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61,941</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1,582,442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Dividends attributable to Class A preferred</w:t>
            </w:r>
          </w:p>
        </w:tc>
        <w:tc>
          <w:tcPr>
            <w:tcW w:w="2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repurchased</w:t>
            </w:r>
          </w:p>
        </w:tc>
        <w:tc>
          <w:tcPr>
            <w:tcW w:w="2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63,410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1,585,303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-4391025</wp:posOffset>
            </wp:positionV>
            <wp:extent cx="7078345" cy="12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-4141470</wp:posOffset>
            </wp:positionV>
            <wp:extent cx="7078345" cy="207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-3808730</wp:posOffset>
            </wp:positionV>
            <wp:extent cx="7078345"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-3343275</wp:posOffset>
            </wp:positionV>
            <wp:extent cx="7078345" cy="12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-3093720</wp:posOffset>
            </wp:positionV>
            <wp:extent cx="7078345"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-2760980</wp:posOffset>
            </wp:positionV>
            <wp:extent cx="7078345" cy="124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-2294890</wp:posOffset>
            </wp:positionV>
            <wp:extent cx="7078345" cy="124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-2045335</wp:posOffset>
            </wp:positionV>
            <wp:extent cx="7078345" cy="124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7078345" cy="207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-1463040</wp:posOffset>
            </wp:positionV>
            <wp:extent cx="707834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-997585</wp:posOffset>
            </wp:positionV>
            <wp:extent cx="707834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-748030</wp:posOffset>
            </wp:positionV>
            <wp:extent cx="7078345" cy="124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078345" cy="124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7078345"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34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-1188720</wp:posOffset>
            </wp:positionV>
            <wp:extent cx="707834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8345" cy="66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-2511425</wp:posOffset>
            </wp:positionV>
            <wp:extent cx="7078345" cy="149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8345"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-3534410</wp:posOffset>
            </wp:positionV>
            <wp:extent cx="7078345" cy="66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8345" cy="6667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5"/>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9,042</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14,111</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9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9,042</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13,713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(918,156)</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(352,171)</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363,405</w:t>
            </w:r>
          </w:p>
        </w:tc>
        <w:tc>
          <w:tcPr>
            <w:tcW w:w="0" w:type="dxa"/>
            <w:vAlign w:val="bottom"/>
          </w:tcPr>
          <w:p>
            <w:pPr>
              <w:spacing w:after="0"/>
              <w:rPr>
                <w:sz w:val="1"/>
                <w:szCs w:val="1"/>
                <w:color w:val="auto"/>
              </w:rPr>
            </w:pPr>
          </w:p>
        </w:tc>
      </w:tr>
      <w:tr>
        <w:trPr>
          <w:trHeight w:val="185"/>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544</w:t>
            </w:r>
          </w:p>
        </w:tc>
        <w:tc>
          <w:tcPr>
            <w:tcW w:w="2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(445)</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(918,539)</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(364,360)</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352,785</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(903,492)</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(373,841)</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2,582</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363,520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5,717</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(492)</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(13,667)</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(911,934)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(394,408)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336,197</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(907,727)</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(6,930)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(348,989)</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375,357</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(8,927)</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(1,440)</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(445)</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(918,539)</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(364,360)</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352,785</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(912,951)</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(8,050)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(361,883)</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1,612</w:t>
            </w:r>
          </w:p>
        </w:tc>
        <w:tc>
          <w:tcPr>
            <w:tcW w:w="100" w:type="dxa"/>
            <w:vAlign w:val="bottom"/>
          </w:tcPr>
          <w:p>
            <w:pPr>
              <w:spacing w:after="0"/>
              <w:rPr>
                <w:sz w:val="21"/>
                <w:szCs w:val="21"/>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363,111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16,695</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327"/>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(1,469)</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(14,209)</w:t>
            </w:r>
          </w:p>
        </w:tc>
        <w:tc>
          <w:tcPr>
            <w:tcW w:w="22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(911,934)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(394,408)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336,197</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640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-1205230</wp:posOffset>
            </wp:positionV>
            <wp:extent cx="640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-1338580</wp:posOffset>
            </wp:positionV>
            <wp:extent cx="640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-2353310</wp:posOffset>
            </wp:positionV>
            <wp:extent cx="640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-3550920</wp:posOffset>
            </wp:positionV>
            <wp:extent cx="640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-3684270</wp:posOffset>
            </wp:positionV>
            <wp:extent cx="6407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640" w:lineRule="exact"/>
        <w:rPr>
          <w:sz w:val="20"/>
          <w:szCs w:val="20"/>
          <w:color w:val="auto"/>
        </w:rPr>
      </w:pPr>
    </w:p>
    <w:p>
      <w:pPr>
        <w:sectPr>
          <w:pgSz w:w="11900" w:h="16838" w:orient="portrait"/>
          <w:cols w:equalWidth="0" w:num="2">
            <w:col w:w="5720" w:space="340"/>
            <w:col w:w="5100"/>
          </w:cols>
          <w:pgMar w:left="320" w:top="1377" w:right="419" w:bottom="1440" w:gutter="0" w:footer="0" w:header="0"/>
          <w:type w:val="continuous"/>
        </w:sect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1160"/>
          </w:cols>
          <w:pgMar w:left="320" w:top="137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77" w:right="419" w:bottom="1440" w:gutter="0" w:footer="0" w:header="0"/>
          <w:type w:val="continuous"/>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18,401</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62,928</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(benefit) for credit losses, net of recoveries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w:t>
            </w: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w:t>
            </w: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6,843</w:t>
            </w:r>
          </w:p>
        </w:tc>
      </w:tr>
      <w:tr>
        <w:trPr>
          <w:trHeight w:val="18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63,241</w:t>
            </w:r>
          </w:p>
        </w:tc>
      </w:tr>
      <w:tr>
        <w:trPr>
          <w:trHeight w:val="112"/>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7,545</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r>
      <w:tr>
        <w:trPr>
          <w:trHeight w:val="112"/>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367,622</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(219,775)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(305,148)</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 loan repayments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(117,595)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w:t>
            </w:r>
          </w:p>
        </w:tc>
      </w:tr>
      <w:tr>
        <w:trPr>
          <w:trHeight w:val="19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(61,093)</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r>
      <w:tr>
        <w:trPr>
          <w:trHeight w:val="18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19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r>
      <w:tr>
        <w:trPr>
          <w:trHeight w:val="92"/>
        </w:trPr>
        <w:tc>
          <w:tcPr>
            <w:tcW w:w="8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dividends paid-in-kind</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r>
    </w:tbl>
    <w:p>
      <w:pPr>
        <w:spacing w:after="0" w:line="20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7"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Our full suite of hospitality services for our guests includes lodging, catering and food service, housekeeping and maintenance at accommodation facilities that we or our customers own. In many cases, we provide services that support the day-to-day operations,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financial statements included in this report should be read in conjunction with our audited financial statements and accompanying notes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6" w:lineRule="exact"/>
        <w:rPr>
          <w:sz w:val="20"/>
          <w:szCs w:val="20"/>
          <w:color w:val="auto"/>
        </w:rPr>
      </w:pPr>
    </w:p>
    <w:p>
      <w:pPr>
        <w:ind w:right="440" w:firstLine="472"/>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three reportable segments: Canada, Australia and the U.S., and major categories for the periods indicated (in thousands):</w:t>
      </w:r>
    </w:p>
    <w:tbl>
      <w:tblPr>
        <w:tblLayout w:type="fixed"/>
        <w:tblInd w:w="48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3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140" w:type="dxa"/>
            <w:vAlign w:val="bottom"/>
            <w:gridSpan w:val="4"/>
          </w:tcPr>
          <w:p>
            <w:pPr>
              <w:jc w:val="right"/>
              <w:ind w:right="301"/>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9"/>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r>
      <w:tr>
        <w:trPr>
          <w:trHeight w:val="203"/>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72,724</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60,511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219,349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15,276</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84,057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307,984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105"/>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38,316</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38,104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114,967</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90,187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1"/>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65,118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205,154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07"/>
        </w:trPr>
        <w:tc>
          <w:tcPr>
            <w:tcW w:w="5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U.S.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05"/>
        </w:trPr>
        <w:tc>
          <w:tcPr>
            <w:tcW w:w="55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22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155,063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534,859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products or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0" w:lineRule="exact"/>
        <w:rPr>
          <w:sz w:val="20"/>
          <w:szCs w:val="20"/>
          <w:color w:val="auto"/>
        </w:rPr>
      </w:pPr>
    </w:p>
    <w:p>
      <w:pPr>
        <w:jc w:val="both"/>
        <w:ind w:right="100" w:firstLine="472"/>
        <w:spacing w:after="0" w:line="274" w:lineRule="auto"/>
        <w:rPr>
          <w:sz w:val="20"/>
          <w:szCs w:val="20"/>
          <w:color w:val="auto"/>
        </w:rPr>
      </w:pPr>
      <w:r>
        <w:rPr>
          <w:rFonts w:ascii="Times New Roman" w:cs="Times New Roman" w:eastAsia="Times New Roman" w:hAnsi="Times New Roman"/>
          <w:sz w:val="17"/>
          <w:szCs w:val="17"/>
          <w:color w:val="auto"/>
        </w:rPr>
        <w:t>As of September 30, 2022,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For the years ending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80" w:type="dxa"/>
            <w:vAlign w:val="bottom"/>
          </w:tcPr>
          <w:p>
            <w:pPr>
              <w:spacing w:after="0"/>
              <w:rPr>
                <w:sz w:val="17"/>
                <w:szCs w:val="17"/>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8"/>
        </w:trPr>
        <w:tc>
          <w:tcPr>
            <w:tcW w:w="35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Revenue expected to be recognized as of September</w:t>
            </w:r>
          </w:p>
        </w:tc>
        <w:tc>
          <w:tcPr>
            <w:tcW w:w="30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41,135</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86,433</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297,488</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472,798</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30, 2022</w:t>
            </w: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100" w:firstLine="472"/>
        <w:spacing w:after="0" w:line="270"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200" w:lineRule="exact"/>
        <w:rPr>
          <w:sz w:val="20"/>
          <w:szCs w:val="20"/>
          <w:color w:val="auto"/>
        </w:rPr>
      </w:pPr>
    </w:p>
    <w:p>
      <w:pPr>
        <w:spacing w:after="0" w:line="228"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17" w:lineRule="exact"/>
        <w:rPr>
          <w:sz w:val="20"/>
          <w:szCs w:val="20"/>
          <w:color w:val="auto"/>
        </w:rPr>
      </w:pPr>
    </w:p>
    <w:p>
      <w:pPr>
        <w:jc w:val="both"/>
        <w:ind w:right="100" w:firstLine="47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Quarter ended June 30, 2021</w:t>
      </w:r>
      <w:r>
        <w:rPr>
          <w:rFonts w:ascii="Times New Roman" w:cs="Times New Roman" w:eastAsia="Times New Roman" w:hAnsi="Times New Roman"/>
          <w:sz w:val="17"/>
          <w:szCs w:val="17"/>
          <w:color w:val="auto"/>
        </w:rPr>
        <w:t>. During the second quarter of 2021, we recorded impairment expense of $7.9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September 30, 2022 and December 31, 2021,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and previous negotiations with third parties.</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second quarter of 2021, we wrote down certain long-lived assets to fair value. Our estimate of the fair value of undeveloped land positions in Australia that were impaired was based on appraisals from third parties.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3 – Impairment Charges for further information.</w:t>
      </w:r>
    </w:p>
    <w:p>
      <w:pPr>
        <w:spacing w:after="0" w:line="248"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September 30, 2022 and December 31, 2021 is presented below (in thousands):</w:t>
      </w:r>
    </w:p>
    <w:p>
      <w:pPr>
        <w:spacing w:after="0" w:line="357"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69,833</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75,740</w:t>
            </w: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38,508</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0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115,220</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and purchased products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2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420" w:type="dxa"/>
            <w:vAlign w:val="bottom"/>
            <w:gridSpan w:val="4"/>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480" w:type="dxa"/>
            <w:vAlign w:val="bottom"/>
            <w:gridSpan w:val="3"/>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25,896</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30,556</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1,426,704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1,657,577</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61,187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63,228</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1,559,470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1,807,320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(1,249,718)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(1,417,324)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309,752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389,996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8"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5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2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28,877</w:t>
            </w:r>
          </w:p>
        </w:tc>
      </w:tr>
      <w:tr>
        <w:trPr>
          <w:trHeight w:val="21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2,944</w:t>
            </w:r>
          </w:p>
        </w:tc>
      </w:tr>
      <w:tr>
        <w:trPr>
          <w:trHeight w:val="208"/>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1,743</w:t>
            </w:r>
          </w:p>
        </w:tc>
      </w:tr>
      <w:tr>
        <w:trPr>
          <w:trHeight w:val="229"/>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33,564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5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2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18,479</w:t>
            </w:r>
          </w:p>
        </w:tc>
      </w:tr>
    </w:tbl>
    <w:p>
      <w:pPr>
        <w:spacing w:after="0" w:line="31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Deferred revenue consists of contract liabilities resulting from upfront payments related to the mobilization of mobile assets to service pipeline projects in our Canadian business segment. The decrease in deferred revenue from December 31, 2021 to September 30, 2022 was primarily due to the recognition of deferred revenue over the contracted terms of these pipeline projects in Canada.</w:t>
      </w:r>
    </w:p>
    <w:p>
      <w:pPr>
        <w:spacing w:after="0" w:line="200" w:lineRule="exact"/>
        <w:rPr>
          <w:sz w:val="20"/>
          <w:szCs w:val="20"/>
          <w:color w:val="auto"/>
        </w:rPr>
      </w:pPr>
    </w:p>
    <w:p>
      <w:pPr>
        <w:spacing w:after="0" w:line="224"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AND LIABILITIES HELD FOR SALE</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September 30, 2022, assets and liabilities held for sale included certain assets and liabilities in our U.S. business segment. As of December 31, 2021, assets and liabilities held for sale included certain assets in our U.S. business segment and undeveloped land holdings in our Australia business segment. These assets and liabilities were recorded at the estimated fair value less costs to sell, which exceeded their carry values.</w:t>
      </w:r>
    </w:p>
    <w:p>
      <w:pPr>
        <w:spacing w:after="0" w:line="16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 summarizes the carrying amount as of September 30, 2022 and December 31, 2021 of the assets and liabilities classified as held for sale (in thousands):</w:t>
      </w:r>
    </w:p>
    <w:p>
      <w:pPr>
        <w:spacing w:after="0" w:line="26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11,762</w:t>
            </w:r>
          </w:p>
        </w:tc>
      </w:tr>
      <w:tr>
        <w:trPr>
          <w:trHeight w:val="20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held for sale: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38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Total liabilities held for sale </w:t>
            </w:r>
            <w:r>
              <w:rPr>
                <w:rFonts w:ascii="Times New Roman" w:cs="Times New Roman" w:eastAsia="Times New Roman" w:hAnsi="Times New Roman"/>
                <w:sz w:val="20"/>
                <w:szCs w:val="20"/>
                <w:color w:val="auto"/>
                <w:vertAlign w:val="superscript"/>
              </w:rPr>
              <w:t>(1)</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hanging="301"/>
        <w:spacing w:after="0"/>
        <w:tabs>
          <w:tab w:leader="none" w:pos="620" w:val="left"/>
        </w:tabs>
        <w:numPr>
          <w:ilvl w:val="1"/>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Liabilities held for sale are classified as a current liability on the unaudited consolidated balance sheets, under the caption "Other current liabilities."</w:t>
      </w:r>
    </w:p>
    <w:p>
      <w:pPr>
        <w:spacing w:after="0" w:line="206" w:lineRule="exact"/>
        <w:rPr>
          <w:rFonts w:ascii="Times New Roman" w:cs="Times New Roman" w:eastAsia="Times New Roman" w:hAnsi="Times New Roman"/>
          <w:sz w:val="20"/>
          <w:szCs w:val="20"/>
          <w:color w:val="auto"/>
          <w:vertAlign w:val="superscript"/>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use the two-class method to calculate basic and diluted earnings per share because we have participating securities in the form of Class A preferred shares.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Basic earnings per share is computed under the two-class method by dividing the net income (loss) attributable to common shareholders by the weighted average number of common shares outstanding during the period. Net income attributable to common shareholders represents our net income reduced by an allocation of current period earnings to participating securities as described above. No such adjustment is made during periods with a net loss, as the adjustment would be anti-dilutive.</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Diluted earnings per share is computed under the two-class method by dividing diluted net income (loss) attributable to common shareholders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spacing w:after="0" w:line="196" w:lineRule="exact"/>
        <w:rPr>
          <w:sz w:val="20"/>
          <w:szCs w:val="20"/>
          <w:color w:val="auto"/>
        </w:rPr>
      </w:pPr>
    </w:p>
    <w:p>
      <w:pPr>
        <w:jc w:val="both"/>
        <w:ind w:firstLine="472"/>
        <w:spacing w:after="0" w:line="282" w:lineRule="auto"/>
        <w:rPr>
          <w:sz w:val="20"/>
          <w:szCs w:val="20"/>
          <w:color w:val="auto"/>
        </w:rPr>
      </w:pPr>
      <w:r>
        <w:rPr>
          <w:rFonts w:ascii="Times New Roman" w:cs="Times New Roman" w:eastAsia="Times New Roman" w:hAnsi="Times New Roman"/>
          <w:sz w:val="17"/>
          <w:szCs w:val="17"/>
          <w:color w:val="auto"/>
        </w:rPr>
        <w:t>The calculation of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360"/>
              <w:spacing w:after="0" w:line="161" w:lineRule="exact"/>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01"/>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9"/>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20" w:type="dxa"/>
            <w:vAlign w:val="bottom"/>
          </w:tcPr>
          <w:p>
            <w:pPr>
              <w:spacing w:after="0"/>
              <w:rPr>
                <w:sz w:val="18"/>
                <w:szCs w:val="18"/>
                <w:color w:val="auto"/>
              </w:rPr>
            </w:pPr>
          </w:p>
        </w:tc>
        <w:tc>
          <w:tcPr>
            <w:tcW w:w="1880" w:type="dxa"/>
            <w:vAlign w:val="bottom"/>
            <w:gridSpan w:val="4"/>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3"/>
        </w:trPr>
        <w:tc>
          <w:tcPr>
            <w:tcW w:w="59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Civeo common shareholders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5,225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15,226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(10,367)</w:t>
            </w: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income allocated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 common shareholders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4,431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12,929</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(10,367)</w:t>
            </w: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undistributed income attributable to participating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undistributed income reallocated to participating securities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 common shareholders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14,255</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14,064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14,361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14,255</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10"/>
        </w:trPr>
        <w:tc>
          <w:tcPr>
            <w:tcW w:w="596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105"/>
        </w:trPr>
        <w:tc>
          <w:tcPr>
            <w:tcW w:w="5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common share equivalents have been excluded from the calculation of weighted-average common shares outstanding because the effect is anti-dilutive for the periods presented (in millions of shares):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481"/>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661"/>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281"/>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4861"/>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8" w:lineRule="exact"/>
        <w:rPr>
          <w:sz w:val="20"/>
          <w:szCs w:val="20"/>
          <w:color w:val="auto"/>
        </w:rPr>
      </w:pPr>
    </w:p>
    <w:tbl>
      <w:tblPr>
        <w:tblLayout w:type="fixed"/>
        <w:tblInd w:w="161"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9"/>
        </w:trPr>
        <w:tc>
          <w:tcPr>
            <w:tcW w:w="6020" w:type="dxa"/>
            <w:vAlign w:val="bottom"/>
          </w:tcPr>
          <w:p>
            <w:pPr>
              <w:spacing w:after="0"/>
              <w:rPr>
                <w:sz w:val="18"/>
                <w:szCs w:val="18"/>
                <w:color w:val="auto"/>
              </w:rPr>
            </w:pPr>
          </w:p>
        </w:tc>
        <w:tc>
          <w:tcPr>
            <w:tcW w:w="17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3"/>
        </w:trPr>
        <w:tc>
          <w:tcPr>
            <w:tcW w:w="602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60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Share-based awards </w:t>
            </w:r>
            <w:r>
              <w:rPr>
                <w:rFonts w:ascii="Times New Roman" w:cs="Times New Roman" w:eastAsia="Times New Roman" w:hAnsi="Times New Roman"/>
                <w:sz w:val="20"/>
                <w:szCs w:val="20"/>
                <w:color w:val="auto"/>
                <w:vertAlign w:val="superscript"/>
              </w:rPr>
              <w:t>(1)</w:t>
            </w: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0.1</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293" w:lineRule="exact"/>
        <w:rPr>
          <w:sz w:val="20"/>
          <w:szCs w:val="20"/>
          <w:color w:val="auto"/>
        </w:rPr>
      </w:pPr>
    </w:p>
    <w:p>
      <w:pPr>
        <w:ind w:left="301" w:hanging="301"/>
        <w:spacing w:after="0"/>
        <w:tabs>
          <w:tab w:leader="none" w:pos="301"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Share-based awards for the three and nine months ended September 30, 2022 totaled less than 0.1 million shares.</w:t>
      </w:r>
    </w:p>
    <w:p>
      <w:pPr>
        <w:spacing w:after="0" w:line="200" w:lineRule="exact"/>
        <w:rPr>
          <w:rFonts w:ascii="Times New Roman" w:cs="Times New Roman" w:eastAsia="Times New Roman" w:hAnsi="Times New Roman"/>
          <w:sz w:val="20"/>
          <w:szCs w:val="20"/>
          <w:color w:val="auto"/>
          <w:vertAlign w:val="superscript"/>
        </w:rPr>
      </w:pPr>
    </w:p>
    <w:p>
      <w:pPr>
        <w:spacing w:after="0" w:line="362" w:lineRule="exact"/>
        <w:rPr>
          <w:rFonts w:ascii="Times New Roman" w:cs="Times New Roman" w:eastAsia="Times New Roman" w:hAnsi="Times New Roman"/>
          <w:sz w:val="20"/>
          <w:szCs w:val="20"/>
          <w:color w:val="auto"/>
          <w:vertAlign w:val="superscript"/>
        </w:rPr>
      </w:pPr>
    </w:p>
    <w:p>
      <w:pPr>
        <w:ind w:left="5221"/>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1"/>
          </w:cols>
          <w:pgMar w:left="639" w:top="119" w:right="79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2022 and December 31, 2021, long-term debt consisted of the following (in thousands):</w:t>
      </w: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Canadian term loan; weighted average interest rate of 4.7% for the nine month period ended September 30, 2022</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36,480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63,104</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U.S. revolving credit facility; weighted average interest rate of 6.3% for the nine month period ended September 30, 2022</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Canadian revolving credit facility; weighted average interest rate of 5.0% for the nine month period ended September 30,</w:t>
            </w: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83,904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111,300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Australian revolving credit facility; weighted average interest rate of 3.8% for the nine month period ended September 30,</w:t>
            </w: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126,216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175,130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01"/>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44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124,691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173,178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 including unamortized debt issuance costs, net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27,964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30,576</w:t>
            </w:r>
          </w:p>
        </w:tc>
        <w:tc>
          <w:tcPr>
            <w:tcW w:w="0" w:type="dxa"/>
            <w:vAlign w:val="bottom"/>
          </w:tcPr>
          <w:p>
            <w:pPr>
              <w:spacing w:after="0"/>
              <w:rPr>
                <w:sz w:val="1"/>
                <w:szCs w:val="1"/>
                <w:color w:val="auto"/>
              </w:rPr>
            </w:pPr>
          </w:p>
        </w:tc>
      </w:tr>
      <w:tr>
        <w:trPr>
          <w:trHeight w:val="204"/>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96,727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142,602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September 30,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Credit Agreement bear interest at a variable rate equal to the London Inter-Bank Offered Rate (LIBOR)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net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Secured Overnight Financing Rate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spacing w:after="0" w:line="76"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September 30, 2022.</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September 30, 2022, we had seven lenders that were parties to the Credit Agreement, with total commitments (including both revolving commitments and term commitments) ranging from $22.5 million to $52.0 million. As of September 30,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103"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w:t>
      </w:r>
    </w:p>
    <w:p>
      <w:pPr>
        <w:spacing w:after="0" w:line="42"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2022, the U.S. was considered a loss jurisdiction for tax accounting purposes and was removed from the annual effective tax rate computation for purposes of computing the interim tax provision. As of September 30, 2021, Canada and the U.S. were considered loss jurisdictions for tax accounting purposes and were removed from the annual effective tax rate computation for purposes of computing the interim tax provision.</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income tax expense for the three months ended September 30, 2022 totaled $3.7 million, or 37.2% of pretax income, compared to income tax expense of $1.8 million, or 63.4% of pretax income, for the three months ended September 30, 2021. Our effective tax rate for the three months ended September 30, 2022 was impacted by considering the U.S. a loss jurisdiction that was removed from the annual effective tax rate computation for purposes of computing the interim tax provision. For the three months ended September 30, 2021, our effective tax rate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income tax expense for nine months ended September 30, 2022 totaled $7.1 million, or 27.8% of pretax income, compared to income tax expense of $2.4 million, or (39.0)% of pretax loss, for the nine months ended September 30, 2021. Our effective tax rate for the nine months ended September 30, 2022 was impacted by considering the U.S. a loss jurisdiction that was removed from the annual effective tax rate computation for the purposes of computing the interim tax provision. Our effective tax rate for the nine months ended September 2021 was impacted by considering Canada and the U.S. loss jurisdictions that were removed from the annual effective tax rate computation for the purposes of computing the interim tax provision.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accumulated other comprehensive loss increased $32.5 million from $361.9 million at December 31, 2021 to $394.4 million at September 30, 2022, as a result of foreign currency exchange rate fluctuations. Changes in other comprehensive loss during the first nine months of 2022 were primarily driven by the Australian dollar and Canadian dollar decreasing in value compared to the U.S. dollar. Excluding intercompany balances, our Canadian dollar and Australian dollar functional currency net assets totaled approximately C$232 million and A$232 million, respectively, at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August 2021, our Board of Directors (Board) authorized a common share repurchase program (the 2021 Share Repurchase Program) to repurchase up to 5.0% of our total common shares which are issued and outstanding, or approximately 715,000 common shares, over a twelve month period. In August 2022, our Board authorized a new common share repurchase program (the 2022 Share Repurchase Program) to repurchase up to 5.0% of our total common shares which are issued and outstanding, or approximately 685,000 common shares, over a twelve month period. The 2022 Share Repurchase Program and the 2021 Share Repurchase Program are collectively referred to as the "Share Repurchase Programs."</w:t>
      </w:r>
    </w:p>
    <w:p>
      <w:pPr>
        <w:spacing w:after="0" w:line="196"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Pursuant to our 2021 Share Repurchase Program, during the nine months ended September 30, 2022, we repurchased an aggregate of 123,882 of our common shares outstanding at a weighted average price of $28.54 per share, for a total of approximately $3.5 million. We repurchased an aggregate of 341,061 of our common shares outstanding at a weighted average price of $23.98 per share for a total cost of $8.2 million during the twelve month period comprising the 2021 Share Repurchase Program. We have not repurchased any shares under the 2022 Share Repurchase Program as of September 30, 2022.</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addition to the Share Repurchase Programs, we repurchased 374,753 common shares from a shareholder for approximately $10.7 million during the three months ended September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18, 2022, we granted 39,032 restricted share awards to our non-employee directors, which vest in their entirety on May 17, 2023.</w:t>
      </w:r>
    </w:p>
    <w:p>
      <w:pPr>
        <w:spacing w:after="0" w:line="16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September 30, 2022 and 2021 totaled $0.3 million and $0.4 million, respectively. Compensation expense associated with restricted share awards, restricted share units and deferred share awards recognized in the nine months ended September 30, 2022 and 2021 totaled $0.9 million and $1.2 million, respectively. The total fair value of restricted share awards, restricted share units and deferred share awards that vested during both the three months ended September 30, 2022 and 2021 was less than $0.1 million. The total fair value of restricted share awards, restricted share units and deferred share awards that vested during the nine months ended September 30, 2022 and 2021 was $2.1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1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At September 30, 2022, unrecognized compensation cost related to restricted share awards, restricted share units and deferred share awards was $0.6 million, which is expected to be recognized over a weighted average period of 0.6 years.</w:t>
      </w:r>
    </w:p>
    <w:p>
      <w:pPr>
        <w:spacing w:after="0" w:line="143"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Awards. </w:t>
      </w:r>
      <w:r>
        <w:rPr>
          <w:rFonts w:ascii="Times New Roman" w:cs="Times New Roman" w:eastAsia="Times New Roman" w:hAnsi="Times New Roman"/>
          <w:sz w:val="17"/>
          <w:szCs w:val="17"/>
          <w:color w:val="auto"/>
        </w:rPr>
        <w:t>On February 25, 2022, we granted 255,034 phantom share awards under the Civeo Plan, which vest in three equal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installments beginning on February 25, 2023. We also granted 77,574 phantom share awards under the Canadian Long-Term Incentive Plan, which vest in three equal annual installments beginning on February 25, 2023. Phantom share awards are settled in cash upon vesting.</w:t>
      </w:r>
    </w:p>
    <w:p>
      <w:pPr>
        <w:spacing w:after="0" w:line="187"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2022 and 2021, we recognized compensation expense associated with phantom shares totaling $2.3 million and $2.1 million, respectively. During the nine months ended September 30, 2022 and 2021, we recognized compensation expense associated with phantom shares totaling $7.2 million and $5.0 million, respectively. At September 30, 2022, unrecognized compensation cost related to phantom shares was $11.7 million, as remeasured at September 30, 2022, which is expected to be recognized over a weighted average period of 1.9 years.</w:t>
      </w:r>
    </w:p>
    <w:p>
      <w:pPr>
        <w:spacing w:after="0" w:line="164"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Awards. </w:t>
      </w:r>
      <w:r>
        <w:rPr>
          <w:rFonts w:ascii="Times New Roman" w:cs="Times New Roman" w:eastAsia="Times New Roman" w:hAnsi="Times New Roman"/>
          <w:sz w:val="17"/>
          <w:szCs w:val="17"/>
          <w:color w:val="auto"/>
        </w:rPr>
        <w:t>On February 25, 2022, we granted 122,555 performance awards under the Civeo Plan, which cliff vest in three years on February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25, 2025 subject to attainment of applicable performance criteria. These awards will be earned in amounts between 0% and 200% of the participant’s target performance share award, based equally on (i) the payout percentage associated with Civeo’s relative total shareholder return rank among a peer group that includes 17 other companies and (ii) the payout percentage associated with Civeo's cumulative operating cash flow over the performance period relative to a preset target. The portion of the performance awards tied to cumulative operating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w:t>
      </w:r>
    </w:p>
    <w:p>
      <w:pPr>
        <w:spacing w:after="0" w:line="20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three months ended September 30, 2022 and 2021, we recognized compensation expense associated with performance awards totaling $0.6 million and $0.6 million, respectively. During the nine months ended September 30, 2022 and 2021, we recognized compensation expense associated with performance awards totaling $1.9 million and $1.7 million, respectively. No performance share awards vested during the three months ended September 30, 2022 and 2021. The total fair value of performance share awards that vested during the nine months ended September 30, 2022 and 2021 was $2.4 million and $1.9 million, respectively. At September 30, 2022, unrecognized compensation cost related to performance shares was $4.6 million, which is expected to be recognized over a weighted average period of 2.0 years.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47"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nine months ended September 30, 2022 and 2021 is summarized in the following table (in thousands):</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and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revenues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expenditures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3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103,009</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718,981</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191,557</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20,159</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(347,368)</w:t>
            </w:r>
          </w:p>
        </w:tc>
        <w:tc>
          <w:tcPr>
            <w:tcW w:w="0" w:type="dxa"/>
            <w:vAlign w:val="bottom"/>
          </w:tcPr>
          <w:p>
            <w:pPr>
              <w:spacing w:after="0"/>
              <w:rPr>
                <w:sz w:val="1"/>
                <w:szCs w:val="1"/>
                <w:color w:val="auto"/>
              </w:rPr>
            </w:pPr>
          </w:p>
        </w:tc>
      </w:tr>
      <w:tr>
        <w:trPr>
          <w:trHeight w:val="204"/>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184,227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22,608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583,329</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754,223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231,427</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(328,307)</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684,042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307,984</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41,344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718,981</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191,557</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20,159</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(347,368)</w:t>
            </w:r>
          </w:p>
        </w:tc>
        <w:tc>
          <w:tcPr>
            <w:tcW w:w="0" w:type="dxa"/>
            <w:vAlign w:val="bottom"/>
          </w:tcPr>
          <w:p>
            <w:pPr>
              <w:spacing w:after="0"/>
              <w:rPr>
                <w:sz w:val="1"/>
                <w:szCs w:val="1"/>
                <w:color w:val="auto"/>
              </w:rPr>
            </w:pPr>
          </w:p>
        </w:tc>
      </w:tr>
      <w:tr>
        <w:trPr>
          <w:trHeight w:val="204"/>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534,859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65,818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583,329</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754,223</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231,427</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0" w:type="dxa"/>
            <w:vAlign w:val="bottom"/>
          </w:tcPr>
          <w:p>
            <w:pPr>
              <w:spacing w:after="0"/>
              <w:rPr>
                <w:sz w:val="1"/>
                <w:szCs w:val="1"/>
                <w:color w:val="auto"/>
              </w:rPr>
            </w:pPr>
          </w:p>
        </w:tc>
      </w:tr>
      <w:tr>
        <w:trPr>
          <w:trHeight w:val="208"/>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(328,307)</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684,042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commodities, as well as our expectations about capital expenditures in 2022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2021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4"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shareholder expectations.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 Canada, Australia, the U.S. and other markets, including governmental measures introduced to fight climate change or to help slow the spread or mitigate the impact of COVID-19.</w:t>
      </w:r>
    </w:p>
    <w:p>
      <w:pPr>
        <w:spacing w:after="0" w:line="300" w:lineRule="exact"/>
        <w:rPr>
          <w:sz w:val="20"/>
          <w:szCs w:val="20"/>
          <w:color w:val="auto"/>
        </w:rPr>
      </w:pPr>
    </w:p>
    <w:p>
      <w:pPr>
        <w:jc w:val="both"/>
        <w:ind w:firstLine="472"/>
        <w:spacing w:after="0" w:line="249" w:lineRule="auto"/>
        <w:rPr>
          <w:sz w:val="20"/>
          <w:szCs w:val="20"/>
          <w:color w:val="auto"/>
        </w:rPr>
      </w:pPr>
      <w:r>
        <w:rPr>
          <w:rFonts w:ascii="Times New Roman" w:cs="Times New Roman" w:eastAsia="Times New Roman" w:hAnsi="Times New Roman"/>
          <w:sz w:val="17"/>
          <w:szCs w:val="17"/>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In the third quarter of 2022, approximately 60% of our revenue was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which can range from several weeks to several years. The remainder of our revenue is generated by our hospitality services at customer-owned locations in Canada and Australia, mobile assets in Canada and the U.S and our lodges in the U.S.</w:t>
      </w:r>
    </w:p>
    <w:p>
      <w:pPr>
        <w:spacing w:after="0" w:line="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8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evolved with the introduction of vaccination efforts in 2021, and may continue to evolve as virus variants have added uncertainty to the continuing global impact. Since the COVID-19 pandemic began, we have been impacted by increased staff costs as a result of hospitality labor shortages in Australia. This labor shortage has been exacerbated by significantly reduced foreign labor availability and reduced labor mobility in Australia, which has subsequently led to an increased reliance on more expensive temporary labor resources. We continue to closely monitor the COVID-19 situation and have taken measures to help ensure the health and well-being of our employees, guests and contractors, including screening of individuals that enter our facilities, social distancing practices, enhanced cleaning and sanitization efforts, the suspension of nonessential employee travel and implementation of work-from-home policies, where applicable.</w:t>
      </w:r>
    </w:p>
    <w:p>
      <w:pPr>
        <w:spacing w:after="0" w:line="11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part due to the impact of COVID-19 on the global economy and governmental responses thereto, increasing inflationary pressures are being experienced worldwide. These price increases have, and are expected to continue to have, a negative impact on our labor and food costs, as well as consumable costs such as fuel. We are managing inflation risk with negotiated service scope changes and contractual protections.</w:t>
      </w:r>
    </w:p>
    <w:p>
      <w:pPr>
        <w:spacing w:after="0" w:line="9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Since this trough in early 2020, global oil prices increased later in 2020 and throughout 2021 primarily due to improved global oil demand and lagging global oil supply due to oil production discipline from publicly traded oil producers and OPEC+ countries. These supply/demand dynamics have continued in 2022 and have been exacerbated by the recent conflict between Russia and Ukraine and related sanctions on Russia as well as actions taken by OPEC+ to adjust production levels, which are decreasing global fossil fuel supply even further. This led to a significant increase in global oil prices to above $100 per barrel. In response, several governments, including the U.S. government under the Biden administration, have begun to release oil from the government controlled strategic reserves.</w:t>
      </w:r>
    </w:p>
    <w:p>
      <w:pPr>
        <w:spacing w:after="0" w:line="96"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Alberta, Canada. </w:t>
      </w:r>
      <w:r>
        <w:rPr>
          <w:rFonts w:ascii="Times New Roman" w:cs="Times New Roman" w:eastAsia="Times New Roman" w:hAnsi="Times New Roman"/>
          <w:sz w:val="17"/>
          <w:szCs w:val="17"/>
          <w:color w:val="auto"/>
        </w:rPr>
        <w:t>In Canada, Western Canadian Select (WCS) crude is the benchmark price for our oil sands customers. Pricing for WCS is driven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factors, including the underlying 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0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The Canadian federal government acquired the TMX pipeline in 2018, approved the expansion of the project and is currently working through a revised construction timeline to adjust for recent delays related to legal challenges, the COVID-19 pandemic, flooding along certain sections of the pipeline corridor and seasonal wildfires. As a result, the TMX pipeline construction has been delayed, and there is a risk that there could be future delays. Recent legal issues between the Canadian government and First Nation groups have been resolved for the time being and construction has resumed.</w:t>
      </w:r>
    </w:p>
    <w:p>
      <w:pPr>
        <w:spacing w:after="0" w:line="11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WCS prices in the third quarter of 2022 averaged $70.70 per barrel compared to an average of $57.58 in the third quarter of 2021. The WCS Differential increased from $14.12 per barrel at the end of the fourth quarter of 2021 to $21.72 at the end of the third quarter of 2022. As of October 21, 2022, the WTI price was $86.65 and the WCS price was $58.72, resulting in a WCS Differential of $27.93.</w:t>
      </w:r>
    </w:p>
    <w:p>
      <w:pPr>
        <w:spacing w:after="0" w:line="8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Together with the initial spread of COVID-19, depressed price levels of both WTI and WCS materially impacted 2020 maintenance and production spending and activity by Canadian operators and, therefore, demand for our hospitality services. Customers began increasing production activity in the fourth quarter of 2020 and production capacity has approached pre-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pandemic levels in 2022. Although oil prices reached multi-year highs in the first half of 2022, there is continued uncertainty around commodity price levels, including the impact of COVID-19, inflationary pressures, actions taken by OPEC+ to adjust production levels and regulatory implications on such prices, which could cause our Canadian oil sands and pipeline customers to reduce production, delay expansionary and maintenance spending and defer additional investments in their oil sands assets.</w:t>
      </w:r>
    </w:p>
    <w:p>
      <w:pPr>
        <w:spacing w:after="0" w:line="99"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British Columbia, Canada. </w:t>
      </w:r>
      <w:r>
        <w:rPr>
          <w:rFonts w:ascii="Times New Roman" w:cs="Times New Roman" w:eastAsia="Times New Roman" w:hAnsi="Times New Roman"/>
          <w:sz w:val="17"/>
          <w:szCs w:val="17"/>
          <w:color w:val="auto"/>
        </w:rPr>
        <w:t>Our Sitka Lodge supports the LNG Canada project and related pipeline projects (see discussion below). From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macroeconomic standpoint, LNG demand continued to grow despite the spread of COVID-19, reinforcing the need for the global LNG industry to expand access to natural gas. Evolving government energy policies around the world have amplified support for cleaner energy supply, creating more opportunities for natural gas and LNG. The conflict between Russia and Ukraine has further highlighted the need for secure natural gas supply globally, particularly in Europe. Accordingly, additional investment in LNG supply will be needed to meet the resulting expected long-term LNG demand growth.</w:t>
      </w:r>
    </w:p>
    <w:p>
      <w:pPr>
        <w:spacing w:after="0" w:line="10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designated portions of the related pipeline construction activity. The actual timing of when revenue is realized from the Coastal GasLink (CGL) pipeline and Sitka Lodge contracts could be impacted by any delays in the construction of the Kitimat LNG Facility or the pipeline, such as protest blockades or COVID-19. Our current expectation is that our contracted commitments associated with the CGL pipeline project will be completed in 2023. Any new delays in facility or pipeline construction may result in extensions to these dates.</w:t>
      </w:r>
    </w:p>
    <w:p>
      <w:pPr>
        <w:spacing w:after="0" w:line="10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late March 2020, LNGC announced steps being taken to reduce the spread of COVID-19, including reduction of the workforce at the project site to essential personnel only. In late December 2020, British Columbia’s public health officer issued a health order limiting workforce size at all large industrial projects across the province, including LNGC. These actions resulted in reduced occupancy at our Sitka Lodge beginning in the second quarter of 2020. British Columbia's public health order was phased out in the second quarter of 2021. It was replaced with less restrictive requirements focused on monitoring, allowing workforces to return to their optimal sizes, which increased occupancy at our Sitka Lodge in the second half of 2021 and into 2022.</w:t>
      </w:r>
    </w:p>
    <w:p>
      <w:pPr>
        <w:spacing w:after="0" w:line="87" w:lineRule="exact"/>
        <w:rPr>
          <w:sz w:val="20"/>
          <w:szCs w:val="20"/>
          <w:color w:val="auto"/>
        </w:rPr>
      </w:pPr>
    </w:p>
    <w:p>
      <w:pPr>
        <w:jc w:val="both"/>
        <w:ind w:firstLine="472"/>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Australia. </w:t>
      </w:r>
      <w:r>
        <w:rPr>
          <w:rFonts w:ascii="Times New Roman" w:cs="Times New Roman" w:eastAsia="Times New Roman" w:hAnsi="Times New Roman"/>
          <w:sz w:val="17"/>
          <w:szCs w:val="17"/>
          <w:color w:val="auto"/>
        </w:rPr>
        <w:t>In Australia, 82% of our rooms are located in the Bowen Basin of Queensland, Australia and primarily serve met coal mines in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region. Met coal pricing and production growth in the Bowen Basin region is predominantly influenced by the level of global steel production, which decreased by 5.1% through August 2022 compared to the same period of 2021. Analysts forecast steel production for 2022 to remain subdued for the full year when compared to 2021, as a result of weakness in the Chinese residential sector and slowing global growth due to inflationary pressures. As of October 21, 2022, met coal spot prices were $285 per metric tonne. Steel output is forecast to improve marginally through 2024, with large infrastructure rollouts in a number of major economies including the U.S. and India.</w:t>
      </w:r>
    </w:p>
    <w:p>
      <w:pPr>
        <w:spacing w:after="0" w:line="197"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Chinese embargo on Australian coal continues. However, Australian met coal producers have found new markets, including India and Europe, for their premium product. This led to a rebalancing of the market globally in 2021, with China relying on domestic production along with increased met coal imports from the U.S., Canada and Mongolia. With the historical backdrop of strong steel demand and met coal supply constraints, the spot price for met coal surged to record highs through the second half of 2021 into early 2022. Since the historic highs in early 2022, prices have stabilized with weather-related supply interruptions in Australia offset by weakening steel demand. Analysts forecast the current stable prices to rise in the fourth quarter 2022 due to higher demand in India and supply pressure related La Niña impacts in Australia’s production. Analysts are forecasting prices to remain close to $250 into 2023, though volatility with both supply and demand drivers could impact prices and drive them higher or lower.</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Civeo's activity in Western Australia is driven primarily by iron ore production, which is a key steel-making ingredient. Through the second half of 2021, with forced cuts in Chinese steel production, prices retreated from the peaks experienced in mid-2021. Iron ore prices remained stable through early 2022 and fell to just below $100 during the third quarter of 2022 with a slowdown in steel production. As of October 20, 2022, iron ore spot prices were $87.84 per metric tonne. Analysts anticipate that infrastructure-led construction activity in China and other large world economies will continue to stabilize prices at current levels, though residential activity in China remains subdued. Analysts forecast pricing through 2023 to remain between $90 and $110.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1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 </w:t>
      </w:r>
      <w:r>
        <w:rPr>
          <w:rFonts w:ascii="Times New Roman" w:cs="Times New Roman" w:eastAsia="Times New Roman" w:hAnsi="Times New Roman"/>
          <w:sz w:val="17"/>
          <w:szCs w:val="17"/>
          <w:color w:val="auto"/>
        </w:rPr>
        <w:t>In September, we sold our wellsite services business. Our remaining U.S. business supports offshore oil and gas activities in the Gulf of Mexico,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completion activity in the Bakken and construction and turnaround work in the Louisiana industrial area. All these activities are primarily tied to WTI oil prices in the U.S. market. In 2020, the U.S. oil rig count and associated completion activity decreased due to COVID-19 and the global oil price decline discussed above. Only 267 oil rigs were active at the end of 2020. With the recovery of oil prices, oil rig count and drilling activity have recovered substantially, with 604 oil rigs active at the end of the third quarter 2022. The increase in the U.S. rig count and oil prices has only resulted in slight increases to U.S. oil production from an average of 11.3 million barrels per day in 2021 to an average of 11.8 million barrels per day at the end of July 2022. As of October 21, 2022, there were 612 active oil rigs in the U.S. (as measured by Bakerhughes.com). U.S. oil drilling and completion activity will continue to be impacted by oil prices, pipeline capacity, federal energy policies and availability of capital to support exploration and production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Recent Commodity Prices. </w:t>
      </w:r>
      <w:r>
        <w:rPr>
          <w:rFonts w:ascii="Times New Roman" w:cs="Times New Roman" w:eastAsia="Times New Roman" w:hAnsi="Times New Roman"/>
          <w:sz w:val="17"/>
          <w:szCs w:val="17"/>
          <w:color w:val="auto"/>
        </w:rPr>
        <w:t>Recent WTI crude, WCS crude, met coal and iron ore pricing trends are as follows:</w:t>
      </w: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WTI</w:t>
            </w:r>
          </w:p>
        </w:tc>
        <w:tc>
          <w:tcPr>
            <w:tcW w:w="300" w:type="dxa"/>
            <w:vAlign w:val="bottom"/>
          </w:tcPr>
          <w:p>
            <w:pPr>
              <w:spacing w:after="0"/>
              <w:rPr>
                <w:sz w:val="14"/>
                <w:szCs w:val="14"/>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rPr>
              <w:t>WCS</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7"/>
                <w:szCs w:val="17"/>
                <w:color w:val="auto"/>
                <w:w w:val="99"/>
              </w:rPr>
              <w:t>Hard</w:t>
            </w:r>
          </w:p>
        </w:tc>
        <w:tc>
          <w:tcPr>
            <w:tcW w:w="240" w:type="dxa"/>
            <w:vAlign w:val="bottom"/>
          </w:tcPr>
          <w:p>
            <w:pPr>
              <w:spacing w:after="0"/>
              <w:rPr>
                <w:sz w:val="14"/>
                <w:szCs w:val="14"/>
                <w:color w:val="auto"/>
              </w:rPr>
            </w:pPr>
          </w:p>
        </w:tc>
        <w:tc>
          <w:tcPr>
            <w:tcW w:w="13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7"/>
                <w:szCs w:val="17"/>
                <w:color w:val="auto"/>
                <w:w w:val="98"/>
              </w:rPr>
              <w:t>Iron</w:t>
            </w:r>
          </w:p>
        </w:tc>
        <w:tc>
          <w:tcPr>
            <w:tcW w:w="0" w:type="dxa"/>
            <w:vAlign w:val="bottom"/>
          </w:tcPr>
          <w:p>
            <w:pPr>
              <w:spacing w:after="0"/>
              <w:rPr>
                <w:sz w:val="1"/>
                <w:szCs w:val="1"/>
                <w:color w:val="auto"/>
              </w:rPr>
            </w:pPr>
          </w:p>
        </w:tc>
      </w:tr>
      <w:tr>
        <w:trPr>
          <w:trHeight w:val="170"/>
        </w:trPr>
        <w:tc>
          <w:tcPr>
            <w:tcW w:w="3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80"/>
              <w:spacing w:after="0" w:line="171" w:lineRule="exact"/>
              <w:rPr>
                <w:sz w:val="20"/>
                <w:szCs w:val="20"/>
                <w:color w:val="auto"/>
              </w:rPr>
            </w:pPr>
            <w:r>
              <w:rPr>
                <w:rFonts w:ascii="Times New Roman" w:cs="Times New Roman" w:eastAsia="Times New Roman" w:hAnsi="Times New Roman"/>
                <w:sz w:val="17"/>
                <w:szCs w:val="17"/>
                <w:color w:val="auto"/>
              </w:rPr>
              <w:t>Coking Coal</w:t>
            </w: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300" w:type="dxa"/>
            <w:vAlign w:val="bottom"/>
          </w:tcPr>
          <w:p>
            <w:pPr>
              <w:spacing w:after="0"/>
              <w:rPr>
                <w:sz w:val="14"/>
                <w:szCs w:val="14"/>
                <w:color w:val="auto"/>
              </w:rPr>
            </w:pPr>
          </w:p>
        </w:tc>
        <w:tc>
          <w:tcPr>
            <w:tcW w:w="1380" w:type="dxa"/>
            <w:vAlign w:val="bottom"/>
            <w:gridSpan w:val="2"/>
          </w:tcPr>
          <w:p>
            <w:pPr>
              <w:jc w:val="center"/>
              <w:ind w:right="400"/>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71" w:lineRule="exact"/>
              <w:rPr>
                <w:sz w:val="20"/>
                <w:szCs w:val="20"/>
                <w:color w:val="auto"/>
              </w:rPr>
            </w:pPr>
            <w:r>
              <w:rPr>
                <w:rFonts w:ascii="Times New Roman" w:cs="Times New Roman" w:eastAsia="Times New Roman" w:hAnsi="Times New Roman"/>
                <w:sz w:val="17"/>
                <w:szCs w:val="17"/>
                <w:color w:val="auto"/>
              </w:rPr>
              <w:t>(Met Coal)</w:t>
            </w:r>
          </w:p>
        </w:tc>
        <w:tc>
          <w:tcPr>
            <w:tcW w:w="240" w:type="dxa"/>
            <w:vAlign w:val="bottom"/>
          </w:tcPr>
          <w:p>
            <w:pPr>
              <w:spacing w:after="0"/>
              <w:rPr>
                <w:sz w:val="14"/>
                <w:szCs w:val="14"/>
                <w:color w:val="auto"/>
              </w:rPr>
            </w:pPr>
          </w:p>
        </w:tc>
        <w:tc>
          <w:tcPr>
            <w:tcW w:w="1320" w:type="dxa"/>
            <w:vAlign w:val="bottom"/>
          </w:tcPr>
          <w:p>
            <w:pPr>
              <w:jc w:val="center"/>
              <w:ind w:right="133"/>
              <w:spacing w:after="0" w:line="171" w:lineRule="exact"/>
              <w:rPr>
                <w:sz w:val="20"/>
                <w:szCs w:val="20"/>
                <w:color w:val="auto"/>
              </w:rPr>
            </w:pPr>
            <w:r>
              <w:rPr>
                <w:rFonts w:ascii="Times New Roman" w:cs="Times New Roman" w:eastAsia="Times New Roman" w:hAnsi="Times New Roman"/>
                <w:sz w:val="17"/>
                <w:szCs w:val="17"/>
                <w:color w:val="auto"/>
              </w:rPr>
              <w:t>Ore</w:t>
            </w:r>
          </w:p>
        </w:tc>
        <w:tc>
          <w:tcPr>
            <w:tcW w:w="0" w:type="dxa"/>
            <w:vAlign w:val="bottom"/>
          </w:tcPr>
          <w:p>
            <w:pPr>
              <w:spacing w:after="0"/>
              <w:rPr>
                <w:sz w:val="1"/>
                <w:szCs w:val="1"/>
                <w:color w:val="auto"/>
              </w:rPr>
            </w:pPr>
          </w:p>
        </w:tc>
      </w:tr>
      <w:tr>
        <w:trPr>
          <w:trHeight w:val="236"/>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ended</w:t>
            </w:r>
          </w:p>
        </w:tc>
        <w:tc>
          <w:tcPr>
            <w:tcW w:w="3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(per bbl)</w:t>
            </w:r>
          </w:p>
        </w:tc>
        <w:tc>
          <w:tcPr>
            <w:tcW w:w="30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(per bbl)</w:t>
            </w: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(per tonne)</w:t>
            </w:r>
          </w:p>
        </w:tc>
        <w:tc>
          <w:tcPr>
            <w:tcW w:w="240" w:type="dxa"/>
            <w:vAlign w:val="bottom"/>
          </w:tcPr>
          <w:p>
            <w:pPr>
              <w:spacing w:after="0"/>
              <w:rPr>
                <w:sz w:val="20"/>
                <w:szCs w:val="20"/>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(per tonne)</w:t>
            </w:r>
          </w:p>
        </w:tc>
        <w:tc>
          <w:tcPr>
            <w:tcW w:w="0" w:type="dxa"/>
            <w:vAlign w:val="bottom"/>
          </w:tcPr>
          <w:p>
            <w:pPr>
              <w:spacing w:after="0"/>
              <w:rPr>
                <w:sz w:val="1"/>
                <w:szCs w:val="1"/>
                <w:color w:val="auto"/>
              </w:rPr>
            </w:pPr>
          </w:p>
        </w:tc>
      </w:tr>
      <w:tr>
        <w:trPr>
          <w:trHeight w:val="216"/>
        </w:trPr>
        <w:tc>
          <w:tcPr>
            <w:tcW w:w="3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Fourth Quarter through October 21, 2022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92.31</w:t>
            </w:r>
          </w:p>
        </w:tc>
        <w:tc>
          <w:tcPr>
            <w:tcW w:w="0" w:type="dxa"/>
            <w:vAlign w:val="bottom"/>
          </w:tcPr>
          <w:p>
            <w:pPr>
              <w:spacing w:after="0"/>
              <w:rPr>
                <w:sz w:val="1"/>
                <w:szCs w:val="1"/>
                <w:color w:val="auto"/>
              </w:rPr>
            </w:pPr>
          </w:p>
        </w:tc>
      </w:tr>
      <w:tr>
        <w:trPr>
          <w:trHeight w:val="223"/>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128.80</w:t>
            </w:r>
          </w:p>
        </w:tc>
        <w:tc>
          <w:tcPr>
            <w:tcW w:w="0" w:type="dxa"/>
            <w:vAlign w:val="bottom"/>
          </w:tcPr>
          <w:p>
            <w:pPr>
              <w:spacing w:after="0"/>
              <w:rPr>
                <w:sz w:val="1"/>
                <w:szCs w:val="1"/>
                <w:color w:val="auto"/>
              </w:rPr>
            </w:pPr>
          </w:p>
        </w:tc>
      </w:tr>
      <w:tr>
        <w:trPr>
          <w:trHeight w:val="223"/>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104.88</w:t>
            </w:r>
          </w:p>
        </w:tc>
        <w:tc>
          <w:tcPr>
            <w:tcW w:w="0" w:type="dxa"/>
            <w:vAlign w:val="bottom"/>
          </w:tcPr>
          <w:p>
            <w:pPr>
              <w:spacing w:after="0"/>
              <w:rPr>
                <w:sz w:val="1"/>
                <w:szCs w:val="1"/>
                <w:color w:val="auto"/>
              </w:rPr>
            </w:pPr>
          </w:p>
        </w:tc>
      </w:tr>
      <w:tr>
        <w:trPr>
          <w:trHeight w:val="223"/>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164.90</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40" w:hanging="306"/>
        <w:spacing w:after="0" w:line="228" w:lineRule="auto"/>
        <w:tabs>
          <w:tab w:leader="none" w:pos="9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WTI crude prices are from U.S. Energy Information Administration (EIA), WCS crude prices and iron ore prices are from Bloomberg and hard coking coal prices are from IHS Markit.</w:t>
      </w:r>
    </w:p>
    <w:p>
      <w:pPr>
        <w:spacing w:after="0" w:line="21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Canadian dollar and the Australian dollar influence our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6"/>
                <w:szCs w:val="16"/>
                <w:color w:val="auto"/>
              </w:rPr>
            </w:pPr>
          </w:p>
        </w:tc>
      </w:tr>
      <w:tr>
        <w:trPr>
          <w:trHeight w:val="233"/>
        </w:trPr>
        <w:tc>
          <w:tcPr>
            <w:tcW w:w="2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05"/>
        </w:trPr>
        <w:tc>
          <w:tcPr>
            <w:tcW w:w="2360" w:type="dxa"/>
            <w:vAlign w:val="bottom"/>
          </w:tcPr>
          <w:p>
            <w:pPr>
              <w:spacing w:after="0"/>
              <w:rPr>
                <w:sz w:val="17"/>
                <w:szCs w:val="17"/>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00" w:type="dxa"/>
            <w:vAlign w:val="bottom"/>
          </w:tcPr>
          <w:p>
            <w:pPr>
              <w:spacing w:after="0"/>
              <w:rPr>
                <w:sz w:val="17"/>
                <w:szCs w:val="17"/>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151"/>
        </w:trPr>
        <w:tc>
          <w:tcPr>
            <w:tcW w:w="23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Average Canadian dollar to U.S.</w:t>
            </w: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dollar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$0.779</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170"/>
        </w:trPr>
        <w:tc>
          <w:tcPr>
            <w:tcW w:w="2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Australian dollar to</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dollar</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$0.707</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$0.759</w:t>
            </w:r>
          </w:p>
        </w:tc>
        <w:tc>
          <w:tcPr>
            <w:tcW w:w="100" w:type="dxa"/>
            <w:vAlign w:val="bottom"/>
          </w:tcPr>
          <w:p>
            <w:pPr>
              <w:spacing w:after="0"/>
              <w:rPr>
                <w:sz w:val="20"/>
                <w:szCs w:val="20"/>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r>
    </w:tbl>
    <w:p>
      <w:pPr>
        <w:spacing w:after="0" w:line="11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4"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3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$0.730</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$0.789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(7.5)%</w:t>
            </w:r>
          </w:p>
        </w:tc>
      </w:t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60" w:type="dxa"/>
            <w:vAlign w:val="bottom"/>
          </w:tcPr>
          <w:p>
            <w:pPr>
              <w:spacing w:after="0"/>
              <w:rPr>
                <w:sz w:val="19"/>
                <w:szCs w:val="19"/>
                <w:color w:val="auto"/>
              </w:rPr>
            </w:pPr>
          </w:p>
        </w:tc>
        <w:tc>
          <w:tcPr>
            <w:tcW w:w="118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(10.7)%</w:t>
            </w:r>
          </w:p>
        </w:tc>
      </w:tr>
    </w:tbl>
    <w:p>
      <w:pPr>
        <w:spacing w:after="0" w:line="18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Capital Expenditures. We continue to monitor the global economy, commodity prices, demand for crude oil, met coal, LNG and iron ore, inflation, the COVID-19 global pandemic and the responses thereto and the resultant impact on the capital spending plans of our customers in order to plan our business activities. We currently expect that our 2022 capital expenditures will be in the range of approximately $24 million to $29 million, compared to 2021 capital expenditures of $15.6 million. We previously increased 2022 capital expenditures estimates primarily as a result of recently awarded contracts for our Wapasu Lodge in Canada and our Australian integrated services business in Western Australia. We may adjust our capital expenditure plans in the future as we continue to monitor customer activity.</w:t>
      </w:r>
    </w:p>
    <w:p>
      <w:pPr>
        <w:spacing w:after="0" w:line="19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We have agreed to not renew an expiring land lease associated with our McClelland Lake Lodge in Alberta, Canada, which currently expires in June 2023, to support our customer’s intent to mine the land where the lodge currently resides. We are currently working with the customer to (i) secure an alternative site for the lodge and (ii) obtain a contract to economically justify the cost of moving and reinstalling the lodge assets. However, we can provide no assurances that we will reach an agreement on a satisfactory contract to support the future utilization of the McClelland assets and the resulting impact could negatively affect our results of operations, financial condition and cash flows. We are in preliminary discussions with potential strategic joint venture partners that would participate in both the economics of relocating the lodge and its ongoing ownership. We expect to have further clarity on any potential contract associated with our McClelland Lake Lodge in the first half of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2022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8"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nine months ended September 30, 2022, is based on a comparison to the corresponding periods of 2021.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September 30, 2022 Compared to Three Months Ended September 30, 2021</w:t>
      </w:r>
    </w:p>
    <w:p>
      <w:pPr>
        <w:spacing w:after="0" w:line="32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103,009</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84,057</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18,952</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8,687</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29,164</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w:t>
            </w:r>
          </w:p>
        </w:tc>
      </w:tr>
      <w:tr>
        <w:trPr>
          <w:trHeight w:val="204"/>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w:t>
            </w:r>
          </w:p>
        </w:tc>
      </w:tr>
      <w:tr>
        <w:trPr>
          <w:trHeight w:val="190"/>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22,066</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173,442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24,389</w:t>
            </w:r>
          </w:p>
        </w:tc>
      </w:tr>
      <w:tr>
        <w:trPr>
          <w:trHeight w:val="18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w:t>
            </w:r>
          </w:p>
        </w:tc>
      </w:tr>
      <w:tr>
        <w:trPr>
          <w:trHeight w:val="217"/>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0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r>
      <w:tr>
        <w:trPr>
          <w:trHeight w:val="183"/>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w:t>
            </w:r>
          </w:p>
        </w:tc>
      </w:tr>
      <w:tr>
        <w:trPr>
          <w:trHeight w:val="20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r>
      <w:tr>
        <w:trPr>
          <w:trHeight w:val="183"/>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w:t>
            </w:r>
          </w:p>
        </w:tc>
      </w:tr>
      <w:tr>
        <w:trPr>
          <w:trHeight w:val="20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Civeo Corporation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w:t>
            </w:r>
          </w:p>
        </w:tc>
      </w:tr>
      <w:tr>
        <w:trPr>
          <w:trHeight w:val="19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Dividends attributable to preferred shares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Civeo common shareholders</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5,163</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reported net income attributable to Civeo for the quarter ended September 30, 2022 of $5.2 million, or $0.32 per diluted share compared to net income attributable to Civeo for the quarter ended September 30, 2021 of $0.1 million, or $0.00 per diluted share.</w:t>
      </w:r>
    </w:p>
    <w:p>
      <w:pPr>
        <w:spacing w:after="0" w:line="4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$29.2 million, or 19%, in the third quarter of 2022 compared to the third quarter of 2021. This increase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(i) higher billed rooms at our Canadian lodges related to turnaround activities by a number of customers, (ii) higher average daily rate at our Canadian lodges largely due to occupancy mix, (iii) increased mobile asset activity from pipeline projects in Canada, (iv) increased activity at our Civeo owned villages in the Australian Bowen and Gunnedah Basins and (v) increased activity at our Australian integrated services villages in Western Australia. These items were partially offset by a weaker Australian and Canadian dollar relative to the U.S. dollar in the third quarter of 2022 compared to the third quarter of 2021. See the discussion of segment results of operations below for further information.</w:t>
      </w:r>
    </w:p>
    <w:p>
      <w:pPr>
        <w:spacing w:after="0" w:line="10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$22.1 million, or 20%, in the third quarter of 2022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quarter of 2021. This increase was primarily due to (i) higher billed rooms at our Canadian lodges, (ii) increased mobile asset activity from pipeline projects in Canada, (iii) increased activity at our Civeo owned villages in the Australian Bowen and Gunnedah Basins and (iv) increased activity at our Australian integrated services villages in Western Australia. These items were partially offset by a weaker Australian and Canadian dollar relative to the U.S.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 in the third quarter of 2022 compared to the third quarter of 2021. See the discussion of segment results of operations below for further information.</w:t>
      </w:r>
    </w:p>
    <w:p>
      <w:pPr>
        <w:spacing w:after="0" w:line="156"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 increased $0.4 million, or 2%, in the third quarter of 2022 compared to the third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2021. This increase was primarily due to higher information technology expense and travel and entertainment expense. This increase in information technology expense was related to set-up costs incurred in a cloud computing arrangement for our newly implemented human capital management system, which are being amortized through SG&amp;A expense instead of depreciation and amortization expense. The increase in travel and entertainment expenses was largely a result of a return to more normalized travel expenses with the lifting of travel restrictions associated with COVID-19. These items were partially offset by lower incentive compensation costs and a weaker Australian and Canadian dollar relative to the U.S. dollar in the third quarter of 2022 compared to the third quarter of 2021.</w:t>
      </w:r>
    </w:p>
    <w:p>
      <w:pPr>
        <w:spacing w:after="0" w:line="321"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$2.3 million, or 11%, in the third quarter of 2022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third quarter of 2021. The increase was primarily due to shortening the lives on certain assets in Canada, partially offset by certain assets in Canada becoming fully depreciated during 2021 and the disposal of our West Permian Lodge in the U.S. during 2021. In addition, depreciation and amortization expense decreased due to a weaker Australian and Canadian dollar relative to the U.S. dollar in the third quarter of 2022 compared to the third quarter of 2021.</w:t>
      </w:r>
    </w:p>
    <w:p>
      <w:pPr>
        <w:spacing w:after="0" w:line="86"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$4.8 million, or 79%, in the third quarter of 2022 compared to the third quarter of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higher activity levels in Canada and Australia in the third quarter of 2022 compared to the third quarter of 2021.</w:t>
      </w:r>
    </w:p>
    <w:p>
      <w:pPr>
        <w:spacing w:after="0" w:line="7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$0.6 million, or 17%, in the third quarter of 2022 compared to the third quarter of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lower average debt levels on credit facility borrowings during 2022 compared to 2021, partially offset by higher interest rates on credit facility borrowings.</w:t>
      </w:r>
    </w:p>
    <w:p>
      <w:pPr>
        <w:spacing w:after="0" w:line="392"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Other Income. </w:t>
      </w:r>
      <w:r>
        <w:rPr>
          <w:rFonts w:ascii="Times New Roman" w:cs="Times New Roman" w:eastAsia="Times New Roman" w:hAnsi="Times New Roman"/>
          <w:sz w:val="17"/>
          <w:szCs w:val="17"/>
          <w:color w:val="auto"/>
        </w:rPr>
        <w:t>Consolidated other income increased $1.8 million in the third quarter of 2022 compared to the third quarter of 2021 primarily due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higher gain on the sale of assets related to the sale of our Kambalda village and an undeveloped land holding in Australia, our wellsite business in the U.S. and various mobile assets and unused corporate office space in Canada in the third quarter of 2022 compared to the third quarter of 2021.</w:t>
      </w:r>
    </w:p>
    <w:p>
      <w:pPr>
        <w:spacing w:after="0" w:line="159"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Income Tax (Expense) Benefit. </w:t>
      </w:r>
      <w:r>
        <w:rPr>
          <w:rFonts w:ascii="Times New Roman" w:cs="Times New Roman" w:eastAsia="Times New Roman" w:hAnsi="Times New Roman"/>
          <w:sz w:val="17"/>
          <w:szCs w:val="17"/>
          <w:color w:val="auto"/>
        </w:rPr>
        <w:t>Our income tax expense for the three months ended September 30, 2022 totaled $3.7 million, or 37.2% of pretax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compared to an income tax expense of $1.8 million, or 63.4% of pretax income, for the three months ended September 30, 2021. Our effective tax rate for the three months ended September 30, 2022 was impacted by considering the U.S. a loss jurisdiction that was removed from the annual effective tax rate computation for purposes of computing the interim tax provision. For the three months ended September 30, 2021, our effective tax rate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198"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Income. </w:t>
      </w:r>
      <w:r>
        <w:rPr>
          <w:rFonts w:ascii="Times New Roman" w:cs="Times New Roman" w:eastAsia="Times New Roman" w:hAnsi="Times New Roman"/>
          <w:sz w:val="17"/>
          <w:szCs w:val="17"/>
          <w:color w:val="auto"/>
        </w:rPr>
        <w:t>Other comprehensive loss increased $8.5 million in the third quarter of 2022 compared to the third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primarily as a result of foreign currency translation adjustments due to changes in the Canadian and Australian dollar exchange rates compared to the U.S. dollar. The Canadian dollar exchange rate compared to the U.S. dollar decreased 6% in the third quarter of 2022 compared to a 3% decrease in the third quarter of 2021. The Australian dollar exchange rate compared to the U.S. dollar decreased 6% in the third quarter of 2022 compared to a 4% decrease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72,724</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60,511</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12,213</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25,283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6,208</w:t>
            </w:r>
          </w:p>
        </w:tc>
      </w:tr>
      <w:tr>
        <w:trPr>
          <w:trHeight w:val="19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5,002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531</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84,057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18,952</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50,308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41,470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8,838</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4,453</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440</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2,526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r>
      <w:tr>
        <w:trPr>
          <w:trHeight w:val="183"/>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72,878</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59,214</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13,664</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730,708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613,017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117,691</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0.766</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0.794</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(0.028)</w:t>
            </w:r>
          </w:p>
        </w:tc>
      </w:tr>
    </w:tbl>
    <w:p>
      <w:pPr>
        <w:spacing w:after="0" w:line="286"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Our Canadian segment reported revenues in the third quarter of 2022 that were $19.0 million, or 23%, higher than the third quarter of 2021. The weakening of the average exchange rate for the Canadian dollar relative to the U.S. dollar by 3% in the third quarter of 2022 compared to the third quarter of 2021 resulted in a $3.7 million period-over-period decrease in revenues. Excluding the impact of the weaker Canadian exchange rate, the increase was driven by</w:t>
      </w:r>
    </w:p>
    <w:p>
      <w:pPr>
        <w:spacing w:after="0" w:line="2" w:lineRule="exact"/>
        <w:rPr>
          <w:sz w:val="20"/>
          <w:szCs w:val="20"/>
          <w:color w:val="auto"/>
        </w:rPr>
      </w:pPr>
    </w:p>
    <w:p>
      <w:pPr>
        <w:ind w:firstLine="5"/>
        <w:spacing w:after="0" w:line="274" w:lineRule="auto"/>
        <w:tabs>
          <w:tab w:leader="none" w:pos="2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billed rooms at our lodges related to turnaround activities by a number of customers, (ii) a higher average daily rate at our lodges largely due to occupancy mix and (iii) increased mobile asset activity from pipeline projects.</w:t>
      </w:r>
    </w:p>
    <w:p>
      <w:pPr>
        <w:spacing w:after="0" w:line="19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Canadian segment cost of sales and services increased $13.7 million, or 23%, in the third quarter of 2022 compared to the third quarter of 2021. The weakening of the average exchange rate for the Canadian dollar relative to the U.S. dollar by 3% in the third quarter of 2022 compared to the third quarter of 2021 resulted in a $2.6 million period-over-period decrease in cost of sales and services. Excluding the impact of the weaker Canadian exchange rate, the increase in cost of sales and services was driven by increased occupancy at our lodges and by increased mobile asset activity from pipeline projects.</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was largely unchanged, decreasing from 29.6% in the third quarter of 2021 to 29.3%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38,316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38,104</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212</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(2)</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35,489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27,014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8,475</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73,805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65,118</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8,687</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17,818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(533)</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33,465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26,007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7,458</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53,333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46,374</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6,959</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9"/>
                <w:szCs w:val="9"/>
                <w:color w:val="auto"/>
              </w:rPr>
              <w:t>(3)</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9"/>
                <w:szCs w:val="9"/>
                <w:color w:val="auto"/>
              </w:rPr>
              <w:t>(4)</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525,359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491,218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34,141</w:t>
            </w:r>
          </w:p>
        </w:tc>
      </w:tr>
      <w:tr>
        <w:trPr>
          <w:trHeight w:val="217"/>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0.683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0.735</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(0.052)</w:t>
            </w:r>
          </w:p>
        </w:tc>
      </w:tr>
    </w:tbl>
    <w:p>
      <w:pPr>
        <w:spacing w:after="0" w:line="286"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reported revenues in the third quarter of 2022 that were $8.7 million, or 13%, higher than the third quarter of 2021. The weakening of the average exchange rate for Australian dollars relative to the U.S. dollar by 7% in the third quarter of 2022 compared to the third quarter of 2021 resulted in a $5.5 million period-over-period decrease in revenues. On a constant currency basis, the Australian segment experienced a 22% period-over-period increase in revenues. Excluding the impact of the weaker Australian exchange rate, the increase in the Australian segment was driven by increased activity at our Civeo owned villages in the Bowen and Gunnedah Basins and our integrated services sites in Western Australia.</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$7.0 million, or 15%, in the third quarter of 2022 compared to the third quarter of 2021. The weakening of the average exchange rate for Australian dollars relative to the U.S. dollar by 7% in the third quarter of 2022 compared to the third quarter of 2021 resulted in a $4.0 million period-over-period decrease in cost of sales and services. Excluding the impact of the weaker Australian exchange rate, the increase in cost of sales and services was largely driven by increased activity at our Civeo owned villages in the Bowen and Gunnedah Basins and our integrated services sites in Western Australia.</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27.7% in the third quarter of 2022 from 28.8% in the third quarter of 2021. This was primarily driven by a higher proportion of revenue from our integrated services business, which has a service-only business model and therefore generates lower overall gross margins than our accommodation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U.S. Segment</w:t>
      </w:r>
    </w:p>
    <w:p>
      <w:pPr>
        <w:spacing w:after="0" w:line="3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5,888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1,525</w:t>
            </w:r>
          </w:p>
        </w:tc>
      </w:tr>
      <w:tr>
        <w:trPr>
          <w:trHeight w:val="210"/>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1,443</w:t>
            </w:r>
          </w:p>
        </w:tc>
      </w:tr>
      <w:tr>
        <w:trPr>
          <w:trHeight w:val="210"/>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bl>
    <w:p>
      <w:pPr>
        <w:spacing w:after="0" w:line="28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U.S. segment reported revenues in the third quarter of 2022 that were $1.5 million, or 26%, higher than the third quarter of 2021. This increase was due to greater U.S. drilling activity positively impacting our wellsite business in July and August, partially offset by reduced revenue due to the sale of this business on September 1, 2022. In addition, the offshore business had increased activity from completed projects and unit sales in the third quarter of 2022 that did not occur to the same extent in the third quarter of 2021. These increases were partially offset by the reduced revenue from our former West Permian Lodge, which operated in the third quarter of 2021 and was sold in the fourth quarter of 2021.</w:t>
      </w:r>
    </w:p>
    <w:p>
      <w:pPr>
        <w:spacing w:after="0" w:line="17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U.S. segment cost of sales and services increased $1.4 million, or 25%, in the third quarter of 2022 compared to the third quarter of 2021. This increase was due to greater U.S. drilling activity impacting our wellsite business in July and August.</w:t>
      </w:r>
    </w:p>
    <w:p>
      <w:pPr>
        <w:spacing w:after="0" w:line="17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U.S. segment gross margin as a percentage of revenues increased from 0.8% in the third quarter of 2021 to 1.7% in the third quarter of 2022 primarily due to improved margins in our wellsite business due to operating efficiencies at higher activity levels and increased margins from product sales in our offshore business. These were partially offset by our former West Permian Lodge, which generated a 79% gross margin as a percentage of revenues in the third quarter of 2021 and was sold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Nine Months Ended September 30, 2022 Compared to Nine Months Ended September 30, 2021</w:t>
      </w:r>
    </w:p>
    <w:p>
      <w:pPr>
        <w:spacing w:after="0" w:line="33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307,984</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229,223</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78,761</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100,190</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223,093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54,652</w:t>
            </w:r>
          </w:p>
        </w:tc>
      </w:tr>
      <w:tr>
        <w:trPr>
          <w:trHeight w:val="204"/>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145,539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11,367</w:t>
            </w:r>
          </w:p>
        </w:tc>
      </w:tr>
      <w:tr>
        <w:trPr>
          <w:trHeight w:val="190"/>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4,131</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389,392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70,150</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3"/>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505,595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436,431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69,164</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31,026</w:t>
            </w:r>
          </w:p>
        </w:tc>
      </w:tr>
      <w:tr>
        <w:trPr>
          <w:trHeight w:val="210"/>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31,531</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26,794</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25,622</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common shareholders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reported net income attributable to Civeo for the nine months ended September 30, 2022 of $15.2 million, or $0.91 per diluted share compared to net loss attributable to Civeo for the nine months ended September 30, 2021 of $10.4 million, or $0.73 per diluted share. As further discussed below, net loss for the nine months ended September 30, 2021 included a $7.9 million pre-tax loss resulting from the impairment of fixed assets included in Impairment expense.</w:t>
      </w:r>
    </w:p>
    <w:p>
      <w:pPr>
        <w:spacing w:after="0" w:line="57"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$100.2 million, or 23%, in the nine months ended September 30, 2022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2021. This increase was primarily driven by (i) higher billed rooms at our Canadian lodges as occupancy in the first nine months of 2021 was negatively impacted by the COVID-19 pandemic, (ii) higher average daily rate at our Canadian lodges largely due to occupancy mix, (iii) increased mobile asset activity from pipeline projects in Canada, (iv) increased activity at our Australian Civeo owned villages in the Bowen and Gunnedah Basins and (v) increased activity at our integrated services villages in Western Australia. These items were partially offset by a weaker Australian and Canadian dollar relative to the U.S. dollar in the nine months ended September 30, 2022 compared to the nine months ended September 30, 2021. See the discussion of segment results of operations below for further information.</w:t>
      </w:r>
    </w:p>
    <w:p>
      <w:pPr>
        <w:spacing w:after="0" w:line="9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$70.2 million, or 22%, in the nine months ended September 30,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nine months ended September 30, 2021. This increase was primarily due to (i) higher billed rooms at our Canadian lodges, (ii) increased mobile asset activity from pipeline projects in Canada, (iii) increased activity at our Australian Civeo owned villages in the Bowen and Gunnedah Basins and (iv) increased activity at our integrated services villages in Western Australia These items were partially offset by a weaker Australian and Canadian dollar relative to the U.S. dollar in the nine months ended September 30, 2022 compared to the nine months ended September 30, 2021.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2"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color w:val="auto"/>
        </w:rPr>
        <w:t>. SG&amp;A expense increased $4.4 million, or 9%, in the nine months ended September 30, 2022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nine months ended September 30, 2021. This increase was primarily due to higher share-based compensation expense, travel and entertainment expense and information technology expense. The increase in share-based compensation expense was due to a relative increase in our stock price during the nine months ended September 30, 2022 compared to the nine months ended September 30, 2021. The increase in information technology expense was related to set-up costs incurred in a cloud computing arrangement for our newly implemented human capital management system, which are being amortized through SG&amp;A expense instead of depreciation and amortization expense. The increase in travel and entertainment expenses was largely a result of a return to more normalized travel expenses with the lifting of travel restrictions associated with COVID-19.</w:t>
      </w:r>
    </w:p>
    <w:p>
      <w:pPr>
        <w:spacing w:after="0" w:line="106"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$2.9 million, or 5%, in the nine months ended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2022 compared to the nine months ended September 30, 2021. The increase was primarily due to shortening the lives on certain assets in Canada, partially offset by assets in Canada becoming fully depreciated during 2021 and the disposal of our West Permian Lodge in the U.S. during 2021.</w:t>
      </w:r>
    </w:p>
    <w:p>
      <w:pPr>
        <w:spacing w:after="0" w:line="94"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$7.9 million in the nine months ended September 30, 2021 associated with long-lived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in our Australian reporting unit.</w:t>
      </w:r>
    </w:p>
    <w:p>
      <w:pPr>
        <w:spacing w:after="0" w:line="52"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See Note 3 - Impairment Charges to the notes to the unaudited consolidated financial statements included in Item 1 of this quarterly report for further discussion.</w:t>
      </w:r>
    </w:p>
    <w:p>
      <w:pPr>
        <w:spacing w:after="0" w:line="92"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Operating Income (Loss). </w:t>
      </w:r>
      <w:r>
        <w:rPr>
          <w:rFonts w:ascii="Times New Roman" w:cs="Times New Roman" w:eastAsia="Times New Roman" w:hAnsi="Times New Roman"/>
          <w:sz w:val="17"/>
          <w:szCs w:val="17"/>
          <w:color w:val="auto"/>
        </w:rPr>
        <w:t>Consolidated operating income increased $31.0 million, or 1,761%, in the nine months ended September 30, 2022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nine months ended September 30, 2021, primarily due to higher activity levels in Canada and Australia in the nine months ended September 30, 2022 compared to the nine months ended September 30, 2021 and lower impairment expense in Australia in the nine months ended September 30, 2022 compared to the nine months ended September 30, 2021.</w:t>
      </w:r>
    </w:p>
    <w:p>
      <w:pPr>
        <w:spacing w:after="0" w:line="86"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$2.3 million, or 22%, in the nine months ended September 30, 2022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2021, primarily related to lower average debt levels on credit facility borrowings during 2022 compared to 2021.</w:t>
      </w:r>
    </w:p>
    <w:p>
      <w:pPr>
        <w:spacing w:after="0" w:line="16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Income. </w:t>
      </w:r>
      <w:r>
        <w:rPr>
          <w:rFonts w:ascii="Times New Roman" w:cs="Times New Roman" w:eastAsia="Times New Roman" w:hAnsi="Times New Roman"/>
          <w:sz w:val="17"/>
          <w:szCs w:val="17"/>
          <w:color w:val="auto"/>
        </w:rPr>
        <w:t>Consolidated other income decreased $1.8 million in the nine months ended September 30, 2022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2021. The nine months ended September 30, 2022 included gains on the sale of assets primarily related to our Kambalda village and undeveloped land holdings in Australia, our wellsite business in the U.S. and various mobile assets across Canada, Australia and the U.S. The nine months ended September 30, 2021 included $3.5 million related to proceeds from the Canada Emergency Wage Subsidy (CEWS) and a lower gain on the sale of assets primarily related to the sale of a manufacturing facility and mobile assets in Canada.</w:t>
      </w:r>
    </w:p>
    <w:p>
      <w:pPr>
        <w:spacing w:after="0" w:line="17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Income Tax (Expense) Benefit. </w:t>
      </w:r>
      <w:r>
        <w:rPr>
          <w:rFonts w:ascii="Times New Roman" w:cs="Times New Roman" w:eastAsia="Times New Roman" w:hAnsi="Times New Roman"/>
          <w:sz w:val="17"/>
          <w:szCs w:val="17"/>
          <w:color w:val="auto"/>
        </w:rPr>
        <w:t>Our income tax expense for the nine months ended September 30, 2022 totaled $7.1 million, or 27.8%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$2.4 million, or (39.0)% of pretax loss, for the nine months ended September 30, 2021. Our effective tax rate for the nine months ended September 30, 2022 was impacted by considering the U.S. a loss jurisdiction that was removed from the annual effective tax rate computation for the purposes of computing the interim tax provision. Our effective tax rate for the nine months ended September 30, 2021 was impacted by considering Canada and the U.S. loss jurisdictions that were removed from the annual effective tax rate computation for the purposes of computing the interim tax provision.</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Income. </w:t>
      </w:r>
      <w:r>
        <w:rPr>
          <w:rFonts w:ascii="Times New Roman" w:cs="Times New Roman" w:eastAsia="Times New Roman" w:hAnsi="Times New Roman"/>
          <w:sz w:val="17"/>
          <w:szCs w:val="17"/>
          <w:color w:val="auto"/>
        </w:rPr>
        <w:t>Other comprehensive loss increased $17.3 million in the nine months ended September 30, 2022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nine months ended September 30, 2021, primarily as a result of foreign currency translation adjustments due to changes in the Canadian and Australian dollar exchange rates compared to the U.S. dollar. The Canadian dollar exchange rate compared to the U.S. dollar decreased 8% in the nine months ended September 30, 2022 and was flat in the nine months ended September 30, 2021. The Australian dollar exchange rate compared to the U.S. dollar decreased 11% in the nine months ended September 30, 2022 compared to a 7% decrease in the nine months ended September 30,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219,349</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176,800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42,549</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73,359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38,240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35,119</w:t>
            </w:r>
          </w:p>
        </w:tc>
      </w:tr>
      <w:tr>
        <w:trPr>
          <w:trHeight w:val="19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15,276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1,093</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307,984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229,223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78,761</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156,543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124,798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31,745</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44,939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23,562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21,377</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13,782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12,583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1,199</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7,829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331</w:t>
            </w:r>
          </w:p>
        </w:tc>
      </w:tr>
      <w:tr>
        <w:trPr>
          <w:trHeight w:val="183"/>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223,093</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168,441</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54,652</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6"/>
              </w:rPr>
              <w:t>2,137,530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1,816,407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321,123</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0.779</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0.799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(0.020)</w:t>
            </w:r>
          </w:p>
        </w:tc>
      </w:tr>
    </w:tbl>
    <w:p>
      <w:pPr>
        <w:spacing w:after="0" w:line="286"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Canadian segment reported revenues in the nine months ended September 30, 2022 that were $78.8 million, or 34%, higher than the nine months ended September 30, 2021. The weakening of the average exchange rate for the Canadian dollar relative to the U.S. dollar by 3% in the nine months ended September 30, 2022 compared to the nine months ended September 30, 2021 resulted in a $8.2 million period-over-period decrease in revenues. Excluding the impact of the weaker Canadian exchange rate, the increase was driven by (i) higher billed rooms at our lodges as occupancy in the first nine month of 2021 was negatively impacted by the COVID-19 pandemic, (ii) a higher average daily rate at our lodges largely due to occupancy mix and (iii) increased mobile asset activity from pipeline projects.</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cost of sales and services increased $54.7 million, or 32%, in the nine months ended September 30, 2022 compared to the nine months ended September 30, 2021. The weakening of the average exchange rate for the Canadian dollar relative to the U.S. dollar by 3% in the nine months ended September 30, 2022 compared to the nine months ended September 30, 2021 resulted in a $5.6 million period-over-period decrease in cost of sales and services. Excluding the impact of the weaker Canadian exchange rate, the increase in cost of sales and services was driven by increased occupancy at our lodges and increased mobile asset activity from pipeline projects.</w:t>
      </w:r>
    </w:p>
    <w:p>
      <w:pPr>
        <w:spacing w:after="0" w:line="170"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26.5% in the nine months ended September 30, 2021 to 27.6% in the nine months ended September 30, 2022. This was primarily driven by an increased relative contribution from mobile asset activity which generates higher gross margin.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114,967</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109,559</w:t>
            </w:r>
          </w:p>
        </w:tc>
        <w:tc>
          <w:tcPr>
            <w:tcW w:w="10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5,408</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(2)</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90,187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79,215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10,972</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205,154</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188,774</w:t>
            </w:r>
          </w:p>
        </w:tc>
        <w:tc>
          <w:tcPr>
            <w:tcW w:w="10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16,380</w:t>
            </w:r>
          </w:p>
        </w:tc>
      </w:tr>
      <w:tr>
        <w:trPr>
          <w:trHeight w:val="217"/>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55,065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53,538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1,527</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75,458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9,378</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462</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145,539</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134,172</w:t>
            </w:r>
          </w:p>
        </w:tc>
        <w:tc>
          <w:tcPr>
            <w:tcW w:w="10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11,367</w:t>
            </w:r>
          </w:p>
        </w:tc>
      </w:tr>
      <w:tr>
        <w:trPr>
          <w:trHeight w:val="217"/>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17"/>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9"/>
                <w:szCs w:val="9"/>
                <w:color w:val="auto"/>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r>
      <w:tr>
        <w:trPr>
          <w:trHeight w:val="217"/>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9"/>
                <w:szCs w:val="9"/>
                <w:color w:val="auto"/>
              </w:rPr>
              <w:t>(4)</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9"/>
              </w:rPr>
              <w:t>1,505,143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1,382,182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122,961</w:t>
            </w:r>
          </w:p>
        </w:tc>
      </w:tr>
      <w:tr>
        <w:trPr>
          <w:trHeight w:val="217"/>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0.707</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0.759</w:t>
            </w:r>
          </w:p>
        </w:tc>
        <w:tc>
          <w:tcPr>
            <w:tcW w:w="10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(0.052)</w:t>
            </w:r>
          </w:p>
        </w:tc>
      </w:tr>
    </w:tbl>
    <w:p>
      <w:pPr>
        <w:spacing w:after="0" w:line="286" w:lineRule="exact"/>
        <w:rPr>
          <w:sz w:val="20"/>
          <w:szCs w:val="20"/>
          <w:color w:val="auto"/>
        </w:rPr>
      </w:pPr>
    </w:p>
    <w:p>
      <w:pPr>
        <w:ind w:left="300" w:hanging="295"/>
        <w:spacing w:after="0"/>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reported revenues in the nine months ended September 30, 2022 that were $16.4 million, or 9%, higher than the nine months ended September 30, 2021. The weakening of the average exchange rate for Australian dollars relative to the U.S. dollar by 7% in the nine months ended September 30, 2022 compared to the nine months ended September 30, 2021 resulted in a $15.1 million period-over-period decrease in revenues. Excluding the impact of the weaker Australian exchange rate, the increase in the Australian segment was driven by increased activity at our Civeo owned villages in the Bowen and Gunnedah Basins and our integrated services villages in Western Australia.</w:t>
      </w:r>
    </w:p>
    <w:p>
      <w:pPr>
        <w:spacing w:after="0" w:line="17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$11.4 million, or 8%, in the nine months ended September 30, 2022 compared to the nine months ended September 30, 2021. The weakening of the average exchange rate for Australian dollars relative to the U.S. dollar by 7% in the nine months ended September 30, 2022 compared to the nine months ended September 30, 2021 resulted in a $10.7 million period-over-period decrease in cost of sales and services. Excluding the impact of the weaker Australian exchange rate, the increase in cost of sales and services was largely driven by increased activity at our Civeo owned villages in the Bowen and Gunnedah Basins and our integrated services villages in Western Australia.</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increased to 29.1% in the nine months ended September 30, 2022 from 28.9% in the nine months ended September 30, 2021. This was primarily driven by improved margins at Civeo owned villages in the Bowen and Gunnedah Basins as a result of increased activity, partially offset by increased relative revenue contribution from our integrated services business, which has a service-only business model, and therefore generates lower overall gross margins than our accommodation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U.S. Segment</w:t>
      </w:r>
    </w:p>
    <w:p>
      <w:pPr>
        <w:spacing w:after="0" w:line="3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16,672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5,049</w:t>
            </w:r>
          </w:p>
        </w:tc>
      </w:tr>
      <w:tr>
        <w:trPr>
          <w:trHeight w:val="210"/>
        </w:trPr>
        <w:tc>
          <w:tcPr>
            <w:tcW w:w="4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6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20,760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4,131</w:t>
            </w:r>
          </w:p>
        </w:tc>
      </w:tr>
      <w:tr>
        <w:trPr>
          <w:trHeight w:val="210"/>
        </w:trPr>
        <w:tc>
          <w:tcPr>
            <w:tcW w:w="4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bl>
    <w:p>
      <w:pPr>
        <w:spacing w:after="0" w:line="283"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Our U.S. segment reported revenues in the nine months ended September 30, 2022 that were $5.0 million, or 30%, higher than the nine months ended September 30, 2021. This increase was due to greater U.S. drilling activity positively impacting our wellsite business that was sold on September 1, 2022, partially offset by reduced revenue from our former West Permian Lodge, which operated in the first nine months of 2021 and was sold in the fourth quarter of 2021.</w:t>
      </w:r>
    </w:p>
    <w:p>
      <w:pPr>
        <w:spacing w:after="0" w:line="37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cost of sales and services increased $4.1 million, or 25%, in the nine months ended September 30, 2022 compared to the nine months ended September 30, 2021. This increase was due to greater U.S. drilling activity impacting our wellsite business that was sold on September 1, 2022, partially offset by reduced costs from our former West Permian Lodge, which operated in the first nine months of 2021 and was sold in the fourth quarter of 2021.</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U.S. segment gross margin as a percentage of revenues increased 4.2% from the nine months ended September 30, 2021 to the nine months ended September 30, 2022 primarily due to improved margins in our wellsite business due to operating efficiencies at higher activity levels, partially offset by our former West Permian Lodge, which operated in the first nine months of 2021 and was sold in the fourth quarter of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shares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September 30, 2022 and December 31, 2021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(112,026)</w:t>
            </w:r>
          </w:p>
        </w:tc>
      </w:tr>
      <w:tr>
        <w:trPr>
          <w:trHeight w:val="20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18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180" w:type="dxa"/>
            <w:vAlign w:val="bottom"/>
          </w:tcPr>
          <w:p>
            <w:pPr>
              <w:spacing w:after="0"/>
              <w:rPr>
                <w:sz w:val="15"/>
                <w:szCs w:val="15"/>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108,912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86,535</w:t>
            </w:r>
          </w:p>
        </w:tc>
      </w:tr>
      <w:tr>
        <w:trPr>
          <w:trHeight w:val="19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r>
      <w:tr>
        <w:trPr>
          <w:trHeight w:val="196"/>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117,273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92,817</w:t>
            </w: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Cash totaling $62.4 million was provided by operations during the nine months ended September 30, 2022, compared to $63.2 million provided by operations during the nine months ended September 30, 2021. During the nine months ended September 30, 2022 and 2021, $29.9 million and $5.0 million was used in working capital, respectively. The increase in cash used in working capital in 2022 compared to 2021 is largely due to the timing of customer payments and revenue recognition as it relates to mobile asset activity in Canada during the nine months ended September 30, 2022 compared to the nine months ended September 30, 2021.</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Cash was used in investing activities during the nine months ended September 30, 2022 in the amount of $5.3 million, compared to cash used in investing activities during the nine months ended September 30, 2021 in the amount of $2.1 million. The increase in cash used in investing activities was primarily due to higher capital expenditures. Capital expenditures totaled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$17.5 million and $9.6 million during the nine months ended September 30, 2022 and 2021, respectively. Capital expenditures in both periods were primarily maintenance related. Offsetting these capital expenditures, we received proceeds from the sale of property, plant and equipment of $12.0 million during the nine months ended September 30, 2022 primarily related to the sale of our Kambalda village and undeveloped land holdings in Australia, unused corporate office space and various mobile assets in Canada and our wellsite business in the U.S., compared to $7.5 million during the nine months ended September 30, 2021 primarily related to the sale of our manufacturing facility and mobile assets in Canada.</w:t>
      </w:r>
    </w:p>
    <w:p>
      <w:pPr>
        <w:spacing w:after="0" w:line="19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2022 to be in the range of $24 million to $29 million, which excludes any unannounced and uncommitted projects, the spending for which is contingent on obtaining customer contracts or commitments. Our 2022 capital expenditures estimate includes the capital expenditures associated with our recently announced 12-year contract renewal for our Wapasu Lodge in the Canadian oil sands. Whether planned expenditures will actually be spent in 2022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the COVID-19 global pandemic and the responses thereto and the resultant impact on the capital spending plans of our customers in order to plan our business activities, and we may adjust our capital expenditure plans in the future.</w:t>
      </w:r>
    </w:p>
    <w:p>
      <w:pPr>
        <w:spacing w:after="0" w:line="175"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Net cash of $53.1 million was used in financing activities during the nine months ended September 30, 2022 primarily due to net repayments under our revolving credit facilities of $14.8 million, term loan repayments of $23.1 million, repurchases of our common shares of $14.2 million and payments to settle tax obligations on vested shares under our share-based compensation plans of $1.0 million. Net cash of $61.1 million was used in financing activities during the nine months ended September 30, 2021 primarily due to repayments of term loan borrowings of $117.6 million, payments to settle tax obligations on vested shares under our share-based compensation plans of $1.1 million, debt issuance costs of $4.4 million and repurchases of our common shares of $0.4 million, partially offset by net borrowings under our revolving credit facilities of $62.5 million.</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nine months ended September 30, 2022 (in thousands):</w:t>
      </w:r>
    </w:p>
    <w:p>
      <w:pPr>
        <w:spacing w:after="0" w:line="347" w:lineRule="exact"/>
        <w:rPr>
          <w:sz w:val="20"/>
          <w:szCs w:val="20"/>
          <w:color w:val="auto"/>
        </w:rPr>
      </w:pPr>
    </w:p>
    <w:tbl>
      <w:tblPr>
        <w:tblLayout w:type="fixed"/>
        <w:tblInd w:w="2460" w:type="dxa"/>
        <w:tblCellMar>
          <w:top w:w="0" w:type="dxa"/>
          <w:left w:w="0" w:type="dxa"/>
          <w:bottom w:w="0" w:type="dxa"/>
          <w:right w:w="0" w:type="dxa"/>
        </w:tblCellMar>
      </w:tblPr>
      <w:tr>
        <w:trPr>
          <w:trHeight w:val="19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175,130</w:t>
            </w:r>
          </w:p>
        </w:tc>
      </w:tr>
      <w:tr>
        <w:trPr>
          <w:trHeight w:val="189"/>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204,951</w:t>
            </w:r>
          </w:p>
        </w:tc>
      </w:tr>
      <w:tr>
        <w:trPr>
          <w:trHeight w:val="204"/>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facilities</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(219,775)</w:t>
            </w:r>
          </w:p>
        </w:tc>
      </w:tr>
      <w:tr>
        <w:trPr>
          <w:trHeight w:val="189"/>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term loans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(23,059)</w:t>
            </w:r>
          </w:p>
        </w:tc>
      </w:tr>
      <w:tr>
        <w:trPr>
          <w:trHeight w:val="197"/>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(11,031)</w:t>
            </w: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126,216</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the impact of COVID-19 or changes in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1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August 2022, our Board authorized a common share repurchase program to repurchase up to 5.0% of our total common shares which are issued and outstanding, or 685,614 common shares, over a twelve month period. See Note 12 – Share Repurchases to the notes to the unaudited consolidated financial statements included in Item 1 of this quarterly report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As of September 30,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September 30, 2022, we had outstanding letters of credit of $0.3 million under the U.S. facility, zero under the Australian facility and $1.1 million under the Canadian facility. We also had outstanding bank guarantees of A$0.8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203"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September 30, 2022, thereby increasing the liquidation preference to $10,939 per share as of September 30, 2022. We currently expect to pay dividends on the preferred shares through an increase in liquidation preference rather than cash until they mandatorily convert to Civeo common shares in April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2021.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September 30, 2022, we had $126.2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$1.3 million annually, based on our floating-rate debt obligations and interest rates in effect as of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C$232 million and A$232 million, respectively, at September 30, 2022.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2022 would result in translation adjustments of approximately $23 million and $23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2022, at the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months ended September 30, 2022,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8"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8" w:lineRule="exact"/>
        <w:rPr>
          <w:sz w:val="20"/>
          <w:szCs w:val="20"/>
          <w:color w:val="auto"/>
        </w:rPr>
      </w:pPr>
    </w:p>
    <w:p>
      <w:pPr>
        <w:jc w:val="both"/>
        <w:ind w:right="100" w:firstLine="472"/>
        <w:spacing w:after="0" w:line="296" w:lineRule="auto"/>
        <w:rPr>
          <w:sz w:val="20"/>
          <w:szCs w:val="20"/>
          <w:color w:val="auto"/>
        </w:rPr>
      </w:pPr>
      <w:r>
        <w:rPr>
          <w:rFonts w:ascii="Times New Roman" w:cs="Times New Roman" w:eastAsia="Times New Roman" w:hAnsi="Times New Roman"/>
          <w:sz w:val="17"/>
          <w:szCs w:val="17"/>
          <w:color w:val="auto"/>
        </w:rPr>
        <w:t>For additional information about our risk factors, you should carefully read the section entitled "Risk Factors” included in our Annual Report on Form 10-K for the year ended December 31,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September 30, 2022.</w:t>
      </w: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8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1980" w:type="dxa"/>
            <w:vAlign w:val="bottom"/>
          </w:tcPr>
          <w:p>
            <w:pPr>
              <w:jc w:val="center"/>
              <w:ind w:left="61"/>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980" w:type="dxa"/>
            <w:vAlign w:val="bottom"/>
          </w:tcPr>
          <w:p>
            <w:pPr>
              <w:jc w:val="center"/>
              <w:ind w:left="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 plans</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98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2022 - July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2022 - August 31,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475,724</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 (3)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28.72</w:t>
            </w:r>
          </w:p>
        </w:tc>
        <w:tc>
          <w:tcPr>
            <w:tcW w:w="1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100,971</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2022 - September 30,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475,724</w:t>
            </w:r>
          </w:p>
        </w:tc>
        <w:tc>
          <w:tcPr>
            <w:tcW w:w="5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28.72</w:t>
            </w:r>
          </w:p>
        </w:tc>
        <w:tc>
          <w:tcPr>
            <w:tcW w:w="1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100,971</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20" w:right="100" w:hanging="315"/>
        <w:spacing w:after="0" w:line="236"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August 2021, our Board authorized a common share repurchase program (the 2021 Share Repurchase Program) to repurchase up to 5.0% of our total common shares which are issued and outstanding, or 715,814 common shares, over a twelve month period. We repurchased an aggregate of 100,971 of our common shares outstanding for approximately $3.0 million during the three months ended September 30, 2022 under the 2021 Share Repurchase Program.</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5"/>
        <w:spacing w:after="0" w:line="230"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August 2022, our Board authorized a new common share repurchase program (the 2022 Share Repurchase Program and, together with the 2021 Share Repurchase Program, the "Share Repurchase Programs") to repurchase up to 5.0% of our total common shares which are issued and outstanding, or 685,614 common shares, over a twelve month period. We have not repurchased any shares under the 2022 Share Repurchase Program as of September 30, 2022.</w:t>
      </w:r>
    </w:p>
    <w:p>
      <w:pPr>
        <w:ind w:left="320" w:right="100" w:hanging="315"/>
        <w:spacing w:after="0" w:line="218"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addition to the Share Repurchase Programs, we repurchased 374,753 common shares from a shareholder for approximately $10.7 million during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4" w:lineRule="exact"/>
        <w:rPr>
          <w:sz w:val="20"/>
          <w:szCs w:val="20"/>
          <w:color w:val="auto"/>
        </w:rPr>
      </w:pPr>
    </w:p>
    <w:p>
      <w:pPr>
        <w:ind w:left="640" w:hanging="478"/>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47"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8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20" w:type="dxa"/>
            <w:vAlign w:val="bottom"/>
            <w:gridSpan w:val="8"/>
          </w:tcPr>
          <w:p>
            <w:pPr>
              <w:ind w:left="3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20" w:type="dxa"/>
            <w:vAlign w:val="bottom"/>
            <w:gridSpan w:val="11"/>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Retention Commitment Agreement, dated as of July 26, 2022, between Civeo Corporation and Allan D. Schoening</w:t>
              </w:r>
            </w:hyperlink>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0" w:type="dxa"/>
            <w:vAlign w:val="bottom"/>
            <w:tcBorders>
              <w:top w:val="single" w:sz="8" w:color="0000FF"/>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(incorporated herein by reference to Exhibit 10.1 to the Current Report on Form 8-K (File No. 001-36246) filed on August 1,</w:t>
              </w:r>
            </w:hyperlink>
          </w:p>
        </w:tc>
        <w:tc>
          <w:tcPr>
            <w:tcW w:w="20" w:type="dxa"/>
            <w:vAlign w:val="bottom"/>
            <w:tcBorders>
              <w:bottom w:val="single" w:sz="8" w:color="0000FF"/>
            </w:tcBorders>
          </w:tcPr>
          <w:p>
            <w:pPr>
              <w:spacing w:after="0"/>
              <w:rPr>
                <w:sz w:val="14"/>
                <w:szCs w:val="14"/>
                <w:color w:val="auto"/>
              </w:rPr>
            </w:pPr>
          </w:p>
        </w:tc>
      </w:tr>
      <w:tr>
        <w:trPr>
          <w:trHeight w:val="150"/>
        </w:trPr>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bottom w:val="single" w:sz="8" w:color="0000FF"/>
            </w:tcBorders>
          </w:tcPr>
          <w:p>
            <w:pPr>
              <w:spacing w:after="0" w:line="150" w:lineRule="exact"/>
              <w:rPr>
                <w:rFonts w:ascii="Times New Roman" w:cs="Times New Roman" w:eastAsia="Times New Roman" w:hAnsi="Times New Roman"/>
                <w:sz w:val="17"/>
                <w:szCs w:val="17"/>
                <w:color w:val="0000FF"/>
                <w:w w:val="95"/>
              </w:rPr>
            </w:pPr>
            <w:hyperlink r:id="rId83">
              <w:r>
                <w:rPr>
                  <w:rFonts w:ascii="Times New Roman" w:cs="Times New Roman" w:eastAsia="Times New Roman" w:hAnsi="Times New Roman"/>
                  <w:sz w:val="17"/>
                  <w:szCs w:val="17"/>
                  <w:color w:val="0000FF"/>
                  <w:w w:val="95"/>
                </w:rPr>
                <w:t>2022).</w:t>
              </w:r>
            </w:hyperlink>
          </w:p>
        </w:tc>
        <w:tc>
          <w:tcPr>
            <w:tcW w:w="1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2"/>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720" w:type="dxa"/>
            <w:vAlign w:val="bottom"/>
            <w:tcBorders>
              <w:top w:val="single" w:sz="8" w:color="0000FF"/>
            </w:tcBorders>
            <w:gridSpan w:val="6"/>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5"/>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740" w:type="dxa"/>
            <w:vAlign w:val="bottom"/>
            <w:tcBorders>
              <w:top w:val="single" w:sz="8" w:color="0000FF"/>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5"/>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1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25"/>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18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20"/>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 XBRL tags</w:t>
            </w:r>
          </w:p>
        </w:tc>
      </w:tr>
      <w:tr>
        <w:trPr>
          <w:trHeight w:val="228"/>
        </w:trPr>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r>
      <w:tr>
        <w:trPr>
          <w:trHeight w:val="445"/>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5"/>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5"/>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5"/>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5"/>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9280" w:type="dxa"/>
            <w:vAlign w:val="bottom"/>
            <w:gridSpan w:val="12"/>
          </w:tcPr>
          <w:p>
            <w:pPr>
              <w:ind w:left="12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4" w:lineRule="exact"/>
        <w:rPr>
          <w:sz w:val="20"/>
          <w:szCs w:val="20"/>
          <w:color w:val="auto"/>
        </w:rPr>
      </w:pPr>
    </w:p>
    <w:p>
      <w:pPr>
        <w:ind w:left="1600" w:hanging="1263"/>
        <w:spacing w:after="0"/>
        <w:tabs>
          <w:tab w:leader="none" w:pos="16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10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3"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9" w:name="page40"/>
    <w:bookmarkEnd w:id="39"/>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3"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October 28, 2022</w:t>
      </w:r>
      <w:r>
        <w:rPr>
          <w:sz w:val="20"/>
          <w:szCs w:val="20"/>
          <w:color w:val="auto"/>
        </w:rPr>
        <w:tab/>
      </w:r>
      <w:r>
        <w:rPr>
          <w:rFonts w:ascii="Times New Roman" w:cs="Times New Roman" w:eastAsia="Times New Roman" w:hAnsi="Times New Roman"/>
          <w:sz w:val="17"/>
          <w:szCs w:val="17"/>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6421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Carolyn J. Stone</w:t>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2"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00" w:right="230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7"/>
          <w:szCs w:val="17"/>
          <w:color w:val="auto"/>
        </w:rPr>
      </w:pPr>
    </w:p>
    <w:p>
      <w:pPr>
        <w:ind w:left="700" w:right="232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right="2300" w:hanging="367"/>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sz w:val="20"/>
          <w:szCs w:val="20"/>
          <w:color w:val="auto"/>
        </w:rPr>
      </w:pPr>
    </w:p>
    <w:p>
      <w:pPr>
        <w:jc w:val="both"/>
        <w:ind w:left="700" w:right="2320" w:hanging="363"/>
        <w:spacing w:after="0" w:line="230" w:lineRule="auto"/>
        <w:tabs>
          <w:tab w:leader="none" w:pos="7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40" w:right="2300" w:hanging="318"/>
        <w:spacing w:after="0" w:line="232"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00" w:right="2320" w:hanging="367"/>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00" w:right="2300" w:hanging="367"/>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2022</w:t>
      </w:r>
    </w:p>
    <w:p>
      <w:pPr>
        <w:spacing w:after="0" w:line="1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Carolyn J. Stone, certify that:</w:t>
      </w:r>
    </w:p>
    <w:p>
      <w:pPr>
        <w:spacing w:after="0" w:line="355" w:lineRule="exact"/>
        <w:rPr>
          <w:sz w:val="20"/>
          <w:szCs w:val="20"/>
          <w:color w:val="auto"/>
        </w:rPr>
      </w:pPr>
    </w:p>
    <w:p>
      <w:pPr>
        <w:ind w:left="320" w:hanging="298"/>
        <w:spacing w:after="0"/>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2" w:lineRule="auto"/>
        <w:tabs>
          <w:tab w:leader="none" w:pos="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20" w:right="2400" w:hanging="393"/>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Times New Roman" w:cs="Times New Roman" w:eastAsia="Times New Roman" w:hAnsi="Times New Roman"/>
          <w:sz w:val="17"/>
          <w:szCs w:val="17"/>
          <w:color w:val="auto"/>
        </w:rPr>
      </w:pPr>
    </w:p>
    <w:p>
      <w:pPr>
        <w:ind w:left="720" w:right="2400" w:hanging="39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20" w:right="2400" w:hanging="393"/>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20" w:right="2400" w:hanging="298"/>
        <w:spacing w:after="0" w:line="232"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20" w:right="2400" w:hanging="393"/>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2022</w:t>
      </w:r>
    </w:p>
    <w:p>
      <w:pPr>
        <w:spacing w:after="0" w:line="3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Carolyn J. Stone</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5" w:lineRule="exact"/>
        <w:rPr>
          <w:sz w:val="20"/>
          <w:szCs w:val="20"/>
          <w:color w:val="auto"/>
        </w:rPr>
      </w:pPr>
    </w:p>
    <w:p>
      <w:pPr>
        <w:jc w:val="both"/>
        <w:ind w:firstLine="786"/>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2022,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8" w:lineRule="auto"/>
        <w:tabs>
          <w:tab w:leader="none" w:pos="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1"/>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34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Bradley J. Dodson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October 28, 2022</w:t>
            </w:r>
          </w:p>
        </w:tc>
      </w:tr>
    </w:tbl>
    <w:p>
      <w:pPr>
        <w:sectPr>
          <w:pgSz w:w="11900" w:h="16838" w:orient="portrait"/>
          <w:cols w:equalWidth="0" w:num="1">
            <w:col w:w="11240"/>
          </w:cols>
          <w:pgMar w:left="320" w:top="86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ind w:firstLine="786"/>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2022,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29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8" w:lineRule="auto"/>
        <w:tabs>
          <w:tab w:leader="none" w:pos="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Carolyn J. Stone</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1"/>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Carolyn J. Stone</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October 28, 2022</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1"/>
    </w:lvl>
    <w:lvl w:ilvl="1">
      <w:lvlJc w:val="left"/>
      <w:lvlText w:val="(%2)"/>
      <w:numFmt w:val="decimal"/>
      <w:start w:val="1"/>
    </w:lvl>
  </w:abstractNum>
  <w:abstractNum w:abstractNumId="9">
    <w:nsid w:val="2D1D5AE9"/>
    <w:multiLevelType w:val="hybridMultilevel"/>
    <w:lvl w:ilvl="0">
      <w:lvlJc w:val="left"/>
      <w:lvlText w:val="%1."/>
      <w:numFmt w:val="decimal"/>
      <w:start w:val="7"/>
    </w:lvl>
    <w:lvl w:ilvl="1">
      <w:lvlJc w:val="left"/>
      <w:lvlText w:val="%2"/>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
      <w:numFmt w:val="bullet"/>
      <w:start w:val="1"/>
    </w:lvl>
    <w:lvl w:ilvl="1">
      <w:lvlJc w:val="left"/>
      <w:lvlText w:val="%2"/>
      <w:numFmt w:val="decimal"/>
      <w:start w:val="104"/>
    </w:lvl>
  </w:abstractNum>
  <w:abstractNum w:abstractNumId="22">
    <w:nsid w:val="3A95F874"/>
    <w:multiLevelType w:val="hybridMultilevel"/>
    <w:lvl w:ilvl="0">
      <w:lvlJc w:val="left"/>
      <w:lvlText w:val="**"/>
      <w:numFmt w:val="bullet"/>
      <w:start w:val="1"/>
    </w:lvl>
    <w:lvl w:ilvl="1">
      <w:lvlJc w:val="left"/>
      <w:lvlText w:val="%2"/>
      <w:numFmt w:val="decimal"/>
      <w:start w:val="1"/>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2"/>
      <w:numFmt w:val="bullet"/>
      <w:start w:val="1"/>
    </w:lvl>
  </w:abstractNum>
  <w:abstractNum w:abstractNumId="25">
    <w:nsid w:val="7C3DBD3D"/>
    <w:multiLevelType w:val="hybridMultilevel"/>
    <w:lvl w:ilvl="0">
      <w:lvlJc w:val="left"/>
      <w:lvlText w:val="3"/>
      <w:numFmt w:val="bullet"/>
      <w:start w:val="1"/>
    </w:lvl>
  </w:abstractNum>
  <w:abstractNum w:abstractNumId="26">
    <w:nsid w:val="737B8DDC"/>
    <w:multiLevelType w:val="hybridMultilevel"/>
    <w:lvl w:ilvl="0">
      <w:lvlJc w:val="left"/>
      <w:lvlText w:val="4"/>
      <w:numFmt w:val="bullet"/>
      <w:start w:val="1"/>
    </w:lvl>
  </w:abstractNum>
  <w:abstractNum w:abstractNumId="27">
    <w:nsid w:val="6CEAF087"/>
    <w:multiLevelType w:val="hybridMultilevel"/>
    <w:lvl w:ilvl="0">
      <w:lvlJc w:val="left"/>
      <w:lvlText w:val="d"/>
      <w:numFmt w:val="bullet"/>
      <w:start w:val="1"/>
    </w:lvl>
  </w:abstractNum>
  <w:abstractNum w:abstractNumId="28">
    <w:nsid w:val="22221A70"/>
    <w:multiLevelType w:val="hybridMultilevel"/>
    <w:lvl w:ilvl="0">
      <w:lvlJc w:val="left"/>
      <w:lvlText w:val="5"/>
      <w:numFmt w:val="bullet"/>
      <w:start w:val="1"/>
    </w:lvl>
  </w:abstractNum>
  <w:abstractNum w:abstractNumId="29">
    <w:nsid w:val="4516DDE9"/>
    <w:multiLevelType w:val="hybridMultilevel"/>
    <w:lvl w:ilvl="0">
      <w:lvlJc w:val="left"/>
      <w:lvlText w:val="1"/>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3"/>
      <w:numFmt w:val="bullet"/>
      <w:start w:val="1"/>
    </w:lvl>
  </w:abstractNum>
  <w:abstractNum w:abstractNumId="32">
    <w:nsid w:val="419AC241"/>
    <w:multiLevelType w:val="hybridMultilevel"/>
    <w:lvl w:ilvl="0">
      <w:lvlJc w:val="left"/>
      <w:lvlText w:val="4"/>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2"/>
      <w:numFmt w:val="bullet"/>
      <w:start w:val="1"/>
    </w:lvl>
  </w:abstractNum>
  <w:abstractNum w:abstractNumId="35">
    <w:nsid w:val="507236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3" Type="http://schemas.openxmlformats.org/officeDocument/2006/relationships/hyperlink" Target="https://www.sec.gov/Archives/edgar/data/1590584/000159058422000103/schoeningretentionletter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2022-10-28T14:24:18Z</dcterms:created>
  <dcterms:modified xsi:type="dcterms:W3CDTF">2022-10-28T14:24:18Z</dcterms:modified>
</cp:coreProperties>
</file>