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Date of Report (Date of earliest event Reported): June 17, 2014</w:t>
      </w:r>
    </w:p>
    <w:p>
      <w:pPr>
        <w:spacing w:after="0" w:line="205" w:lineRule="exact"/>
        <w:rPr>
          <w:sz w:val="24"/>
          <w:szCs w:val="24"/>
          <w:color w:val="auto"/>
        </w:rPr>
      </w:pPr>
    </w:p>
    <w:p>
      <w:pPr>
        <w:jc w:val="center"/>
        <w:ind w:right="-279"/>
        <w:spacing w:after="0"/>
        <w:rPr>
          <w:sz w:val="20"/>
          <w:szCs w:val="20"/>
          <w:color w:val="auto"/>
        </w:rPr>
      </w:pPr>
      <w:r>
        <w:rPr>
          <w:rFonts w:ascii="Arial" w:cs="Arial" w:eastAsia="Arial" w:hAnsi="Arial"/>
          <w:sz w:val="24"/>
          <w:szCs w:val="24"/>
          <w:b w:val="1"/>
          <w:bCs w:val="1"/>
          <w:color w:val="auto"/>
        </w:rPr>
        <w:t>Civeo Corporation</w:t>
      </w:r>
    </w:p>
    <w:p>
      <w:pPr>
        <w:spacing w:after="0" w:line="4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p>
      <w:pPr>
        <w:ind w:left="1480"/>
        <w:spacing w:after="0"/>
        <w:tabs>
          <w:tab w:leader="none" w:pos="5520" w:val="left"/>
          <w:tab w:leader="none" w:pos="92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1-36246</w:t>
      </w:r>
      <w:r>
        <w:rPr>
          <w:sz w:val="20"/>
          <w:szCs w:val="20"/>
          <w:color w:val="auto"/>
        </w:rPr>
        <w:tab/>
      </w:r>
      <w:r>
        <w:rPr>
          <w:rFonts w:ascii="Arial" w:cs="Arial" w:eastAsia="Arial" w:hAnsi="Arial"/>
          <w:sz w:val="15"/>
          <w:szCs w:val="15"/>
          <w:b w:val="1"/>
          <w:bCs w:val="1"/>
          <w:color w:val="auto"/>
        </w:rPr>
        <w:t>46-3831207</w:t>
      </w:r>
    </w:p>
    <w:p>
      <w:pPr>
        <w:spacing w:after="0" w:line="21" w:lineRule="exact"/>
        <w:rPr>
          <w:sz w:val="24"/>
          <w:szCs w:val="24"/>
          <w:color w:val="auto"/>
        </w:rPr>
      </w:pPr>
    </w:p>
    <w:p>
      <w:pPr>
        <w:ind w:left="260"/>
        <w:spacing w:after="0"/>
        <w:tabs>
          <w:tab w:leader="none" w:pos="4840" w:val="left"/>
          <w:tab w:leader="none" w:pos="826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Number)</w:t>
      </w:r>
    </w:p>
    <w:p>
      <w:pPr>
        <w:spacing w:after="0" w:line="24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Three Allen Center</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(Address and zip code of principal executive offices)</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510-2400</w:t>
      </w:r>
    </w:p>
    <w:p>
      <w:pPr>
        <w:spacing w:after="0" w:line="200" w:lineRule="exact"/>
        <w:rPr>
          <w:sz w:val="24"/>
          <w:szCs w:val="24"/>
          <w:color w:val="auto"/>
        </w:rPr>
      </w:pPr>
    </w:p>
    <w:p>
      <w:pPr>
        <w:spacing w:after="0" w:line="268"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2"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14d-2(b) under the Exchange Act (17 CFR 240.14d-2(b))</w:t>
            </w:r>
          </w:p>
        </w:tc>
      </w:tr>
      <w:tr>
        <w:trPr>
          <w:trHeight w:val="22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13e-4(c) under the Exchange Act (17 CFR 240.13e-4(c))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5"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On June 17, 2014, Civeo Corporation (the "Company") issued a press release announcing its financial condition and results of operations for the quarter ended March 31, 2014. A copy of the press release is furnished as Exhibit 99.1 to this report on Form 8-K, and is incorporated herein by reference.</w:t>
      </w:r>
    </w:p>
    <w:p>
      <w:pPr>
        <w:spacing w:after="0" w:line="139"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and shall not be incorporated by reference into any filings made by Civeo Corporation under the Securities Act of 1933, as amended, or the Exchange Act, except as may be expressly set forth by specific reference in such filing.</w:t>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4"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Exhibits</w:t>
      </w:r>
      <w:r>
        <w:rPr>
          <w:rFonts w:ascii="Arial" w:cs="Arial" w:eastAsia="Arial" w:hAnsi="Arial"/>
          <w:sz w:val="16"/>
          <w:szCs w:val="16"/>
          <w:color w:val="auto"/>
        </w:rPr>
        <w: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72"/>
        </w:trPr>
        <w:tc>
          <w:tcPr>
            <w:tcW w:w="540" w:type="dxa"/>
            <w:vAlign w:val="bottom"/>
          </w:tcPr>
          <w:p>
            <w:pPr>
              <w:spacing w:after="0" w:line="172" w:lineRule="exact"/>
              <w:rPr>
                <w:sz w:val="20"/>
                <w:szCs w:val="20"/>
                <w:color w:val="auto"/>
              </w:rPr>
            </w:pPr>
            <w:r>
              <w:rPr>
                <w:rFonts w:ascii="Arial" w:cs="Arial" w:eastAsia="Arial" w:hAnsi="Arial"/>
                <w:sz w:val="16"/>
                <w:szCs w:val="16"/>
                <w:color w:val="auto"/>
                <w:w w:val="91"/>
              </w:rPr>
              <w:t>Number</w:t>
            </w:r>
          </w:p>
        </w:tc>
        <w:tc>
          <w:tcPr>
            <w:tcW w:w="380" w:type="dxa"/>
            <w:vAlign w:val="bottom"/>
          </w:tcPr>
          <w:p>
            <w:pPr>
              <w:spacing w:after="0"/>
              <w:rPr>
                <w:sz w:val="14"/>
                <w:szCs w:val="14"/>
                <w:color w:val="auto"/>
              </w:rPr>
            </w:pPr>
          </w:p>
        </w:tc>
        <w:tc>
          <w:tcPr>
            <w:tcW w:w="2620" w:type="dxa"/>
            <w:vAlign w:val="bottom"/>
            <w:gridSpan w:val="3"/>
          </w:tcPr>
          <w:p>
            <w:pPr>
              <w:ind w:left="400"/>
              <w:spacing w:after="0" w:line="172" w:lineRule="exact"/>
              <w:rPr>
                <w:sz w:val="20"/>
                <w:szCs w:val="20"/>
                <w:color w:val="auto"/>
              </w:rPr>
            </w:pPr>
            <w:r>
              <w:rPr>
                <w:rFonts w:ascii="Arial" w:cs="Arial" w:eastAsia="Arial" w:hAnsi="Arial"/>
                <w:sz w:val="16"/>
                <w:szCs w:val="16"/>
                <w:color w:val="auto"/>
              </w:rPr>
              <w:t>Description of Document</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7"/>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18"/>
                <w:szCs w:val="18"/>
                <w:color w:val="auto"/>
              </w:rPr>
            </w:pPr>
          </w:p>
        </w:tc>
        <w:tc>
          <w:tcPr>
            <w:tcW w:w="2620" w:type="dxa"/>
            <w:vAlign w:val="bottom"/>
            <w:gridSpan w:val="3"/>
          </w:tcPr>
          <w:p>
            <w:pPr>
              <w:ind w:left="400"/>
              <w:spacing w:after="0"/>
              <w:rPr>
                <w:sz w:val="20"/>
                <w:szCs w:val="20"/>
                <w:color w:val="auto"/>
              </w:rPr>
            </w:pPr>
            <w:r>
              <w:rPr>
                <w:rFonts w:ascii="Arial" w:cs="Arial" w:eastAsia="Arial" w:hAnsi="Arial"/>
                <w:sz w:val="16"/>
                <w:szCs w:val="16"/>
                <w:color w:val="auto"/>
                <w:w w:val="86"/>
              </w:rPr>
              <w:t>Press Release dated June 17, 2014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4"/>
          <w:szCs w:val="24"/>
          <w:color w:val="auto"/>
        </w:rPr>
      </w:pPr>
    </w:p>
    <w:p>
      <w:pPr>
        <w:spacing w:after="0"/>
        <w:tabs>
          <w:tab w:leader="none" w:pos="5400" w:val="left"/>
        </w:tabs>
        <w:rPr>
          <w:sz w:val="20"/>
          <w:szCs w:val="20"/>
          <w:color w:val="auto"/>
        </w:rPr>
      </w:pPr>
      <w:r>
        <w:rPr>
          <w:rFonts w:ascii="Arial" w:cs="Arial" w:eastAsia="Arial" w:hAnsi="Arial"/>
          <w:sz w:val="18"/>
          <w:szCs w:val="18"/>
          <w:color w:val="auto"/>
        </w:rPr>
        <w:t>Date: June 18, 2014</w:t>
      </w:r>
      <w:r>
        <w:rPr>
          <w:sz w:val="20"/>
          <w:szCs w:val="20"/>
          <w:color w:val="auto"/>
        </w:rPr>
        <w:tab/>
      </w:r>
      <w:r>
        <w:rPr>
          <w:rFonts w:ascii="Arial" w:cs="Arial" w:eastAsia="Arial" w:hAnsi="Arial"/>
          <w:sz w:val="16"/>
          <w:szCs w:val="16"/>
          <w:b w:val="1"/>
          <w:bCs w:val="1"/>
          <w:color w:val="auto"/>
        </w:rPr>
        <w:t>Civeo Corporation</w:t>
      </w:r>
    </w:p>
    <w:p>
      <w:pPr>
        <w:spacing w:after="0" w:line="231" w:lineRule="exact"/>
        <w:rPr>
          <w:sz w:val="24"/>
          <w:szCs w:val="24"/>
          <w:color w:val="auto"/>
        </w:rPr>
      </w:pPr>
    </w:p>
    <w:p>
      <w:pPr>
        <w:ind w:left="546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FRANK C. STEININGER</w:t>
      </w:r>
    </w:p>
    <w:p>
      <w:pPr>
        <w:spacing w:after="0" w:line="15"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Frank C. Steininger</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Senior Vice President, Chief Financial</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Officer and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74"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Index to Exhibits</w:t>
      </w:r>
    </w:p>
    <w:p>
      <w:pPr>
        <w:sectPr>
          <w:pgSz w:w="11900" w:h="16878" w:orient="portrait"/>
          <w:cols w:equalWidth="0" w:num="1">
            <w:col w:w="11140"/>
          </w:cols>
          <w:pgMar w:left="240" w:top="220" w:right="519" w:bottom="0" w:gutter="0" w:footer="0" w:header="0"/>
        </w:sectPr>
      </w:pP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72"/>
        </w:trPr>
        <w:tc>
          <w:tcPr>
            <w:tcW w:w="540" w:type="dxa"/>
            <w:vAlign w:val="bottom"/>
          </w:tcPr>
          <w:p>
            <w:pPr>
              <w:spacing w:after="0" w:line="172" w:lineRule="exact"/>
              <w:rPr>
                <w:sz w:val="20"/>
                <w:szCs w:val="20"/>
                <w:color w:val="auto"/>
              </w:rPr>
            </w:pPr>
            <w:r>
              <w:rPr>
                <w:rFonts w:ascii="Arial" w:cs="Arial" w:eastAsia="Arial" w:hAnsi="Arial"/>
                <w:sz w:val="16"/>
                <w:szCs w:val="16"/>
                <w:color w:val="auto"/>
                <w:w w:val="91"/>
              </w:rPr>
              <w:t>Number</w:t>
            </w:r>
          </w:p>
        </w:tc>
        <w:tc>
          <w:tcPr>
            <w:tcW w:w="380" w:type="dxa"/>
            <w:vAlign w:val="bottom"/>
          </w:tcPr>
          <w:p>
            <w:pPr>
              <w:spacing w:after="0"/>
              <w:rPr>
                <w:sz w:val="14"/>
                <w:szCs w:val="14"/>
                <w:color w:val="auto"/>
              </w:rPr>
            </w:pPr>
          </w:p>
        </w:tc>
        <w:tc>
          <w:tcPr>
            <w:tcW w:w="2620" w:type="dxa"/>
            <w:vAlign w:val="bottom"/>
            <w:gridSpan w:val="3"/>
          </w:tcPr>
          <w:p>
            <w:pPr>
              <w:ind w:left="400"/>
              <w:spacing w:after="0" w:line="172" w:lineRule="exact"/>
              <w:rPr>
                <w:sz w:val="20"/>
                <w:szCs w:val="20"/>
                <w:color w:val="auto"/>
              </w:rPr>
            </w:pPr>
            <w:r>
              <w:rPr>
                <w:rFonts w:ascii="Arial" w:cs="Arial" w:eastAsia="Arial" w:hAnsi="Arial"/>
                <w:sz w:val="16"/>
                <w:szCs w:val="16"/>
                <w:color w:val="auto"/>
              </w:rPr>
              <w:t>Description of Document</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7"/>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18"/>
                <w:szCs w:val="18"/>
                <w:color w:val="auto"/>
              </w:rPr>
            </w:pPr>
          </w:p>
        </w:tc>
        <w:tc>
          <w:tcPr>
            <w:tcW w:w="2620" w:type="dxa"/>
            <w:vAlign w:val="bottom"/>
            <w:gridSpan w:val="3"/>
          </w:tcPr>
          <w:p>
            <w:pPr>
              <w:ind w:left="400"/>
              <w:spacing w:after="0"/>
              <w:rPr>
                <w:sz w:val="20"/>
                <w:szCs w:val="20"/>
                <w:color w:val="auto"/>
              </w:rPr>
            </w:pPr>
            <w:r>
              <w:rPr>
                <w:rFonts w:ascii="Arial" w:cs="Arial" w:eastAsia="Arial" w:hAnsi="Arial"/>
                <w:sz w:val="16"/>
                <w:szCs w:val="16"/>
                <w:color w:val="auto"/>
                <w:w w:val="86"/>
              </w:rPr>
              <w:t>Press Release dated June 17, 2014</w:t>
            </w:r>
          </w:p>
        </w:tc>
      </w:tr>
    </w:tbl>
    <w:p>
      <w:pPr>
        <w:sectPr>
          <w:pgSz w:w="11900" w:h="16878" w:orient="portrait"/>
          <w:cols w:equalWidth="0" w:num="1">
            <w:col w:w="11140"/>
          </w:cols>
          <w:pgMar w:left="240" w:top="220" w:right="519" w:bottom="0" w:gutter="0" w:footer="0" w:header="0"/>
          <w:type w:val="continuous"/>
        </w:sectPr>
      </w:pPr>
    </w:p>
    <w:bookmarkStart w:id="1" w:name="page2"/>
    <w:bookmarkEnd w:id="1"/>
    <w:p>
      <w:pPr>
        <w:ind w:left="10120"/>
        <w:spacing w:after="0"/>
        <w:rPr>
          <w:sz w:val="20"/>
          <w:szCs w:val="20"/>
          <w:color w:val="auto"/>
        </w:rPr>
      </w:pPr>
      <w:r>
        <w:rPr>
          <w:rFonts w:ascii="Arial" w:cs="Arial" w:eastAsia="Arial" w:hAnsi="Arial"/>
          <w:sz w:val="21"/>
          <w:szCs w:val="21"/>
          <w:color w:val="auto"/>
        </w:rPr>
        <w:t>EXHIBIT 99.1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Civeo Completes Spin-Off From Oil States and Announces First Quarter 2014 Earnings</w:t>
      </w:r>
    </w:p>
    <w:p>
      <w:pPr>
        <w:spacing w:after="0" w:line="255" w:lineRule="exact"/>
        <w:rPr>
          <w:sz w:val="20"/>
          <w:szCs w:val="20"/>
          <w:color w:val="auto"/>
        </w:rPr>
      </w:pPr>
    </w:p>
    <w:p>
      <w:pPr>
        <w:ind w:right="360"/>
        <w:spacing w:after="0" w:line="282" w:lineRule="auto"/>
        <w:rPr>
          <w:sz w:val="20"/>
          <w:szCs w:val="20"/>
          <w:color w:val="auto"/>
        </w:rPr>
      </w:pPr>
      <w:r>
        <w:rPr>
          <w:rFonts w:ascii="Arial" w:cs="Arial" w:eastAsia="Arial" w:hAnsi="Arial"/>
          <w:sz w:val="19"/>
          <w:szCs w:val="19"/>
          <w:color w:val="auto"/>
        </w:rPr>
        <w:t>HOUSTON, June 17, 2014 (GLOBE NEWSWIRE) -- Civeo Corporation (NYSE:CVEO) successfully completed its previously announced spin-off from Oil States International, Inc. (NYSE:OIS), on May 30, 2014 and emerged as an independent, publicly traded company and one of the largest integrated providers of workforce accommodations, logistics and facility management services to the natural resource industry. Civeo, which was formerly the accommodations business of Oil States, began "regular way" trading on the New York Stock Exchange (the "NYSE") on June 2, 2014 under the ticker symbol "CVEO".</w:t>
      </w:r>
    </w:p>
    <w:p>
      <w:pPr>
        <w:spacing w:after="0" w:line="148"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The Company reported net income for the quarter ended March 31, 2014 of $36.2 million. These results compare to net income of $63.8 million for the first quarter of 2013, which included a pre-tax gain of $4.0 million related to the reversal of an estimated earnout liability associated with an acquisition. These financial results have been prepared on a stand-alone basis and are derived from the financial statements and accounting records of Oil States.</w:t>
      </w:r>
    </w:p>
    <w:p>
      <w:pPr>
        <w:spacing w:after="0" w:line="192" w:lineRule="exact"/>
        <w:rPr>
          <w:sz w:val="20"/>
          <w:szCs w:val="20"/>
          <w:color w:val="auto"/>
        </w:rPr>
      </w:pPr>
    </w:p>
    <w:p>
      <w:pPr>
        <w:ind w:right="100"/>
        <w:spacing w:after="0" w:line="221" w:lineRule="auto"/>
        <w:rPr>
          <w:sz w:val="20"/>
          <w:szCs w:val="20"/>
          <w:color w:val="auto"/>
        </w:rPr>
      </w:pPr>
      <w:r>
        <w:rPr>
          <w:rFonts w:ascii="Arial" w:cs="Arial" w:eastAsia="Arial" w:hAnsi="Arial"/>
          <w:sz w:val="22"/>
          <w:szCs w:val="22"/>
          <w:color w:val="auto"/>
        </w:rPr>
        <w:t>The Company generated revenues of $252.8 million and EBITDA of $92.3 million during the first quarter of 2014 (EBITDA</w:t>
      </w:r>
      <w:r>
        <w:rPr>
          <w:rFonts w:ascii="Arial" w:cs="Arial" w:eastAsia="Arial" w:hAnsi="Arial"/>
          <w:sz w:val="36"/>
          <w:szCs w:val="36"/>
          <w:color w:val="auto"/>
          <w:vertAlign w:val="superscript"/>
        </w:rPr>
        <w:t>(A)</w:t>
      </w:r>
      <w:r>
        <w:rPr>
          <w:rFonts w:ascii="Arial" w:cs="Arial" w:eastAsia="Arial" w:hAnsi="Arial"/>
          <w:sz w:val="22"/>
          <w:szCs w:val="22"/>
          <w:color w:val="auto"/>
        </w:rPr>
        <w:t xml:space="preserve"> is defined as net income plus interest, taxes, depreciation and amortization). These results compare to revenues of $294.5 million and EBITDA of $131.9 million reported in the first quarter of 2013, which included the pre-tax gain related to the liability reversal mentioned above. Revenues and EBITDA were down year-over-year primarily due to the unfavorable impact on consolidated results of a stronger U.S. dollar compared to the Australian and Canadian dollars, year-over-year declines of 14% and 9%, respectively, lower occupancy levels in both the Australian villages and Canadian lodges and lower contracted Canadian lodge rates.</w:t>
      </w:r>
    </w:p>
    <w:p>
      <w:pPr>
        <w:spacing w:after="0" w:line="186"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Bradley J. Dodson, Civeo's President and Chief Executive Officer stated, "We were pleased to complete the spin-off and begin the next chapter in our corporate history. Our focus remains to grow our operations both organically and through acquisition. During the quarter, we announced our eighth Canadian lodge, the McClelland Lake Lodge, supported by a three-year customer contract. Now as a company solely focused on workforce accommodations with a strong financial position, we look to augment our organic growth in Canada with strategic acquisitions in our core markets of Canada and Australia."</w:t>
      </w:r>
    </w:p>
    <w:p>
      <w:pPr>
        <w:spacing w:after="0" w:line="148"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Mr. Dodson continued, "First quarter results were negatively impacted by the strength of the U.S. dollar relative to the Australian and Canadian dollars as well as lower occupancy in our Australian villages due to weak met coal prices. As previously disclosed, we expect to have sequentially lower results in the second quarter of 2014. We maintain our original second quarter guidance of $210 million to $215 million of revenues with EBITDA margins in the range of 33 to 34 percent before spin-off related costs, the majority of which we expect to be non-cash."</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(Unless otherwise noted, the following discussion compares the quarterly results for the first quarter of 2014 to the results for the first quarter of 2013.)</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The Canadian segment generated revenues of $180.3 million and EBITDA of $61.8 million for the first quarter of 2014 compared to revenues and EBITDA of $207.7 million and $90.8 million, respectively, in the first quarter of 2013. Our first quarter 2014 results were negatively impacted by weakening Canadian currencies relative to the U.S. dollar which reduced revenues by $16.6 million and EBITDA by $5.7 million. Excluding the year-over-year impact of exchange rates, revenues and EBITDA would have declined $10.8 million and $23.3 million, respectively. RevPAR decreased 20% year-over-year to $115 in the first quarter of 2014, compared to $144 in the first quarter of 2013. The RevPAR decrease was attributable to declining foreign exchange rates and lower contracted room rates in Canada. These declines were partially offset by a 5% year-over-year increase in average available lodge rooms. EBITDA was also negatively impacted in the first quarter by higher propane heating costs in Canada due to winter weather severity.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The Australian segment generated revenues of $55.5 million and EBITDA of $30.8 million for the first quarter of 2014 compared to revenues and EBITDA of $67.7 million and $36.8 million, respectively, in the first quarter of 2013. Our first quarter 2014 results were negatively impacted by weakening Australian currencies relative to the U.S. dollar which reduced revenues by $8.8 million and EBITDA by $4.9 million. Excluding the year-over-year impact of exchange rates, revenues and EBITDA would have declined $3.4 million and $1.1 million, respectively. RevPAR decreased 22% year-over-year to $67 in the first quarter of 2014, compared to $86 in the first quarter of 2013. The RevPAR decrease was attributable to declining foreign exchange rates and lower occupancy levels for the Australian villages. These declines were partially offset by a 6% year-over-year increase in average available lodge rooms.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color w:val="auto"/>
        </w:rPr>
        <w:t>The U.S. segment generated revenues of $17.0 million and EBITDA of $4.7 million for the first quarter of 2014 compared to revenues and EBITDA of $19.2 million and $8.5 million, respectively, in the first quarter of 2013. Results for the first quarter of 2013 included $4.0 million of EBITDA related to the reversal of an estimated earnout liability associated with contingent</w:t>
      </w:r>
    </w:p>
    <w:p>
      <w:pPr>
        <w:sectPr>
          <w:pgSz w:w="11900" w:h="16838" w:orient="portrait"/>
          <w:cols w:equalWidth="0" w:num="1">
            <w:col w:w="11420"/>
          </w:cols>
          <w:pgMar w:left="240" w:top="118" w:right="239" w:bottom="0" w:gutter="0" w:footer="0" w:header="0"/>
        </w:sectPr>
      </w:pPr>
    </w:p>
    <w:bookmarkStart w:id="2" w:name="page3"/>
    <w:bookmarkEnd w:id="2"/>
    <w:p>
      <w:pPr>
        <w:spacing w:after="0" w:line="6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acquisition consideration. EBITDA from the US segment was modestly lower due to higher mix of third-party sales which are at lower margins.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The Company recognized an effective tax rate of 25.2% in the first quarter of 2014 compared to 24.3% in the first quarter of 2013. The increase in the effective tax rate from the prior year was largely the result of a change in the earnings mix between different tax jurisdictions. The effective tax rates are lower than U.S. statutory rates because of lower foreign income tax rates.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460"/>
        <w:spacing w:after="0" w:line="328" w:lineRule="auto"/>
        <w:rPr>
          <w:sz w:val="20"/>
          <w:szCs w:val="20"/>
          <w:color w:val="auto"/>
        </w:rPr>
      </w:pPr>
      <w:r>
        <w:rPr>
          <w:rFonts w:ascii="Arial" w:cs="Arial" w:eastAsia="Arial" w:hAnsi="Arial"/>
          <w:sz w:val="19"/>
          <w:szCs w:val="19"/>
          <w:color w:val="auto"/>
        </w:rPr>
        <w:t>The Company invested $63.5 million in capital expenditures during the first quarter of 2014. Spending primarily related to the ongoing expansion of the Canadian accommodations business, specifically the construction of the McClelland Lake Lodge.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seventeen lodges and villages in operation in Canada and Australia, with an aggregate of more than 21,000 rooms. Civeo is publicly traded on the NYSE under the symbol "CVEO". For more information, please visit Civeo's website at http://www.civeo.com.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and other factors discussed in the "Business" and "Risk Factors" sections of the amended Form 10 filed by Civeo with the SEC on May 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980"/>
        <w:spacing w:after="0"/>
        <w:rPr>
          <w:sz w:val="20"/>
          <w:szCs w:val="20"/>
          <w:color w:val="auto"/>
        </w:rPr>
      </w:pPr>
      <w:r>
        <w:rPr>
          <w:rFonts w:ascii="Arial" w:cs="Arial" w:eastAsia="Arial" w:hAnsi="Arial"/>
          <w:sz w:val="16"/>
          <w:szCs w:val="16"/>
          <w:color w:val="auto"/>
        </w:rPr>
        <w:t>CIVEO CORPORATION</w:t>
      </w:r>
    </w:p>
    <w:p>
      <w:pPr>
        <w:spacing w:after="0" w:line="194" w:lineRule="exact"/>
        <w:rPr>
          <w:sz w:val="20"/>
          <w:szCs w:val="20"/>
          <w:color w:val="auto"/>
        </w:rPr>
      </w:pPr>
    </w:p>
    <w:p>
      <w:pPr>
        <w:jc w:val="center"/>
        <w:ind w:right="4980"/>
        <w:spacing w:after="0"/>
        <w:rPr>
          <w:sz w:val="20"/>
          <w:szCs w:val="20"/>
          <w:color w:val="auto"/>
        </w:rPr>
      </w:pPr>
      <w:r>
        <w:rPr>
          <w:rFonts w:ascii="Arial" w:cs="Arial" w:eastAsia="Arial" w:hAnsi="Arial"/>
          <w:sz w:val="16"/>
          <w:szCs w:val="16"/>
          <w:color w:val="auto"/>
        </w:rPr>
        <w:t>UNAUDITED COMBINED STATEMENTS OF INCOME</w:t>
      </w:r>
    </w:p>
    <w:p>
      <w:pPr>
        <w:spacing w:after="0" w:line="5" w:lineRule="exact"/>
        <w:rPr>
          <w:sz w:val="20"/>
          <w:szCs w:val="20"/>
          <w:color w:val="auto"/>
        </w:rPr>
      </w:pPr>
    </w:p>
    <w:p>
      <w:pPr>
        <w:jc w:val="center"/>
        <w:ind w:right="4980"/>
        <w:spacing w:after="0"/>
        <w:rPr>
          <w:sz w:val="20"/>
          <w:szCs w:val="20"/>
          <w:color w:val="auto"/>
        </w:rPr>
      </w:pPr>
      <w:r>
        <w:rPr>
          <w:rFonts w:ascii="Arial" w:cs="Arial" w:eastAsia="Arial" w:hAnsi="Arial"/>
          <w:sz w:val="16"/>
          <w:szCs w:val="16"/>
          <w:color w:val="auto"/>
        </w:rPr>
        <w:t>(In Thousands)</w:t>
      </w:r>
    </w:p>
    <w:p>
      <w:pPr>
        <w:spacing w:after="0" w:line="336"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4340" w:type="dxa"/>
            <w:vAlign w:val="bottom"/>
          </w:tcPr>
          <w:p>
            <w:pPr>
              <w:spacing w:after="0"/>
              <w:rPr>
                <w:sz w:val="23"/>
                <w:szCs w:val="23"/>
                <w:color w:val="auto"/>
              </w:rPr>
            </w:pPr>
          </w:p>
        </w:tc>
        <w:tc>
          <w:tcPr>
            <w:tcW w:w="19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MARCH 31,</w:t>
            </w:r>
          </w:p>
        </w:tc>
      </w:tr>
      <w:tr>
        <w:trPr>
          <w:trHeight w:val="263"/>
        </w:trPr>
        <w:tc>
          <w:tcPr>
            <w:tcW w:w="4340" w:type="dxa"/>
            <w:vAlign w:val="bottom"/>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2013</w:t>
            </w:r>
          </w:p>
        </w:tc>
      </w:tr>
      <w:tr>
        <w:trPr>
          <w:trHeight w:val="541"/>
        </w:trPr>
        <w:tc>
          <w:tcPr>
            <w:tcW w:w="4340" w:type="dxa"/>
            <w:vAlign w:val="bottom"/>
          </w:tcPr>
          <w:p>
            <w:pPr>
              <w:spacing w:after="0"/>
              <w:rPr>
                <w:sz w:val="20"/>
                <w:szCs w:val="20"/>
                <w:color w:val="auto"/>
              </w:rPr>
            </w:pPr>
            <w:r>
              <w:rPr>
                <w:rFonts w:ascii="Arial" w:cs="Arial" w:eastAsia="Arial" w:hAnsi="Arial"/>
                <w:sz w:val="16"/>
                <w:szCs w:val="16"/>
                <w:color w:val="auto"/>
              </w:rPr>
              <w:t>Revenues: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6"/>
                <w:szCs w:val="16"/>
                <w:color w:val="auto"/>
              </w:rPr>
              <w:t>Service and other</w:t>
            </w:r>
          </w:p>
        </w:tc>
        <w:tc>
          <w:tcPr>
            <w:tcW w:w="940" w:type="dxa"/>
            <w:vAlign w:val="bottom"/>
          </w:tcPr>
          <w:p>
            <w:pPr>
              <w:jc w:val="right"/>
              <w:spacing w:after="0"/>
              <w:rPr>
                <w:sz w:val="20"/>
                <w:szCs w:val="20"/>
                <w:color w:val="auto"/>
              </w:rPr>
            </w:pPr>
            <w:r>
              <w:rPr>
                <w:rFonts w:ascii="Arial" w:cs="Arial" w:eastAsia="Arial" w:hAnsi="Arial"/>
                <w:sz w:val="16"/>
                <w:szCs w:val="16"/>
                <w:color w:val="auto"/>
              </w:rPr>
              <w:t>$ 238,858</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$ 289,038</w:t>
            </w:r>
          </w:p>
        </w:tc>
      </w:tr>
      <w:tr>
        <w:trPr>
          <w:trHeight w:val="263"/>
        </w:trPr>
        <w:tc>
          <w:tcPr>
            <w:tcW w:w="4340" w:type="dxa"/>
            <w:vAlign w:val="bottom"/>
          </w:tcPr>
          <w:p>
            <w:pPr>
              <w:ind w:left="140"/>
              <w:spacing w:after="0"/>
              <w:rPr>
                <w:sz w:val="20"/>
                <w:szCs w:val="20"/>
                <w:color w:val="auto"/>
              </w:rPr>
            </w:pPr>
            <w:r>
              <w:rPr>
                <w:rFonts w:ascii="Arial" w:cs="Arial" w:eastAsia="Arial" w:hAnsi="Arial"/>
                <w:sz w:val="16"/>
                <w:szCs w:val="16"/>
                <w:color w:val="auto"/>
              </w:rPr>
              <w:t>Product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13,941</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r>
      <w:tr>
        <w:trPr>
          <w:trHeight w:val="264"/>
        </w:trPr>
        <w:tc>
          <w:tcPr>
            <w:tcW w:w="4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252,799</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294,538</w:t>
            </w:r>
          </w:p>
        </w:tc>
      </w:tr>
      <w:tr>
        <w:trPr>
          <w:trHeight w:val="271"/>
        </w:trPr>
        <w:tc>
          <w:tcPr>
            <w:tcW w:w="4340" w:type="dxa"/>
            <w:vAlign w:val="bottom"/>
          </w:tcPr>
          <w:p>
            <w:pPr>
              <w:spacing w:after="0"/>
              <w:rPr>
                <w:sz w:val="20"/>
                <w:szCs w:val="20"/>
                <w:color w:val="auto"/>
              </w:rPr>
            </w:pPr>
            <w:r>
              <w:rPr>
                <w:rFonts w:ascii="Arial" w:cs="Arial" w:eastAsia="Arial" w:hAnsi="Arial"/>
                <w:sz w:val="16"/>
                <w:szCs w:val="16"/>
                <w:color w:val="auto"/>
              </w:rPr>
              <w:t>Costs and expenses:</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4340" w:type="dxa"/>
            <w:vAlign w:val="bottom"/>
          </w:tcPr>
          <w:p>
            <w:pPr>
              <w:ind w:left="140"/>
              <w:spacing w:after="0"/>
              <w:rPr>
                <w:sz w:val="20"/>
                <w:szCs w:val="20"/>
                <w:color w:val="auto"/>
              </w:rPr>
            </w:pPr>
            <w:r>
              <w:rPr>
                <w:rFonts w:ascii="Arial" w:cs="Arial" w:eastAsia="Arial" w:hAnsi="Arial"/>
                <w:sz w:val="16"/>
                <w:szCs w:val="16"/>
                <w:color w:val="auto"/>
              </w:rPr>
              <w:t>Service and other costs</w:t>
            </w:r>
          </w:p>
        </w:tc>
        <w:tc>
          <w:tcPr>
            <w:tcW w:w="940" w:type="dxa"/>
            <w:vAlign w:val="bottom"/>
          </w:tcPr>
          <w:p>
            <w:pPr>
              <w:jc w:val="right"/>
              <w:spacing w:after="0"/>
              <w:rPr>
                <w:sz w:val="20"/>
                <w:szCs w:val="20"/>
                <w:color w:val="auto"/>
              </w:rPr>
            </w:pPr>
            <w:r>
              <w:rPr>
                <w:rFonts w:ascii="Arial" w:cs="Arial" w:eastAsia="Arial" w:hAnsi="Arial"/>
                <w:sz w:val="16"/>
                <w:szCs w:val="16"/>
                <w:color w:val="auto"/>
              </w:rPr>
              <w:t>131,378</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146,960</w:t>
            </w:r>
          </w:p>
        </w:tc>
      </w:tr>
      <w:tr>
        <w:trPr>
          <w:trHeight w:val="270"/>
        </w:trPr>
        <w:tc>
          <w:tcPr>
            <w:tcW w:w="4340" w:type="dxa"/>
            <w:vAlign w:val="bottom"/>
          </w:tcPr>
          <w:p>
            <w:pPr>
              <w:ind w:left="140"/>
              <w:spacing w:after="0"/>
              <w:rPr>
                <w:sz w:val="20"/>
                <w:szCs w:val="20"/>
                <w:color w:val="auto"/>
              </w:rPr>
            </w:pPr>
            <w:r>
              <w:rPr>
                <w:rFonts w:ascii="Arial" w:cs="Arial" w:eastAsia="Arial" w:hAnsi="Arial"/>
                <w:sz w:val="16"/>
                <w:szCs w:val="16"/>
                <w:color w:val="auto"/>
              </w:rPr>
              <w:t>Product costs</w:t>
            </w:r>
          </w:p>
        </w:tc>
        <w:tc>
          <w:tcPr>
            <w:tcW w:w="940" w:type="dxa"/>
            <w:vAlign w:val="bottom"/>
          </w:tcPr>
          <w:p>
            <w:pPr>
              <w:jc w:val="right"/>
              <w:spacing w:after="0"/>
              <w:rPr>
                <w:sz w:val="20"/>
                <w:szCs w:val="20"/>
                <w:color w:val="auto"/>
              </w:rPr>
            </w:pPr>
            <w:r>
              <w:rPr>
                <w:rFonts w:ascii="Arial" w:cs="Arial" w:eastAsia="Arial" w:hAnsi="Arial"/>
                <w:sz w:val="16"/>
                <w:szCs w:val="16"/>
                <w:color w:val="auto"/>
              </w:rPr>
              <w:t>12,132</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3,488</w:t>
            </w:r>
          </w:p>
        </w:tc>
      </w:tr>
      <w:tr>
        <w:trPr>
          <w:trHeight w:val="270"/>
        </w:trPr>
        <w:tc>
          <w:tcPr>
            <w:tcW w:w="434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940" w:type="dxa"/>
            <w:vAlign w:val="bottom"/>
          </w:tcPr>
          <w:p>
            <w:pPr>
              <w:jc w:val="right"/>
              <w:spacing w:after="0"/>
              <w:rPr>
                <w:sz w:val="20"/>
                <w:szCs w:val="20"/>
                <w:color w:val="auto"/>
              </w:rPr>
            </w:pPr>
            <w:r>
              <w:rPr>
                <w:rFonts w:ascii="Arial" w:cs="Arial" w:eastAsia="Arial" w:hAnsi="Arial"/>
                <w:sz w:val="16"/>
                <w:szCs w:val="16"/>
                <w:color w:val="auto"/>
              </w:rPr>
              <w:t>16,718</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16,267</w:t>
            </w:r>
          </w:p>
        </w:tc>
      </w:tr>
      <w:tr>
        <w:trPr>
          <w:trHeight w:val="270"/>
        </w:trPr>
        <w:tc>
          <w:tcPr>
            <w:tcW w:w="434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940" w:type="dxa"/>
            <w:vAlign w:val="bottom"/>
          </w:tcPr>
          <w:p>
            <w:pPr>
              <w:jc w:val="right"/>
              <w:spacing w:after="0"/>
              <w:rPr>
                <w:sz w:val="20"/>
                <w:szCs w:val="20"/>
                <w:color w:val="auto"/>
              </w:rPr>
            </w:pPr>
            <w:r>
              <w:rPr>
                <w:rFonts w:ascii="Arial" w:cs="Arial" w:eastAsia="Arial" w:hAnsi="Arial"/>
                <w:sz w:val="16"/>
                <w:szCs w:val="16"/>
                <w:color w:val="auto"/>
              </w:rPr>
              <w:t>39,599</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41,088</w:t>
            </w:r>
          </w:p>
        </w:tc>
      </w:tr>
      <w:tr>
        <w:trPr>
          <w:trHeight w:val="263"/>
        </w:trPr>
        <w:tc>
          <w:tcPr>
            <w:tcW w:w="4340" w:type="dxa"/>
            <w:vAlign w:val="bottom"/>
          </w:tcPr>
          <w:p>
            <w:pPr>
              <w:ind w:left="140"/>
              <w:spacing w:after="0"/>
              <w:rPr>
                <w:sz w:val="20"/>
                <w:szCs w:val="20"/>
                <w:color w:val="auto"/>
              </w:rPr>
            </w:pPr>
            <w:r>
              <w:rPr>
                <w:rFonts w:ascii="Arial" w:cs="Arial" w:eastAsia="Arial" w:hAnsi="Arial"/>
                <w:sz w:val="16"/>
                <w:szCs w:val="16"/>
                <w:color w:val="auto"/>
              </w:rPr>
              <w:t>Other operating expense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(4,026)</w:t>
            </w:r>
          </w:p>
        </w:tc>
      </w:tr>
      <w:tr>
        <w:trPr>
          <w:trHeight w:val="264"/>
        </w:trPr>
        <w:tc>
          <w:tcPr>
            <w:tcW w:w="4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199,939</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203,777</w:t>
            </w:r>
          </w:p>
        </w:tc>
      </w:tr>
      <w:tr>
        <w:trPr>
          <w:trHeight w:val="271"/>
        </w:trPr>
        <w:tc>
          <w:tcPr>
            <w:tcW w:w="4340" w:type="dxa"/>
            <w:vAlign w:val="bottom"/>
          </w:tcPr>
          <w:p>
            <w:pPr>
              <w:spacing w:after="0"/>
              <w:rPr>
                <w:sz w:val="20"/>
                <w:szCs w:val="20"/>
                <w:color w:val="auto"/>
              </w:rPr>
            </w:pPr>
            <w:r>
              <w:rPr>
                <w:rFonts w:ascii="Arial" w:cs="Arial" w:eastAsia="Arial" w:hAnsi="Arial"/>
                <w:sz w:val="16"/>
                <w:szCs w:val="16"/>
                <w:color w:val="auto"/>
              </w:rPr>
              <w:t>Operating income</w:t>
            </w:r>
          </w:p>
        </w:tc>
        <w:tc>
          <w:tcPr>
            <w:tcW w:w="940" w:type="dxa"/>
            <w:vAlign w:val="bottom"/>
          </w:tcPr>
          <w:p>
            <w:pPr>
              <w:jc w:val="right"/>
              <w:spacing w:after="0"/>
              <w:rPr>
                <w:sz w:val="20"/>
                <w:szCs w:val="20"/>
                <w:color w:val="auto"/>
              </w:rPr>
            </w:pPr>
            <w:r>
              <w:rPr>
                <w:rFonts w:ascii="Arial" w:cs="Arial" w:eastAsia="Arial" w:hAnsi="Arial"/>
                <w:sz w:val="16"/>
                <w:szCs w:val="16"/>
                <w:color w:val="auto"/>
              </w:rPr>
              <w:t>52,860</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90,761</w:t>
            </w:r>
          </w:p>
        </w:tc>
      </w:tr>
      <w:tr>
        <w:trPr>
          <w:trHeight w:val="540"/>
        </w:trPr>
        <w:tc>
          <w:tcPr>
            <w:tcW w:w="4340" w:type="dxa"/>
            <w:vAlign w:val="bottom"/>
          </w:tcPr>
          <w:p>
            <w:pPr>
              <w:spacing w:after="0"/>
              <w:rPr>
                <w:sz w:val="20"/>
                <w:szCs w:val="20"/>
                <w:color w:val="auto"/>
              </w:rPr>
            </w:pPr>
            <w:r>
              <w:rPr>
                <w:rFonts w:ascii="Arial" w:cs="Arial" w:eastAsia="Arial" w:hAnsi="Arial"/>
                <w:sz w:val="16"/>
                <w:szCs w:val="16"/>
                <w:color w:val="auto"/>
              </w:rPr>
              <w:t>Interest expense to affiliates</w:t>
            </w:r>
          </w:p>
        </w:tc>
        <w:tc>
          <w:tcPr>
            <w:tcW w:w="940" w:type="dxa"/>
            <w:vAlign w:val="bottom"/>
          </w:tcPr>
          <w:p>
            <w:pPr>
              <w:jc w:val="right"/>
              <w:spacing w:after="0"/>
              <w:rPr>
                <w:sz w:val="20"/>
                <w:szCs w:val="20"/>
                <w:color w:val="auto"/>
              </w:rPr>
            </w:pPr>
            <w:r>
              <w:rPr>
                <w:rFonts w:ascii="Arial" w:cs="Arial" w:eastAsia="Arial" w:hAnsi="Arial"/>
                <w:sz w:val="16"/>
                <w:szCs w:val="16"/>
                <w:color w:val="auto"/>
              </w:rPr>
              <w:t>(4,289)</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(4,816)</w:t>
            </w:r>
          </w:p>
        </w:tc>
      </w:tr>
      <w:tr>
        <w:trPr>
          <w:trHeight w:val="270"/>
        </w:trPr>
        <w:tc>
          <w:tcPr>
            <w:tcW w:w="4340" w:type="dxa"/>
            <w:vAlign w:val="bottom"/>
          </w:tcPr>
          <w:p>
            <w:pPr>
              <w:spacing w:after="0"/>
              <w:rPr>
                <w:sz w:val="20"/>
                <w:szCs w:val="20"/>
                <w:color w:val="auto"/>
              </w:rPr>
            </w:pPr>
            <w:r>
              <w:rPr>
                <w:rFonts w:ascii="Arial" w:cs="Arial" w:eastAsia="Arial" w:hAnsi="Arial"/>
                <w:sz w:val="16"/>
                <w:szCs w:val="16"/>
                <w:color w:val="auto"/>
              </w:rPr>
              <w:t>Interest expense to third-parties, net of capitalized interest</w:t>
            </w:r>
          </w:p>
        </w:tc>
        <w:tc>
          <w:tcPr>
            <w:tcW w:w="940" w:type="dxa"/>
            <w:vAlign w:val="bottom"/>
          </w:tcPr>
          <w:p>
            <w:pPr>
              <w:jc w:val="right"/>
              <w:spacing w:after="0"/>
              <w:rPr>
                <w:sz w:val="20"/>
                <w:szCs w:val="20"/>
                <w:color w:val="auto"/>
              </w:rPr>
            </w:pPr>
            <w:r>
              <w:rPr>
                <w:rFonts w:ascii="Arial" w:cs="Arial" w:eastAsia="Arial" w:hAnsi="Arial"/>
                <w:sz w:val="16"/>
                <w:szCs w:val="16"/>
                <w:color w:val="auto"/>
              </w:rPr>
              <w:t>(841)</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(2,165)</w:t>
            </w:r>
          </w:p>
        </w:tc>
      </w:tr>
      <w:tr>
        <w:trPr>
          <w:trHeight w:val="270"/>
        </w:trPr>
        <w:tc>
          <w:tcPr>
            <w:tcW w:w="4340" w:type="dxa"/>
            <w:vAlign w:val="bottom"/>
          </w:tcPr>
          <w:p>
            <w:pPr>
              <w:spacing w:after="0"/>
              <w:rPr>
                <w:sz w:val="20"/>
                <w:szCs w:val="20"/>
                <w:color w:val="auto"/>
              </w:rPr>
            </w:pPr>
            <w:r>
              <w:rPr>
                <w:rFonts w:ascii="Arial" w:cs="Arial" w:eastAsia="Arial" w:hAnsi="Arial"/>
                <w:sz w:val="16"/>
                <w:szCs w:val="16"/>
                <w:color w:val="auto"/>
              </w:rPr>
              <w:t>Interest income</w:t>
            </w:r>
          </w:p>
        </w:tc>
        <w:tc>
          <w:tcPr>
            <w:tcW w:w="940" w:type="dxa"/>
            <w:vAlign w:val="bottom"/>
          </w:tcPr>
          <w:p>
            <w:pPr>
              <w:jc w:val="right"/>
              <w:spacing w:after="0"/>
              <w:rPr>
                <w:sz w:val="20"/>
                <w:szCs w:val="20"/>
                <w:color w:val="auto"/>
              </w:rPr>
            </w:pPr>
            <w:r>
              <w:rPr>
                <w:rFonts w:ascii="Arial" w:cs="Arial" w:eastAsia="Arial" w:hAnsi="Arial"/>
                <w:sz w:val="16"/>
                <w:szCs w:val="16"/>
                <w:color w:val="auto"/>
              </w:rPr>
              <w:t>939</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63"/>
        </w:trPr>
        <w:tc>
          <w:tcPr>
            <w:tcW w:w="4340" w:type="dxa"/>
            <w:vAlign w:val="bottom"/>
          </w:tcPr>
          <w:p>
            <w:pPr>
              <w:spacing w:after="0"/>
              <w:rPr>
                <w:sz w:val="20"/>
                <w:szCs w:val="20"/>
                <w:color w:val="auto"/>
              </w:rPr>
            </w:pPr>
            <w:r>
              <w:rPr>
                <w:rFonts w:ascii="Arial" w:cs="Arial" w:eastAsia="Arial" w:hAnsi="Arial"/>
                <w:sz w:val="16"/>
                <w:szCs w:val="16"/>
                <w:color w:val="auto"/>
              </w:rPr>
              <w:t>Other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r>
      <w:tr>
        <w:trPr>
          <w:trHeight w:val="271"/>
        </w:trPr>
        <w:tc>
          <w:tcPr>
            <w:tcW w:w="434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940" w:type="dxa"/>
            <w:vAlign w:val="bottom"/>
          </w:tcPr>
          <w:p>
            <w:pPr>
              <w:jc w:val="right"/>
              <w:spacing w:after="0"/>
              <w:rPr>
                <w:sz w:val="20"/>
                <w:szCs w:val="20"/>
                <w:color w:val="auto"/>
              </w:rPr>
            </w:pPr>
            <w:r>
              <w:rPr>
                <w:rFonts w:ascii="Arial" w:cs="Arial" w:eastAsia="Arial" w:hAnsi="Arial"/>
                <w:sz w:val="16"/>
                <w:szCs w:val="16"/>
                <w:color w:val="auto"/>
              </w:rPr>
              <w:t>48,907</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84,762</w:t>
            </w:r>
          </w:p>
        </w:tc>
      </w:tr>
      <w:tr>
        <w:trPr>
          <w:trHeight w:val="263"/>
        </w:trPr>
        <w:tc>
          <w:tcPr>
            <w:tcW w:w="4340" w:type="dxa"/>
            <w:vAlign w:val="bottom"/>
          </w:tcPr>
          <w:p>
            <w:pPr>
              <w:spacing w:after="0"/>
              <w:rPr>
                <w:sz w:val="20"/>
                <w:szCs w:val="20"/>
                <w:color w:val="auto"/>
              </w:rPr>
            </w:pPr>
            <w:r>
              <w:rPr>
                <w:rFonts w:ascii="Arial" w:cs="Arial" w:eastAsia="Arial" w:hAnsi="Arial"/>
                <w:sz w:val="16"/>
                <w:szCs w:val="16"/>
                <w:color w:val="auto"/>
              </w:rPr>
              <w:t>Income tax provision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(12,311)</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(20,572)</w:t>
            </w:r>
          </w:p>
        </w:tc>
      </w:tr>
      <w:tr>
        <w:trPr>
          <w:trHeight w:val="271"/>
        </w:trPr>
        <w:tc>
          <w:tcPr>
            <w:tcW w:w="4340" w:type="dxa"/>
            <w:vAlign w:val="bottom"/>
          </w:tcPr>
          <w:p>
            <w:pPr>
              <w:spacing w:after="0"/>
              <w:rPr>
                <w:sz w:val="20"/>
                <w:szCs w:val="20"/>
                <w:color w:val="auto"/>
              </w:rPr>
            </w:pPr>
            <w:r>
              <w:rPr>
                <w:rFonts w:ascii="Arial" w:cs="Arial" w:eastAsia="Arial" w:hAnsi="Arial"/>
                <w:sz w:val="16"/>
                <w:szCs w:val="16"/>
                <w:color w:val="auto"/>
              </w:rPr>
              <w:t>Net income</w:t>
            </w:r>
          </w:p>
        </w:tc>
        <w:tc>
          <w:tcPr>
            <w:tcW w:w="940" w:type="dxa"/>
            <w:vAlign w:val="bottom"/>
          </w:tcPr>
          <w:p>
            <w:pPr>
              <w:jc w:val="right"/>
              <w:spacing w:after="0"/>
              <w:rPr>
                <w:sz w:val="20"/>
                <w:szCs w:val="20"/>
                <w:color w:val="auto"/>
              </w:rPr>
            </w:pPr>
            <w:r>
              <w:rPr>
                <w:rFonts w:ascii="Arial" w:cs="Arial" w:eastAsia="Arial" w:hAnsi="Arial"/>
                <w:sz w:val="16"/>
                <w:szCs w:val="16"/>
                <w:color w:val="auto"/>
              </w:rPr>
              <w:t>36,596</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64,190</w:t>
            </w:r>
          </w:p>
        </w:tc>
      </w:tr>
      <w:tr>
        <w:trPr>
          <w:trHeight w:val="263"/>
        </w:trPr>
        <w:tc>
          <w:tcPr>
            <w:tcW w:w="4340" w:type="dxa"/>
            <w:vAlign w:val="bottom"/>
          </w:tcPr>
          <w:p>
            <w:pPr>
              <w:ind w:left="140"/>
              <w:spacing w:after="0"/>
              <w:rPr>
                <w:sz w:val="20"/>
                <w:szCs w:val="20"/>
                <w:color w:val="auto"/>
              </w:rPr>
            </w:pPr>
            <w:r>
              <w:rPr>
                <w:rFonts w:ascii="Arial" w:cs="Arial" w:eastAsia="Arial" w:hAnsi="Arial"/>
                <w:sz w:val="16"/>
                <w:szCs w:val="16"/>
                <w:color w:val="auto"/>
              </w:rPr>
              <w:t>Less: Net income attributable to noncontrolling interest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r>
      <w:tr>
        <w:trPr>
          <w:trHeight w:val="264"/>
        </w:trPr>
        <w:tc>
          <w:tcPr>
            <w:tcW w:w="4340" w:type="dxa"/>
            <w:vAlign w:val="bottom"/>
          </w:tcPr>
          <w:p>
            <w:pPr>
              <w:spacing w:after="0"/>
              <w:rPr>
                <w:sz w:val="20"/>
                <w:szCs w:val="20"/>
                <w:color w:val="auto"/>
              </w:rPr>
            </w:pPr>
            <w:r>
              <w:rPr>
                <w:rFonts w:ascii="Arial" w:cs="Arial" w:eastAsia="Arial" w:hAnsi="Arial"/>
                <w:sz w:val="16"/>
                <w:szCs w:val="16"/>
                <w:color w:val="auto"/>
              </w:rPr>
              <w:t>Net income attributable to Civeo Corporation.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$ 36,239</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$ 63,812</w:t>
            </w:r>
          </w:p>
        </w:tc>
      </w:tr>
    </w:tbl>
    <w:p>
      <w:pPr>
        <w:sectPr>
          <w:pgSz w:w="11900" w:h="16900" w:orient="portrait"/>
          <w:cols w:equalWidth="0" w:num="1">
            <w:col w:w="11400"/>
          </w:cols>
          <w:pgMar w:left="240" w:top="118" w:right="259" w:bottom="0" w:gutter="0" w:footer="0" w:header="0"/>
        </w:sectPr>
      </w:pPr>
    </w:p>
    <w:bookmarkStart w:id="3" w:name="page4"/>
    <w:bookmarkEnd w:id="3"/>
    <w:p>
      <w:pPr>
        <w:spacing w:after="0" w:line="1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2961640</wp:posOffset>
            </wp:positionH>
            <wp:positionV relativeFrom="page">
              <wp:posOffset>88900</wp:posOffset>
            </wp:positionV>
            <wp:extent cx="12179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930" cy="17145"/>
                    </a:xfrm>
                    <a:prstGeom prst="rect">
                      <a:avLst/>
                    </a:prstGeom>
                    <a:noFill/>
                  </pic:spPr>
                </pic:pic>
              </a:graphicData>
            </a:graphic>
          </wp:anchor>
        </w:drawing>
      </w:r>
    </w:p>
    <w:p>
      <w:pPr>
        <w:jc w:val="center"/>
        <w:ind w:right="3939"/>
        <w:spacing w:after="0"/>
        <w:rPr>
          <w:sz w:val="20"/>
          <w:szCs w:val="20"/>
          <w:color w:val="auto"/>
        </w:rPr>
      </w:pPr>
      <w:r>
        <w:rPr>
          <w:rFonts w:ascii="Arial" w:cs="Arial" w:eastAsia="Arial" w:hAnsi="Arial"/>
          <w:sz w:val="16"/>
          <w:szCs w:val="16"/>
          <w:color w:val="auto"/>
        </w:rPr>
        <w:t>CIVEO CORPORATION</w:t>
      </w:r>
    </w:p>
    <w:p>
      <w:pPr>
        <w:spacing w:after="0" w:line="194" w:lineRule="exact"/>
        <w:rPr>
          <w:sz w:val="20"/>
          <w:szCs w:val="20"/>
          <w:color w:val="auto"/>
        </w:rPr>
      </w:pPr>
    </w:p>
    <w:p>
      <w:pPr>
        <w:jc w:val="center"/>
        <w:ind w:right="3939"/>
        <w:spacing w:after="0"/>
        <w:rPr>
          <w:sz w:val="20"/>
          <w:szCs w:val="20"/>
          <w:color w:val="auto"/>
        </w:rPr>
      </w:pPr>
      <w:r>
        <w:rPr>
          <w:rFonts w:ascii="Arial" w:cs="Arial" w:eastAsia="Arial" w:hAnsi="Arial"/>
          <w:sz w:val="16"/>
          <w:szCs w:val="16"/>
          <w:color w:val="auto"/>
        </w:rPr>
        <w:t>COMBINED BALANCE SHEETS</w:t>
      </w:r>
    </w:p>
    <w:p>
      <w:pPr>
        <w:spacing w:after="0" w:line="5" w:lineRule="exact"/>
        <w:rPr>
          <w:sz w:val="20"/>
          <w:szCs w:val="20"/>
          <w:color w:val="auto"/>
        </w:rPr>
      </w:pPr>
    </w:p>
    <w:p>
      <w:pPr>
        <w:jc w:val="center"/>
        <w:ind w:right="3939"/>
        <w:spacing w:after="0"/>
        <w:rPr>
          <w:sz w:val="20"/>
          <w:szCs w:val="20"/>
          <w:color w:val="auto"/>
        </w:rPr>
      </w:pPr>
      <w:r>
        <w:rPr>
          <w:rFonts w:ascii="Arial" w:cs="Arial" w:eastAsia="Arial" w:hAnsi="Arial"/>
          <w:sz w:val="16"/>
          <w:szCs w:val="16"/>
          <w:color w:val="auto"/>
        </w:rPr>
        <w:t>(In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MARCH 31,</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63"/>
        </w:trPr>
        <w:tc>
          <w:tcPr>
            <w:tcW w:w="3840" w:type="dxa"/>
            <w:vAlign w:val="bottom"/>
          </w:tcPr>
          <w:p>
            <w:pPr>
              <w:ind w:left="1560"/>
              <w:spacing w:after="0"/>
              <w:rPr>
                <w:sz w:val="20"/>
                <w:szCs w:val="20"/>
                <w:color w:val="auto"/>
              </w:rPr>
            </w:pPr>
            <w:r>
              <w:rPr>
                <w:rFonts w:ascii="Arial" w:cs="Arial" w:eastAsia="Arial" w:hAnsi="Arial"/>
                <w:sz w:val="16"/>
                <w:szCs w:val="16"/>
                <w:color w:val="auto"/>
              </w:rPr>
              <w:t>ASSETS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71"/>
        </w:trPr>
        <w:tc>
          <w:tcPr>
            <w:tcW w:w="3840" w:type="dxa"/>
            <w:vAlign w:val="bottom"/>
          </w:tcPr>
          <w:p>
            <w:pPr>
              <w:spacing w:after="0"/>
              <w:rPr>
                <w:sz w:val="23"/>
                <w:szCs w:val="23"/>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(UNAUDITED)</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3840" w:type="dxa"/>
            <w:vAlign w:val="bottom"/>
          </w:tcPr>
          <w:p>
            <w:pPr>
              <w:spacing w:after="0"/>
              <w:rPr>
                <w:sz w:val="20"/>
                <w:szCs w:val="20"/>
                <w:color w:val="auto"/>
              </w:rPr>
            </w:pPr>
            <w:r>
              <w:rPr>
                <w:rFonts w:ascii="Arial" w:cs="Arial" w:eastAsia="Arial" w:hAnsi="Arial"/>
                <w:sz w:val="16"/>
                <w:szCs w:val="16"/>
                <w:color w:val="auto"/>
              </w:rPr>
              <w:t>Current assets: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080" w:type="dxa"/>
            <w:vAlign w:val="bottom"/>
          </w:tcPr>
          <w:p>
            <w:pPr>
              <w:jc w:val="right"/>
              <w:spacing w:after="0"/>
              <w:rPr>
                <w:sz w:val="20"/>
                <w:szCs w:val="20"/>
                <w:color w:val="auto"/>
              </w:rPr>
            </w:pPr>
            <w:r>
              <w:rPr>
                <w:rFonts w:ascii="Arial" w:cs="Arial" w:eastAsia="Arial" w:hAnsi="Arial"/>
                <w:sz w:val="16"/>
                <w:szCs w:val="16"/>
                <w:color w:val="auto"/>
              </w:rPr>
              <w:t>$ 264,751</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$ 224,128</w:t>
            </w:r>
          </w:p>
        </w:tc>
        <w:tc>
          <w:tcPr>
            <w:tcW w:w="0" w:type="dxa"/>
            <w:vAlign w:val="bottom"/>
          </w:tcPr>
          <w:p>
            <w:pPr>
              <w:spacing w:after="0"/>
              <w:rPr>
                <w:sz w:val="1"/>
                <w:szCs w:val="1"/>
                <w:color w:val="auto"/>
              </w:rPr>
            </w:pPr>
          </w:p>
        </w:tc>
      </w:tr>
      <w:tr>
        <w:trPr>
          <w:trHeight w:val="270"/>
        </w:trPr>
        <w:tc>
          <w:tcPr>
            <w:tcW w:w="384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080" w:type="dxa"/>
            <w:vAlign w:val="bottom"/>
          </w:tcPr>
          <w:p>
            <w:pPr>
              <w:jc w:val="right"/>
              <w:spacing w:after="0"/>
              <w:rPr>
                <w:sz w:val="20"/>
                <w:szCs w:val="20"/>
                <w:color w:val="auto"/>
              </w:rPr>
            </w:pPr>
            <w:r>
              <w:rPr>
                <w:rFonts w:ascii="Arial" w:cs="Arial" w:eastAsia="Arial" w:hAnsi="Arial"/>
                <w:sz w:val="16"/>
                <w:szCs w:val="16"/>
                <w:color w:val="auto"/>
              </w:rPr>
              <w:t>182,210</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177,845</w:t>
            </w:r>
          </w:p>
        </w:tc>
        <w:tc>
          <w:tcPr>
            <w:tcW w:w="0" w:type="dxa"/>
            <w:vAlign w:val="bottom"/>
          </w:tcPr>
          <w:p>
            <w:pPr>
              <w:spacing w:after="0"/>
              <w:rPr>
                <w:sz w:val="1"/>
                <w:szCs w:val="1"/>
                <w:color w:val="auto"/>
              </w:rPr>
            </w:pPr>
          </w:p>
        </w:tc>
      </w:tr>
      <w:tr>
        <w:trPr>
          <w:trHeight w:val="270"/>
        </w:trPr>
        <w:tc>
          <w:tcPr>
            <w:tcW w:w="384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080" w:type="dxa"/>
            <w:vAlign w:val="bottom"/>
          </w:tcPr>
          <w:p>
            <w:pPr>
              <w:jc w:val="right"/>
              <w:spacing w:after="0"/>
              <w:rPr>
                <w:sz w:val="20"/>
                <w:szCs w:val="20"/>
                <w:color w:val="auto"/>
              </w:rPr>
            </w:pPr>
            <w:r>
              <w:rPr>
                <w:rFonts w:ascii="Arial" w:cs="Arial" w:eastAsia="Arial" w:hAnsi="Arial"/>
                <w:sz w:val="16"/>
                <w:szCs w:val="16"/>
                <w:color w:val="auto"/>
              </w:rPr>
              <w:t>22,743</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29,815</w:t>
            </w:r>
          </w:p>
        </w:tc>
        <w:tc>
          <w:tcPr>
            <w:tcW w:w="0" w:type="dxa"/>
            <w:vAlign w:val="bottom"/>
          </w:tcPr>
          <w:p>
            <w:pPr>
              <w:spacing w:after="0"/>
              <w:rPr>
                <w:sz w:val="1"/>
                <w:szCs w:val="1"/>
                <w:color w:val="auto"/>
              </w:rPr>
            </w:pPr>
          </w:p>
        </w:tc>
      </w:tr>
      <w:tr>
        <w:trPr>
          <w:trHeight w:val="263"/>
        </w:trPr>
        <w:tc>
          <w:tcPr>
            <w:tcW w:w="384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11,985</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7,956</w:t>
            </w:r>
          </w:p>
        </w:tc>
        <w:tc>
          <w:tcPr>
            <w:tcW w:w="0" w:type="dxa"/>
            <w:vAlign w:val="bottom"/>
          </w:tcPr>
          <w:p>
            <w:pPr>
              <w:spacing w:after="0"/>
              <w:rPr>
                <w:sz w:val="1"/>
                <w:szCs w:val="1"/>
                <w:color w:val="auto"/>
              </w:rPr>
            </w:pPr>
          </w:p>
        </w:tc>
      </w:tr>
      <w:tr>
        <w:trPr>
          <w:trHeight w:val="271"/>
        </w:trPr>
        <w:tc>
          <w:tcPr>
            <w:tcW w:w="38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1080" w:type="dxa"/>
            <w:vAlign w:val="bottom"/>
          </w:tcPr>
          <w:p>
            <w:pPr>
              <w:jc w:val="right"/>
              <w:spacing w:after="0"/>
              <w:rPr>
                <w:sz w:val="20"/>
                <w:szCs w:val="20"/>
                <w:color w:val="auto"/>
              </w:rPr>
            </w:pPr>
            <w:r>
              <w:rPr>
                <w:rFonts w:ascii="Arial" w:cs="Arial" w:eastAsia="Arial" w:hAnsi="Arial"/>
                <w:sz w:val="16"/>
                <w:szCs w:val="16"/>
                <w:color w:val="auto"/>
              </w:rPr>
              <w:t>481,689</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439,744</w:t>
            </w:r>
          </w:p>
        </w:tc>
        <w:tc>
          <w:tcPr>
            <w:tcW w:w="0" w:type="dxa"/>
            <w:vAlign w:val="bottom"/>
          </w:tcPr>
          <w:p>
            <w:pPr>
              <w:spacing w:after="0"/>
              <w:rPr>
                <w:sz w:val="1"/>
                <w:szCs w:val="1"/>
                <w:color w:val="auto"/>
              </w:rPr>
            </w:pPr>
          </w:p>
        </w:tc>
      </w:tr>
      <w:tr>
        <w:trPr>
          <w:trHeight w:val="540"/>
        </w:trPr>
        <w:tc>
          <w:tcPr>
            <w:tcW w:w="38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080" w:type="dxa"/>
            <w:vAlign w:val="bottom"/>
          </w:tcPr>
          <w:p>
            <w:pPr>
              <w:jc w:val="right"/>
              <w:spacing w:after="0"/>
              <w:rPr>
                <w:sz w:val="20"/>
                <w:szCs w:val="20"/>
                <w:color w:val="auto"/>
              </w:rPr>
            </w:pPr>
            <w:r>
              <w:rPr>
                <w:rFonts w:ascii="Arial" w:cs="Arial" w:eastAsia="Arial" w:hAnsi="Arial"/>
                <w:sz w:val="16"/>
                <w:szCs w:val="16"/>
                <w:color w:val="auto"/>
              </w:rPr>
              <w:t>1,350,869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1,325,867</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0"/>
                <w:szCs w:val="20"/>
                <w:color w:val="auto"/>
              </w:rPr>
            </w:pPr>
            <w:r>
              <w:rPr>
                <w:rFonts w:ascii="Arial" w:cs="Arial" w:eastAsia="Arial" w:hAnsi="Arial"/>
                <w:sz w:val="16"/>
                <w:szCs w:val="16"/>
                <w:color w:val="auto"/>
              </w:rPr>
              <w:t>Goodwill, net</w:t>
            </w:r>
          </w:p>
        </w:tc>
        <w:tc>
          <w:tcPr>
            <w:tcW w:w="1080" w:type="dxa"/>
            <w:vAlign w:val="bottom"/>
          </w:tcPr>
          <w:p>
            <w:pPr>
              <w:jc w:val="right"/>
              <w:spacing w:after="0"/>
              <w:rPr>
                <w:sz w:val="20"/>
                <w:szCs w:val="20"/>
                <w:color w:val="auto"/>
              </w:rPr>
            </w:pPr>
            <w:r>
              <w:rPr>
                <w:rFonts w:ascii="Arial" w:cs="Arial" w:eastAsia="Arial" w:hAnsi="Arial"/>
                <w:sz w:val="16"/>
                <w:szCs w:val="16"/>
                <w:color w:val="auto"/>
              </w:rPr>
              <w:t>267,458</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261,056</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080" w:type="dxa"/>
            <w:vAlign w:val="bottom"/>
          </w:tcPr>
          <w:p>
            <w:pPr>
              <w:jc w:val="right"/>
              <w:spacing w:after="0"/>
              <w:rPr>
                <w:sz w:val="20"/>
                <w:szCs w:val="20"/>
                <w:color w:val="auto"/>
              </w:rPr>
            </w:pPr>
            <w:r>
              <w:rPr>
                <w:rFonts w:ascii="Arial" w:cs="Arial" w:eastAsia="Arial" w:hAnsi="Arial"/>
                <w:sz w:val="16"/>
                <w:szCs w:val="16"/>
                <w:color w:val="auto"/>
              </w:rPr>
              <w:t>76,587</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75,675</w:t>
            </w:r>
          </w:p>
        </w:tc>
        <w:tc>
          <w:tcPr>
            <w:tcW w:w="0" w:type="dxa"/>
            <w:vAlign w:val="bottom"/>
          </w:tcPr>
          <w:p>
            <w:pPr>
              <w:spacing w:after="0"/>
              <w:rPr>
                <w:sz w:val="1"/>
                <w:szCs w:val="1"/>
                <w:color w:val="auto"/>
              </w:rPr>
            </w:pPr>
          </w:p>
        </w:tc>
      </w:tr>
      <w:tr>
        <w:trPr>
          <w:trHeight w:val="263"/>
        </w:trPr>
        <w:tc>
          <w:tcPr>
            <w:tcW w:w="384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20,242</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20,895</w:t>
            </w:r>
          </w:p>
        </w:tc>
        <w:tc>
          <w:tcPr>
            <w:tcW w:w="0" w:type="dxa"/>
            <w:vAlign w:val="bottom"/>
          </w:tcPr>
          <w:p>
            <w:pPr>
              <w:spacing w:after="0"/>
              <w:rPr>
                <w:sz w:val="1"/>
                <w:szCs w:val="1"/>
                <w:color w:val="auto"/>
              </w:rPr>
            </w:pPr>
          </w:p>
        </w:tc>
      </w:tr>
      <w:tr>
        <w:trPr>
          <w:trHeight w:val="264"/>
        </w:trPr>
        <w:tc>
          <w:tcPr>
            <w:tcW w:w="384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$ 2,196,845</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$ 2,123,237</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520"/>
              <w:spacing w:after="0"/>
              <w:rPr>
                <w:sz w:val="20"/>
                <w:szCs w:val="20"/>
                <w:color w:val="auto"/>
              </w:rPr>
            </w:pPr>
            <w:r>
              <w:rPr>
                <w:rFonts w:ascii="Arial" w:cs="Arial" w:eastAsia="Arial" w:hAnsi="Arial"/>
                <w:sz w:val="16"/>
                <w:szCs w:val="16"/>
                <w:color w:val="auto"/>
              </w:rPr>
              <w:t>LIABILITIES AND NET INVESTMENT</w:t>
            </w: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8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840" w:type="dxa"/>
            <w:vAlign w:val="bottom"/>
          </w:tcPr>
          <w:p>
            <w:pPr>
              <w:spacing w:after="0"/>
              <w:rPr>
                <w:sz w:val="20"/>
                <w:szCs w:val="20"/>
                <w:color w:val="auto"/>
              </w:rPr>
            </w:pPr>
            <w:r>
              <w:rPr>
                <w:rFonts w:ascii="Arial" w:cs="Arial" w:eastAsia="Arial" w:hAnsi="Arial"/>
                <w:sz w:val="16"/>
                <w:szCs w:val="16"/>
                <w:color w:val="auto"/>
              </w:rPr>
              <w:t>Current liabilities: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$ 54,814</w:t>
            </w:r>
          </w:p>
        </w:tc>
        <w:tc>
          <w:tcPr>
            <w:tcW w:w="1200" w:type="dxa"/>
            <w:vAlign w:val="bottom"/>
          </w:tcPr>
          <w:p>
            <w:pPr>
              <w:jc w:val="right"/>
              <w:spacing w:after="0"/>
              <w:rPr>
                <w:sz w:val="20"/>
                <w:szCs w:val="20"/>
                <w:color w:val="auto"/>
              </w:rPr>
            </w:pPr>
            <w:r>
              <w:rPr>
                <w:rFonts w:ascii="Arial" w:cs="Arial" w:eastAsia="Arial" w:hAnsi="Arial"/>
                <w:sz w:val="16"/>
                <w:szCs w:val="16"/>
                <w:color w:val="auto"/>
              </w:rPr>
              <w:t>$ 45,376</w:t>
            </w:r>
          </w:p>
        </w:tc>
        <w:tc>
          <w:tcPr>
            <w:tcW w:w="0" w:type="dxa"/>
            <w:vAlign w:val="bottom"/>
          </w:tcPr>
          <w:p>
            <w:pPr>
              <w:spacing w:after="0"/>
              <w:rPr>
                <w:sz w:val="1"/>
                <w:szCs w:val="1"/>
                <w:color w:val="auto"/>
              </w:rPr>
            </w:pPr>
          </w:p>
        </w:tc>
      </w:tr>
      <w:tr>
        <w:trPr>
          <w:trHeight w:val="270"/>
        </w:trPr>
        <w:tc>
          <w:tcPr>
            <w:tcW w:w="384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1080" w:type="dxa"/>
            <w:vAlign w:val="bottom"/>
          </w:tcPr>
          <w:p>
            <w:pPr>
              <w:jc w:val="right"/>
              <w:spacing w:after="0"/>
              <w:rPr>
                <w:sz w:val="20"/>
                <w:szCs w:val="20"/>
                <w:color w:val="auto"/>
              </w:rPr>
            </w:pPr>
            <w:r>
              <w:rPr>
                <w:rFonts w:ascii="Arial" w:cs="Arial" w:eastAsia="Arial" w:hAnsi="Arial"/>
                <w:sz w:val="16"/>
                <w:szCs w:val="16"/>
                <w:color w:val="auto"/>
              </w:rPr>
              <w:t>25,564</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26,874</w:t>
            </w:r>
          </w:p>
        </w:tc>
        <w:tc>
          <w:tcPr>
            <w:tcW w:w="0" w:type="dxa"/>
            <w:vAlign w:val="bottom"/>
          </w:tcPr>
          <w:p>
            <w:pPr>
              <w:spacing w:after="0"/>
              <w:rPr>
                <w:sz w:val="1"/>
                <w:szCs w:val="1"/>
                <w:color w:val="auto"/>
              </w:rPr>
            </w:pPr>
          </w:p>
        </w:tc>
      </w:tr>
      <w:tr>
        <w:trPr>
          <w:trHeight w:val="270"/>
        </w:trPr>
        <w:tc>
          <w:tcPr>
            <w:tcW w:w="384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1080" w:type="dxa"/>
            <w:vAlign w:val="bottom"/>
          </w:tcPr>
          <w:p>
            <w:pPr>
              <w:jc w:val="right"/>
              <w:spacing w:after="0"/>
              <w:rPr>
                <w:sz w:val="20"/>
                <w:szCs w:val="20"/>
                <w:color w:val="auto"/>
              </w:rPr>
            </w:pPr>
            <w:r>
              <w:rPr>
                <w:rFonts w:ascii="Arial" w:cs="Arial" w:eastAsia="Arial" w:hAnsi="Arial"/>
                <w:sz w:val="16"/>
                <w:szCs w:val="16"/>
                <w:color w:val="auto"/>
              </w:rPr>
              <w:t>1,280</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70"/>
        </w:trPr>
        <w:tc>
          <w:tcPr>
            <w:tcW w:w="384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080" w:type="dxa"/>
            <w:vAlign w:val="bottom"/>
          </w:tcPr>
          <w:p>
            <w:pPr>
              <w:jc w:val="right"/>
              <w:spacing w:after="0"/>
              <w:rPr>
                <w:sz w:val="20"/>
                <w:szCs w:val="20"/>
                <w:color w:val="auto"/>
              </w:rPr>
            </w:pPr>
            <w:r>
              <w:rPr>
                <w:rFonts w:ascii="Arial" w:cs="Arial" w:eastAsia="Arial" w:hAnsi="Arial"/>
                <w:sz w:val="16"/>
                <w:szCs w:val="16"/>
                <w:color w:val="auto"/>
              </w:rPr>
              <w:t>20,682</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19,571</w:t>
            </w:r>
          </w:p>
        </w:tc>
        <w:tc>
          <w:tcPr>
            <w:tcW w:w="0" w:type="dxa"/>
            <w:vAlign w:val="bottom"/>
          </w:tcPr>
          <w:p>
            <w:pPr>
              <w:spacing w:after="0"/>
              <w:rPr>
                <w:sz w:val="1"/>
                <w:szCs w:val="1"/>
                <w:color w:val="auto"/>
              </w:rPr>
            </w:pPr>
          </w:p>
        </w:tc>
      </w:tr>
      <w:tr>
        <w:trPr>
          <w:trHeight w:val="263"/>
        </w:trPr>
        <w:tc>
          <w:tcPr>
            <w:tcW w:w="384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4,934</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w:t>
            </w:r>
          </w:p>
        </w:tc>
        <w:tc>
          <w:tcPr>
            <w:tcW w:w="0" w:type="dxa"/>
            <w:vAlign w:val="bottom"/>
          </w:tcPr>
          <w:p>
            <w:pPr>
              <w:spacing w:after="0"/>
              <w:rPr>
                <w:sz w:val="1"/>
                <w:szCs w:val="1"/>
                <w:color w:val="auto"/>
              </w:rPr>
            </w:pPr>
          </w:p>
        </w:tc>
      </w:tr>
      <w:tr>
        <w:trPr>
          <w:trHeight w:val="271"/>
        </w:trPr>
        <w:tc>
          <w:tcPr>
            <w:tcW w:w="38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1080" w:type="dxa"/>
            <w:vAlign w:val="bottom"/>
          </w:tcPr>
          <w:p>
            <w:pPr>
              <w:jc w:val="right"/>
              <w:spacing w:after="0"/>
              <w:rPr>
                <w:sz w:val="20"/>
                <w:szCs w:val="20"/>
                <w:color w:val="auto"/>
              </w:rPr>
            </w:pPr>
            <w:r>
              <w:rPr>
                <w:rFonts w:ascii="Arial" w:cs="Arial" w:eastAsia="Arial" w:hAnsi="Arial"/>
                <w:sz w:val="16"/>
                <w:szCs w:val="16"/>
                <w:color w:val="auto"/>
              </w:rPr>
              <w:t>107,274</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97,052</w:t>
            </w:r>
          </w:p>
        </w:tc>
        <w:tc>
          <w:tcPr>
            <w:tcW w:w="0" w:type="dxa"/>
            <w:vAlign w:val="bottom"/>
          </w:tcPr>
          <w:p>
            <w:pPr>
              <w:spacing w:after="0"/>
              <w:rPr>
                <w:sz w:val="1"/>
                <w:szCs w:val="1"/>
                <w:color w:val="auto"/>
              </w:rPr>
            </w:pPr>
          </w:p>
        </w:tc>
      </w:tr>
      <w:tr>
        <w:trPr>
          <w:trHeight w:val="540"/>
        </w:trPr>
        <w:tc>
          <w:tcPr>
            <w:tcW w:w="3840" w:type="dxa"/>
            <w:vAlign w:val="bottom"/>
          </w:tcPr>
          <w:p>
            <w:pPr>
              <w:ind w:left="140"/>
              <w:spacing w:after="0"/>
              <w:rPr>
                <w:sz w:val="20"/>
                <w:szCs w:val="20"/>
                <w:color w:val="auto"/>
              </w:rPr>
            </w:pPr>
            <w:r>
              <w:rPr>
                <w:rFonts w:ascii="Arial" w:cs="Arial" w:eastAsia="Arial" w:hAnsi="Arial"/>
                <w:sz w:val="16"/>
                <w:szCs w:val="16"/>
                <w:color w:val="auto"/>
              </w:rPr>
              <w:t>Long-term debt to affiliates</w:t>
            </w:r>
          </w:p>
        </w:tc>
        <w:tc>
          <w:tcPr>
            <w:tcW w:w="1080" w:type="dxa"/>
            <w:vAlign w:val="bottom"/>
          </w:tcPr>
          <w:p>
            <w:pPr>
              <w:jc w:val="right"/>
              <w:spacing w:after="0"/>
              <w:rPr>
                <w:sz w:val="20"/>
                <w:szCs w:val="20"/>
                <w:color w:val="auto"/>
              </w:rPr>
            </w:pPr>
            <w:r>
              <w:rPr>
                <w:rFonts w:ascii="Arial" w:cs="Arial" w:eastAsia="Arial" w:hAnsi="Arial"/>
                <w:sz w:val="16"/>
                <w:szCs w:val="16"/>
                <w:color w:val="auto"/>
              </w:rPr>
              <w:t>322,515</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335,171</w:t>
            </w:r>
          </w:p>
        </w:tc>
        <w:tc>
          <w:tcPr>
            <w:tcW w:w="0" w:type="dxa"/>
            <w:vAlign w:val="bottom"/>
          </w:tcPr>
          <w:p>
            <w:pPr>
              <w:spacing w:after="0"/>
              <w:rPr>
                <w:sz w:val="1"/>
                <w:szCs w:val="1"/>
                <w:color w:val="auto"/>
              </w:rPr>
            </w:pPr>
          </w:p>
        </w:tc>
      </w:tr>
      <w:tr>
        <w:trPr>
          <w:trHeight w:val="270"/>
        </w:trPr>
        <w:tc>
          <w:tcPr>
            <w:tcW w:w="384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080" w:type="dxa"/>
            <w:vAlign w:val="bottom"/>
          </w:tcPr>
          <w:p>
            <w:pPr>
              <w:jc w:val="right"/>
              <w:spacing w:after="0"/>
              <w:rPr>
                <w:sz w:val="20"/>
                <w:szCs w:val="20"/>
                <w:color w:val="auto"/>
              </w:rPr>
            </w:pPr>
            <w:r>
              <w:rPr>
                <w:rFonts w:ascii="Arial" w:cs="Arial" w:eastAsia="Arial" w:hAnsi="Arial"/>
                <w:sz w:val="16"/>
                <w:szCs w:val="16"/>
                <w:color w:val="auto"/>
              </w:rPr>
              <w:t>81,316</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79,739</w:t>
            </w:r>
          </w:p>
        </w:tc>
        <w:tc>
          <w:tcPr>
            <w:tcW w:w="0" w:type="dxa"/>
            <w:vAlign w:val="bottom"/>
          </w:tcPr>
          <w:p>
            <w:pPr>
              <w:spacing w:after="0"/>
              <w:rPr>
                <w:sz w:val="1"/>
                <w:szCs w:val="1"/>
                <w:color w:val="auto"/>
              </w:rPr>
            </w:pPr>
          </w:p>
        </w:tc>
      </w:tr>
      <w:tr>
        <w:trPr>
          <w:trHeight w:val="263"/>
        </w:trPr>
        <w:tc>
          <w:tcPr>
            <w:tcW w:w="3840" w:type="dxa"/>
            <w:vAlign w:val="bottom"/>
          </w:tcPr>
          <w:p>
            <w:pPr>
              <w:ind w:left="140"/>
              <w:spacing w:after="0"/>
              <w:rPr>
                <w:sz w:val="20"/>
                <w:szCs w:val="20"/>
                <w:color w:val="auto"/>
              </w:rPr>
            </w:pPr>
            <w:r>
              <w:rPr>
                <w:rFonts w:ascii="Arial" w:cs="Arial" w:eastAsia="Arial" w:hAnsi="Arial"/>
                <w:sz w:val="16"/>
                <w:szCs w:val="16"/>
                <w:color w:val="auto"/>
              </w:rPr>
              <w:t>Other noncurrent liabilities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20,515</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18,530</w:t>
            </w:r>
          </w:p>
        </w:tc>
        <w:tc>
          <w:tcPr>
            <w:tcW w:w="0" w:type="dxa"/>
            <w:vAlign w:val="bottom"/>
          </w:tcPr>
          <w:p>
            <w:pPr>
              <w:spacing w:after="0"/>
              <w:rPr>
                <w:sz w:val="1"/>
                <w:szCs w:val="1"/>
                <w:color w:val="auto"/>
              </w:rPr>
            </w:pPr>
          </w:p>
        </w:tc>
      </w:tr>
      <w:tr>
        <w:trPr>
          <w:trHeight w:val="271"/>
        </w:trPr>
        <w:tc>
          <w:tcPr>
            <w:tcW w:w="38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080" w:type="dxa"/>
            <w:vAlign w:val="bottom"/>
          </w:tcPr>
          <w:p>
            <w:pPr>
              <w:jc w:val="right"/>
              <w:spacing w:after="0"/>
              <w:rPr>
                <w:sz w:val="20"/>
                <w:szCs w:val="20"/>
                <w:color w:val="auto"/>
              </w:rPr>
            </w:pPr>
            <w:r>
              <w:rPr>
                <w:rFonts w:ascii="Arial" w:cs="Arial" w:eastAsia="Arial" w:hAnsi="Arial"/>
                <w:sz w:val="16"/>
                <w:szCs w:val="16"/>
                <w:color w:val="auto"/>
              </w:rPr>
              <w:t>531,620</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530,492</w:t>
            </w:r>
          </w:p>
        </w:tc>
        <w:tc>
          <w:tcPr>
            <w:tcW w:w="0" w:type="dxa"/>
            <w:vAlign w:val="bottom"/>
          </w:tcPr>
          <w:p>
            <w:pPr>
              <w:spacing w:after="0"/>
              <w:rPr>
                <w:sz w:val="1"/>
                <w:szCs w:val="1"/>
                <w:color w:val="auto"/>
              </w:rPr>
            </w:pPr>
          </w:p>
        </w:tc>
      </w:tr>
      <w:tr>
        <w:trPr>
          <w:trHeight w:val="540"/>
        </w:trPr>
        <w:tc>
          <w:tcPr>
            <w:tcW w:w="3840" w:type="dxa"/>
            <w:vAlign w:val="bottom"/>
          </w:tcPr>
          <w:p>
            <w:pPr>
              <w:spacing w:after="0"/>
              <w:rPr>
                <w:sz w:val="20"/>
                <w:szCs w:val="20"/>
                <w:color w:val="auto"/>
              </w:rPr>
            </w:pPr>
            <w:r>
              <w:rPr>
                <w:rFonts w:ascii="Arial" w:cs="Arial" w:eastAsia="Arial" w:hAnsi="Arial"/>
                <w:sz w:val="16"/>
                <w:szCs w:val="16"/>
                <w:color w:val="auto"/>
              </w:rPr>
              <w:t>Net investment:</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tcPr>
          <w:p>
            <w:pPr>
              <w:ind w:left="140"/>
              <w:spacing w:after="0"/>
              <w:rPr>
                <w:sz w:val="20"/>
                <w:szCs w:val="20"/>
                <w:color w:val="auto"/>
              </w:rPr>
            </w:pPr>
            <w:r>
              <w:rPr>
                <w:rFonts w:ascii="Arial" w:cs="Arial" w:eastAsia="Arial" w:hAnsi="Arial"/>
                <w:sz w:val="16"/>
                <w:szCs w:val="16"/>
                <w:color w:val="auto"/>
              </w:rPr>
              <w:t>Oil States International, Inc. net investment</w:t>
            </w:r>
          </w:p>
        </w:tc>
        <w:tc>
          <w:tcPr>
            <w:tcW w:w="1080" w:type="dxa"/>
            <w:vAlign w:val="bottom"/>
          </w:tcPr>
          <w:p>
            <w:pPr>
              <w:jc w:val="right"/>
              <w:spacing w:after="0"/>
              <w:rPr>
                <w:sz w:val="20"/>
                <w:szCs w:val="20"/>
                <w:color w:val="auto"/>
              </w:rPr>
            </w:pPr>
            <w:r>
              <w:rPr>
                <w:rFonts w:ascii="Arial" w:cs="Arial" w:eastAsia="Arial" w:hAnsi="Arial"/>
                <w:sz w:val="16"/>
                <w:szCs w:val="16"/>
                <w:color w:val="auto"/>
              </w:rPr>
              <w:t>1,710,123</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1,651,013</w:t>
            </w:r>
          </w:p>
        </w:tc>
        <w:tc>
          <w:tcPr>
            <w:tcW w:w="0" w:type="dxa"/>
            <w:vAlign w:val="bottom"/>
          </w:tcPr>
          <w:p>
            <w:pPr>
              <w:spacing w:after="0"/>
              <w:rPr>
                <w:sz w:val="1"/>
                <w:szCs w:val="1"/>
                <w:color w:val="auto"/>
              </w:rPr>
            </w:pPr>
          </w:p>
        </w:tc>
      </w:tr>
      <w:tr>
        <w:trPr>
          <w:trHeight w:val="263"/>
        </w:trPr>
        <w:tc>
          <w:tcPr>
            <w:tcW w:w="384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(46,901)</w:t>
            </w:r>
          </w:p>
        </w:tc>
        <w:tc>
          <w:tcPr>
            <w:tcW w:w="1200" w:type="dxa"/>
            <w:vAlign w:val="bottom"/>
          </w:tcPr>
          <w:p>
            <w:pPr>
              <w:jc w:val="right"/>
              <w:spacing w:after="0"/>
              <w:rPr>
                <w:sz w:val="20"/>
                <w:szCs w:val="20"/>
                <w:color w:val="auto"/>
              </w:rPr>
            </w:pPr>
            <w:r>
              <w:rPr>
                <w:rFonts w:ascii="Arial" w:cs="Arial" w:eastAsia="Arial" w:hAnsi="Arial"/>
                <w:sz w:val="16"/>
                <w:szCs w:val="16"/>
                <w:color w:val="auto"/>
              </w:rPr>
              <w:t>(59,979)</w:t>
            </w:r>
          </w:p>
        </w:tc>
        <w:tc>
          <w:tcPr>
            <w:tcW w:w="0" w:type="dxa"/>
            <w:vAlign w:val="bottom"/>
          </w:tcPr>
          <w:p>
            <w:pPr>
              <w:spacing w:after="0"/>
              <w:rPr>
                <w:sz w:val="1"/>
                <w:szCs w:val="1"/>
                <w:color w:val="auto"/>
              </w:rPr>
            </w:pPr>
          </w:p>
        </w:tc>
      </w:tr>
      <w:tr>
        <w:trPr>
          <w:trHeight w:val="264"/>
        </w:trPr>
        <w:tc>
          <w:tcPr>
            <w:tcW w:w="3840" w:type="dxa"/>
            <w:vAlign w:val="bottom"/>
          </w:tcPr>
          <w:p>
            <w:pPr>
              <w:ind w:left="280"/>
              <w:spacing w:after="0"/>
              <w:rPr>
                <w:sz w:val="20"/>
                <w:szCs w:val="20"/>
                <w:color w:val="auto"/>
              </w:rPr>
            </w:pPr>
            <w:r>
              <w:rPr>
                <w:rFonts w:ascii="Arial" w:cs="Arial" w:eastAsia="Arial" w:hAnsi="Arial"/>
                <w:sz w:val="16"/>
                <w:szCs w:val="16"/>
                <w:color w:val="auto"/>
              </w:rPr>
              <w:t>Total Oil States International, Inc. net investment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1,663,222</w:t>
            </w:r>
          </w:p>
        </w:tc>
        <w:tc>
          <w:tcPr>
            <w:tcW w:w="8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1,591,034</w:t>
            </w:r>
          </w:p>
        </w:tc>
        <w:tc>
          <w:tcPr>
            <w:tcW w:w="0" w:type="dxa"/>
            <w:vAlign w:val="bottom"/>
          </w:tcPr>
          <w:p>
            <w:pPr>
              <w:spacing w:after="0"/>
              <w:rPr>
                <w:sz w:val="1"/>
                <w:szCs w:val="1"/>
                <w:color w:val="auto"/>
              </w:rPr>
            </w:pPr>
          </w:p>
        </w:tc>
      </w:tr>
      <w:tr>
        <w:trPr>
          <w:trHeight w:val="264"/>
        </w:trPr>
        <w:tc>
          <w:tcPr>
            <w:tcW w:w="384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64"/>
        </w:trPr>
        <w:tc>
          <w:tcPr>
            <w:tcW w:w="3840" w:type="dxa"/>
            <w:vAlign w:val="bottom"/>
          </w:tcPr>
          <w:p>
            <w:pPr>
              <w:ind w:left="140"/>
              <w:spacing w:after="0"/>
              <w:rPr>
                <w:sz w:val="20"/>
                <w:szCs w:val="20"/>
                <w:color w:val="auto"/>
              </w:rPr>
            </w:pPr>
            <w:r>
              <w:rPr>
                <w:rFonts w:ascii="Arial" w:cs="Arial" w:eastAsia="Arial" w:hAnsi="Arial"/>
                <w:sz w:val="16"/>
                <w:szCs w:val="16"/>
                <w:color w:val="auto"/>
              </w:rPr>
              <w:t>Total net investment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1,665,225</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1,592,745</w:t>
            </w:r>
          </w:p>
        </w:tc>
        <w:tc>
          <w:tcPr>
            <w:tcW w:w="0" w:type="dxa"/>
            <w:vAlign w:val="bottom"/>
          </w:tcPr>
          <w:p>
            <w:pPr>
              <w:spacing w:after="0"/>
              <w:rPr>
                <w:sz w:val="1"/>
                <w:szCs w:val="1"/>
                <w:color w:val="auto"/>
              </w:rPr>
            </w:pPr>
          </w:p>
        </w:tc>
      </w:tr>
      <w:tr>
        <w:trPr>
          <w:trHeight w:val="264"/>
        </w:trPr>
        <w:tc>
          <w:tcPr>
            <w:tcW w:w="3840" w:type="dxa"/>
            <w:vAlign w:val="bottom"/>
          </w:tcPr>
          <w:p>
            <w:pPr>
              <w:ind w:left="280"/>
              <w:spacing w:after="0"/>
              <w:rPr>
                <w:sz w:val="20"/>
                <w:szCs w:val="20"/>
                <w:color w:val="auto"/>
              </w:rPr>
            </w:pPr>
            <w:r>
              <w:rPr>
                <w:rFonts w:ascii="Arial" w:cs="Arial" w:eastAsia="Arial" w:hAnsi="Arial"/>
                <w:sz w:val="16"/>
                <w:szCs w:val="16"/>
                <w:color w:val="auto"/>
              </w:rPr>
              <w:t>Total liabilities and net investment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$ 2,196,845</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$ 2,123,237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519"/>
        <w:spacing w:after="0"/>
        <w:rPr>
          <w:sz w:val="20"/>
          <w:szCs w:val="20"/>
          <w:color w:val="auto"/>
        </w:rPr>
      </w:pPr>
      <w:r>
        <w:rPr>
          <w:rFonts w:ascii="Arial" w:cs="Arial" w:eastAsia="Arial" w:hAnsi="Arial"/>
          <w:sz w:val="16"/>
          <w:szCs w:val="16"/>
          <w:color w:val="auto"/>
        </w:rPr>
        <w:t>CIVEO CORPORATION</w:t>
      </w:r>
    </w:p>
    <w:p>
      <w:pPr>
        <w:spacing w:after="0" w:line="194" w:lineRule="exact"/>
        <w:rPr>
          <w:sz w:val="20"/>
          <w:szCs w:val="20"/>
          <w:color w:val="auto"/>
        </w:rPr>
      </w:pPr>
    </w:p>
    <w:p>
      <w:pPr>
        <w:jc w:val="center"/>
        <w:ind w:right="2519"/>
        <w:spacing w:after="0"/>
        <w:rPr>
          <w:sz w:val="20"/>
          <w:szCs w:val="20"/>
          <w:color w:val="auto"/>
        </w:rPr>
      </w:pPr>
      <w:r>
        <w:rPr>
          <w:rFonts w:ascii="Arial" w:cs="Arial" w:eastAsia="Arial" w:hAnsi="Arial"/>
          <w:sz w:val="16"/>
          <w:szCs w:val="16"/>
          <w:color w:val="auto"/>
        </w:rPr>
        <w:t>UNAUDITED CONDENSED COMBINED STATEMENTS OF CASH FLOWS</w:t>
      </w:r>
    </w:p>
    <w:p>
      <w:pPr>
        <w:spacing w:after="0" w:line="5" w:lineRule="exact"/>
        <w:rPr>
          <w:sz w:val="20"/>
          <w:szCs w:val="20"/>
          <w:color w:val="auto"/>
        </w:rPr>
      </w:pPr>
    </w:p>
    <w:p>
      <w:pPr>
        <w:jc w:val="center"/>
        <w:ind w:right="2519"/>
        <w:spacing w:after="0"/>
        <w:rPr>
          <w:sz w:val="20"/>
          <w:szCs w:val="20"/>
          <w:color w:val="auto"/>
        </w:rPr>
      </w:pPr>
      <w:r>
        <w:rPr>
          <w:rFonts w:ascii="Arial" w:cs="Arial" w:eastAsia="Arial" w:hAnsi="Arial"/>
          <w:sz w:val="16"/>
          <w:szCs w:val="16"/>
          <w:color w:val="auto"/>
        </w:rPr>
        <w:t>(In Thousands)</w:t>
      </w:r>
    </w:p>
    <w:p>
      <w:pPr>
        <w:spacing w:after="0" w:line="336" w:lineRule="exact"/>
        <w:rPr>
          <w:sz w:val="20"/>
          <w:szCs w:val="20"/>
          <w:color w:val="auto"/>
        </w:rPr>
      </w:pPr>
    </w:p>
    <w:p>
      <w:pPr>
        <w:jc w:val="center"/>
        <w:ind w:left="2340"/>
        <w:spacing w:after="0"/>
        <w:rPr>
          <w:sz w:val="20"/>
          <w:szCs w:val="20"/>
          <w:color w:val="auto"/>
        </w:rPr>
      </w:pPr>
      <w:r>
        <w:rPr>
          <w:rFonts w:ascii="Arial" w:cs="Arial" w:eastAsia="Arial" w:hAnsi="Arial"/>
          <w:sz w:val="16"/>
          <w:szCs w:val="16"/>
          <w:b w:val="1"/>
          <w:bCs w:val="1"/>
          <w:color w:val="auto"/>
        </w:rPr>
        <w:t>THREE MONTHS</w:t>
      </w:r>
    </w:p>
    <w:p>
      <w:pPr>
        <w:spacing w:after="0" w:line="25" w:lineRule="exact"/>
        <w:rPr>
          <w:sz w:val="20"/>
          <w:szCs w:val="20"/>
          <w:color w:val="auto"/>
        </w:rPr>
      </w:pPr>
    </w:p>
    <w:p>
      <w:pPr>
        <w:jc w:val="center"/>
        <w:ind w:left="2340"/>
        <w:spacing w:after="0"/>
        <w:rPr>
          <w:sz w:val="20"/>
          <w:szCs w:val="20"/>
          <w:color w:val="auto"/>
        </w:rPr>
      </w:pPr>
      <w:r>
        <w:rPr>
          <w:rFonts w:ascii="Arial" w:cs="Arial" w:eastAsia="Arial" w:hAnsi="Arial"/>
          <w:sz w:val="16"/>
          <w:szCs w:val="16"/>
          <w:b w:val="1"/>
          <w:bCs w:val="1"/>
          <w:u w:val="single" w:color="auto"/>
          <w:color w:val="auto"/>
        </w:rPr>
        <w:t>ENDED MARCH 31,</w:t>
      </w:r>
    </w:p>
    <w:p>
      <w:pPr>
        <w:spacing w:after="0" w:line="80" w:lineRule="exact"/>
        <w:rPr>
          <w:sz w:val="20"/>
          <w:szCs w:val="20"/>
          <w:color w:val="auto"/>
        </w:rPr>
      </w:pPr>
    </w:p>
    <w:p>
      <w:pPr>
        <w:ind w:left="6220"/>
        <w:spacing w:after="0"/>
        <w:tabs>
          <w:tab w:leader="none" w:pos="706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14605</wp:posOffset>
            </wp:positionV>
            <wp:extent cx="10293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ectPr>
          <w:pgSz w:w="11900" w:h="16838" w:orient="portrait"/>
          <w:cols w:equalWidth="0" w:num="1">
            <w:col w:w="10139"/>
          </w:cols>
          <w:pgMar w:left="320" w:top="1440"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60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760" w:type="dxa"/>
            <w:vAlign w:val="bottom"/>
          </w:tcPr>
          <w:p>
            <w:pPr>
              <w:jc w:val="right"/>
              <w:spacing w:after="0"/>
              <w:rPr>
                <w:sz w:val="20"/>
                <w:szCs w:val="20"/>
                <w:color w:val="auto"/>
              </w:rPr>
            </w:pPr>
            <w:r>
              <w:rPr>
                <w:rFonts w:ascii="Arial" w:cs="Arial" w:eastAsia="Arial" w:hAnsi="Arial"/>
                <w:sz w:val="16"/>
                <w:szCs w:val="16"/>
                <w:color w:val="auto"/>
              </w:rPr>
              <w:t>$ 36,596</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$ 64,190</w:t>
            </w:r>
          </w:p>
        </w:tc>
      </w:tr>
      <w:tr>
        <w:trPr>
          <w:trHeight w:val="270"/>
        </w:trPr>
        <w:tc>
          <w:tcPr>
            <w:tcW w:w="6000" w:type="dxa"/>
            <w:vAlign w:val="bottom"/>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760" w:type="dxa"/>
            <w:vAlign w:val="bottom"/>
          </w:tcPr>
          <w:p>
            <w:pPr>
              <w:jc w:val="right"/>
              <w:spacing w:after="0"/>
              <w:rPr>
                <w:sz w:val="20"/>
                <w:szCs w:val="20"/>
                <w:color w:val="auto"/>
              </w:rPr>
            </w:pPr>
            <w:r>
              <w:rPr>
                <w:rFonts w:ascii="Arial" w:cs="Arial" w:eastAsia="Arial" w:hAnsi="Arial"/>
                <w:sz w:val="16"/>
                <w:szCs w:val="16"/>
                <w:color w:val="auto"/>
              </w:rPr>
              <w:t>39,599</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41,088</w:t>
            </w: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Deferred income tax provision</w:t>
            </w:r>
          </w:p>
        </w:tc>
        <w:tc>
          <w:tcPr>
            <w:tcW w:w="760" w:type="dxa"/>
            <w:vAlign w:val="bottom"/>
          </w:tcPr>
          <w:p>
            <w:pPr>
              <w:jc w:val="right"/>
              <w:spacing w:after="0"/>
              <w:rPr>
                <w:sz w:val="20"/>
                <w:szCs w:val="20"/>
                <w:color w:val="auto"/>
              </w:rPr>
            </w:pPr>
            <w:r>
              <w:rPr>
                <w:rFonts w:ascii="Arial" w:cs="Arial" w:eastAsia="Arial" w:hAnsi="Arial"/>
                <w:sz w:val="16"/>
                <w:szCs w:val="16"/>
                <w:color w:val="auto"/>
              </w:rPr>
              <w:t>5,179</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3,524</w:t>
            </w: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Non-cash compensation charge</w:t>
            </w:r>
          </w:p>
        </w:tc>
        <w:tc>
          <w:tcPr>
            <w:tcW w:w="760" w:type="dxa"/>
            <w:vAlign w:val="bottom"/>
          </w:tcPr>
          <w:p>
            <w:pPr>
              <w:jc w:val="right"/>
              <w:spacing w:after="0"/>
              <w:rPr>
                <w:sz w:val="20"/>
                <w:szCs w:val="20"/>
                <w:color w:val="auto"/>
              </w:rPr>
            </w:pPr>
            <w:r>
              <w:rPr>
                <w:rFonts w:ascii="Arial" w:cs="Arial" w:eastAsia="Arial" w:hAnsi="Arial"/>
                <w:sz w:val="16"/>
                <w:szCs w:val="16"/>
                <w:color w:val="auto"/>
              </w:rPr>
              <w:t>1,616</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1,031</w:t>
            </w: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Gains on disposals of assets</w:t>
            </w:r>
          </w:p>
        </w:tc>
        <w:tc>
          <w:tcPr>
            <w:tcW w:w="760" w:type="dxa"/>
            <w:vAlign w:val="bottom"/>
          </w:tcPr>
          <w:p>
            <w:pPr>
              <w:jc w:val="right"/>
              <w:spacing w:after="0"/>
              <w:rPr>
                <w:sz w:val="20"/>
                <w:szCs w:val="20"/>
                <w:color w:val="auto"/>
              </w:rPr>
            </w:pPr>
            <w:r>
              <w:rPr>
                <w:rFonts w:ascii="Arial" w:cs="Arial" w:eastAsia="Arial" w:hAnsi="Arial"/>
                <w:sz w:val="16"/>
                <w:szCs w:val="16"/>
                <w:color w:val="auto"/>
              </w:rPr>
              <w:t>1,194</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456</w:t>
            </w: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Provision for loss on receivables</w:t>
            </w:r>
          </w:p>
        </w:tc>
        <w:tc>
          <w:tcPr>
            <w:tcW w:w="76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Fair value adjustment of contingent consideration</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(3,938)</w:t>
            </w: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760" w:type="dxa"/>
            <w:vAlign w:val="bottom"/>
          </w:tcPr>
          <w:p>
            <w:pPr>
              <w:jc w:val="right"/>
              <w:spacing w:after="0"/>
              <w:rPr>
                <w:sz w:val="20"/>
                <w:szCs w:val="20"/>
                <w:color w:val="auto"/>
              </w:rPr>
            </w:pPr>
            <w:r>
              <w:rPr>
                <w:rFonts w:ascii="Arial" w:cs="Arial" w:eastAsia="Arial" w:hAnsi="Arial"/>
                <w:sz w:val="16"/>
                <w:szCs w:val="16"/>
                <w:color w:val="auto"/>
              </w:rPr>
              <w:t>297</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70"/>
        </w:trPr>
        <w:tc>
          <w:tcPr>
            <w:tcW w:w="600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760" w:type="dxa"/>
            <w:vAlign w:val="bottom"/>
          </w:tcPr>
          <w:p>
            <w:pPr>
              <w:jc w:val="right"/>
              <w:spacing w:after="0"/>
              <w:rPr>
                <w:sz w:val="20"/>
                <w:szCs w:val="20"/>
                <w:color w:val="auto"/>
              </w:rPr>
            </w:pPr>
            <w:r>
              <w:rPr>
                <w:rFonts w:ascii="Arial" w:cs="Arial" w:eastAsia="Arial" w:hAnsi="Arial"/>
                <w:sz w:val="16"/>
                <w:szCs w:val="16"/>
                <w:color w:val="auto"/>
              </w:rPr>
              <w:t>(8,130)</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(20,587)</w:t>
            </w: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760" w:type="dxa"/>
            <w:vAlign w:val="bottom"/>
          </w:tcPr>
          <w:p>
            <w:pPr>
              <w:jc w:val="right"/>
              <w:spacing w:after="0"/>
              <w:rPr>
                <w:sz w:val="20"/>
                <w:szCs w:val="20"/>
                <w:color w:val="auto"/>
              </w:rPr>
            </w:pPr>
            <w:r>
              <w:rPr>
                <w:rFonts w:ascii="Arial" w:cs="Arial" w:eastAsia="Arial" w:hAnsi="Arial"/>
                <w:sz w:val="16"/>
                <w:szCs w:val="16"/>
                <w:color w:val="auto"/>
              </w:rPr>
              <w:t>6,141</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(4,422)</w:t>
            </w: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760" w:type="dxa"/>
            <w:vAlign w:val="bottom"/>
          </w:tcPr>
          <w:p>
            <w:pPr>
              <w:jc w:val="right"/>
              <w:spacing w:after="0"/>
              <w:rPr>
                <w:sz w:val="20"/>
                <w:szCs w:val="20"/>
                <w:color w:val="auto"/>
              </w:rPr>
            </w:pPr>
            <w:r>
              <w:rPr>
                <w:rFonts w:ascii="Arial" w:cs="Arial" w:eastAsia="Arial" w:hAnsi="Arial"/>
                <w:sz w:val="16"/>
                <w:szCs w:val="16"/>
                <w:color w:val="auto"/>
              </w:rPr>
              <w:t>9,436</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(21,149)</w:t>
            </w: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Taxes payable</w:t>
            </w:r>
          </w:p>
        </w:tc>
        <w:tc>
          <w:tcPr>
            <w:tcW w:w="760" w:type="dxa"/>
            <w:vAlign w:val="bottom"/>
          </w:tcPr>
          <w:p>
            <w:pPr>
              <w:jc w:val="right"/>
              <w:spacing w:after="0"/>
              <w:rPr>
                <w:sz w:val="20"/>
                <w:szCs w:val="20"/>
                <w:color w:val="auto"/>
              </w:rPr>
            </w:pPr>
            <w:r>
              <w:rPr>
                <w:rFonts w:ascii="Arial" w:cs="Arial" w:eastAsia="Arial" w:hAnsi="Arial"/>
                <w:sz w:val="16"/>
                <w:szCs w:val="16"/>
                <w:color w:val="auto"/>
              </w:rPr>
              <w:t>(6,399)</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(5,790)</w:t>
            </w:r>
          </w:p>
        </w:tc>
      </w:tr>
      <w:tr>
        <w:trPr>
          <w:trHeight w:val="263"/>
        </w:trPr>
        <w:tc>
          <w:tcPr>
            <w:tcW w:w="6000" w:type="dxa"/>
            <w:vAlign w:val="bottom"/>
          </w:tcPr>
          <w:p>
            <w:pPr>
              <w:ind w:left="280"/>
              <w:spacing w:after="0"/>
              <w:rPr>
                <w:sz w:val="20"/>
                <w:szCs w:val="20"/>
                <w:color w:val="auto"/>
              </w:rPr>
            </w:pPr>
            <w:r>
              <w:rPr>
                <w:rFonts w:ascii="Arial" w:cs="Arial" w:eastAsia="Arial" w:hAnsi="Arial"/>
                <w:sz w:val="16"/>
                <w:szCs w:val="16"/>
                <w:color w:val="auto"/>
              </w:rPr>
              <w:t>Other current assets and liabilities, net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5,093</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5,137</w:t>
            </w:r>
          </w:p>
        </w:tc>
      </w:tr>
      <w:tr>
        <w:trPr>
          <w:trHeight w:val="271"/>
        </w:trPr>
        <w:tc>
          <w:tcPr>
            <w:tcW w:w="6000" w:type="dxa"/>
            <w:vAlign w:val="bottom"/>
          </w:tcPr>
          <w:p>
            <w:pPr>
              <w:ind w:left="420"/>
              <w:spacing w:after="0"/>
              <w:rPr>
                <w:sz w:val="20"/>
                <w:szCs w:val="20"/>
                <w:color w:val="auto"/>
              </w:rPr>
            </w:pPr>
            <w:r>
              <w:rPr>
                <w:rFonts w:ascii="Arial" w:cs="Arial" w:eastAsia="Arial" w:hAnsi="Arial"/>
                <w:sz w:val="16"/>
                <w:szCs w:val="16"/>
                <w:color w:val="auto"/>
              </w:rPr>
              <w:t>Net cash flows provided by operating activities</w:t>
            </w:r>
          </w:p>
        </w:tc>
        <w:tc>
          <w:tcPr>
            <w:tcW w:w="760" w:type="dxa"/>
            <w:vAlign w:val="bottom"/>
          </w:tcPr>
          <w:p>
            <w:pPr>
              <w:jc w:val="right"/>
              <w:spacing w:after="0"/>
              <w:rPr>
                <w:sz w:val="20"/>
                <w:szCs w:val="20"/>
                <w:color w:val="auto"/>
              </w:rPr>
            </w:pPr>
            <w:r>
              <w:rPr>
                <w:rFonts w:ascii="Arial" w:cs="Arial" w:eastAsia="Arial" w:hAnsi="Arial"/>
                <w:sz w:val="16"/>
                <w:szCs w:val="16"/>
                <w:color w:val="auto"/>
              </w:rPr>
              <w:t>90,713</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59,427</w:t>
            </w:r>
          </w:p>
        </w:tc>
      </w:tr>
      <w:tr>
        <w:trPr>
          <w:trHeight w:val="540"/>
        </w:trPr>
        <w:tc>
          <w:tcPr>
            <w:tcW w:w="60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Capital expenditures, including capitalized interest</w:t>
            </w:r>
          </w:p>
        </w:tc>
        <w:tc>
          <w:tcPr>
            <w:tcW w:w="760" w:type="dxa"/>
            <w:vAlign w:val="bottom"/>
          </w:tcPr>
          <w:p>
            <w:pPr>
              <w:jc w:val="right"/>
              <w:spacing w:after="0"/>
              <w:rPr>
                <w:sz w:val="20"/>
                <w:szCs w:val="20"/>
                <w:color w:val="auto"/>
              </w:rPr>
            </w:pPr>
            <w:r>
              <w:rPr>
                <w:rFonts w:ascii="Arial" w:cs="Arial" w:eastAsia="Arial" w:hAnsi="Arial"/>
                <w:sz w:val="16"/>
                <w:szCs w:val="16"/>
                <w:color w:val="auto"/>
              </w:rPr>
              <w:t>(63,525)</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(69,916)</w:t>
            </w: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Proceeds from disposition of property, plant and equipment</w:t>
            </w:r>
          </w:p>
        </w:tc>
        <w:tc>
          <w:tcPr>
            <w:tcW w:w="760" w:type="dxa"/>
            <w:vAlign w:val="bottom"/>
          </w:tcPr>
          <w:p>
            <w:pPr>
              <w:jc w:val="right"/>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1,242</w:t>
            </w:r>
          </w:p>
        </w:tc>
      </w:tr>
      <w:tr>
        <w:trPr>
          <w:trHeight w:val="263"/>
        </w:trPr>
        <w:tc>
          <w:tcPr>
            <w:tcW w:w="600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71"/>
        </w:trPr>
        <w:tc>
          <w:tcPr>
            <w:tcW w:w="6000" w:type="dxa"/>
            <w:vAlign w:val="bottom"/>
          </w:tcPr>
          <w:p>
            <w:pPr>
              <w:ind w:left="420"/>
              <w:spacing w:after="0"/>
              <w:rPr>
                <w:sz w:val="20"/>
                <w:szCs w:val="20"/>
                <w:color w:val="auto"/>
              </w:rPr>
            </w:pPr>
            <w:r>
              <w:rPr>
                <w:rFonts w:ascii="Arial" w:cs="Arial" w:eastAsia="Arial" w:hAnsi="Arial"/>
                <w:sz w:val="16"/>
                <w:szCs w:val="16"/>
                <w:color w:val="auto"/>
              </w:rPr>
              <w:t>Net cash flows used in investing activities</w:t>
            </w:r>
          </w:p>
        </w:tc>
        <w:tc>
          <w:tcPr>
            <w:tcW w:w="760" w:type="dxa"/>
            <w:vAlign w:val="bottom"/>
          </w:tcPr>
          <w:p>
            <w:pPr>
              <w:jc w:val="right"/>
              <w:spacing w:after="0"/>
              <w:rPr>
                <w:sz w:val="20"/>
                <w:szCs w:val="20"/>
                <w:color w:val="auto"/>
              </w:rPr>
            </w:pPr>
            <w:r>
              <w:rPr>
                <w:rFonts w:ascii="Arial" w:cs="Arial" w:eastAsia="Arial" w:hAnsi="Arial"/>
                <w:sz w:val="16"/>
                <w:szCs w:val="16"/>
                <w:color w:val="auto"/>
              </w:rPr>
              <w:t>(63,295)</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(68,672)</w:t>
            </w:r>
          </w:p>
        </w:tc>
      </w:tr>
      <w:tr>
        <w:trPr>
          <w:trHeight w:val="540"/>
        </w:trPr>
        <w:tc>
          <w:tcPr>
            <w:tcW w:w="60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Revolving credit borrowings and (repayments), net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(29,219)</w:t>
            </w: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Term loan repayments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(2,526)</w:t>
            </w:r>
          </w:p>
        </w:tc>
      </w:tr>
      <w:tr>
        <w:trPr>
          <w:trHeight w:val="263"/>
        </w:trPr>
        <w:tc>
          <w:tcPr>
            <w:tcW w:w="6000" w:type="dxa"/>
            <w:vAlign w:val="bottom"/>
          </w:tcPr>
          <w:p>
            <w:pPr>
              <w:ind w:left="280"/>
              <w:spacing w:after="0"/>
              <w:rPr>
                <w:sz w:val="20"/>
                <w:szCs w:val="20"/>
                <w:color w:val="auto"/>
              </w:rPr>
            </w:pPr>
            <w:r>
              <w:rPr>
                <w:rFonts w:ascii="Arial" w:cs="Arial" w:eastAsia="Arial" w:hAnsi="Arial"/>
                <w:sz w:val="16"/>
                <w:szCs w:val="16"/>
                <w:color w:val="auto"/>
              </w:rPr>
              <w:t>Contributions from (distributions to) Oil States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20,193</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41,189</w:t>
            </w:r>
          </w:p>
        </w:tc>
      </w:tr>
      <w:tr>
        <w:trPr>
          <w:trHeight w:val="271"/>
        </w:trPr>
        <w:tc>
          <w:tcPr>
            <w:tcW w:w="6000" w:type="dxa"/>
            <w:vAlign w:val="bottom"/>
          </w:tcPr>
          <w:p>
            <w:pPr>
              <w:ind w:left="420"/>
              <w:spacing w:after="0"/>
              <w:rPr>
                <w:sz w:val="20"/>
                <w:szCs w:val="20"/>
                <w:color w:val="auto"/>
              </w:rPr>
            </w:pPr>
            <w:r>
              <w:rPr>
                <w:rFonts w:ascii="Arial" w:cs="Arial" w:eastAsia="Arial" w:hAnsi="Arial"/>
                <w:sz w:val="16"/>
                <w:szCs w:val="16"/>
                <w:color w:val="auto"/>
              </w:rPr>
              <w:t>Net cash flows used in financing activities</w:t>
            </w:r>
          </w:p>
        </w:tc>
        <w:tc>
          <w:tcPr>
            <w:tcW w:w="760" w:type="dxa"/>
            <w:vAlign w:val="bottom"/>
          </w:tcPr>
          <w:p>
            <w:pPr>
              <w:jc w:val="right"/>
              <w:spacing w:after="0"/>
              <w:rPr>
                <w:sz w:val="20"/>
                <w:szCs w:val="20"/>
                <w:color w:val="auto"/>
              </w:rPr>
            </w:pPr>
            <w:r>
              <w:rPr>
                <w:rFonts w:ascii="Arial" w:cs="Arial" w:eastAsia="Arial" w:hAnsi="Arial"/>
                <w:sz w:val="16"/>
                <w:szCs w:val="16"/>
                <w:color w:val="auto"/>
              </w:rPr>
              <w:t>20,193</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9,444</w:t>
            </w:r>
          </w:p>
        </w:tc>
      </w:tr>
      <w:tr>
        <w:trPr>
          <w:trHeight w:val="533"/>
        </w:trPr>
        <w:tc>
          <w:tcPr>
            <w:tcW w:w="60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(6,988)</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(5,433)</w:t>
            </w:r>
          </w:p>
        </w:tc>
      </w:tr>
      <w:tr>
        <w:trPr>
          <w:trHeight w:val="271"/>
        </w:trPr>
        <w:tc>
          <w:tcPr>
            <w:tcW w:w="60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760" w:type="dxa"/>
            <w:vAlign w:val="bottom"/>
          </w:tcPr>
          <w:p>
            <w:pPr>
              <w:jc w:val="right"/>
              <w:spacing w:after="0"/>
              <w:rPr>
                <w:sz w:val="20"/>
                <w:szCs w:val="20"/>
                <w:color w:val="auto"/>
              </w:rPr>
            </w:pPr>
            <w:r>
              <w:rPr>
                <w:rFonts w:ascii="Arial" w:cs="Arial" w:eastAsia="Arial" w:hAnsi="Arial"/>
                <w:sz w:val="16"/>
                <w:szCs w:val="16"/>
                <w:color w:val="auto"/>
              </w:rPr>
              <w:t>40,623</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(5,234)</w:t>
            </w:r>
          </w:p>
        </w:tc>
      </w:tr>
      <w:tr>
        <w:trPr>
          <w:trHeight w:val="263"/>
        </w:trPr>
        <w:tc>
          <w:tcPr>
            <w:tcW w:w="60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224,128</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161,396</w:t>
            </w:r>
          </w:p>
        </w:tc>
      </w:tr>
      <w:tr>
        <w:trPr>
          <w:trHeight w:val="534"/>
        </w:trPr>
        <w:tc>
          <w:tcPr>
            <w:tcW w:w="60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$ 264,751</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$ 156,162</w:t>
            </w:r>
          </w:p>
        </w:tc>
      </w:tr>
      <w:tr>
        <w:trPr>
          <w:trHeight w:val="20"/>
        </w:trPr>
        <w:tc>
          <w:tcPr>
            <w:tcW w:w="6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419"/>
        <w:spacing w:after="0"/>
        <w:rPr>
          <w:sz w:val="20"/>
          <w:szCs w:val="20"/>
          <w:color w:val="auto"/>
        </w:rPr>
      </w:pPr>
      <w:r>
        <w:rPr>
          <w:rFonts w:ascii="Arial" w:cs="Arial" w:eastAsia="Arial" w:hAnsi="Arial"/>
          <w:sz w:val="16"/>
          <w:szCs w:val="16"/>
          <w:color w:val="auto"/>
        </w:rPr>
        <w:t>Civeo Corporation</w:t>
      </w:r>
    </w:p>
    <w:p>
      <w:pPr>
        <w:spacing w:after="0" w:line="86" w:lineRule="exact"/>
        <w:rPr>
          <w:sz w:val="20"/>
          <w:szCs w:val="20"/>
          <w:color w:val="auto"/>
        </w:rPr>
      </w:pPr>
    </w:p>
    <w:p>
      <w:pPr>
        <w:jc w:val="center"/>
        <w:ind w:right="4419"/>
        <w:spacing w:after="0"/>
        <w:rPr>
          <w:sz w:val="20"/>
          <w:szCs w:val="20"/>
          <w:color w:val="auto"/>
        </w:rPr>
      </w:pPr>
      <w:r>
        <w:rPr>
          <w:rFonts w:ascii="Arial" w:cs="Arial" w:eastAsia="Arial" w:hAnsi="Arial"/>
          <w:sz w:val="16"/>
          <w:szCs w:val="16"/>
          <w:color w:val="auto"/>
        </w:rPr>
        <w:t>Segment Data</w:t>
      </w:r>
    </w:p>
    <w:p>
      <w:pPr>
        <w:spacing w:after="0" w:line="86" w:lineRule="exact"/>
        <w:rPr>
          <w:sz w:val="20"/>
          <w:szCs w:val="20"/>
          <w:color w:val="auto"/>
        </w:rPr>
      </w:pPr>
    </w:p>
    <w:p>
      <w:pPr>
        <w:jc w:val="center"/>
        <w:ind w:right="4419"/>
        <w:spacing w:after="0"/>
        <w:rPr>
          <w:sz w:val="20"/>
          <w:szCs w:val="20"/>
          <w:color w:val="auto"/>
        </w:rPr>
      </w:pPr>
      <w:r>
        <w:rPr>
          <w:rFonts w:ascii="Arial" w:cs="Arial" w:eastAsia="Arial" w:hAnsi="Arial"/>
          <w:sz w:val="16"/>
          <w:szCs w:val="16"/>
          <w:color w:val="auto"/>
        </w:rPr>
        <w:t>(in thousands)</w:t>
      </w:r>
    </w:p>
    <w:p>
      <w:pPr>
        <w:spacing w:after="0" w:line="86" w:lineRule="exact"/>
        <w:rPr>
          <w:sz w:val="20"/>
          <w:szCs w:val="20"/>
          <w:color w:val="auto"/>
        </w:rPr>
      </w:pPr>
    </w:p>
    <w:p>
      <w:pPr>
        <w:jc w:val="center"/>
        <w:ind w:right="4419"/>
        <w:spacing w:after="0"/>
        <w:rPr>
          <w:sz w:val="20"/>
          <w:szCs w:val="20"/>
          <w:color w:val="auto"/>
        </w:rPr>
      </w:pPr>
      <w:r>
        <w:rPr>
          <w:rFonts w:ascii="Arial" w:cs="Arial" w:eastAsia="Arial" w:hAnsi="Arial"/>
          <w:sz w:val="16"/>
          <w:szCs w:val="16"/>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Three Months Ended March 31,</w:t>
            </w: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2014</w:t>
            </w:r>
          </w:p>
        </w:tc>
        <w:tc>
          <w:tcPr>
            <w:tcW w:w="80" w:type="dxa"/>
            <w:vAlign w:val="bottom"/>
          </w:tcPr>
          <w:p>
            <w:pPr>
              <w:spacing w:after="0"/>
              <w:rPr>
                <w:sz w:val="22"/>
                <w:szCs w:val="22"/>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541"/>
        </w:trPr>
        <w:tc>
          <w:tcPr>
            <w:tcW w:w="3420" w:type="dxa"/>
            <w:vAlign w:val="bottom"/>
          </w:tcPr>
          <w:p>
            <w:pPr>
              <w:spacing w:after="0"/>
              <w:rPr>
                <w:sz w:val="20"/>
                <w:szCs w:val="20"/>
                <w:color w:val="auto"/>
              </w:rPr>
            </w:pPr>
            <w:r>
              <w:rPr>
                <w:rFonts w:ascii="Arial" w:cs="Arial" w:eastAsia="Arial" w:hAnsi="Arial"/>
                <w:sz w:val="16"/>
                <w:szCs w:val="16"/>
                <w:color w:val="auto"/>
              </w:rPr>
              <w:t>Revenues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20" w:type="dxa"/>
            <w:vAlign w:val="bottom"/>
          </w:tcPr>
          <w:p>
            <w:pPr>
              <w:ind w:left="280"/>
              <w:spacing w:after="0"/>
              <w:rPr>
                <w:sz w:val="20"/>
                <w:szCs w:val="20"/>
                <w:color w:val="auto"/>
              </w:rPr>
            </w:pPr>
            <w:r>
              <w:rPr>
                <w:rFonts w:ascii="Arial" w:cs="Arial" w:eastAsia="Arial" w:hAnsi="Arial"/>
                <w:sz w:val="16"/>
                <w:szCs w:val="16"/>
                <w:color w:val="auto"/>
              </w:rPr>
              <w:t>Canadian</w:t>
            </w:r>
          </w:p>
        </w:tc>
        <w:tc>
          <w:tcPr>
            <w:tcW w:w="1100" w:type="dxa"/>
            <w:vAlign w:val="bottom"/>
          </w:tcPr>
          <w:p>
            <w:pPr>
              <w:jc w:val="right"/>
              <w:spacing w:after="0"/>
              <w:rPr>
                <w:sz w:val="20"/>
                <w:szCs w:val="20"/>
                <w:color w:val="auto"/>
              </w:rPr>
            </w:pPr>
            <w:r>
              <w:rPr>
                <w:rFonts w:ascii="Arial" w:cs="Arial" w:eastAsia="Arial" w:hAnsi="Arial"/>
                <w:sz w:val="16"/>
                <w:szCs w:val="16"/>
                <w:color w:val="auto"/>
              </w:rPr>
              <w:t>180,324</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207,651</w:t>
            </w:r>
          </w:p>
        </w:tc>
        <w:tc>
          <w:tcPr>
            <w:tcW w:w="0" w:type="dxa"/>
            <w:vAlign w:val="bottom"/>
          </w:tcPr>
          <w:p>
            <w:pPr>
              <w:spacing w:after="0"/>
              <w:rPr>
                <w:sz w:val="1"/>
                <w:szCs w:val="1"/>
                <w:color w:val="auto"/>
              </w:rPr>
            </w:pPr>
          </w:p>
        </w:tc>
      </w:tr>
      <w:tr>
        <w:trPr>
          <w:trHeight w:val="270"/>
        </w:trPr>
        <w:tc>
          <w:tcPr>
            <w:tcW w:w="3420" w:type="dxa"/>
            <w:vAlign w:val="bottom"/>
          </w:tcPr>
          <w:p>
            <w:pPr>
              <w:ind w:left="280"/>
              <w:spacing w:after="0"/>
              <w:rPr>
                <w:sz w:val="20"/>
                <w:szCs w:val="20"/>
                <w:color w:val="auto"/>
              </w:rPr>
            </w:pPr>
            <w:r>
              <w:rPr>
                <w:rFonts w:ascii="Arial" w:cs="Arial" w:eastAsia="Arial" w:hAnsi="Arial"/>
                <w:sz w:val="16"/>
                <w:szCs w:val="16"/>
                <w:color w:val="auto"/>
              </w:rPr>
              <w:t>Australian</w:t>
            </w:r>
          </w:p>
        </w:tc>
        <w:tc>
          <w:tcPr>
            <w:tcW w:w="1100" w:type="dxa"/>
            <w:vAlign w:val="bottom"/>
          </w:tcPr>
          <w:p>
            <w:pPr>
              <w:jc w:val="right"/>
              <w:spacing w:after="0"/>
              <w:rPr>
                <w:sz w:val="20"/>
                <w:szCs w:val="20"/>
                <w:color w:val="auto"/>
              </w:rPr>
            </w:pPr>
            <w:r>
              <w:rPr>
                <w:rFonts w:ascii="Arial" w:cs="Arial" w:eastAsia="Arial" w:hAnsi="Arial"/>
                <w:sz w:val="16"/>
                <w:szCs w:val="16"/>
                <w:color w:val="auto"/>
              </w:rPr>
              <w:t>55,464</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67,729</w:t>
            </w:r>
          </w:p>
        </w:tc>
        <w:tc>
          <w:tcPr>
            <w:tcW w:w="0" w:type="dxa"/>
            <w:vAlign w:val="bottom"/>
          </w:tcPr>
          <w:p>
            <w:pPr>
              <w:spacing w:after="0"/>
              <w:rPr>
                <w:sz w:val="1"/>
                <w:szCs w:val="1"/>
                <w:color w:val="auto"/>
              </w:rPr>
            </w:pPr>
          </w:p>
        </w:tc>
      </w:tr>
      <w:tr>
        <w:trPr>
          <w:trHeight w:val="263"/>
        </w:trPr>
        <w:tc>
          <w:tcPr>
            <w:tcW w:w="3420" w:type="dxa"/>
            <w:vAlign w:val="bottom"/>
          </w:tcPr>
          <w:p>
            <w:pPr>
              <w:ind w:left="280"/>
              <w:spacing w:after="0"/>
              <w:rPr>
                <w:sz w:val="20"/>
                <w:szCs w:val="20"/>
                <w:color w:val="auto"/>
              </w:rPr>
            </w:pPr>
            <w:r>
              <w:rPr>
                <w:rFonts w:ascii="Arial" w:cs="Arial" w:eastAsia="Arial" w:hAnsi="Arial"/>
                <w:sz w:val="16"/>
                <w:szCs w:val="16"/>
                <w:color w:val="auto"/>
              </w:rPr>
              <w:t>U.S.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17,011</w:t>
            </w:r>
          </w:p>
        </w:tc>
        <w:tc>
          <w:tcPr>
            <w:tcW w:w="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19,158</w:t>
            </w: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0"/>
                <w:szCs w:val="20"/>
                <w:color w:val="auto"/>
              </w:rPr>
            </w:pPr>
            <w:r>
              <w:rPr>
                <w:rFonts w:ascii="Arial" w:cs="Arial" w:eastAsia="Arial" w:hAnsi="Arial"/>
                <w:sz w:val="16"/>
                <w:szCs w:val="16"/>
                <w:color w:val="auto"/>
              </w:rPr>
              <w:t>Total revenues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$252,799</w:t>
            </w:r>
          </w:p>
        </w:tc>
        <w:tc>
          <w:tcPr>
            <w:tcW w:w="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$294,538</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6"/>
                <w:szCs w:val="16"/>
                <w:color w:val="auto"/>
              </w:rPr>
              <w:t>EBITDA (A)</w:t>
            </w: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4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20" w:type="dxa"/>
            <w:vAlign w:val="bottom"/>
          </w:tcPr>
          <w:p>
            <w:pPr>
              <w:ind w:left="280"/>
              <w:spacing w:after="0"/>
              <w:rPr>
                <w:sz w:val="20"/>
                <w:szCs w:val="20"/>
                <w:color w:val="auto"/>
              </w:rPr>
            </w:pPr>
            <w:r>
              <w:rPr>
                <w:rFonts w:ascii="Arial" w:cs="Arial" w:eastAsia="Arial" w:hAnsi="Arial"/>
                <w:sz w:val="16"/>
                <w:szCs w:val="16"/>
                <w:color w:val="auto"/>
              </w:rPr>
              <w:t>Canadian</w:t>
            </w:r>
          </w:p>
        </w:tc>
        <w:tc>
          <w:tcPr>
            <w:tcW w:w="1100" w:type="dxa"/>
            <w:vAlign w:val="bottom"/>
          </w:tcPr>
          <w:p>
            <w:pPr>
              <w:jc w:val="right"/>
              <w:spacing w:after="0"/>
              <w:rPr>
                <w:sz w:val="20"/>
                <w:szCs w:val="20"/>
                <w:color w:val="auto"/>
              </w:rPr>
            </w:pPr>
            <w:r>
              <w:rPr>
                <w:rFonts w:ascii="Arial" w:cs="Arial" w:eastAsia="Arial" w:hAnsi="Arial"/>
                <w:sz w:val="16"/>
                <w:szCs w:val="16"/>
                <w:color w:val="auto"/>
              </w:rPr>
              <w:t>$61,818</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$90,846</w:t>
            </w:r>
          </w:p>
        </w:tc>
        <w:tc>
          <w:tcPr>
            <w:tcW w:w="0" w:type="dxa"/>
            <w:vAlign w:val="bottom"/>
          </w:tcPr>
          <w:p>
            <w:pPr>
              <w:spacing w:after="0"/>
              <w:rPr>
                <w:sz w:val="1"/>
                <w:szCs w:val="1"/>
                <w:color w:val="auto"/>
              </w:rPr>
            </w:pPr>
          </w:p>
        </w:tc>
      </w:tr>
      <w:tr>
        <w:trPr>
          <w:trHeight w:val="270"/>
        </w:trPr>
        <w:tc>
          <w:tcPr>
            <w:tcW w:w="3420" w:type="dxa"/>
            <w:vAlign w:val="bottom"/>
          </w:tcPr>
          <w:p>
            <w:pPr>
              <w:ind w:left="280"/>
              <w:spacing w:after="0"/>
              <w:rPr>
                <w:sz w:val="20"/>
                <w:szCs w:val="20"/>
                <w:color w:val="auto"/>
              </w:rPr>
            </w:pPr>
            <w:r>
              <w:rPr>
                <w:rFonts w:ascii="Arial" w:cs="Arial" w:eastAsia="Arial" w:hAnsi="Arial"/>
                <w:sz w:val="16"/>
                <w:szCs w:val="16"/>
                <w:color w:val="auto"/>
              </w:rPr>
              <w:t>Australian</w:t>
            </w:r>
          </w:p>
        </w:tc>
        <w:tc>
          <w:tcPr>
            <w:tcW w:w="1100" w:type="dxa"/>
            <w:vAlign w:val="bottom"/>
          </w:tcPr>
          <w:p>
            <w:pPr>
              <w:jc w:val="right"/>
              <w:spacing w:after="0"/>
              <w:rPr>
                <w:sz w:val="20"/>
                <w:szCs w:val="20"/>
                <w:color w:val="auto"/>
              </w:rPr>
            </w:pPr>
            <w:r>
              <w:rPr>
                <w:rFonts w:ascii="Arial" w:cs="Arial" w:eastAsia="Arial" w:hAnsi="Arial"/>
                <w:sz w:val="16"/>
                <w:szCs w:val="16"/>
                <w:color w:val="auto"/>
              </w:rPr>
              <w:t>30,804</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36,758</w:t>
            </w:r>
          </w:p>
        </w:tc>
        <w:tc>
          <w:tcPr>
            <w:tcW w:w="0" w:type="dxa"/>
            <w:vAlign w:val="bottom"/>
          </w:tcPr>
          <w:p>
            <w:pPr>
              <w:spacing w:after="0"/>
              <w:rPr>
                <w:sz w:val="1"/>
                <w:szCs w:val="1"/>
                <w:color w:val="auto"/>
              </w:rPr>
            </w:pPr>
          </w:p>
        </w:tc>
      </w:tr>
      <w:tr>
        <w:trPr>
          <w:trHeight w:val="270"/>
        </w:trPr>
        <w:tc>
          <w:tcPr>
            <w:tcW w:w="3420" w:type="dxa"/>
            <w:vAlign w:val="bottom"/>
          </w:tcPr>
          <w:p>
            <w:pPr>
              <w:ind w:left="280"/>
              <w:spacing w:after="0"/>
              <w:rPr>
                <w:sz w:val="20"/>
                <w:szCs w:val="20"/>
                <w:color w:val="auto"/>
              </w:rPr>
            </w:pPr>
            <w:r>
              <w:rPr>
                <w:rFonts w:ascii="Arial" w:cs="Arial" w:eastAsia="Arial" w:hAnsi="Arial"/>
                <w:sz w:val="16"/>
                <w:szCs w:val="16"/>
                <w:color w:val="auto"/>
              </w:rPr>
              <w:t>U.S.</w:t>
            </w:r>
          </w:p>
        </w:tc>
        <w:tc>
          <w:tcPr>
            <w:tcW w:w="1100" w:type="dxa"/>
            <w:vAlign w:val="bottom"/>
          </w:tcPr>
          <w:p>
            <w:pPr>
              <w:jc w:val="right"/>
              <w:spacing w:after="0"/>
              <w:rPr>
                <w:sz w:val="20"/>
                <w:szCs w:val="20"/>
                <w:color w:val="auto"/>
              </w:rPr>
            </w:pPr>
            <w:r>
              <w:rPr>
                <w:rFonts w:ascii="Arial" w:cs="Arial" w:eastAsia="Arial" w:hAnsi="Arial"/>
                <w:sz w:val="16"/>
                <w:szCs w:val="16"/>
                <w:color w:val="auto"/>
              </w:rPr>
              <w:t>4,696</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8,492</w:t>
            </w:r>
          </w:p>
        </w:tc>
        <w:tc>
          <w:tcPr>
            <w:tcW w:w="0" w:type="dxa"/>
            <w:vAlign w:val="bottom"/>
          </w:tcPr>
          <w:p>
            <w:pPr>
              <w:spacing w:after="0"/>
              <w:rPr>
                <w:sz w:val="1"/>
                <w:szCs w:val="1"/>
                <w:color w:val="auto"/>
              </w:rPr>
            </w:pPr>
          </w:p>
        </w:tc>
      </w:tr>
      <w:tr>
        <w:trPr>
          <w:trHeight w:val="263"/>
        </w:trPr>
        <w:tc>
          <w:tcPr>
            <w:tcW w:w="3420" w:type="dxa"/>
            <w:vAlign w:val="bottom"/>
          </w:tcPr>
          <w:p>
            <w:pPr>
              <w:ind w:left="280"/>
              <w:spacing w:after="0"/>
              <w:rPr>
                <w:sz w:val="20"/>
                <w:szCs w:val="20"/>
                <w:color w:val="auto"/>
              </w:rPr>
            </w:pPr>
            <w:r>
              <w:rPr>
                <w:rFonts w:ascii="Arial" w:cs="Arial" w:eastAsia="Arial" w:hAnsi="Arial"/>
                <w:sz w:val="16"/>
                <w:szCs w:val="16"/>
                <w:color w:val="auto"/>
              </w:rPr>
              <w:t>Stand-alone adjustments and eliminations</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(4,978)</w:t>
            </w:r>
          </w:p>
        </w:tc>
        <w:tc>
          <w:tcPr>
            <w:tcW w:w="1100" w:type="dxa"/>
            <w:vAlign w:val="bottom"/>
          </w:tcPr>
          <w:p>
            <w:pPr>
              <w:jc w:val="right"/>
              <w:spacing w:after="0"/>
              <w:rPr>
                <w:sz w:val="20"/>
                <w:szCs w:val="20"/>
                <w:color w:val="auto"/>
              </w:rPr>
            </w:pPr>
            <w:r>
              <w:rPr>
                <w:rFonts w:ascii="Arial" w:cs="Arial" w:eastAsia="Arial" w:hAnsi="Arial"/>
                <w:sz w:val="16"/>
                <w:szCs w:val="16"/>
                <w:color w:val="auto"/>
              </w:rPr>
              <w:t>(4,215)</w:t>
            </w: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0"/>
                <w:szCs w:val="20"/>
                <w:color w:val="auto"/>
              </w:rPr>
            </w:pPr>
            <w:r>
              <w:rPr>
                <w:rFonts w:ascii="Arial" w:cs="Arial" w:eastAsia="Arial" w:hAnsi="Arial"/>
                <w:sz w:val="16"/>
                <w:szCs w:val="16"/>
                <w:color w:val="auto"/>
              </w:rPr>
              <w:t>Total EBITDA</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$92,340</w:t>
            </w:r>
          </w:p>
        </w:tc>
        <w:tc>
          <w:tcPr>
            <w:tcW w:w="8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$131,881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39"/>
          </w:cols>
          <w:pgMar w:left="320" w:top="411" w:right="1440" w:bottom="0" w:gutter="0" w:footer="0" w:header="0"/>
        </w:sectPr>
      </w:pPr>
    </w:p>
    <w:bookmarkStart w:id="5" w:name="page6"/>
    <w:bookmarkEnd w:id="5"/>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3420" w:type="dxa"/>
            <w:vAlign w:val="bottom"/>
          </w:tcPr>
          <w:p>
            <w:pPr>
              <w:spacing w:after="0"/>
              <w:rPr>
                <w:sz w:val="20"/>
                <w:szCs w:val="20"/>
                <w:color w:val="auto"/>
              </w:rPr>
            </w:pPr>
            <w:r>
              <w:rPr>
                <w:rFonts w:ascii="Arial" w:cs="Arial" w:eastAsia="Arial" w:hAnsi="Arial"/>
                <w:sz w:val="16"/>
                <w:szCs w:val="16"/>
                <w:color w:val="auto"/>
              </w:rPr>
              <w:t>Operating income / (loss)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0"/>
        </w:trPr>
        <w:tc>
          <w:tcPr>
            <w:tcW w:w="3420" w:type="dxa"/>
            <w:vAlign w:val="bottom"/>
          </w:tcPr>
          <w:p>
            <w:pPr>
              <w:ind w:left="280"/>
              <w:spacing w:after="0"/>
              <w:rPr>
                <w:sz w:val="20"/>
                <w:szCs w:val="20"/>
                <w:color w:val="auto"/>
              </w:rPr>
            </w:pPr>
            <w:r>
              <w:rPr>
                <w:rFonts w:ascii="Arial" w:cs="Arial" w:eastAsia="Arial" w:hAnsi="Arial"/>
                <w:sz w:val="16"/>
                <w:szCs w:val="16"/>
                <w:color w:val="auto"/>
              </w:rPr>
              <w:t>Canadian</w:t>
            </w:r>
          </w:p>
        </w:tc>
        <w:tc>
          <w:tcPr>
            <w:tcW w:w="1100" w:type="dxa"/>
            <w:vAlign w:val="bottom"/>
          </w:tcPr>
          <w:p>
            <w:pPr>
              <w:jc w:val="right"/>
              <w:spacing w:after="0"/>
              <w:rPr>
                <w:sz w:val="20"/>
                <w:szCs w:val="20"/>
                <w:color w:val="auto"/>
              </w:rPr>
            </w:pPr>
            <w:r>
              <w:rPr>
                <w:rFonts w:ascii="Arial" w:cs="Arial" w:eastAsia="Arial" w:hAnsi="Arial"/>
                <w:sz w:val="16"/>
                <w:szCs w:val="16"/>
                <w:color w:val="auto"/>
              </w:rPr>
              <w:t>42,063</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70,768</w:t>
            </w:r>
          </w:p>
        </w:tc>
      </w:tr>
      <w:tr>
        <w:trPr>
          <w:trHeight w:val="270"/>
        </w:trPr>
        <w:tc>
          <w:tcPr>
            <w:tcW w:w="3420" w:type="dxa"/>
            <w:vAlign w:val="bottom"/>
          </w:tcPr>
          <w:p>
            <w:pPr>
              <w:ind w:left="280"/>
              <w:spacing w:after="0"/>
              <w:rPr>
                <w:sz w:val="20"/>
                <w:szCs w:val="20"/>
                <w:color w:val="auto"/>
              </w:rPr>
            </w:pPr>
            <w:r>
              <w:rPr>
                <w:rFonts w:ascii="Arial" w:cs="Arial" w:eastAsia="Arial" w:hAnsi="Arial"/>
                <w:sz w:val="16"/>
                <w:szCs w:val="16"/>
                <w:color w:val="auto"/>
              </w:rPr>
              <w:t>Australian</w:t>
            </w:r>
          </w:p>
        </w:tc>
        <w:tc>
          <w:tcPr>
            <w:tcW w:w="1100" w:type="dxa"/>
            <w:vAlign w:val="bottom"/>
          </w:tcPr>
          <w:p>
            <w:pPr>
              <w:jc w:val="right"/>
              <w:spacing w:after="0"/>
              <w:rPr>
                <w:sz w:val="20"/>
                <w:szCs w:val="20"/>
                <w:color w:val="auto"/>
              </w:rPr>
            </w:pPr>
            <w:r>
              <w:rPr>
                <w:rFonts w:ascii="Arial" w:cs="Arial" w:eastAsia="Arial" w:hAnsi="Arial"/>
                <w:sz w:val="16"/>
                <w:szCs w:val="16"/>
                <w:color w:val="auto"/>
              </w:rPr>
              <w:t>15,843</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19,566</w:t>
            </w:r>
          </w:p>
        </w:tc>
      </w:tr>
      <w:tr>
        <w:trPr>
          <w:trHeight w:val="270"/>
        </w:trPr>
        <w:tc>
          <w:tcPr>
            <w:tcW w:w="3420" w:type="dxa"/>
            <w:vAlign w:val="bottom"/>
          </w:tcPr>
          <w:p>
            <w:pPr>
              <w:ind w:left="280"/>
              <w:spacing w:after="0"/>
              <w:rPr>
                <w:sz w:val="20"/>
                <w:szCs w:val="20"/>
                <w:color w:val="auto"/>
              </w:rPr>
            </w:pPr>
            <w:r>
              <w:rPr>
                <w:rFonts w:ascii="Arial" w:cs="Arial" w:eastAsia="Arial" w:hAnsi="Arial"/>
                <w:sz w:val="16"/>
                <w:szCs w:val="16"/>
                <w:color w:val="auto"/>
              </w:rPr>
              <w:t>U.S.</w:t>
            </w: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4,608</w:t>
            </w:r>
          </w:p>
        </w:tc>
      </w:tr>
      <w:tr>
        <w:trPr>
          <w:trHeight w:val="263"/>
        </w:trPr>
        <w:tc>
          <w:tcPr>
            <w:tcW w:w="3420" w:type="dxa"/>
            <w:vAlign w:val="bottom"/>
          </w:tcPr>
          <w:p>
            <w:pPr>
              <w:ind w:left="280"/>
              <w:spacing w:after="0"/>
              <w:rPr>
                <w:sz w:val="20"/>
                <w:szCs w:val="20"/>
                <w:color w:val="auto"/>
              </w:rPr>
            </w:pPr>
            <w:r>
              <w:rPr>
                <w:rFonts w:ascii="Arial" w:cs="Arial" w:eastAsia="Arial" w:hAnsi="Arial"/>
                <w:sz w:val="16"/>
                <w:szCs w:val="16"/>
                <w:color w:val="auto"/>
              </w:rPr>
              <w:t>Stand-alone adjustments and eliminations</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(4,941)</w:t>
            </w:r>
          </w:p>
        </w:tc>
        <w:tc>
          <w:tcPr>
            <w:tcW w:w="1100" w:type="dxa"/>
            <w:vAlign w:val="bottom"/>
          </w:tcPr>
          <w:p>
            <w:pPr>
              <w:jc w:val="right"/>
              <w:spacing w:after="0"/>
              <w:rPr>
                <w:sz w:val="20"/>
                <w:szCs w:val="20"/>
                <w:color w:val="auto"/>
              </w:rPr>
            </w:pPr>
            <w:r>
              <w:rPr>
                <w:rFonts w:ascii="Arial" w:cs="Arial" w:eastAsia="Arial" w:hAnsi="Arial"/>
                <w:sz w:val="16"/>
                <w:szCs w:val="16"/>
                <w:color w:val="auto"/>
              </w:rPr>
              <w:t>(4,181)</w:t>
            </w:r>
          </w:p>
        </w:tc>
      </w:tr>
      <w:tr>
        <w:trPr>
          <w:trHeight w:val="264"/>
        </w:trPr>
        <w:tc>
          <w:tcPr>
            <w:tcW w:w="3420" w:type="dxa"/>
            <w:vAlign w:val="bottom"/>
          </w:tcPr>
          <w:p>
            <w:pPr>
              <w:spacing w:after="0"/>
              <w:rPr>
                <w:sz w:val="20"/>
                <w:szCs w:val="20"/>
                <w:color w:val="auto"/>
              </w:rPr>
            </w:pPr>
            <w:r>
              <w:rPr>
                <w:rFonts w:ascii="Arial" w:cs="Arial" w:eastAsia="Arial" w:hAnsi="Arial"/>
                <w:sz w:val="16"/>
                <w:szCs w:val="16"/>
                <w:color w:val="auto"/>
              </w:rPr>
              <w:t>Total operating income</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$52,860</w:t>
            </w:r>
          </w:p>
        </w:tc>
        <w:tc>
          <w:tcPr>
            <w:tcW w:w="8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$90,761</w:t>
            </w:r>
          </w:p>
        </w:tc>
      </w:tr>
      <w:tr>
        <w:trPr>
          <w:trHeight w:val="20"/>
        </w:trPr>
        <w:tc>
          <w:tcPr>
            <w:tcW w:w="3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420"/>
        <w:spacing w:after="0"/>
        <w:rPr>
          <w:sz w:val="20"/>
          <w:szCs w:val="20"/>
          <w:color w:val="auto"/>
        </w:rPr>
      </w:pPr>
      <w:r>
        <w:rPr>
          <w:rFonts w:ascii="Arial" w:cs="Arial" w:eastAsia="Arial" w:hAnsi="Arial"/>
          <w:sz w:val="16"/>
          <w:szCs w:val="16"/>
          <w:color w:val="auto"/>
        </w:rPr>
        <w:t>Civeo Corporation</w:t>
      </w:r>
    </w:p>
    <w:p>
      <w:pPr>
        <w:spacing w:after="0" w:line="86" w:lineRule="exact"/>
        <w:rPr>
          <w:sz w:val="20"/>
          <w:szCs w:val="20"/>
          <w:color w:val="auto"/>
        </w:rPr>
      </w:pPr>
    </w:p>
    <w:p>
      <w:pPr>
        <w:jc w:val="center"/>
        <w:ind w:right="4420"/>
        <w:spacing w:after="0"/>
        <w:rPr>
          <w:sz w:val="20"/>
          <w:szCs w:val="20"/>
          <w:color w:val="auto"/>
        </w:rPr>
      </w:pPr>
      <w:r>
        <w:rPr>
          <w:rFonts w:ascii="Arial" w:cs="Arial" w:eastAsia="Arial" w:hAnsi="Arial"/>
          <w:sz w:val="16"/>
          <w:szCs w:val="16"/>
          <w:color w:val="auto"/>
        </w:rPr>
        <w:t>Additional Quarterly Segment and Operating Data</w:t>
      </w:r>
    </w:p>
    <w:p>
      <w:pPr>
        <w:spacing w:after="0" w:line="86" w:lineRule="exact"/>
        <w:rPr>
          <w:sz w:val="20"/>
          <w:szCs w:val="20"/>
          <w:color w:val="auto"/>
        </w:rPr>
      </w:pPr>
    </w:p>
    <w:p>
      <w:pPr>
        <w:jc w:val="center"/>
        <w:ind w:right="4420"/>
        <w:spacing w:after="0"/>
        <w:rPr>
          <w:sz w:val="20"/>
          <w:szCs w:val="20"/>
          <w:color w:val="auto"/>
        </w:rPr>
      </w:pPr>
      <w:r>
        <w:rPr>
          <w:rFonts w:ascii="Arial" w:cs="Arial" w:eastAsia="Arial" w:hAnsi="Arial"/>
          <w:sz w:val="16"/>
          <w:szCs w:val="16"/>
          <w:color w:val="auto"/>
        </w:rPr>
        <w:t>(unaudited)</w:t>
      </w:r>
    </w:p>
    <w:p>
      <w:pPr>
        <w:spacing w:after="0" w:line="356"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Three Months Ended March 31,</w:t>
            </w:r>
          </w:p>
        </w:tc>
      </w:tr>
      <w:tr>
        <w:trPr>
          <w:trHeight w:val="264"/>
        </w:trPr>
        <w:tc>
          <w:tcPr>
            <w:tcW w:w="4540" w:type="dxa"/>
            <w:vAlign w:val="bottom"/>
          </w:tcPr>
          <w:p>
            <w:pPr>
              <w:spacing w:after="0"/>
              <w:rPr>
                <w:sz w:val="22"/>
                <w:szCs w:val="22"/>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2014</w:t>
            </w:r>
          </w:p>
        </w:tc>
        <w:tc>
          <w:tcPr>
            <w:tcW w:w="1200" w:type="dxa"/>
            <w:vAlign w:val="bottom"/>
            <w:gridSpan w:val="2"/>
          </w:tcPr>
          <w:p>
            <w:pPr>
              <w:jc w:val="right"/>
              <w:ind w:right="299"/>
              <w:spacing w:after="0"/>
              <w:rPr>
                <w:sz w:val="20"/>
                <w:szCs w:val="20"/>
                <w:color w:val="auto"/>
              </w:rPr>
            </w:pPr>
            <w:r>
              <w:rPr>
                <w:rFonts w:ascii="Arial" w:cs="Arial" w:eastAsia="Arial" w:hAnsi="Arial"/>
                <w:sz w:val="16"/>
                <w:szCs w:val="16"/>
                <w:color w:val="auto"/>
              </w:rPr>
              <w:t>2013</w:t>
            </w:r>
          </w:p>
        </w:tc>
      </w:tr>
      <w:tr>
        <w:trPr>
          <w:trHeight w:val="541"/>
        </w:trPr>
        <w:tc>
          <w:tcPr>
            <w:tcW w:w="454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0"/>
        </w:trPr>
        <w:tc>
          <w:tcPr>
            <w:tcW w:w="4540" w:type="dxa"/>
            <w:vAlign w:val="bottom"/>
          </w:tcPr>
          <w:p>
            <w:pPr>
              <w:ind w:left="220"/>
              <w:spacing w:after="0"/>
              <w:rPr>
                <w:sz w:val="20"/>
                <w:szCs w:val="20"/>
                <w:color w:val="auto"/>
              </w:rPr>
            </w:pPr>
            <w:r>
              <w:rPr>
                <w:rFonts w:ascii="Arial" w:cs="Arial" w:eastAsia="Arial" w:hAnsi="Arial"/>
                <w:sz w:val="16"/>
                <w:szCs w:val="16"/>
                <w:color w:val="auto"/>
              </w:rPr>
              <w:t>Lodge revenues ($ in thousands)</w:t>
            </w:r>
          </w:p>
        </w:tc>
        <w:tc>
          <w:tcPr>
            <w:tcW w:w="1080" w:type="dxa"/>
            <w:vAlign w:val="bottom"/>
          </w:tcPr>
          <w:p>
            <w:pPr>
              <w:jc w:val="right"/>
              <w:spacing w:after="0"/>
              <w:rPr>
                <w:sz w:val="20"/>
                <w:szCs w:val="20"/>
                <w:color w:val="auto"/>
              </w:rPr>
            </w:pPr>
            <w:r>
              <w:rPr>
                <w:rFonts w:ascii="Arial" w:cs="Arial" w:eastAsia="Arial" w:hAnsi="Arial"/>
                <w:sz w:val="16"/>
                <w:szCs w:val="16"/>
                <w:color w:val="auto"/>
              </w:rPr>
              <w:t>$122,388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$145,998</w:t>
            </w:r>
          </w:p>
        </w:tc>
      </w:tr>
      <w:tr>
        <w:trPr>
          <w:trHeight w:val="263"/>
        </w:trPr>
        <w:tc>
          <w:tcPr>
            <w:tcW w:w="4540" w:type="dxa"/>
            <w:vAlign w:val="bottom"/>
          </w:tcPr>
          <w:p>
            <w:pPr>
              <w:ind w:left="220"/>
              <w:spacing w:after="0"/>
              <w:rPr>
                <w:sz w:val="20"/>
                <w:szCs w:val="20"/>
                <w:color w:val="auto"/>
              </w:rPr>
            </w:pPr>
            <w:r>
              <w:rPr>
                <w:rFonts w:ascii="Arial" w:cs="Arial" w:eastAsia="Arial" w:hAnsi="Arial"/>
                <w:sz w:val="16"/>
                <w:szCs w:val="16"/>
                <w:color w:val="auto"/>
              </w:rPr>
              <w:t>Mobile, open camp and product revenues ($ in thousands)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57,936</w:t>
            </w:r>
          </w:p>
        </w:tc>
        <w:tc>
          <w:tcPr>
            <w:tcW w:w="8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61,653</w:t>
            </w:r>
          </w:p>
        </w:tc>
      </w:tr>
      <w:tr>
        <w:trPr>
          <w:trHeight w:val="271"/>
        </w:trPr>
        <w:tc>
          <w:tcPr>
            <w:tcW w:w="4540" w:type="dxa"/>
            <w:vAlign w:val="bottom"/>
          </w:tcPr>
          <w:p>
            <w:pPr>
              <w:ind w:left="420"/>
              <w:spacing w:after="0"/>
              <w:rPr>
                <w:sz w:val="20"/>
                <w:szCs w:val="20"/>
                <w:color w:val="auto"/>
              </w:rPr>
            </w:pPr>
            <w:r>
              <w:rPr>
                <w:rFonts w:ascii="Arial" w:cs="Arial" w:eastAsia="Arial" w:hAnsi="Arial"/>
                <w:sz w:val="16"/>
                <w:szCs w:val="16"/>
                <w:color w:val="auto"/>
              </w:rPr>
              <w:t>Total Canadian revenues ($ in thousands)</w:t>
            </w:r>
          </w:p>
        </w:tc>
        <w:tc>
          <w:tcPr>
            <w:tcW w:w="1080" w:type="dxa"/>
            <w:vAlign w:val="bottom"/>
          </w:tcPr>
          <w:p>
            <w:pPr>
              <w:jc w:val="right"/>
              <w:spacing w:after="0"/>
              <w:rPr>
                <w:sz w:val="20"/>
                <w:szCs w:val="20"/>
                <w:color w:val="auto"/>
              </w:rPr>
            </w:pPr>
            <w:r>
              <w:rPr>
                <w:rFonts w:ascii="Arial" w:cs="Arial" w:eastAsia="Arial" w:hAnsi="Arial"/>
                <w:sz w:val="16"/>
                <w:szCs w:val="16"/>
                <w:color w:val="auto"/>
              </w:rPr>
              <w:t>$180,324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$207,651</w:t>
            </w:r>
          </w:p>
        </w:tc>
      </w:tr>
      <w:tr>
        <w:trPr>
          <w:trHeight w:val="270"/>
        </w:trPr>
        <w:tc>
          <w:tcPr>
            <w:tcW w:w="4540" w:type="dxa"/>
            <w:vAlign w:val="bottom"/>
          </w:tcPr>
          <w:p>
            <w:pPr>
              <w:ind w:left="220"/>
              <w:spacing w:after="0"/>
              <w:rPr>
                <w:sz w:val="20"/>
                <w:szCs w:val="20"/>
                <w:color w:val="auto"/>
              </w:rPr>
            </w:pPr>
            <w:r>
              <w:rPr>
                <w:rFonts w:ascii="Arial" w:cs="Arial" w:eastAsia="Arial" w:hAnsi="Arial"/>
                <w:sz w:val="16"/>
                <w:szCs w:val="16"/>
                <w:color w:val="auto"/>
              </w:rPr>
              <w:t>Average available lodge rooms</w:t>
            </w:r>
          </w:p>
        </w:tc>
        <w:tc>
          <w:tcPr>
            <w:tcW w:w="1080" w:type="dxa"/>
            <w:vAlign w:val="bottom"/>
          </w:tcPr>
          <w:p>
            <w:pPr>
              <w:jc w:val="right"/>
              <w:spacing w:after="0"/>
              <w:rPr>
                <w:sz w:val="20"/>
                <w:szCs w:val="20"/>
                <w:color w:val="auto"/>
              </w:rPr>
            </w:pPr>
            <w:r>
              <w:rPr>
                <w:rFonts w:ascii="Arial" w:cs="Arial" w:eastAsia="Arial" w:hAnsi="Arial"/>
                <w:sz w:val="16"/>
                <w:szCs w:val="16"/>
                <w:color w:val="auto"/>
              </w:rPr>
              <w:t>11,868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11,298</w:t>
            </w:r>
          </w:p>
        </w:tc>
      </w:tr>
      <w:tr>
        <w:trPr>
          <w:trHeight w:val="270"/>
        </w:trPr>
        <w:tc>
          <w:tcPr>
            <w:tcW w:w="4540" w:type="dxa"/>
            <w:vAlign w:val="bottom"/>
          </w:tcPr>
          <w:p>
            <w:pPr>
              <w:ind w:left="220"/>
              <w:spacing w:after="0"/>
              <w:rPr>
                <w:sz w:val="20"/>
                <w:szCs w:val="20"/>
                <w:color w:val="auto"/>
              </w:rPr>
            </w:pPr>
            <w:r>
              <w:rPr>
                <w:rFonts w:ascii="Arial" w:cs="Arial" w:eastAsia="Arial" w:hAnsi="Arial"/>
                <w:sz w:val="16"/>
                <w:szCs w:val="16"/>
                <w:color w:val="auto"/>
              </w:rPr>
              <w:t>Lodge revenues per available room</w:t>
            </w:r>
          </w:p>
        </w:tc>
        <w:tc>
          <w:tcPr>
            <w:tcW w:w="1080" w:type="dxa"/>
            <w:vAlign w:val="bottom"/>
          </w:tcPr>
          <w:p>
            <w:pPr>
              <w:jc w:val="right"/>
              <w:spacing w:after="0"/>
              <w:rPr>
                <w:sz w:val="20"/>
                <w:szCs w:val="20"/>
                <w:color w:val="auto"/>
              </w:rPr>
            </w:pPr>
            <w:r>
              <w:rPr>
                <w:rFonts w:ascii="Arial" w:cs="Arial" w:eastAsia="Arial" w:hAnsi="Arial"/>
                <w:sz w:val="16"/>
                <w:szCs w:val="16"/>
                <w:color w:val="auto"/>
              </w:rPr>
              <w:t>$115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$144</w:t>
            </w:r>
          </w:p>
        </w:tc>
      </w:tr>
      <w:tr>
        <w:trPr>
          <w:trHeight w:val="270"/>
        </w:trPr>
        <w:tc>
          <w:tcPr>
            <w:tcW w:w="4540" w:type="dxa"/>
            <w:vAlign w:val="bottom"/>
          </w:tcPr>
          <w:p>
            <w:pPr>
              <w:ind w:left="220"/>
              <w:spacing w:after="0"/>
              <w:rPr>
                <w:sz w:val="20"/>
                <w:szCs w:val="20"/>
                <w:color w:val="auto"/>
              </w:rPr>
            </w:pPr>
            <w:r>
              <w:rPr>
                <w:rFonts w:ascii="Arial" w:cs="Arial" w:eastAsia="Arial" w:hAnsi="Arial"/>
                <w:sz w:val="16"/>
                <w:szCs w:val="16"/>
                <w:color w:val="auto"/>
              </w:rPr>
              <w:t>Occupancy in lodges (1)</w:t>
            </w:r>
          </w:p>
        </w:tc>
        <w:tc>
          <w:tcPr>
            <w:tcW w:w="1080" w:type="dxa"/>
            <w:vAlign w:val="bottom"/>
          </w:tcPr>
          <w:p>
            <w:pPr>
              <w:jc w:val="right"/>
              <w:spacing w:after="0"/>
              <w:rPr>
                <w:sz w:val="20"/>
                <w:szCs w:val="20"/>
                <w:color w:val="auto"/>
              </w:rPr>
            </w:pPr>
            <w:r>
              <w:rPr>
                <w:rFonts w:ascii="Arial" w:cs="Arial" w:eastAsia="Arial" w:hAnsi="Arial"/>
                <w:sz w:val="16"/>
                <w:szCs w:val="16"/>
                <w:color w:val="auto"/>
              </w:rPr>
              <w:t>90%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92%</w:t>
            </w:r>
          </w:p>
        </w:tc>
      </w:tr>
      <w:tr>
        <w:trPr>
          <w:trHeight w:val="540"/>
        </w:trPr>
        <w:tc>
          <w:tcPr>
            <w:tcW w:w="454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 Segment</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540" w:type="dxa"/>
            <w:vAlign w:val="bottom"/>
          </w:tcPr>
          <w:p>
            <w:pPr>
              <w:ind w:left="220"/>
              <w:spacing w:after="0"/>
              <w:rPr>
                <w:sz w:val="20"/>
                <w:szCs w:val="20"/>
                <w:color w:val="auto"/>
              </w:rPr>
            </w:pPr>
            <w:r>
              <w:rPr>
                <w:rFonts w:ascii="Arial" w:cs="Arial" w:eastAsia="Arial" w:hAnsi="Arial"/>
                <w:sz w:val="16"/>
                <w:szCs w:val="16"/>
                <w:color w:val="auto"/>
              </w:rPr>
              <w:t>Village revenues ($ in thousands)</w:t>
            </w:r>
          </w:p>
        </w:tc>
        <w:tc>
          <w:tcPr>
            <w:tcW w:w="1080" w:type="dxa"/>
            <w:vAlign w:val="bottom"/>
          </w:tcPr>
          <w:p>
            <w:pPr>
              <w:jc w:val="right"/>
              <w:spacing w:after="0"/>
              <w:rPr>
                <w:sz w:val="20"/>
                <w:szCs w:val="20"/>
                <w:color w:val="auto"/>
              </w:rPr>
            </w:pPr>
            <w:r>
              <w:rPr>
                <w:rFonts w:ascii="Arial" w:cs="Arial" w:eastAsia="Arial" w:hAnsi="Arial"/>
                <w:sz w:val="16"/>
                <w:szCs w:val="16"/>
                <w:color w:val="auto"/>
              </w:rPr>
              <w:t>$55,464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$67,729</w:t>
            </w:r>
          </w:p>
        </w:tc>
      </w:tr>
      <w:tr>
        <w:trPr>
          <w:trHeight w:val="540"/>
        </w:trPr>
        <w:tc>
          <w:tcPr>
            <w:tcW w:w="4540" w:type="dxa"/>
            <w:vAlign w:val="bottom"/>
          </w:tcPr>
          <w:p>
            <w:pPr>
              <w:ind w:left="220"/>
              <w:spacing w:after="0"/>
              <w:rPr>
                <w:sz w:val="20"/>
                <w:szCs w:val="20"/>
                <w:color w:val="auto"/>
              </w:rPr>
            </w:pPr>
            <w:r>
              <w:rPr>
                <w:rFonts w:ascii="Arial" w:cs="Arial" w:eastAsia="Arial" w:hAnsi="Arial"/>
                <w:sz w:val="16"/>
                <w:szCs w:val="16"/>
                <w:color w:val="auto"/>
              </w:rPr>
              <w:t>Average available village rooms</w:t>
            </w:r>
          </w:p>
        </w:tc>
        <w:tc>
          <w:tcPr>
            <w:tcW w:w="1080" w:type="dxa"/>
            <w:vAlign w:val="bottom"/>
          </w:tcPr>
          <w:p>
            <w:pPr>
              <w:jc w:val="right"/>
              <w:spacing w:after="0"/>
              <w:rPr>
                <w:sz w:val="20"/>
                <w:szCs w:val="20"/>
                <w:color w:val="auto"/>
              </w:rPr>
            </w:pPr>
            <w:r>
              <w:rPr>
                <w:rFonts w:ascii="Arial" w:cs="Arial" w:eastAsia="Arial" w:hAnsi="Arial"/>
                <w:sz w:val="16"/>
                <w:szCs w:val="16"/>
                <w:color w:val="auto"/>
              </w:rPr>
              <w:t>9,262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8,711</w:t>
            </w:r>
          </w:p>
        </w:tc>
      </w:tr>
      <w:tr>
        <w:trPr>
          <w:trHeight w:val="270"/>
        </w:trPr>
        <w:tc>
          <w:tcPr>
            <w:tcW w:w="4540" w:type="dxa"/>
            <w:vAlign w:val="bottom"/>
          </w:tcPr>
          <w:p>
            <w:pPr>
              <w:ind w:left="220"/>
              <w:spacing w:after="0"/>
              <w:rPr>
                <w:sz w:val="20"/>
                <w:szCs w:val="20"/>
                <w:color w:val="auto"/>
              </w:rPr>
            </w:pPr>
            <w:r>
              <w:rPr>
                <w:rFonts w:ascii="Arial" w:cs="Arial" w:eastAsia="Arial" w:hAnsi="Arial"/>
                <w:sz w:val="16"/>
                <w:szCs w:val="16"/>
                <w:color w:val="auto"/>
              </w:rPr>
              <w:t>Village revenues per available room</w:t>
            </w:r>
          </w:p>
        </w:tc>
        <w:tc>
          <w:tcPr>
            <w:tcW w:w="1080" w:type="dxa"/>
            <w:vAlign w:val="bottom"/>
          </w:tcPr>
          <w:p>
            <w:pPr>
              <w:jc w:val="right"/>
              <w:spacing w:after="0"/>
              <w:rPr>
                <w:sz w:val="20"/>
                <w:szCs w:val="20"/>
                <w:color w:val="auto"/>
              </w:rPr>
            </w:pPr>
            <w:r>
              <w:rPr>
                <w:rFonts w:ascii="Arial" w:cs="Arial" w:eastAsia="Arial" w:hAnsi="Arial"/>
                <w:sz w:val="16"/>
                <w:szCs w:val="16"/>
                <w:color w:val="auto"/>
              </w:rPr>
              <w:t>$67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$86</w:t>
            </w:r>
          </w:p>
        </w:tc>
      </w:tr>
      <w:tr>
        <w:trPr>
          <w:trHeight w:val="270"/>
        </w:trPr>
        <w:tc>
          <w:tcPr>
            <w:tcW w:w="4540" w:type="dxa"/>
            <w:vAlign w:val="bottom"/>
          </w:tcPr>
          <w:p>
            <w:pPr>
              <w:ind w:left="220"/>
              <w:spacing w:after="0"/>
              <w:rPr>
                <w:sz w:val="20"/>
                <w:szCs w:val="20"/>
                <w:color w:val="auto"/>
              </w:rPr>
            </w:pPr>
            <w:r>
              <w:rPr>
                <w:rFonts w:ascii="Arial" w:cs="Arial" w:eastAsia="Arial" w:hAnsi="Arial"/>
                <w:sz w:val="16"/>
                <w:szCs w:val="16"/>
                <w:color w:val="auto"/>
              </w:rPr>
              <w:t>Occupancy in villages (1)</w:t>
            </w: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84%</w:t>
            </w:r>
          </w:p>
        </w:tc>
      </w:tr>
    </w:tbl>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(1) Occupancy represents total billed days divided by rentable days.  Rentable days excludes staff rooms and out of service rooms.</w:t>
      </w:r>
    </w:p>
    <w:p>
      <w:pPr>
        <w:spacing w:after="0" w:line="241" w:lineRule="exact"/>
        <w:rPr>
          <w:sz w:val="20"/>
          <w:szCs w:val="20"/>
          <w:color w:val="auto"/>
        </w:rPr>
      </w:pPr>
    </w:p>
    <w:p>
      <w:pPr>
        <w:ind w:firstLine="8"/>
        <w:spacing w:after="0" w:line="273" w:lineRule="auto"/>
        <w:tabs>
          <w:tab w:leader="none" w:pos="354"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term EBITDA consists of net income plus interest, taxes, depreciation and amortization. EBITDA is not a measure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may not be comparable to other similarly titled measures of other companies. The Company has included EBITDA as a supplemental disclosure because its management believes that EBITDA provides useful information regarding our ability to service debt and to fund capital expenditures and provides investors a helpful measure for comparing its operating performance with the performance of other companies that have different financing and capital structures or tax rates. The Company uses EBITDA to compare and to monitor the performance of its business segments to other comparable public companies and as a benchmark for the award of incentive compensation under its annual incentive compensation plan. The following table sets forth a reconciliation of EBITDA to net income, which is the most directly comparable measure of financial performance calculated under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040"/>
        <w:spacing w:after="0"/>
        <w:rPr>
          <w:sz w:val="20"/>
          <w:szCs w:val="20"/>
          <w:color w:val="auto"/>
        </w:rPr>
      </w:pPr>
      <w:r>
        <w:rPr>
          <w:rFonts w:ascii="Arial" w:cs="Arial" w:eastAsia="Arial" w:hAnsi="Arial"/>
          <w:sz w:val="16"/>
          <w:szCs w:val="16"/>
          <w:color w:val="auto"/>
        </w:rPr>
        <w:t>Civeo Corporation</w:t>
      </w:r>
    </w:p>
    <w:p>
      <w:pPr>
        <w:spacing w:after="0" w:line="86" w:lineRule="exact"/>
        <w:rPr>
          <w:sz w:val="20"/>
          <w:szCs w:val="20"/>
          <w:color w:val="auto"/>
        </w:rPr>
      </w:pPr>
    </w:p>
    <w:p>
      <w:pPr>
        <w:jc w:val="center"/>
        <w:ind w:right="6040"/>
        <w:spacing w:after="0"/>
        <w:rPr>
          <w:sz w:val="20"/>
          <w:szCs w:val="20"/>
          <w:color w:val="auto"/>
        </w:rPr>
      </w:pPr>
      <w:r>
        <w:rPr>
          <w:rFonts w:ascii="Arial" w:cs="Arial" w:eastAsia="Arial" w:hAnsi="Arial"/>
          <w:sz w:val="16"/>
          <w:szCs w:val="16"/>
          <w:color w:val="auto"/>
        </w:rPr>
        <w:t>Reconciliation of GAAP to Non-GAAP Financial Information</w:t>
      </w:r>
    </w:p>
    <w:p>
      <w:pPr>
        <w:spacing w:after="0" w:line="86" w:lineRule="exact"/>
        <w:rPr>
          <w:sz w:val="20"/>
          <w:szCs w:val="20"/>
          <w:color w:val="auto"/>
        </w:rPr>
      </w:pPr>
    </w:p>
    <w:p>
      <w:pPr>
        <w:jc w:val="center"/>
        <w:ind w:right="6040"/>
        <w:spacing w:after="0"/>
        <w:rPr>
          <w:sz w:val="20"/>
          <w:szCs w:val="20"/>
          <w:color w:val="auto"/>
        </w:rPr>
      </w:pPr>
      <w:r>
        <w:rPr>
          <w:rFonts w:ascii="Arial" w:cs="Arial" w:eastAsia="Arial" w:hAnsi="Arial"/>
          <w:sz w:val="16"/>
          <w:szCs w:val="16"/>
          <w:color w:val="auto"/>
        </w:rPr>
        <w:t>(in thousands)</w:t>
      </w:r>
    </w:p>
    <w:p>
      <w:pPr>
        <w:spacing w:after="0" w:line="86" w:lineRule="exact"/>
        <w:rPr>
          <w:sz w:val="20"/>
          <w:szCs w:val="20"/>
          <w:color w:val="auto"/>
        </w:rPr>
      </w:pPr>
    </w:p>
    <w:p>
      <w:pPr>
        <w:jc w:val="center"/>
        <w:ind w:right="6040"/>
        <w:spacing w:after="0"/>
        <w:rPr>
          <w:sz w:val="20"/>
          <w:szCs w:val="20"/>
          <w:color w:val="auto"/>
        </w:rPr>
      </w:pPr>
      <w:r>
        <w:rPr>
          <w:rFonts w:ascii="Arial" w:cs="Arial" w:eastAsia="Arial" w:hAnsi="Arial"/>
          <w:sz w:val="16"/>
          <w:szCs w:val="16"/>
          <w:color w:val="auto"/>
        </w:rPr>
        <w:t>(unaudited)</w:t>
      </w:r>
    </w:p>
    <w:p>
      <w:pPr>
        <w:spacing w:after="0" w:line="356" w:lineRule="exact"/>
        <w:rPr>
          <w:sz w:val="20"/>
          <w:szCs w:val="20"/>
          <w:color w:val="auto"/>
        </w:rPr>
      </w:pPr>
    </w:p>
    <w:p>
      <w:pPr>
        <w:ind w:left="3000"/>
        <w:spacing w:after="0"/>
        <w:rPr>
          <w:sz w:val="20"/>
          <w:szCs w:val="20"/>
          <w:color w:val="auto"/>
        </w:rPr>
      </w:pPr>
      <w:r>
        <w:rPr>
          <w:rFonts w:ascii="Arial" w:cs="Arial" w:eastAsia="Arial" w:hAnsi="Arial"/>
          <w:sz w:val="16"/>
          <w:szCs w:val="16"/>
          <w:u w:val="single" w:color="auto"/>
          <w:color w:val="auto"/>
        </w:rPr>
        <w:t>Three Months Ended March 31,</w:t>
      </w:r>
    </w:p>
    <w:p>
      <w:pPr>
        <w:spacing w:after="0" w:line="100" w:lineRule="exact"/>
        <w:rPr>
          <w:sz w:val="20"/>
          <w:szCs w:val="20"/>
          <w:color w:val="auto"/>
        </w:rPr>
      </w:pPr>
    </w:p>
    <w:p>
      <w:pPr>
        <w:ind w:left="3320"/>
        <w:spacing w:after="0"/>
        <w:tabs>
          <w:tab w:leader="none" w:pos="4480" w:val="left"/>
        </w:tabs>
        <w:rPr>
          <w:sz w:val="20"/>
          <w:szCs w:val="20"/>
          <w:color w:val="auto"/>
        </w:rPr>
      </w:pPr>
      <w:r>
        <w:rPr>
          <w:rFonts w:ascii="Arial" w:cs="Arial" w:eastAsia="Arial" w:hAnsi="Arial"/>
          <w:sz w:val="16"/>
          <w:szCs w:val="16"/>
          <w:color w:val="auto"/>
        </w:rPr>
        <w:t>2014</w:t>
      </w:r>
      <w:r>
        <w:rPr>
          <w:sz w:val="20"/>
          <w:szCs w:val="20"/>
          <w:color w:val="auto"/>
        </w:rPr>
        <w:tab/>
      </w:r>
      <w:r>
        <w:rPr>
          <w:rFonts w:ascii="Arial" w:cs="Arial" w:eastAsia="Arial" w:hAnsi="Arial"/>
          <w:sz w:val="16"/>
          <w:szCs w:val="16"/>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1905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00"/>
          </w:cols>
          <w:pgMar w:left="240" w:top="141" w:right="259" w:bottom="0" w:gutter="0" w:footer="0" w:header="0"/>
        </w:sectPr>
      </w:pPr>
    </w:p>
    <w:p>
      <w:pPr>
        <w:spacing w:after="0" w:line="370" w:lineRule="exact"/>
        <w:rPr>
          <w:sz w:val="20"/>
          <w:szCs w:val="20"/>
          <w:color w:val="auto"/>
        </w:rPr>
      </w:pPr>
    </w:p>
    <w:p>
      <w:pPr>
        <w:ind w:left="80"/>
        <w:spacing w:after="0" w:line="352" w:lineRule="auto"/>
        <w:rPr>
          <w:sz w:val="20"/>
          <w:szCs w:val="20"/>
          <w:color w:val="auto"/>
        </w:rPr>
      </w:pPr>
      <w:r>
        <w:rPr>
          <w:rFonts w:ascii="Arial" w:cs="Arial" w:eastAsia="Arial" w:hAnsi="Arial"/>
          <w:sz w:val="16"/>
          <w:szCs w:val="16"/>
          <w:color w:val="auto"/>
        </w:rPr>
        <w:t>Net income from continuing operations Income tax provision</w:t>
      </w:r>
    </w:p>
    <w:p>
      <w:pPr>
        <w:spacing w:after="0" w:line="1" w:lineRule="exact"/>
        <w:rPr>
          <w:sz w:val="20"/>
          <w:szCs w:val="20"/>
          <w:color w:val="auto"/>
        </w:rPr>
      </w:pPr>
    </w:p>
    <w:p>
      <w:pPr>
        <w:ind w:left="80" w:right="620"/>
        <w:spacing w:after="0" w:line="361" w:lineRule="auto"/>
        <w:rPr>
          <w:sz w:val="20"/>
          <w:szCs w:val="20"/>
          <w:color w:val="auto"/>
        </w:rPr>
      </w:pPr>
      <w:r>
        <w:rPr>
          <w:rFonts w:ascii="Arial" w:cs="Arial" w:eastAsia="Arial" w:hAnsi="Arial"/>
          <w:sz w:val="16"/>
          <w:szCs w:val="16"/>
          <w:color w:val="auto"/>
        </w:rPr>
        <w:t>Depreciation and amortization Interest income</w:t>
      </w:r>
    </w:p>
    <w:p>
      <w:pPr>
        <w:ind w:left="80"/>
        <w:spacing w:after="0"/>
        <w:rPr>
          <w:sz w:val="20"/>
          <w:szCs w:val="20"/>
          <w:color w:val="auto"/>
        </w:rPr>
      </w:pPr>
      <w:r>
        <w:rPr>
          <w:rFonts w:ascii="Arial" w:cs="Arial" w:eastAsia="Arial" w:hAnsi="Arial"/>
          <w:sz w:val="16"/>
          <w:szCs w:val="16"/>
          <w:color w:val="auto"/>
        </w:rPr>
        <w:t>Interest expense</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EBITDA</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$36,239</w:t>
      </w:r>
      <w:r>
        <w:rPr>
          <w:sz w:val="20"/>
          <w:szCs w:val="20"/>
          <w:color w:val="auto"/>
        </w:rPr>
        <w:tab/>
      </w:r>
      <w:r>
        <w:rPr>
          <w:rFonts w:ascii="Arial" w:cs="Arial" w:eastAsia="Arial" w:hAnsi="Arial"/>
          <w:sz w:val="16"/>
          <w:szCs w:val="16"/>
          <w:color w:val="auto"/>
        </w:rPr>
        <w:t>$63,812</w:t>
      </w:r>
    </w:p>
    <w:p>
      <w:pPr>
        <w:spacing w:after="0" w:line="86"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16"/>
          <w:szCs w:val="16"/>
          <w:color w:val="auto"/>
        </w:rPr>
        <w:t>12,311</w:t>
      </w:r>
      <w:r>
        <w:rPr>
          <w:sz w:val="20"/>
          <w:szCs w:val="20"/>
          <w:color w:val="auto"/>
        </w:rPr>
        <w:tab/>
      </w:r>
      <w:r>
        <w:rPr>
          <w:rFonts w:ascii="Arial" w:cs="Arial" w:eastAsia="Arial" w:hAnsi="Arial"/>
          <w:sz w:val="16"/>
          <w:szCs w:val="16"/>
          <w:color w:val="auto"/>
        </w:rPr>
        <w:t>20,572</w:t>
      </w:r>
    </w:p>
    <w:p>
      <w:pPr>
        <w:spacing w:after="0" w:line="86"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16"/>
          <w:szCs w:val="16"/>
          <w:color w:val="auto"/>
        </w:rPr>
        <w:t>39,599</w:t>
      </w:r>
      <w:r>
        <w:rPr>
          <w:sz w:val="20"/>
          <w:szCs w:val="20"/>
          <w:color w:val="auto"/>
        </w:rPr>
        <w:tab/>
      </w:r>
      <w:r>
        <w:rPr>
          <w:rFonts w:ascii="Arial" w:cs="Arial" w:eastAsia="Arial" w:hAnsi="Arial"/>
          <w:sz w:val="16"/>
          <w:szCs w:val="16"/>
          <w:color w:val="auto"/>
        </w:rPr>
        <w:t>41,088</w:t>
      </w:r>
    </w:p>
    <w:p>
      <w:pPr>
        <w:spacing w:after="0" w:line="86" w:lineRule="exact"/>
        <w:rPr>
          <w:sz w:val="20"/>
          <w:szCs w:val="20"/>
          <w:color w:val="auto"/>
        </w:rPr>
      </w:pPr>
    </w:p>
    <w:p>
      <w:pPr>
        <w:ind w:left="1480" w:hanging="1273"/>
        <w:spacing w:after="0"/>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(572)</w:t>
      </w:r>
    </w:p>
    <w:p>
      <w:pPr>
        <w:spacing w:after="0" w:line="8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5,1306,981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1905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0"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$92,340</w:t>
      </w:r>
      <w:r>
        <w:rPr>
          <w:sz w:val="20"/>
          <w:szCs w:val="20"/>
          <w:color w:val="auto"/>
        </w:rPr>
        <w:tab/>
      </w:r>
      <w:r>
        <w:rPr>
          <w:rFonts w:ascii="Arial" w:cs="Arial" w:eastAsia="Arial" w:hAnsi="Arial"/>
          <w:sz w:val="16"/>
          <w:szCs w:val="16"/>
          <w:color w:val="auto"/>
        </w:rPr>
        <w:t>$131,881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1905</wp:posOffset>
            </wp:positionV>
            <wp:extent cx="14490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26035"/>
                    </a:xfrm>
                    <a:prstGeom prst="rect">
                      <a:avLst/>
                    </a:prstGeom>
                    <a:noFill/>
                  </pic:spPr>
                </pic:pic>
              </a:graphicData>
            </a:graphic>
          </wp:anchor>
        </w:drawing>
      </w:r>
    </w:p>
    <w:p>
      <w:pPr>
        <w:sectPr>
          <w:pgSz w:w="11900" w:h="16838" w:orient="portrait"/>
          <w:cols w:equalWidth="0" w:num="2">
            <w:col w:w="2860" w:space="560"/>
            <w:col w:w="7980"/>
          </w:cols>
          <w:pgMar w:left="240" w:top="141" w:right="259" w:bottom="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CONTACT: Company Contact:</w:t>
      </w:r>
    </w:p>
    <w:p>
      <w:pPr>
        <w:ind w:left="960"/>
        <w:spacing w:after="0" w:line="238" w:lineRule="auto"/>
        <w:rPr>
          <w:sz w:val="20"/>
          <w:szCs w:val="20"/>
          <w:color w:val="auto"/>
        </w:rPr>
      </w:pPr>
      <w:r>
        <w:rPr>
          <w:rFonts w:ascii="Courier New" w:cs="Courier New" w:eastAsia="Courier New" w:hAnsi="Courier New"/>
          <w:sz w:val="18"/>
          <w:szCs w:val="18"/>
          <w:color w:val="auto"/>
        </w:rPr>
        <w:t>Frank C. Steininger</w:t>
      </w:r>
    </w:p>
    <w:p>
      <w:pPr>
        <w:ind w:left="960"/>
        <w:spacing w:after="0"/>
        <w:rPr>
          <w:sz w:val="20"/>
          <w:szCs w:val="20"/>
          <w:color w:val="auto"/>
        </w:rPr>
      </w:pPr>
      <w:r>
        <w:rPr>
          <w:rFonts w:ascii="Courier New" w:cs="Courier New" w:eastAsia="Courier New" w:hAnsi="Courier New"/>
          <w:sz w:val="18"/>
          <w:szCs w:val="18"/>
          <w:color w:val="auto"/>
        </w:rPr>
        <w:t>Civeo Corporation</w:t>
      </w:r>
    </w:p>
    <w:p>
      <w:pPr>
        <w:spacing w:after="0" w:line="3" w:lineRule="exact"/>
        <w:rPr>
          <w:sz w:val="20"/>
          <w:szCs w:val="20"/>
          <w:color w:val="auto"/>
        </w:rPr>
      </w:pPr>
    </w:p>
    <w:p>
      <w:pPr>
        <w:ind w:left="960" w:right="4099"/>
        <w:spacing w:after="0" w:line="235" w:lineRule="auto"/>
        <w:rPr>
          <w:sz w:val="20"/>
          <w:szCs w:val="20"/>
          <w:color w:val="auto"/>
        </w:rPr>
      </w:pPr>
      <w:r>
        <w:rPr>
          <w:rFonts w:ascii="Courier New" w:cs="Courier New" w:eastAsia="Courier New" w:hAnsi="Courier New"/>
          <w:sz w:val="18"/>
          <w:szCs w:val="18"/>
          <w:color w:val="auto"/>
        </w:rPr>
        <w:t>Senior Vice President and Chief Financial Officer 713-510-2400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4"/>
    </w:lvl>
  </w:abstractNum>
  <w:abstractNum w:abstractNumId="1">
    <w:nsid w:val="74B0DC51"/>
    <w:multiLevelType w:val="hybridMultilevel"/>
    <w:lvl w:ilvl="0">
      <w:lvlJc w:val="left"/>
      <w:lvlText w:val="(%1)"/>
      <w:numFmt w:val="upperLetter"/>
      <w:start w:val="1"/>
    </w:lvl>
  </w:abstractNum>
  <w:abstractNum w:abstractNumId="2">
    <w:nsid w:val="19495CFF"/>
    <w:multiLevelType w:val="hybridMultilevel"/>
    <w:lvl w:ilvl="0">
      <w:lvlJc w:val="left"/>
      <w:lvlText w:val="(%1)"/>
      <w:numFmt w:val="decimal"/>
      <w:start w:val="93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2019-12-08T08:59:06Z</dcterms:created>
  <dcterms:modified xsi:type="dcterms:W3CDTF">2019-12-08T08:59:06Z</dcterms:modified>
</cp:coreProperties>
</file>