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500" w:type="dxa"/>
            <w:vAlign w:val="bottom"/>
          </w:tcPr>
          <w:p>
            <w:pPr>
              <w:jc w:val="center"/>
              <w:ind w:right="27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75"/>
              <w:spacing w:after="0" w:line="137" w:lineRule="exact"/>
              <w:rPr>
                <w:sz w:val="20"/>
                <w:szCs w:val="20"/>
                <w:color w:val="auto"/>
              </w:rPr>
            </w:pPr>
            <w:r>
              <w:rPr>
                <w:rFonts w:ascii="Arial" w:cs="Arial" w:eastAsia="Arial" w:hAnsi="Arial"/>
                <w:sz w:val="13"/>
                <w:szCs w:val="13"/>
                <w:color w:val="auto"/>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5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5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00" w:type="dxa"/>
            <w:vAlign w:val="bottom"/>
            <w:vMerge w:val="restart"/>
          </w:tcPr>
          <w:p>
            <w:pPr>
              <w:jc w:val="center"/>
              <w:ind w:right="2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-635635</wp:posOffset>
            </wp:positionV>
            <wp:extent cx="58420" cy="6489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970"/>
                    </a:xfrm>
                    <a:prstGeom prst="rect">
                      <a:avLst/>
                    </a:prstGeom>
                    <a:noFill/>
                  </pic:spPr>
                </pic:pic>
              </a:graphicData>
            </a:graphic>
          </wp:anchor>
        </w:drawing>
        <w:drawing>
          <wp:anchor simplePos="0" relativeHeight="251657728" behindDoc="1" locked="0" layoutInCell="0" allowOverlap="1">
            <wp:simplePos x="0" y="0"/>
            <wp:positionH relativeFrom="column">
              <wp:posOffset>4108450</wp:posOffset>
            </wp:positionH>
            <wp:positionV relativeFrom="paragraph">
              <wp:posOffset>-635635</wp:posOffset>
            </wp:positionV>
            <wp:extent cx="58420" cy="648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97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4249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2494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00" w:space="420"/>
            <w:col w:w="880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Ridley Mike</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02/23/2016</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5" w:right="720" w:firstLine="5"/>
        <w:spacing w:after="0" w:line="242"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15" w:type="dxa"/>
        <w:tblCellMar>
          <w:top w:w="0" w:type="dxa"/>
          <w:left w:w="0" w:type="dxa"/>
          <w:bottom w:w="0" w:type="dxa"/>
          <w:right w:w="0" w:type="dxa"/>
        </w:tblCellMar>
      </w:tblPr>
      <w:tr>
        <w:trPr>
          <w:trHeight w:val="157"/>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95"/>
        <w:spacing w:after="0"/>
        <w:rPr>
          <w:sz w:val="20"/>
          <w:szCs w:val="20"/>
          <w:color w:val="auto"/>
        </w:rPr>
      </w:pPr>
      <w:r>
        <w:rPr>
          <w:rFonts w:ascii="Arial" w:cs="Arial" w:eastAsia="Arial" w:hAnsi="Arial"/>
          <w:sz w:val="17"/>
          <w:szCs w:val="17"/>
          <w:color w:val="0000FF"/>
        </w:rPr>
        <w:t>See Remarks</w:t>
      </w:r>
    </w:p>
    <w:p>
      <w:pPr>
        <w:spacing w:after="0" w:line="317" w:lineRule="exact"/>
        <w:rPr>
          <w:sz w:val="24"/>
          <w:szCs w:val="24"/>
          <w:color w:val="auto"/>
        </w:rPr>
      </w:pPr>
    </w:p>
    <w:p>
      <w:pPr>
        <w:sectPr>
          <w:pgSz w:w="11900" w:h="16838" w:orient="portrait"/>
          <w:cols w:equalWidth="0" w:num="3">
            <w:col w:w="3340" w:space="720"/>
            <w:col w:w="3265" w:space="720"/>
            <w:col w:w="3475"/>
          </w:cols>
          <w:pgMar w:left="240" w:top="223" w:right="13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5"/>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60" w:type="dxa"/>
            <w:vAlign w:val="bottom"/>
          </w:tcPr>
          <w:p>
            <w:pPr>
              <w:ind w:left="24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3"/>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0"/>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4"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8"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5" w:lineRule="exact"/>
        <w:rPr>
          <w:sz w:val="24"/>
          <w:szCs w:val="24"/>
          <w:color w:val="auto"/>
        </w:rPr>
      </w:pPr>
    </w:p>
    <w:p>
      <w:pPr>
        <w:sectPr>
          <w:pgSz w:w="11900" w:h="16838" w:orient="portrait"/>
          <w:cols w:equalWidth="0" w:num="2">
            <w:col w:w="3900" w:space="160"/>
            <w:col w:w="7460"/>
          </w:cols>
          <w:pgMar w:left="240" w:top="223"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tcPr>
          <w:p>
            <w:pPr>
              <w:ind w:left="8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20" w:type="dxa"/>
            <w:vAlign w:val="bottom"/>
          </w:tcPr>
          <w:p>
            <w:pPr>
              <w:ind w:left="8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20" w:type="dxa"/>
            <w:vAlign w:val="bottom"/>
          </w:tcPr>
          <w:p>
            <w:pPr>
              <w:ind w:left="880"/>
              <w:spacing w:after="0" w:line="131"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1000" w:type="dxa"/>
            <w:vAlign w:val="bottom"/>
          </w:tcPr>
          <w:p>
            <w:pPr>
              <w:spacing w:after="0"/>
              <w:rPr>
                <w:sz w:val="6"/>
                <w:szCs w:val="6"/>
                <w:color w:val="auto"/>
              </w:rPr>
            </w:pPr>
          </w:p>
        </w:tc>
        <w:tc>
          <w:tcPr>
            <w:tcW w:w="840" w:type="dxa"/>
            <w:vAlign w:val="bottom"/>
            <w:vMerge w:val="restart"/>
          </w:tcPr>
          <w:p>
            <w:pPr>
              <w:ind w:left="100"/>
              <w:spacing w:after="0" w:line="131"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1"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2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10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Acquired (A)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Disposed of</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 (Instr.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1"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1"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1"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700" w:type="dxa"/>
            <w:vAlign w:val="bottom"/>
          </w:tcPr>
          <w:p>
            <w:pPr>
              <w:ind w:left="60"/>
              <w:spacing w:after="0"/>
              <w:rPr>
                <w:sz w:val="20"/>
                <w:szCs w:val="20"/>
                <w:color w:val="auto"/>
              </w:rPr>
            </w:pPr>
            <w:r>
              <w:rPr>
                <w:rFonts w:ascii="Arial" w:cs="Arial" w:eastAsia="Arial" w:hAnsi="Arial"/>
                <w:sz w:val="13"/>
                <w:szCs w:val="13"/>
                <w:color w:val="0000FF"/>
              </w:rPr>
              <w:t>Phantom</w:t>
            </w:r>
          </w:p>
        </w:tc>
        <w:tc>
          <w:tcPr>
            <w:tcW w:w="780" w:type="dxa"/>
            <w:vAlign w:val="bottom"/>
          </w:tcPr>
          <w:p>
            <w:pPr>
              <w:ind w:left="340"/>
              <w:spacing w:after="0"/>
              <w:rPr>
                <w:sz w:val="20"/>
                <w:szCs w:val="20"/>
                <w:color w:val="auto"/>
              </w:rPr>
            </w:pPr>
            <w:r>
              <w:rPr>
                <w:rFonts w:ascii="Arial" w:cs="Arial" w:eastAsia="Arial" w:hAnsi="Arial"/>
                <w:sz w:val="11"/>
                <w:szCs w:val="11"/>
                <w:color w:val="008000"/>
              </w:rPr>
              <w:t>(1)</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02/23/2016</w:t>
            </w:r>
          </w:p>
        </w:tc>
        <w:tc>
          <w:tcPr>
            <w:tcW w:w="1120" w:type="dxa"/>
            <w:vAlign w:val="bottom"/>
          </w:tcPr>
          <w:p>
            <w:pPr>
              <w:spacing w:after="0"/>
              <w:rPr>
                <w:sz w:val="21"/>
                <w:szCs w:val="21"/>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A</w:t>
            </w:r>
          </w:p>
        </w:tc>
        <w:tc>
          <w:tcPr>
            <w:tcW w:w="760" w:type="dxa"/>
            <w:vAlign w:val="bottom"/>
          </w:tcPr>
          <w:p>
            <w:pPr>
              <w:ind w:left="80"/>
              <w:spacing w:after="0"/>
              <w:rPr>
                <w:sz w:val="20"/>
                <w:szCs w:val="20"/>
                <w:color w:val="auto"/>
              </w:rPr>
            </w:pPr>
            <w:r>
              <w:rPr>
                <w:rFonts w:ascii="Arial" w:cs="Arial" w:eastAsia="Arial" w:hAnsi="Arial"/>
                <w:sz w:val="13"/>
                <w:szCs w:val="13"/>
                <w:color w:val="0000FF"/>
              </w:rPr>
              <w:t>269,500</w:t>
            </w:r>
            <w:r>
              <w:rPr>
                <w:rFonts w:ascii="Arial" w:cs="Arial" w:eastAsia="Arial" w:hAnsi="Arial"/>
                <w:sz w:val="21"/>
                <w:szCs w:val="21"/>
                <w:color w:val="008000"/>
                <w:vertAlign w:val="superscript"/>
              </w:rPr>
              <w:t>(1)</w:t>
            </w:r>
          </w:p>
        </w:tc>
        <w:tc>
          <w:tcPr>
            <w:tcW w:w="240" w:type="dxa"/>
            <w:vAlign w:val="bottom"/>
          </w:tcPr>
          <w:p>
            <w:pPr>
              <w:spacing w:after="0"/>
              <w:rPr>
                <w:sz w:val="21"/>
                <w:szCs w:val="21"/>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720" w:type="dxa"/>
            <w:vAlign w:val="bottom"/>
          </w:tcPr>
          <w:p>
            <w:pPr>
              <w:jc w:val="right"/>
              <w:ind w:right="223"/>
              <w:spacing w:after="0"/>
              <w:rPr>
                <w:sz w:val="20"/>
                <w:szCs w:val="20"/>
                <w:color w:val="auto"/>
              </w:rPr>
            </w:pPr>
            <w:r>
              <w:rPr>
                <w:rFonts w:ascii="Arial" w:cs="Arial" w:eastAsia="Arial" w:hAnsi="Arial"/>
                <w:sz w:val="11"/>
                <w:szCs w:val="11"/>
                <w:color w:val="008000"/>
              </w:rPr>
              <w:t>(1)</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269,500</w:t>
            </w:r>
          </w:p>
        </w:tc>
        <w:tc>
          <w:tcPr>
            <w:tcW w:w="70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ind w:left="260"/>
              <w:spacing w:after="0"/>
              <w:rPr>
                <w:sz w:val="20"/>
                <w:szCs w:val="20"/>
                <w:color w:val="auto"/>
              </w:rPr>
            </w:pPr>
            <w:r>
              <w:rPr>
                <w:rFonts w:ascii="Arial" w:cs="Arial" w:eastAsia="Arial" w:hAnsi="Arial"/>
                <w:sz w:val="13"/>
                <w:szCs w:val="13"/>
                <w:color w:val="0000FF"/>
              </w:rPr>
              <w:t>269,500</w:t>
            </w:r>
          </w:p>
        </w:tc>
        <w:tc>
          <w:tcPr>
            <w:tcW w:w="74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Shares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Arial" w:cs="Arial" w:eastAsia="Arial" w:hAnsi="Arial"/>
                <w:sz w:val="13"/>
                <w:szCs w:val="13"/>
                <w:color w:val="0000FF"/>
              </w:rPr>
              <w:t>Shares</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64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Phantom share award under the 2014 Equity Participation Plan of Civeo Corporation that vests in equal installments on each of the first three anniversaries of February 23, 2016. Each phantom share is the economic equivalent of one Civeo Corporation common share and is payable in cash.</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Senior Vice President and President, North America</w:t>
      </w:r>
    </w:p>
    <w:p>
      <w:pPr>
        <w:spacing w:after="0" w:line="5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80" w:type="dxa"/>
            <w:vAlign w:val="bottom"/>
            <w:gridSpan w:val="3"/>
          </w:tcPr>
          <w:p>
            <w:pPr>
              <w:spacing w:after="0"/>
              <w:rPr>
                <w:sz w:val="20"/>
                <w:szCs w:val="20"/>
                <w:color w:val="auto"/>
              </w:rPr>
            </w:pPr>
            <w:r>
              <w:rPr>
                <w:rFonts w:ascii="Arial" w:cs="Arial" w:eastAsia="Arial" w:hAnsi="Arial"/>
                <w:sz w:val="17"/>
                <w:szCs w:val="17"/>
                <w:color w:val="0000FF"/>
                <w:w w:val="98"/>
              </w:rPr>
              <w:t>/s/ Mike Ridley, by Bradley J.</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02/25/2016</w:t>
            </w:r>
          </w:p>
        </w:tc>
        <w:tc>
          <w:tcPr>
            <w:tcW w:w="0" w:type="dxa"/>
            <w:vAlign w:val="bottom"/>
          </w:tcPr>
          <w:p>
            <w:pPr>
              <w:spacing w:after="0"/>
              <w:rPr>
                <w:sz w:val="1"/>
                <w:szCs w:val="1"/>
                <w:color w:val="auto"/>
              </w:rPr>
            </w:pPr>
          </w:p>
        </w:tc>
      </w:tr>
      <w:tr>
        <w:trPr>
          <w:trHeight w:val="85"/>
        </w:trPr>
        <w:tc>
          <w:tcPr>
            <w:tcW w:w="2040" w:type="dxa"/>
            <w:vAlign w:val="bottom"/>
            <w:tcBorders>
              <w:top w:val="single" w:sz="8" w:color="auto"/>
            </w:tcBorders>
            <w:gridSpan w:val="2"/>
            <w:vMerge w:val="restart"/>
          </w:tcPr>
          <w:p>
            <w:pPr>
              <w:spacing w:after="0" w:line="189" w:lineRule="exact"/>
              <w:rPr>
                <w:sz w:val="20"/>
                <w:szCs w:val="20"/>
                <w:color w:val="auto"/>
              </w:rPr>
            </w:pPr>
            <w:r>
              <w:rPr>
                <w:rFonts w:ascii="Arial" w:cs="Arial" w:eastAsia="Arial" w:hAnsi="Arial"/>
                <w:sz w:val="17"/>
                <w:szCs w:val="17"/>
                <w:color w:val="0000FF"/>
                <w:w w:val="95"/>
              </w:rPr>
              <w:t>Dodson, as Attorney-in-Fact</w:t>
            </w:r>
          </w:p>
        </w:tc>
        <w:tc>
          <w:tcPr>
            <w:tcW w:w="14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40" w:type="dxa"/>
            <w:vAlign w:val="bottom"/>
            <w:tcBorders>
              <w:top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19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240" w:type="dxa"/>
            <w:vAlign w:val="bottom"/>
            <w:gridSpan w:val="2"/>
          </w:tcPr>
          <w:p>
            <w:pPr>
              <w:spacing w:after="0"/>
              <w:rPr>
                <w:sz w:val="19"/>
                <w:szCs w:val="19"/>
                <w:color w:val="auto"/>
              </w:rPr>
            </w:pP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20" w:firstLine="4"/>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41390"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2019-12-08T23:48:06Z</dcterms:created>
  <dcterms:modified xsi:type="dcterms:W3CDTF">2019-12-08T23:48:06Z</dcterms:modified>
</cp:coreProperties>
</file>