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Civeo Corporation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Shares, no par value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17878Y207</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40" w:right="9120"/>
        <w:spacing w:after="0" w:line="268" w:lineRule="exact"/>
        <w:tabs>
          <w:tab w:leader="none" w:pos="872"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highlight w:val="black"/>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highlight w:val="black"/>
        </w:rPr>
      </w:pPr>
    </w:p>
    <w:p>
      <w:pPr>
        <w:ind w:left="880" w:hanging="440"/>
        <w:spacing w:after="0"/>
        <w:tabs>
          <w:tab w:leader="none" w:pos="8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Rule 13d-1(d)</w:t>
      </w:r>
    </w:p>
    <w:p>
      <w:pPr>
        <w:spacing w:after="0" w:line="196"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830,055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830,055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830,055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IA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color w:val="auto"/>
        </w:rPr>
        <w:t>CUSIP</w:t>
        <w:tab/>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-116840</wp:posOffset>
            </wp:positionV>
            <wp:extent cx="603885" cy="287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885" cy="287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830,055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830,055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name of the issuer is Civeo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Three Allen Center, 333 Clay St., Ste. 4980, Houston, TX, 77002.</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52" w:lineRule="exact"/>
        <w:rPr>
          <w:sz w:val="20"/>
          <w:szCs w:val="20"/>
          <w:color w:val="auto"/>
        </w:rPr>
      </w:pPr>
    </w:p>
    <w:p>
      <w:pPr>
        <w:ind w:left="1260" w:hanging="348"/>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Conversant Opportunity Master Fund LP, a Cayman Islands exempted limited partnership (“</w:t>
      </w:r>
      <w:r>
        <w:rPr>
          <w:rFonts w:ascii="Times New Roman" w:cs="Times New Roman" w:eastAsia="Times New Roman" w:hAnsi="Times New Roman"/>
          <w:sz w:val="18"/>
          <w:szCs w:val="18"/>
          <w:u w:val="single" w:color="auto"/>
          <w:color w:val="auto"/>
        </w:rPr>
        <w:t>Opportunity Master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right="760" w:hanging="348"/>
        <w:spacing w:after="0" w:line="282"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GP Holdings LLC, a Delaware limited liability company (“</w:t>
      </w:r>
      <w:r>
        <w:rPr>
          <w:rFonts w:ascii="Times New Roman" w:cs="Times New Roman" w:eastAsia="Times New Roman" w:hAnsi="Times New Roman"/>
          <w:sz w:val="18"/>
          <w:szCs w:val="18"/>
          <w:u w:val="single" w:color="auto"/>
          <w:color w:val="auto"/>
        </w:rPr>
        <w:t>Conversant GP</w:t>
      </w:r>
      <w:r>
        <w:rPr>
          <w:rFonts w:ascii="Times New Roman" w:cs="Times New Roman" w:eastAsia="Times New Roman" w:hAnsi="Times New Roman"/>
          <w:sz w:val="18"/>
          <w:szCs w:val="18"/>
          <w:color w:val="auto"/>
        </w:rPr>
        <w:t>”), which serves as the general partner of Opportunity Master;</w:t>
      </w:r>
    </w:p>
    <w:p>
      <w:pPr>
        <w:spacing w:after="0" w:line="161" w:lineRule="exact"/>
        <w:rPr>
          <w:rFonts w:ascii="Times New Roman" w:cs="Times New Roman" w:eastAsia="Times New Roman" w:hAnsi="Times New Roman"/>
          <w:sz w:val="18"/>
          <w:szCs w:val="18"/>
          <w:color w:val="auto"/>
        </w:rPr>
      </w:pPr>
    </w:p>
    <w:p>
      <w:pPr>
        <w:ind w:left="1260" w:right="520" w:hanging="348"/>
        <w:spacing w:after="0" w:line="282"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Capital LLC, a Delaware limited liability company (“</w:t>
      </w:r>
      <w:r>
        <w:rPr>
          <w:rFonts w:ascii="Times New Roman" w:cs="Times New Roman" w:eastAsia="Times New Roman" w:hAnsi="Times New Roman"/>
          <w:sz w:val="18"/>
          <w:szCs w:val="18"/>
          <w:u w:val="single" w:color="auto"/>
          <w:color w:val="auto"/>
        </w:rPr>
        <w:t>Conversant Capital</w:t>
      </w:r>
      <w:r>
        <w:rPr>
          <w:rFonts w:ascii="Times New Roman" w:cs="Times New Roman" w:eastAsia="Times New Roman" w:hAnsi="Times New Roman"/>
          <w:sz w:val="18"/>
          <w:szCs w:val="18"/>
          <w:color w:val="auto"/>
        </w:rPr>
        <w:t>”), which serves as the investment manager to Opportunity Master; and</w:t>
      </w:r>
    </w:p>
    <w:p>
      <w:pPr>
        <w:spacing w:after="0" w:line="161"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Simanovsky, an individual, who serves as sole managing member of Conversant GP and Conversant Capital.</w:t>
      </w:r>
    </w:p>
    <w:p>
      <w:pPr>
        <w:spacing w:after="0" w:line="225"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ind w:left="920" w:right="640"/>
        <w:spacing w:after="0" w:line="282" w:lineRule="auto"/>
        <w:rPr>
          <w:sz w:val="20"/>
          <w:szCs w:val="20"/>
          <w:color w:val="auto"/>
        </w:rPr>
      </w:pPr>
      <w:r>
        <w:rPr>
          <w:rFonts w:ascii="Times New Roman" w:cs="Times New Roman" w:eastAsia="Times New Roman" w:hAnsi="Times New Roman"/>
          <w:sz w:val="18"/>
          <w:szCs w:val="18"/>
          <w:color w:val="auto"/>
        </w:rPr>
        <w:t>The Reporting Persons are filing this statement jointly with respect to the same securities as contemplated by Rule 13d-1(k)(1), not as members of a group.</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25 Deforest Ave., Summit, NJ 07901.</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20" w:right="100"/>
        <w:spacing w:after="0" w:line="282" w:lineRule="auto"/>
        <w:rPr>
          <w:sz w:val="20"/>
          <w:szCs w:val="20"/>
          <w:color w:val="auto"/>
        </w:rPr>
      </w:pPr>
      <w:r>
        <w:rPr>
          <w:rFonts w:ascii="Times New Roman" w:cs="Times New Roman" w:eastAsia="Times New Roman" w:hAnsi="Times New Roman"/>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Common Shares, no par value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CUSIP number for the Common Shares is 17878Y207.</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7" w:name="page8"/>
    <w:bookmarkEnd w:id="7"/>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2023</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Conversant GP Holdings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120"/>
          </w:cols>
          <w:pgMar w:left="320" w:top="711"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in respect of the Common Shares of Civeo Corporation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February 10, 2023</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Conversant GP Holdings LLC</w:t>
            </w:r>
          </w:p>
        </w:tc>
      </w:tr>
      <w:tr>
        <w:trPr>
          <w:trHeight w:val="439"/>
        </w:trPr>
        <w:tc>
          <w:tcPr>
            <w:tcW w:w="56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Simanovsky</w:t>
            </w:r>
          </w:p>
        </w:tc>
      </w:tr>
      <w:tr>
        <w:trPr>
          <w:trHeight w:val="198"/>
        </w:trPr>
        <w:tc>
          <w:tcPr>
            <w:tcW w:w="560" w:type="dxa"/>
            <w:vAlign w:val="bottom"/>
          </w:tcPr>
          <w:p>
            <w:pPr>
              <w:spacing w:after="0"/>
              <w:rPr>
                <w:sz w:val="17"/>
                <w:szCs w:val="17"/>
                <w:color w:val="auto"/>
              </w:rPr>
            </w:pPr>
          </w:p>
        </w:tc>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Michael Simanovsky</w:t>
            </w:r>
          </w:p>
        </w:tc>
      </w:tr>
      <w:tr>
        <w:trPr>
          <w:trHeight w:val="234"/>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7" w:lineRule="exact"/>
        <w:rPr>
          <w:sz w:val="20"/>
          <w:szCs w:val="20"/>
          <w:color w:val="auto"/>
        </w:rPr>
      </w:pPr>
    </w:p>
    <w:tbl>
      <w:tblPr>
        <w:tblLayout w:type="fixed"/>
        <w:tblInd w:w="6200" w:type="dxa"/>
        <w:tblCellMar>
          <w:top w:w="0" w:type="dxa"/>
          <w:left w:w="0" w:type="dxa"/>
          <w:bottom w:w="0" w:type="dxa"/>
          <w:right w:w="0" w:type="dxa"/>
        </w:tblCellMar>
      </w:tblPr>
      <w:tr>
        <w:trPr>
          <w:trHeight w:val="205"/>
        </w:trPr>
        <w:tc>
          <w:tcPr>
            <w:tcW w:w="6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Michael Simanovsky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7" w:lineRule="exact"/>
        <w:rPr>
          <w:sz w:val="20"/>
          <w:szCs w:val="20"/>
          <w:color w:val="auto"/>
        </w:rPr>
      </w:pPr>
    </w:p>
    <w:tbl>
      <w:tblPr>
        <w:tblLayout w:type="fixed"/>
        <w:tblInd w:w="6200" w:type="dxa"/>
        <w:tblCellMar>
          <w:top w:w="0" w:type="dxa"/>
          <w:left w:w="0" w:type="dxa"/>
          <w:bottom w:w="0" w:type="dxa"/>
          <w:right w:w="0" w:type="dxa"/>
        </w:tblCellMar>
      </w:tblPr>
      <w:tr>
        <w:trPr>
          <w:trHeight w:val="205"/>
        </w:trPr>
        <w:tc>
          <w:tcPr>
            <w:tcW w:w="6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Michael Simanovsky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2023-02-13T07:39:28Z</dcterms:created>
  <dcterms:modified xsi:type="dcterms:W3CDTF">2023-02-13T07:39:28Z</dcterms:modified>
</cp:coreProperties>
</file>