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___)*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Civeo Corporation</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17878Y108</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2017</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860" w:right="7479" w:hanging="9"/>
        <w:spacing w:after="0" w:line="536" w:lineRule="auto"/>
        <w:tabs>
          <w:tab w:leader="none" w:pos="138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17878Y108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w:t>
      </w:r>
    </w:p>
    <w:p>
      <w:pPr>
        <w:spacing w:after="0" w:line="238" w:lineRule="auto"/>
        <w:rPr>
          <w:sz w:val="20"/>
          <w:szCs w:val="20"/>
          <w:color w:val="auto"/>
        </w:rPr>
      </w:pPr>
      <w:r>
        <w:rPr>
          <w:rFonts w:ascii="Courier New" w:cs="Courier New" w:eastAsia="Courier New" w:hAnsi="Courier New"/>
          <w:sz w:val="18"/>
          <w:szCs w:val="18"/>
          <w:color w:val="auto"/>
        </w:rPr>
        <w:t>Horizon Kinetics LLC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(see instructions)</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 Sec Use Only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w:t>
      </w:r>
    </w:p>
    <w:p>
      <w:pPr>
        <w:spacing w:after="0" w:line="238" w:lineRule="auto"/>
        <w:rPr>
          <w:sz w:val="20"/>
          <w:szCs w:val="20"/>
          <w:color w:val="auto"/>
        </w:rPr>
      </w:pPr>
      <w:r>
        <w:rPr>
          <w:rFonts w:ascii="Courier New" w:cs="Courier New" w:eastAsia="Courier New" w:hAnsi="Courier New"/>
          <w:sz w:val="18"/>
          <w:szCs w:val="18"/>
          <w:color w:val="auto"/>
        </w:rPr>
        <w:t>Owned by Each Reporting Person With:</w:t>
      </w:r>
    </w:p>
    <w:p>
      <w:pPr>
        <w:spacing w:after="0" w:line="202" w:lineRule="exact"/>
        <w:rPr>
          <w:sz w:val="24"/>
          <w:szCs w:val="24"/>
          <w:color w:val="auto"/>
        </w:rPr>
      </w:pPr>
    </w:p>
    <w:p>
      <w:pPr>
        <w:ind w:left="860"/>
        <w:spacing w:after="0"/>
        <w:tabs>
          <w:tab w:leader="none" w:pos="3140" w:val="left"/>
        </w:tabs>
        <w:rPr>
          <w:sz w:val="20"/>
          <w:szCs w:val="20"/>
          <w:color w:val="auto"/>
        </w:rPr>
      </w:pPr>
      <w:r>
        <w:rPr>
          <w:rFonts w:ascii="Courier New" w:cs="Courier New" w:eastAsia="Courier New" w:hAnsi="Courier New"/>
          <w:sz w:val="18"/>
          <w:szCs w:val="18"/>
          <w:color w:val="auto"/>
        </w:rPr>
        <w:t>5 Sole Voting Power:</w:t>
      </w:r>
      <w:r>
        <w:rPr>
          <w:sz w:val="20"/>
          <w:szCs w:val="20"/>
          <w:color w:val="auto"/>
        </w:rPr>
        <w:tab/>
      </w:r>
      <w:r>
        <w:rPr>
          <w:rFonts w:ascii="Courier New" w:cs="Courier New" w:eastAsia="Courier New" w:hAnsi="Courier New"/>
          <w:sz w:val="16"/>
          <w:szCs w:val="16"/>
          <w:color w:val="auto"/>
        </w:rPr>
        <w:t>23,547,058</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6 Shared Voting Power: 0</w:t>
      </w:r>
    </w:p>
    <w:p>
      <w:pPr>
        <w:spacing w:after="0" w:line="201" w:lineRule="exact"/>
        <w:rPr>
          <w:sz w:val="24"/>
          <w:szCs w:val="24"/>
          <w:color w:val="auto"/>
        </w:rPr>
      </w:pPr>
    </w:p>
    <w:p>
      <w:pPr>
        <w:ind w:left="860"/>
        <w:spacing w:after="0"/>
        <w:tabs>
          <w:tab w:leader="none" w:pos="3680" w:val="left"/>
        </w:tabs>
        <w:rPr>
          <w:sz w:val="20"/>
          <w:szCs w:val="20"/>
          <w:color w:val="auto"/>
        </w:rPr>
      </w:pPr>
      <w:r>
        <w:rPr>
          <w:rFonts w:ascii="Courier New" w:cs="Courier New" w:eastAsia="Courier New" w:hAnsi="Courier New"/>
          <w:sz w:val="18"/>
          <w:szCs w:val="18"/>
          <w:color w:val="auto"/>
        </w:rPr>
        <w:t>7 Sole Dispositive Power:</w:t>
      </w:r>
      <w:r>
        <w:rPr>
          <w:sz w:val="20"/>
          <w:szCs w:val="20"/>
          <w:color w:val="auto"/>
        </w:rPr>
        <w:tab/>
      </w:r>
      <w:r>
        <w:rPr>
          <w:rFonts w:ascii="Courier New" w:cs="Courier New" w:eastAsia="Courier New" w:hAnsi="Courier New"/>
          <w:sz w:val="16"/>
          <w:szCs w:val="16"/>
          <w:color w:val="auto"/>
        </w:rPr>
        <w:t>23,547,058</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8 Shared Dispositive Power: 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 Aggregate Amount Beneficially Owned by Each Reporting Person:</w:t>
      </w:r>
    </w:p>
    <w:p>
      <w:pPr>
        <w:ind w:left="320"/>
        <w:spacing w:after="0" w:line="238" w:lineRule="auto"/>
        <w:rPr>
          <w:sz w:val="20"/>
          <w:szCs w:val="20"/>
          <w:color w:val="auto"/>
        </w:rPr>
      </w:pPr>
      <w:r>
        <w:rPr>
          <w:rFonts w:ascii="Courier New" w:cs="Courier New" w:eastAsia="Courier New" w:hAnsi="Courier New"/>
          <w:sz w:val="18"/>
          <w:szCs w:val="18"/>
          <w:color w:val="auto"/>
        </w:rPr>
        <w:t>23,547,058</w:t>
      </w:r>
    </w:p>
    <w:p>
      <w:pPr>
        <w:spacing w:after="0" w:line="207" w:lineRule="exact"/>
        <w:rPr>
          <w:sz w:val="24"/>
          <w:szCs w:val="24"/>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 (See Instructions)[ ]</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 17.8%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 Type of Reporting Person (See Instructions): HC</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w:t>
      </w:r>
    </w:p>
    <w:p>
      <w:pPr>
        <w:spacing w:after="0" w:line="238" w:lineRule="auto"/>
        <w:rPr>
          <w:sz w:val="20"/>
          <w:szCs w:val="20"/>
          <w:color w:val="auto"/>
        </w:rPr>
      </w:pPr>
      <w:r>
        <w:rPr>
          <w:rFonts w:ascii="Courier New" w:cs="Courier New" w:eastAsia="Courier New" w:hAnsi="Courier New"/>
          <w:sz w:val="18"/>
          <w:szCs w:val="18"/>
          <w:color w:val="auto"/>
        </w:rPr>
        <w:t>Horizon Asset Management LLC</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2 Check the appropriate box if a member of a Group (see instructions)</w:t>
      </w:r>
    </w:p>
    <w:p>
      <w:pPr>
        <w:spacing w:after="0" w:line="201"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Sec Use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w:t>
      </w:r>
    </w:p>
    <w:p>
      <w:pPr>
        <w:spacing w:after="0" w:line="238" w:lineRule="auto"/>
        <w:rPr>
          <w:sz w:val="20"/>
          <w:szCs w:val="20"/>
          <w:color w:val="auto"/>
        </w:rPr>
      </w:pPr>
      <w:r>
        <w:rPr>
          <w:rFonts w:ascii="Courier New" w:cs="Courier New" w:eastAsia="Courier New" w:hAnsi="Courier New"/>
          <w:sz w:val="18"/>
          <w:szCs w:val="18"/>
          <w:color w:val="auto"/>
        </w:rPr>
        <w:t>Owned by Each Reporting Person With:</w:t>
      </w:r>
    </w:p>
    <w:p>
      <w:pPr>
        <w:spacing w:after="0" w:line="202" w:lineRule="exact"/>
        <w:rPr>
          <w:sz w:val="20"/>
          <w:szCs w:val="20"/>
          <w:color w:val="auto"/>
        </w:rPr>
      </w:pPr>
    </w:p>
    <w:p>
      <w:pPr>
        <w:ind w:left="860"/>
        <w:spacing w:after="0"/>
        <w:tabs>
          <w:tab w:leader="none" w:pos="3360" w:val="left"/>
        </w:tabs>
        <w:rPr>
          <w:sz w:val="20"/>
          <w:szCs w:val="20"/>
          <w:color w:val="auto"/>
        </w:rPr>
      </w:pPr>
      <w:r>
        <w:rPr>
          <w:rFonts w:ascii="Courier New" w:cs="Courier New" w:eastAsia="Courier New" w:hAnsi="Courier New"/>
          <w:sz w:val="18"/>
          <w:szCs w:val="18"/>
          <w:color w:val="auto"/>
        </w:rPr>
        <w:t>5 Sole Voting Power:</w:t>
      </w:r>
      <w:r>
        <w:rPr>
          <w:sz w:val="20"/>
          <w:szCs w:val="20"/>
          <w:color w:val="auto"/>
        </w:rPr>
        <w:tab/>
      </w:r>
      <w:r>
        <w:rPr>
          <w:rFonts w:ascii="Courier New" w:cs="Courier New" w:eastAsia="Courier New" w:hAnsi="Courier New"/>
          <w:sz w:val="16"/>
          <w:szCs w:val="16"/>
          <w:color w:val="auto"/>
        </w:rPr>
        <w:t>20,082,197</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6 Shared Voting Power: 0</w:t>
      </w:r>
    </w:p>
    <w:p>
      <w:pPr>
        <w:spacing w:after="0" w:line="201" w:lineRule="exact"/>
        <w:rPr>
          <w:sz w:val="20"/>
          <w:szCs w:val="20"/>
          <w:color w:val="auto"/>
        </w:rPr>
      </w:pPr>
    </w:p>
    <w:p>
      <w:pPr>
        <w:ind w:left="860"/>
        <w:spacing w:after="0"/>
        <w:tabs>
          <w:tab w:leader="none" w:pos="3880" w:val="left"/>
        </w:tabs>
        <w:rPr>
          <w:sz w:val="20"/>
          <w:szCs w:val="20"/>
          <w:color w:val="auto"/>
        </w:rPr>
      </w:pPr>
      <w:r>
        <w:rPr>
          <w:rFonts w:ascii="Courier New" w:cs="Courier New" w:eastAsia="Courier New" w:hAnsi="Courier New"/>
          <w:sz w:val="18"/>
          <w:szCs w:val="18"/>
          <w:color w:val="auto"/>
        </w:rPr>
        <w:t>7 Sole Dispositive Power:</w:t>
      </w:r>
      <w:r>
        <w:rPr>
          <w:sz w:val="20"/>
          <w:szCs w:val="20"/>
          <w:color w:val="auto"/>
        </w:rPr>
        <w:tab/>
      </w:r>
      <w:r>
        <w:rPr>
          <w:rFonts w:ascii="Courier New" w:cs="Courier New" w:eastAsia="Courier New" w:hAnsi="Courier New"/>
          <w:sz w:val="16"/>
          <w:szCs w:val="16"/>
          <w:color w:val="auto"/>
        </w:rPr>
        <w:t>20,082,197</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8 Shared Dispositive Power: 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Aggregate Amount Beneficially Owned by Each Reporting Person:</w:t>
      </w:r>
    </w:p>
    <w:p>
      <w:pPr>
        <w:ind w:left="320"/>
        <w:spacing w:after="0" w:line="238" w:lineRule="auto"/>
        <w:rPr>
          <w:sz w:val="20"/>
          <w:szCs w:val="20"/>
          <w:color w:val="auto"/>
        </w:rPr>
      </w:pPr>
      <w:r>
        <w:rPr>
          <w:rFonts w:ascii="Courier New" w:cs="Courier New" w:eastAsia="Courier New" w:hAnsi="Courier New"/>
          <w:sz w:val="18"/>
          <w:szCs w:val="18"/>
          <w:color w:val="auto"/>
        </w:rPr>
        <w:t>20,082,197</w:t>
      </w:r>
    </w:p>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 (See Instructions)[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 15.2%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 (See Instructions): 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860" w:hanging="852"/>
        <w:spacing w:after="0" w:line="238"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CIVEO CORPORATION</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ind w:left="860"/>
        <w:spacing w:after="0" w:line="238" w:lineRule="auto"/>
        <w:rPr>
          <w:sz w:val="20"/>
          <w:szCs w:val="20"/>
          <w:color w:val="auto"/>
        </w:rPr>
      </w:pPr>
      <w:r>
        <w:rPr>
          <w:rFonts w:ascii="Courier New" w:cs="Courier New" w:eastAsia="Courier New" w:hAnsi="Courier New"/>
          <w:sz w:val="18"/>
          <w:szCs w:val="18"/>
          <w:color w:val="auto"/>
        </w:rPr>
        <w:t>THREE ALLEN CENTER, 333 CLAY STREET, SUITE 4980, HOUSTON TEXAS 77002</w:t>
      </w:r>
    </w:p>
    <w:p>
      <w:pPr>
        <w:spacing w:after="0"/>
        <w:rPr>
          <w:sz w:val="20"/>
          <w:szCs w:val="20"/>
          <w:color w:val="auto"/>
        </w:rPr>
      </w:pPr>
      <w:r>
        <w:rPr>
          <w:rFonts w:ascii="Courier New" w:cs="Courier New" w:eastAsia="Courier New" w:hAnsi="Courier New"/>
          <w:sz w:val="18"/>
          <w:szCs w:val="18"/>
          <w:color w:val="auto"/>
        </w:rPr>
        <w:t>Item 2.</w:t>
      </w:r>
    </w:p>
    <w:p>
      <w:pPr>
        <w:spacing w:after="0" w:line="3" w:lineRule="exact"/>
        <w:rPr>
          <w:sz w:val="20"/>
          <w:szCs w:val="20"/>
          <w:color w:val="auto"/>
        </w:rPr>
      </w:pPr>
    </w:p>
    <w:p>
      <w:pPr>
        <w:ind w:left="860" w:right="6419" w:hanging="852"/>
        <w:spacing w:after="0" w:line="279" w:lineRule="auto"/>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Persons Filing: Horizon Kinetics LLC Horizon Asset Management LLC</w:t>
      </w:r>
    </w:p>
    <w:p>
      <w:pPr>
        <w:spacing w:after="0" w:line="178" w:lineRule="exact"/>
        <w:rPr>
          <w:rFonts w:ascii="Courier New" w:cs="Courier New" w:eastAsia="Courier New" w:hAnsi="Courier New"/>
          <w:sz w:val="16"/>
          <w:szCs w:val="16"/>
          <w:color w:val="auto"/>
        </w:rPr>
      </w:pPr>
    </w:p>
    <w:p>
      <w:pPr>
        <w:ind w:left="860" w:right="3039" w:hanging="852"/>
        <w:spacing w:after="0" w:line="290" w:lineRule="auto"/>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470 Park Avenue South, 4th Floor South, NY, NY, 10016</w:t>
      </w:r>
    </w:p>
    <w:p>
      <w:pPr>
        <w:spacing w:after="0" w:line="169" w:lineRule="exact"/>
        <w:rPr>
          <w:rFonts w:ascii="Courier New" w:cs="Courier New" w:eastAsia="Courier New" w:hAnsi="Courier New"/>
          <w:sz w:val="16"/>
          <w:szCs w:val="16"/>
          <w:color w:val="auto"/>
        </w:rPr>
      </w:pPr>
    </w:p>
    <w:p>
      <w:pPr>
        <w:ind w:left="860" w:right="8099" w:hanging="852"/>
        <w:spacing w:after="0" w:line="290" w:lineRule="auto"/>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Delaware</w:t>
      </w:r>
    </w:p>
    <w:p>
      <w:pPr>
        <w:spacing w:after="0" w:line="169" w:lineRule="exact"/>
        <w:rPr>
          <w:rFonts w:ascii="Courier New" w:cs="Courier New" w:eastAsia="Courier New" w:hAnsi="Courier New"/>
          <w:sz w:val="16"/>
          <w:szCs w:val="16"/>
          <w:color w:val="auto"/>
        </w:rPr>
      </w:pPr>
    </w:p>
    <w:p>
      <w:pPr>
        <w:ind w:left="860" w:right="619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and Class of Securities: common Stock</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No.:17878Y108</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right="293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Rule 13d-1(b)(1)(ii)(E).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23,547,058</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17.8%</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700" w:hanging="849"/>
        <w:spacing w:after="0" w:line="238" w:lineRule="auto"/>
        <w:tabs>
          <w:tab w:leader="none" w:pos="17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23,547,058</w:t>
      </w:r>
    </w:p>
    <w:p>
      <w:pPr>
        <w:ind w:left="1700" w:hanging="849"/>
        <w:spacing w:after="0" w:line="238" w:lineRule="auto"/>
        <w:tabs>
          <w:tab w:leader="none" w:pos="17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4" w:lineRule="exact"/>
        <w:rPr>
          <w:rFonts w:ascii="Courier New" w:cs="Courier New" w:eastAsia="Courier New" w:hAnsi="Courier New"/>
          <w:sz w:val="18"/>
          <w:szCs w:val="18"/>
          <w:color w:val="auto"/>
        </w:rPr>
      </w:pPr>
    </w:p>
    <w:p>
      <w:pPr>
        <w:ind w:left="1700" w:hanging="849"/>
        <w:spacing w:after="0"/>
        <w:tabs>
          <w:tab w:leader="none" w:pos="170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23,547,058</w:t>
      </w:r>
    </w:p>
    <w:p>
      <w:pPr>
        <w:spacing w:after="0" w:line="16" w:lineRule="exact"/>
        <w:rPr>
          <w:rFonts w:ascii="Courier New" w:cs="Courier New" w:eastAsia="Courier New" w:hAnsi="Courier New"/>
          <w:sz w:val="16"/>
          <w:szCs w:val="16"/>
          <w:color w:val="auto"/>
        </w:rPr>
      </w:pPr>
    </w:p>
    <w:p>
      <w:pPr>
        <w:ind w:left="1700" w:hanging="849"/>
        <w:spacing w:after="0" w:line="238" w:lineRule="auto"/>
        <w:tabs>
          <w:tab w:leader="none" w:pos="17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5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of Five Percent or Less of a Class.</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If this</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w:t>
            </w:r>
          </w:p>
        </w:tc>
        <w:tc>
          <w:tcPr>
            <w:tcW w:w="5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is being filed to report the fact that as of</w:t>
            </w:r>
          </w:p>
        </w:tc>
      </w:tr>
      <w:tr>
        <w:trPr>
          <w:trHeight w:val="203"/>
        </w:trPr>
        <w:tc>
          <w:tcPr>
            <w:tcW w:w="6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the date hereof the reporting person has ceased to be the</w:t>
            </w:r>
          </w:p>
        </w:tc>
      </w:tr>
      <w:tr>
        <w:trPr>
          <w:trHeight w:val="203"/>
        </w:trPr>
        <w:tc>
          <w:tcPr>
            <w:tcW w:w="6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beneficial owner of more than five percent of the class of</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securities, check</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following [</w:t>
            </w:r>
          </w:p>
        </w:tc>
        <w:tc>
          <w:tcPr>
            <w:tcW w:w="3160" w:type="dxa"/>
            <w:vAlign w:val="bottom"/>
          </w:tcPr>
          <w:p>
            <w:pPr>
              <w:jc w:val="right"/>
              <w:ind w:right="26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500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of more than Five Percent on Behalf of Another</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0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184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606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7"/>
              </w:rPr>
              <w:t>Identification and classification of the subsidiary which</w:t>
            </w:r>
          </w:p>
        </w:tc>
      </w:tr>
    </w:tbl>
    <w:p>
      <w:pPr>
        <w:sectPr>
          <w:pgSz w:w="11900" w:h="16838" w:orient="portrait"/>
          <w:cols w:equalWidth="0" w:num="1">
            <w:col w:w="10219"/>
          </w:cols>
          <w:pgMar w:left="240" w:top="339" w:right="1440" w:bottom="0" w:gutter="0" w:footer="0" w:header="0"/>
        </w:sectPr>
      </w:pPr>
    </w:p>
    <w:bookmarkStart w:id="2" w:name="page3"/>
    <w:bookmarkEnd w:id="2"/>
    <w:p>
      <w:pPr>
        <w:ind w:right="3779"/>
        <w:spacing w:after="0" w:line="235" w:lineRule="auto"/>
        <w:rPr>
          <w:sz w:val="20"/>
          <w:szCs w:val="20"/>
          <w:color w:val="auto"/>
        </w:rPr>
      </w:pPr>
      <w:r>
        <w:rPr>
          <w:rFonts w:ascii="Courier New" w:cs="Courier New" w:eastAsia="Courier New" w:hAnsi="Courier New"/>
          <w:sz w:val="18"/>
          <w:szCs w:val="18"/>
          <w:color w:val="auto"/>
        </w:rPr>
        <w:t>acquired the security being reported on by the parent holding company or control person.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October 10, 2017</w:t>
      </w:r>
    </w:p>
    <w:p>
      <w:pPr>
        <w:spacing w:after="0" w:line="238" w:lineRule="auto"/>
        <w:rPr>
          <w:sz w:val="20"/>
          <w:szCs w:val="20"/>
          <w:color w:val="auto"/>
        </w:rPr>
      </w:pPr>
      <w:r>
        <w:rPr>
          <w:rFonts w:ascii="Courier New" w:cs="Courier New" w:eastAsia="Courier New" w:hAnsi="Courier New"/>
          <w:sz w:val="18"/>
          <w:szCs w:val="18"/>
          <w:color w:val="auto"/>
        </w:rPr>
        <w:t>Signature: Jay Kesslen</w:t>
      </w:r>
    </w:p>
    <w:p>
      <w:pPr>
        <w:spacing w:after="0"/>
        <w:rPr>
          <w:sz w:val="20"/>
          <w:szCs w:val="20"/>
          <w:color w:val="auto"/>
        </w:rPr>
      </w:pPr>
      <w:r>
        <w:rPr>
          <w:rFonts w:ascii="Courier New" w:cs="Courier New" w:eastAsia="Courier New" w:hAnsi="Courier New"/>
          <w:sz w:val="18"/>
          <w:szCs w:val="18"/>
          <w:color w:val="auto"/>
        </w:rPr>
        <w:t>Jay Kesslen</w:t>
      </w:r>
    </w:p>
    <w:p>
      <w:pPr>
        <w:spacing w:after="0" w:line="237" w:lineRule="auto"/>
        <w:rPr>
          <w:sz w:val="20"/>
          <w:szCs w:val="20"/>
          <w:color w:val="auto"/>
        </w:rPr>
      </w:pPr>
      <w:r>
        <w:rPr>
          <w:rFonts w:ascii="Courier New" w:cs="Courier New" w:eastAsia="Courier New" w:hAnsi="Courier New"/>
          <w:sz w:val="18"/>
          <w:szCs w:val="18"/>
          <w:color w:val="auto"/>
        </w:rPr>
        <w:t>General Counsel</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instructions in Item 7 of Schedule 13G,</w:t>
      </w:r>
    </w:p>
    <w:p>
      <w:pPr>
        <w:spacing w:after="0" w:line="4" w:lineRule="exact"/>
        <w:rPr>
          <w:sz w:val="20"/>
          <w:szCs w:val="20"/>
          <w:color w:val="auto"/>
        </w:rPr>
      </w:pPr>
    </w:p>
    <w:p>
      <w:pPr>
        <w:jc w:val="both"/>
        <w:ind w:right="3039"/>
        <w:spacing w:after="0" w:line="236" w:lineRule="auto"/>
        <w:rPr>
          <w:sz w:val="20"/>
          <w:szCs w:val="20"/>
          <w:color w:val="auto"/>
        </w:rPr>
      </w:pPr>
      <w:r>
        <w:rPr>
          <w:rFonts w:ascii="Courier New" w:cs="Courier New" w:eastAsia="Courier New" w:hAnsi="Courier New"/>
          <w:sz w:val="18"/>
          <w:szCs w:val="18"/>
          <w:color w:val="auto"/>
        </w:rPr>
        <w:t>the following table lists the identity and Item 3 classification, if applicable, of each relevant entity that beneficially owns shares of the security class being reported on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 Item 3 Classification:</w:t>
      </w:r>
    </w:p>
    <w:p>
      <w:pPr>
        <w:spacing w:after="0" w:line="238" w:lineRule="auto"/>
        <w:rPr>
          <w:sz w:val="20"/>
          <w:szCs w:val="20"/>
          <w:color w:val="auto"/>
        </w:rPr>
      </w:pPr>
      <w:r>
        <w:rPr>
          <w:rFonts w:ascii="Courier New" w:cs="Courier New" w:eastAsia="Courier New" w:hAnsi="Courier New"/>
          <w:sz w:val="18"/>
          <w:szCs w:val="18"/>
          <w:color w:val="auto"/>
        </w:rPr>
        <w:t>Horizon Asset Management LLC*, IA</w:t>
      </w:r>
    </w:p>
    <w:p>
      <w:pPr>
        <w:spacing w:after="0"/>
        <w:rPr>
          <w:sz w:val="20"/>
          <w:szCs w:val="20"/>
          <w:color w:val="auto"/>
        </w:rPr>
      </w:pPr>
      <w:r>
        <w:rPr>
          <w:rFonts w:ascii="Courier New" w:cs="Courier New" w:eastAsia="Courier New" w:hAnsi="Courier New"/>
          <w:sz w:val="18"/>
          <w:szCs w:val="18"/>
          <w:color w:val="auto"/>
        </w:rPr>
        <w:t>Kinetics Asset Management LLC, IA</w:t>
      </w:r>
    </w:p>
    <w:p>
      <w:pPr>
        <w:spacing w:after="0" w:line="237" w:lineRule="auto"/>
        <w:rPr>
          <w:sz w:val="20"/>
          <w:szCs w:val="20"/>
          <w:color w:val="auto"/>
        </w:rPr>
      </w:pPr>
      <w:r>
        <w:rPr>
          <w:rFonts w:ascii="Courier New" w:cs="Courier New" w:eastAsia="Courier New" w:hAnsi="Courier New"/>
          <w:sz w:val="18"/>
          <w:szCs w:val="18"/>
          <w:color w:val="auto"/>
        </w:rPr>
        <w:t>Kinetics Advisers, LLC, IA</w:t>
      </w:r>
    </w:p>
    <w:p>
      <w:pPr>
        <w:spacing w:after="0" w:line="207" w:lineRule="exact"/>
        <w:rPr>
          <w:sz w:val="20"/>
          <w:szCs w:val="20"/>
          <w:color w:val="auto"/>
        </w:rPr>
      </w:pPr>
    </w:p>
    <w:p>
      <w:pPr>
        <w:ind w:right="4099"/>
        <w:spacing w:after="0" w:line="236"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This joint filing agreement dated October 10, 2017 is by and among Horizon Kinetics LLC, Horizon Asset Management, LLC, Kinetics Asset Management, LLC and Kinetics Advisers, LLC ("the Filing Persons").</w:t>
      </w:r>
    </w:p>
    <w:p>
      <w:pPr>
        <w:spacing w:after="0" w:line="207"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Each of the filing persons may be required to file with the United States Securities and Exchange Commission a statement on Schedule 13G with respect to the common stock beneficially owned by them from time to time.</w:t>
      </w:r>
    </w:p>
    <w:p>
      <w:pPr>
        <w:spacing w:after="0" w:line="207" w:lineRule="exact"/>
        <w:rPr>
          <w:sz w:val="20"/>
          <w:szCs w:val="20"/>
          <w:color w:val="auto"/>
        </w:rPr>
      </w:pPr>
    </w:p>
    <w:p>
      <w:pPr>
        <w:ind w:right="3359"/>
        <w:spacing w:after="0" w:line="268" w:lineRule="auto"/>
        <w:rPr>
          <w:sz w:val="20"/>
          <w:szCs w:val="20"/>
          <w:color w:val="auto"/>
        </w:rPr>
      </w:pPr>
      <w:r>
        <w:rPr>
          <w:rFonts w:ascii="Courier New" w:cs="Courier New" w:eastAsia="Courier New" w:hAnsi="Courier New"/>
          <w:sz w:val="16"/>
          <w:szCs w:val="16"/>
          <w:color w:val="auto"/>
        </w:rPr>
        <w:t>Pursuant to and in accordance with Rule 13d-1(k) promulgated under the Securities Exchange Act of 1934, as amended, the Filing Persons hereby agree to file a single statement on Schedule 13G</w:t>
      </w:r>
    </w:p>
    <w:p>
      <w:pPr>
        <w:spacing w:after="0" w:line="1" w:lineRule="exact"/>
        <w:rPr>
          <w:sz w:val="20"/>
          <w:szCs w:val="20"/>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and any amendments thereto on behalf of each such parties, and hereby further agree to file this Joint Filing Agreement as an exhibit to such statement, as required by such rule.</w:t>
      </w:r>
    </w:p>
    <w:p>
      <w:pPr>
        <w:spacing w:after="0" w:line="209"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This joint filing agreement may be terminated by any of filers upon one week's written notice or such lesser period of notice as the Filing Persons many mutually agree.</w:t>
      </w:r>
    </w:p>
    <w:p>
      <w:pPr>
        <w:spacing w:after="0" w:line="209"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Horizon Kinetics LLC, Horizon Asset Management,LLC, Kinetics Asset Management, LLC and Kinetics Advisers, LLC.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Jay Kesslen</w:t>
      </w:r>
    </w:p>
    <w:p>
      <w:pPr>
        <w:spacing w:after="0" w:line="238" w:lineRule="auto"/>
        <w:rPr>
          <w:sz w:val="20"/>
          <w:szCs w:val="20"/>
          <w:color w:val="auto"/>
        </w:rPr>
      </w:pPr>
      <w:r>
        <w:rPr>
          <w:rFonts w:ascii="Courier New" w:cs="Courier New" w:eastAsia="Courier New" w:hAnsi="Courier New"/>
          <w:sz w:val="18"/>
          <w:szCs w:val="18"/>
          <w:color w:val="auto"/>
        </w:rPr>
        <w:t>General Counsel of each.</w:t>
      </w:r>
    </w:p>
    <w:sectPr>
      <w:pgSz w:w="11900" w:h="16838" w:orient="portrait"/>
      <w:cols w:equalWidth="0" w:num="1">
        <w:col w:w="10219"/>
      </w:cols>
      <w:pgMar w:left="240" w:top="142" w:right="1440" w:bottom="33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5"/>
    </w:lvl>
  </w:abstractNum>
  <w:abstractNum w:abstractNumId="6">
    <w:nsid w:val="41B71EF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2019-12-21T03:34:24Z</dcterms:created>
  <dcterms:modified xsi:type="dcterms:W3CDTF">2019-12-21T03:34:24Z</dcterms:modified>
</cp:coreProperties>
</file>