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333-267148</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-1905</wp:posOffset>
            </wp:positionV>
            <wp:extent cx="2588895" cy="1337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13373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4"/>
          <w:szCs w:val="24"/>
          <w:color w:val="auto"/>
        </w:rPr>
      </w:pP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2,897,458 Common Shares</w:t>
      </w:r>
    </w:p>
    <w:p>
      <w:pPr>
        <w:spacing w:after="0" w:line="189" w:lineRule="exact"/>
        <w:rPr>
          <w:sz w:val="24"/>
          <w:szCs w:val="24"/>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This prospectus relates to up to (i) 2,522,705 common shares of Civeo Corporation issuable to the selling shareholders named herein (the “selling shareholders”) upon conversion of 9,042 shares of Class A Series 1 Preferred Shares of Civeo Corporation (the “Class A Series 1 Preferred Shares”) and</w:t>
      </w:r>
    </w:p>
    <w:p>
      <w:pPr>
        <w:ind w:right="280" w:firstLine="8"/>
        <w:spacing w:after="0" w:line="245"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374,753 common shares of Civeo Corporation held by the selling shareholders, in each case, that may be offered and sold from time to time in one or more offerings by the selling shareholders. For more information related to the selling shareholders, please read “Selling Shareholders.”</w:t>
      </w:r>
    </w:p>
    <w:p>
      <w:pPr>
        <w:spacing w:after="0" w:line="207" w:lineRule="exact"/>
        <w:rPr>
          <w:sz w:val="24"/>
          <w:szCs w:val="24"/>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selling shareholders may offer and sell these common shares to or through one or more underwriters, dealers or agents, or directly to investors or through any other means described in this prospectus under “Plan of Distribution,” in amounts, at prices and on terms to be determined by market conditions and other factors at the time of the offering. Each selling shareholder may elect to sell all, a portion or none of the common shares offered hereby.</w:t>
      </w:r>
    </w:p>
    <w:p>
      <w:pPr>
        <w:spacing w:after="0" w:line="218" w:lineRule="exact"/>
        <w:rPr>
          <w:sz w:val="24"/>
          <w:szCs w:val="24"/>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We do not know which method, in what amount, or at what time or times the selling shareholders may sell the common shares covered by this prospectus. We will not receive any proceeds from the sale of any common shares covered by this prospectus. We generally will bear the expenses and fees in connection with the registration of the common shares. The selling shareholders will bear all discounts and commissions and transfer taxes or stamp or other duties, if any, attributable to the sale of common shares.</w:t>
      </w:r>
    </w:p>
    <w:p>
      <w:pPr>
        <w:spacing w:after="0" w:line="2" w:lineRule="exact"/>
        <w:rPr>
          <w:sz w:val="24"/>
          <w:szCs w:val="24"/>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This prospectus contains a general description of the common shares. We may file one or more prospectus supplements that may describe the specific manner in which the selling shareholders will offer the common shares. You should read this prospectus and any prospectus supplement carefully before you invest. Our common shares are listed on the New York Stock Exchange (the “NYSE”) under the symbol “CVEO.” The last reported sale price of our common shares on September 6, 2022, as reported by the NYSE, was $27.38 per share.</w:t>
      </w:r>
    </w:p>
    <w:p>
      <w:pPr>
        <w:spacing w:after="0" w:line="181" w:lineRule="exact"/>
        <w:rPr>
          <w:sz w:val="24"/>
          <w:szCs w:val="24"/>
          <w:color w:val="auto"/>
        </w:rPr>
      </w:pPr>
    </w:p>
    <w:p>
      <w:pPr>
        <w:ind w:right="30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Please carefully review the information under the heading “Risk Factors” on page 1. In addition, risks associated with any investment in our securities may be described in the applicable prospectus supplement and certain of our filings with the Securities and Exchange Commission, as described in “Risk Factors” on page 1.</w:t>
      </w:r>
    </w:p>
    <w:p>
      <w:pPr>
        <w:spacing w:after="0" w:line="200" w:lineRule="exact"/>
        <w:rPr>
          <w:sz w:val="24"/>
          <w:szCs w:val="24"/>
          <w:color w:val="auto"/>
        </w:rPr>
      </w:pPr>
    </w:p>
    <w:p>
      <w:pPr>
        <w:spacing w:after="0" w:line="363" w:lineRule="exact"/>
        <w:rPr>
          <w:sz w:val="24"/>
          <w:szCs w:val="24"/>
          <w:color w:val="auto"/>
        </w:rPr>
      </w:pPr>
    </w:p>
    <w:p>
      <w:pPr>
        <w:ind w:right="160"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September 7, 2022</w:t>
      </w:r>
    </w:p>
    <w:p>
      <w:pPr>
        <w:sectPr>
          <w:pgSz w:w="11900" w:h="16838" w:orient="portrait"/>
          <w:cols w:equalWidth="0" w:num="1">
            <w:col w:w="11240"/>
          </w:cols>
          <w:pgMar w:left="320" w:top="1197" w:right="339" w:bottom="1440" w:gutter="0" w:footer="0" w:header="0"/>
        </w:sectPr>
      </w:pPr>
    </w:p>
    <w:bookmarkStart w:id="1" w:name="page2"/>
    <w:bookmarkEnd w:id="1"/>
    <w:tbl>
      <w:tblPr>
        <w:tblLayout w:type="fixed"/>
        <w:tblInd w:w="8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58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37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Page</w:t>
            </w:r>
          </w:p>
        </w:tc>
      </w:tr>
      <w:tr>
        <w:trPr>
          <w:trHeight w:val="30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About Civeo Corporation</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Forward-Looking Information</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rPr>
              <w:t>3</w:t>
            </w:r>
          </w:p>
        </w:tc>
      </w:tr>
      <w:tr>
        <w:trPr>
          <w:trHeight w:val="28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Selling Shareholders</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rPr>
              <w:t>8</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5860" w:type="dxa"/>
            <w:vAlign w:val="bottom"/>
            <w:gridSpan w:val="2"/>
          </w:tcPr>
          <w:p>
            <w:pPr>
              <w:jc w:val="center"/>
              <w:ind w:left="5110"/>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(the “SEC”) using a “shelf” registration process. Under this shelf registration process, the selling shareholders may, over time, offer and sell the common shares described in this prospectus in one or more offerings or resales. This prospectus provides a general description of the common shares. Each time the selling shareholders sell common shares, the selling shareholders may provide a prospectus supplement that will contain specific information about the terms of that offering. The prospectus supplement may also add to, update or change information contained in this prospectus and, accordingly, to the extent inconsistent, information in this prospectus will be superseded by the information in the prospectus supplement. You should read both this prospectus and any prospectus supplement together with additional information described under the heading “Where You Can Find More Information.”</w:t>
      </w:r>
    </w:p>
    <w:p>
      <w:pPr>
        <w:spacing w:after="0" w:line="15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18"/>
          <w:szCs w:val="18"/>
          <w:b w:val="1"/>
          <w:bCs w:val="1"/>
          <w:color w:val="auto"/>
        </w:rPr>
        <w:t>We and the selling shareholders have not authorized anyone to provide any information or to make any representations other than those contained in this prospectus or incorporated by reference in this prospectus. We and the selling shareholders take no responsibility for, and can provide no assurance as to the reliability of, any other information that others may give you. This prospectus may only be used where it is legal to sell the offered securities.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w:t>
      </w:r>
    </w:p>
    <w:p>
      <w:pPr>
        <w:spacing w:after="0" w:line="20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“Civeo,” the “Company,” “we,” “us,” “our” and similar terms refer to Civeo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1220"/>
          </w:cols>
          <w:pgMar w:left="320" w:top="1076"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CIVEO CORPORATION</w:t>
      </w:r>
    </w:p>
    <w:p>
      <w:pPr>
        <w:spacing w:after="0" w:line="175" w:lineRule="exact"/>
        <w:rPr>
          <w:sz w:val="20"/>
          <w:szCs w:val="20"/>
          <w:color w:val="auto"/>
        </w:rPr>
      </w:pPr>
    </w:p>
    <w:p>
      <w:pPr>
        <w:ind w:right="100" w:firstLine="648"/>
        <w:spacing w:after="0" w:line="229" w:lineRule="auto"/>
        <w:rPr>
          <w:sz w:val="20"/>
          <w:szCs w:val="20"/>
          <w:color w:val="auto"/>
        </w:rPr>
      </w:pPr>
      <w:r>
        <w:rPr>
          <w:rFonts w:ascii="Times New Roman" w:cs="Times New Roman" w:eastAsia="Times New Roman" w:hAnsi="Times New Roman"/>
          <w:sz w:val="17"/>
          <w:szCs w:val="17"/>
          <w:color w:val="auto"/>
        </w:rPr>
        <w:t>We provide hospitality services to the natural resources industry in Canada, Australia and the U.S. Our full suite of hospitality services for our guests includes lodging, catering and food service, housekeeping and maintenance at accommodation facilities that we or our customers own. In many cases, we provide services that support the day-to-day operations, such as laundry, facility management and maintenance, water and wastewater treatment,</w:t>
      </w:r>
    </w:p>
    <w:p>
      <w:pPr>
        <w:ind w:right="140"/>
        <w:spacing w:after="0" w:line="220" w:lineRule="auto"/>
        <w:rPr>
          <w:sz w:val="20"/>
          <w:szCs w:val="20"/>
          <w:color w:val="auto"/>
        </w:rPr>
      </w:pPr>
      <w:r>
        <w:rPr>
          <w:rFonts w:ascii="Times New Roman" w:cs="Times New Roman" w:eastAsia="Times New Roman" w:hAnsi="Times New Roman"/>
          <w:sz w:val="17"/>
          <w:szCs w:val="17"/>
          <w:color w:val="auto"/>
        </w:rPr>
        <w:t>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producing regions, and our customers include major and independent oil companies, mining companies, engineering companies and oilfield and mining service companies.</w:t>
      </w:r>
    </w:p>
    <w:p>
      <w:pPr>
        <w:spacing w:after="0" w:line="157"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Our executive offices are located at Three Allen Center, 333 Clay Street, Suite 4980, Houston, Texas 77002, and our telephone number is (713) 510-2400.</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5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If any of these risks were to occur, our business, financial condition, results of operations or cash flows could be adversely affected. You could lose all or part of your investment. When the selling shareholders sell any common shares pursuant to a prospectus supplement, we may include additional risk factors relevant to that offering in the prospectus supplement.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6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64"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supply and demand for oil, met coal, natural gas, iron ore and other minerals;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activity, spending and developments in the Canadian oil sands;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particularly from China, for met coal and other natural resources from and investments and opportunities in Australia;</w:t>
      </w:r>
    </w:p>
    <w:p>
      <w:pPr>
        <w:spacing w:after="0" w:line="198" w:lineRule="exact"/>
        <w:rPr>
          <w:rFonts w:ascii="Times New Roman" w:cs="Times New Roman" w:eastAsia="Times New Roman" w:hAnsi="Times New Roman"/>
          <w:sz w:val="18"/>
          <w:szCs w:val="18"/>
          <w:color w:val="auto"/>
        </w:rPr>
      </w:pPr>
    </w:p>
    <w:p>
      <w:pPr>
        <w:ind w:left="980" w:right="120" w:hanging="324"/>
        <w:spacing w:after="0" w:line="237"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oil and natural gas field assets, which may be affected by governmental actions or environmental activists which may restrict drilling;</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current and future prices of oil, met coal, natural gas, iron ore and other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1089" w:right="359" w:bottom="1440" w:gutter="0" w:footer="0" w:header="0"/>
        </w:sectPr>
      </w:pPr>
    </w:p>
    <w:bookmarkStart w:id="3" w:name="page4"/>
    <w:bookmarkEnd w:id="3"/>
    <w:p>
      <w:pPr>
        <w:ind w:left="980" w:right="260" w:hanging="324"/>
        <w:spacing w:after="0" w:line="263" w:lineRule="auto"/>
        <w:tabs>
          <w:tab w:leader="none" w:pos="9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52"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and the response thereto;</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conditions and the pace of global economic growth;</w:t>
      </w:r>
    </w:p>
    <w:p>
      <w:pPr>
        <w:spacing w:after="0" w:line="198" w:lineRule="exact"/>
        <w:rPr>
          <w:rFonts w:ascii="Times New Roman" w:cs="Times New Roman" w:eastAsia="Times New Roman" w:hAnsi="Times New Roman"/>
          <w:sz w:val="18"/>
          <w:szCs w:val="18"/>
          <w:color w:val="auto"/>
        </w:rPr>
      </w:pPr>
    </w:p>
    <w:p>
      <w:pPr>
        <w:ind w:left="980" w:right="120" w:hanging="324"/>
        <w:spacing w:after="0" w:line="237"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 and environmental regulations, including climate change;</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weather conditions, natural disasters, global health concerns and security threats;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skilled personnel;</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including the ability to access the debt and equity markets;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projects, including whether such projects will continue in the future;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identified under “Risk Factors” above.</w:t>
      </w:r>
    </w:p>
    <w:p>
      <w:pPr>
        <w:spacing w:after="0" w:line="21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35"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20" w:top="1080" w:right="35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ind w:right="40" w:firstLine="729"/>
        <w:spacing w:after="0" w:line="266" w:lineRule="auto"/>
        <w:rPr>
          <w:sz w:val="20"/>
          <w:szCs w:val="20"/>
          <w:color w:val="auto"/>
        </w:rPr>
      </w:pPr>
      <w:r>
        <w:rPr>
          <w:rFonts w:ascii="Times New Roman" w:cs="Times New Roman" w:eastAsia="Times New Roman" w:hAnsi="Times New Roman"/>
          <w:sz w:val="18"/>
          <w:szCs w:val="18"/>
          <w:color w:val="auto"/>
        </w:rPr>
        <w:t>The common shares to be offered and sold using this prospectus will be offered and sold by the selling shareholders. We will not receive any of the proceeds from the sale of the common shares by the selling shareholders.</w:t>
      </w:r>
    </w:p>
    <w:p>
      <w:pPr>
        <w:spacing w:after="0" w:line="189" w:lineRule="exact"/>
        <w:rPr>
          <w:sz w:val="20"/>
          <w:szCs w:val="20"/>
          <w:color w:val="auto"/>
        </w:rPr>
      </w:pPr>
    </w:p>
    <w:p>
      <w:pPr>
        <w:ind w:firstLine="729"/>
        <w:spacing w:after="0" w:line="282" w:lineRule="auto"/>
        <w:rPr>
          <w:sz w:val="20"/>
          <w:szCs w:val="20"/>
          <w:color w:val="auto"/>
        </w:rPr>
      </w:pPr>
      <w:r>
        <w:rPr>
          <w:rFonts w:ascii="Times New Roman" w:cs="Times New Roman" w:eastAsia="Times New Roman" w:hAnsi="Times New Roman"/>
          <w:sz w:val="18"/>
          <w:szCs w:val="18"/>
          <w:color w:val="auto"/>
        </w:rPr>
        <w:t>We have agreed to pay certain expenses of the selling shareholders in connection with the sale of the common shares offered by this prospectus. Please read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00"/>
          </w:cols>
          <w:pgMar w:left="320" w:top="1332" w:right="4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describes our common shares, preferred shares, notice of articles and amended and restated articles (“articles”). This description is a summary only. We encourage you to read the complete text of our notice of articles and articles, which we have filed as exhibits to the registration statement of which this prospectus is a part.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1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authorized shares consist of (i) 46,000,000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37"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rights and restrictions to which the common shares and Class A Series 1 Preferred Shares are subject are set out in our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1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 xml:space="preserve">Except as provided by law or pursuant to the rights that the directors may attach to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“BCA”).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Subject to prior rights and preferences that are applicable to the Class A Series 1 Preferred Shares and that may be applicable to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Sinking Fund, Redemption, Liquidation and Preemption Rights</w:t>
      </w:r>
    </w:p>
    <w:p>
      <w:pPr>
        <w:spacing w:after="0" w:line="216"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7"/>
          <w:szCs w:val="17"/>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95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02"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up to 50,000,000 Class A Series 1 Preferred Shares and Class B Series 1 Preferred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 A summary of the terms of the Class A Series 1 Preferred Shares is set forth below.</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11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preferred shares;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the series;</w:t>
      </w:r>
    </w:p>
    <w:p>
      <w:pPr>
        <w:spacing w:after="0" w:line="184" w:lineRule="exact"/>
        <w:rPr>
          <w:rFonts w:ascii="Times New Roman" w:cs="Times New Roman" w:eastAsia="Times New Roman" w:hAnsi="Times New Roman"/>
          <w:sz w:val="18"/>
          <w:szCs w:val="18"/>
          <w:color w:val="auto"/>
        </w:rPr>
      </w:pPr>
    </w:p>
    <w:p>
      <w:pPr>
        <w:ind w:left="980" w:right="660" w:hanging="324"/>
        <w:spacing w:after="0" w:line="237"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the method of calculating the dividend, the date from which dividends will accrue and whether dividends will be cumulative;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preference;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redeem or purchase the preferred shares;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preferred shares for other securities of us or any other entity;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and</w:t>
      </w:r>
    </w:p>
    <w:p>
      <w:pPr>
        <w:spacing w:after="0" w:line="184"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preferences and relative, participating, optional or other special rights or any qualifications, limitations or restrictions on the rights of the shares.</w:t>
      </w:r>
    </w:p>
    <w:p>
      <w:pPr>
        <w:spacing w:after="0" w:line="163"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Series 1 Preferred Shares</w:t>
      </w:r>
    </w:p>
    <w:p>
      <w:pPr>
        <w:spacing w:after="0" w:line="24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have outstanding 9,042 Class A Series 1 Preferred Shares that were issued in connection with our 2018 acquisition of Noralta Lodge Ltd. Except as provided by law, the Class A Series 1 Preferred Shares do not have voting rights. The Class A Series 1 Preferred Shares are entitled to receive a 2% annual dividend on the liquidation preference (initially $10,000 per share), paid quarterly in cash or, at our option, by increasing the Class A Series 1 Preferred Shares’ liquidation preference, or by any combination thereof.</w:t>
      </w:r>
    </w:p>
    <w:p>
      <w:pPr>
        <w:spacing w:after="0" w:line="21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The Class A Series 1 Preferred Shares are convertible into common shares at a conversion price of $39.60 per Class A Series 1 Preferred Share, subject to customary anti-dilution adjustments, including in the case of dividends or distributions to holders of the common shares (the “Conversion Price”). We have the right to elect to convert the Class A Series 1 Preferred Shares into common shares if the 15-day volume weighted average price of the common shares is equal to or exceeds the Conversion Price. Holders of the Class A Series 1 Preferred Shares have the right to convert the Class A Series 1 Preferred Shares into common shares at any time after two years from the date of issuance, and the Class A Series 1 Preferred Shares mandatorily convert after five years from the date of issuance.</w:t>
      </w:r>
    </w:p>
    <w:p>
      <w:pPr>
        <w:spacing w:after="0" w:line="222"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7"/>
          <w:szCs w:val="17"/>
          <w:color w:val="auto"/>
        </w:rPr>
        <w:t>The Class A Series 1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Class A Series 1 Preferred Share will, without the consent of the holders of the Class A Series 1 Preferred Shares,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180"/>
          </w:cols>
          <w:pgMar w:left="320" w:top="941" w:right="399" w:bottom="1440" w:gutter="0" w:footer="0" w:header="0"/>
        </w:sectPr>
      </w:pPr>
    </w:p>
    <w:bookmarkStart w:id="7" w:name="page8"/>
    <w:bookmarkEnd w:id="7"/>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We may, at any time and from time to time, redeem any or all of the Class A Series 1 Preferred Shares for cash at the liquidation preference, plus accrued and unpaid dividends. The Class A Series 1 Preferred Shares rank senior in all respects to the common shares with respect to dividend rights and rights upon the liquidation, dissolution or winding-up of Civeo up to the amount of the liquidation preference and accrued and unpaid dividends.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Articles and Articles</w:t>
      </w:r>
    </w:p>
    <w:p>
      <w:pPr>
        <w:spacing w:after="0" w:line="202"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6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things, our notice of articles and articles:</w:t>
      </w:r>
    </w:p>
    <w:p>
      <w:pPr>
        <w:spacing w:after="0" w:line="198" w:lineRule="exact"/>
        <w:rPr>
          <w:sz w:val="20"/>
          <w:szCs w:val="20"/>
          <w:color w:val="auto"/>
        </w:rPr>
      </w:pPr>
    </w:p>
    <w:p>
      <w:pPr>
        <w:ind w:left="980" w:right="80" w:hanging="324"/>
        <w:spacing w:after="0" w:line="23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158" w:lineRule="exact"/>
        <w:rPr>
          <w:rFonts w:ascii="Times New Roman" w:cs="Times New Roman" w:eastAsia="Times New Roman" w:hAnsi="Times New Roman"/>
          <w:sz w:val="18"/>
          <w:szCs w:val="18"/>
          <w:color w:val="auto"/>
        </w:rPr>
      </w:pPr>
    </w:p>
    <w:p>
      <w:pPr>
        <w:ind w:left="980" w:right="100" w:hanging="324"/>
        <w:spacing w:after="0" w:line="23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171" w:lineRule="exact"/>
        <w:rPr>
          <w:rFonts w:ascii="Times New Roman" w:cs="Times New Roman" w:eastAsia="Times New Roman" w:hAnsi="Times New Roman"/>
          <w:sz w:val="18"/>
          <w:szCs w:val="18"/>
          <w:color w:val="auto"/>
        </w:rPr>
      </w:pPr>
    </w:p>
    <w:p>
      <w:pPr>
        <w:ind w:left="980" w:right="60" w:hanging="324"/>
        <w:spacing w:after="0" w:line="21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173" w:lineRule="exact"/>
        <w:rPr>
          <w:rFonts w:ascii="Times New Roman" w:cs="Times New Roman" w:eastAsia="Times New Roman" w:hAnsi="Times New Roman"/>
          <w:sz w:val="18"/>
          <w:szCs w:val="18"/>
          <w:color w:val="auto"/>
        </w:rPr>
      </w:pPr>
    </w:p>
    <w:p>
      <w:pPr>
        <w:ind w:left="980" w:right="80" w:hanging="324"/>
        <w:spacing w:after="0" w:line="224"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only be set by the board of directors;</w:t>
      </w:r>
    </w:p>
    <w:p>
      <w:pPr>
        <w:spacing w:after="0" w:line="184" w:lineRule="exact"/>
        <w:rPr>
          <w:rFonts w:ascii="Times New Roman" w:cs="Times New Roman" w:eastAsia="Times New Roman" w:hAnsi="Times New Roman"/>
          <w:sz w:val="18"/>
          <w:szCs w:val="18"/>
          <w:color w:val="auto"/>
        </w:rPr>
      </w:pPr>
    </w:p>
    <w:p>
      <w:pPr>
        <w:ind w:left="980" w:right="44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49" w:lineRule="exact"/>
        <w:rPr>
          <w:rFonts w:ascii="Times New Roman" w:cs="Times New Roman" w:eastAsia="Times New Roman" w:hAnsi="Times New Roman"/>
          <w:sz w:val="18"/>
          <w:szCs w:val="18"/>
          <w:color w:val="auto"/>
        </w:rPr>
      </w:pPr>
    </w:p>
    <w:p>
      <w:pPr>
        <w:ind w:left="980" w:hanging="324"/>
        <w:spacing w:after="0" w:line="23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58" w:lineRule="exact"/>
        <w:rPr>
          <w:rFonts w:ascii="Times New Roman" w:cs="Times New Roman" w:eastAsia="Times New Roman" w:hAnsi="Times New Roman"/>
          <w:sz w:val="18"/>
          <w:szCs w:val="18"/>
          <w:color w:val="auto"/>
        </w:rPr>
      </w:pPr>
    </w:p>
    <w:p>
      <w:pPr>
        <w:jc w:val="both"/>
        <w:ind w:left="980" w:right="20" w:hanging="324"/>
        <w:spacing w:after="0" w:line="224"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158" w:lineRule="exact"/>
        <w:rPr>
          <w:rFonts w:ascii="Times New Roman" w:cs="Times New Roman" w:eastAsia="Times New Roman" w:hAnsi="Times New Roman"/>
          <w:sz w:val="18"/>
          <w:szCs w:val="18"/>
          <w:color w:val="auto"/>
        </w:rPr>
      </w:pPr>
    </w:p>
    <w:p>
      <w:pPr>
        <w:ind w:left="980" w:right="60" w:hanging="324"/>
        <w:spacing w:after="0" w:line="22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958" w:right="339" w:bottom="1440" w:gutter="0" w:footer="0" w:header="0"/>
        </w:sectPr>
      </w:pPr>
    </w:p>
    <w:bookmarkStart w:id="8" w:name="page9"/>
    <w:bookmarkEnd w:id="8"/>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216"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150" w:lineRule="exact"/>
        <w:rPr>
          <w:sz w:val="20"/>
          <w:szCs w:val="20"/>
          <w:color w:val="auto"/>
        </w:rPr>
      </w:pPr>
    </w:p>
    <w:p>
      <w:pPr>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49" w:lineRule="exact"/>
        <w:rPr>
          <w:rFonts w:ascii="Times New Roman" w:cs="Times New Roman" w:eastAsia="Times New Roman" w:hAnsi="Times New Roman"/>
          <w:sz w:val="18"/>
          <w:szCs w:val="18"/>
          <w:color w:val="auto"/>
        </w:rPr>
      </w:pPr>
    </w:p>
    <w:p>
      <w:pPr>
        <w:ind w:left="980" w:right="680" w:hanging="324"/>
        <w:spacing w:after="0" w:line="23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71" w:lineRule="exact"/>
        <w:rPr>
          <w:rFonts w:ascii="Times New Roman" w:cs="Times New Roman" w:eastAsia="Times New Roman" w:hAnsi="Times New Roman"/>
          <w:sz w:val="18"/>
          <w:szCs w:val="18"/>
          <w:color w:val="auto"/>
        </w:rPr>
      </w:pPr>
    </w:p>
    <w:p>
      <w:pPr>
        <w:ind w:left="980" w:right="60" w:hanging="324"/>
        <w:spacing w:after="0" w:line="224"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158" w:lineRule="exact"/>
        <w:rPr>
          <w:rFonts w:ascii="Times New Roman" w:cs="Times New Roman" w:eastAsia="Times New Roman" w:hAnsi="Times New Roman"/>
          <w:sz w:val="18"/>
          <w:szCs w:val="18"/>
          <w:color w:val="auto"/>
        </w:rPr>
      </w:pPr>
    </w:p>
    <w:p>
      <w:pPr>
        <w:ind w:left="980" w:right="460" w:hanging="324"/>
        <w:spacing w:after="0" w:line="23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8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6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shares is Computershare Investor Services,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“CVEO.”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20" w:top="958"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4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This prospectus relates to up to (i) 2,522,705 common shares issuable to the selling shareholders upon conversion of 9,042 shares of Class A Series 1 Preferred Shares, based on the liquidation preference of such Class A Series 1 Preferred Shares as of March 31, 2023 assuming all dividends thereon are paid in kind through an increase in the liquidation preference, and (ii) an additional 374,753 common shares held by the selling shareholders, in each case subject to any appropriate adjustment as a result of any share subdivision, split, combination or other reclassification of our common shares. The Class A Series 1 Preferred Shares and common shares were issued to the selling shareholders pursuant to a Share Purchase Agreement, dated November 26, 2017, as amended, by and between Civeo Corporation and Noralta Lodge Ltd., Torgerson Family Trust, 2073357 Alberta Ltd., 2073358 Alberta Ltd., 1818939 Alberta Ltd., 2040618 Alberta Ltd., 2040624 Alberta Ltd., 989677 Alberta Ltd. and Lance Torgerson (collectively, the “sellers”). All 374,753 common shares have been deposited into escrow with Alliance Trust Company under the terms of an escrow agreement to support the sellers’ indemnification obligations under the purchase agreement. We refer to these common shares as the “Escrow Shares.”</w:t>
      </w:r>
    </w:p>
    <w:p>
      <w:pPr>
        <w:spacing w:after="0" w:line="212"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information contained in the table below in respect of the selling shareholders (including the number of common shares beneficially owned and the number of common shares offered) has been obtained from the selling shareholders and has not been independently verified by us. We may supplement this prospectus from time to time in the future to update or change this list of selling shareholders and the number of common shares that may be offered and sold by them. The registration for resale of the common shares does not necessarily mean that the selling shareholders will sell all or any of these common shares. In addition, the selling shareholders may have sold, transferred or otherwise disposed of, or may sell, transfer or otherwise dispose of, at any time and from time to time, common shares in transactions exempt from the registration requirements of the Securities Act of 1933, as amended (the “Securities Act”), after the date on which they provided the information set forth in the table below.</w:t>
      </w:r>
    </w:p>
    <w:p>
      <w:pPr>
        <w:spacing w:after="0" w:line="22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The information set forth in the following table regarding the beneficial ownership after resale of the common shares is based upon the assumption that the selling shareholders will sell all of the common shares beneficially owned by them that are covered by this prospectus. The ownership percentage indicated in the following table is based on 13,713,259 outstanding common shares as of August 26, 2022. Except as indicated in the footnotes to the table below, to our knowledge, the selling shareholders have the sole voting and investment power with respect to all securities beneficially owned by them. Unless otherwise described below or in the documents incorporated by reference, to our knowledge, none of the selling shareholders has held any position or office or had any material relationship with Civeo during the three years prior to the date of this prospectus.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beneficially owned prior</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beneficially owned</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160" w:type="dxa"/>
            <w:vAlign w:val="bottom"/>
            <w:gridSpan w:val="3"/>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to the offering</w:t>
            </w: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after the offering</w:t>
            </w:r>
          </w:p>
        </w:tc>
        <w:tc>
          <w:tcPr>
            <w:tcW w:w="0" w:type="dxa"/>
            <w:vAlign w:val="bottom"/>
          </w:tcPr>
          <w:p>
            <w:pPr>
              <w:spacing w:after="0"/>
              <w:rPr>
                <w:sz w:val="1"/>
                <w:szCs w:val="1"/>
                <w:color w:val="auto"/>
              </w:rPr>
            </w:pPr>
          </w:p>
        </w:tc>
      </w:tr>
      <w:tr>
        <w:trPr>
          <w:trHeight w:val="27"/>
        </w:trPr>
        <w:tc>
          <w:tcPr>
            <w:tcW w:w="2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Common shares to</w:t>
            </w: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880" w:type="dxa"/>
            <w:vAlign w:val="bottom"/>
            <w:gridSpan w:val="2"/>
            <w:vMerge w:val="continue"/>
          </w:tcPr>
          <w:p>
            <w:pPr>
              <w:spacing w:after="0"/>
              <w:rPr>
                <w:sz w:val="15"/>
                <w:szCs w:val="15"/>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 w:type="dxa"/>
            <w:vAlign w:val="bottom"/>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38"/>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be offered</w:t>
            </w:r>
          </w:p>
        </w:tc>
        <w:tc>
          <w:tcPr>
            <w:tcW w:w="1580" w:type="dxa"/>
            <w:vAlign w:val="bottom"/>
            <w:gridSpan w:val="2"/>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Torgerson Family Trust (1)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2,737,354</w:t>
            </w:r>
          </w:p>
        </w:tc>
        <w:tc>
          <w:tcPr>
            <w:tcW w:w="21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16.9%</w:t>
            </w:r>
          </w:p>
        </w:tc>
        <w:tc>
          <w:tcPr>
            <w:tcW w:w="18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2,737,354</w:t>
            </w:r>
          </w:p>
        </w:tc>
        <w:tc>
          <w:tcPr>
            <w:tcW w:w="32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4"/>
        </w:trPr>
        <w:tc>
          <w:tcPr>
            <w:tcW w:w="2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989677 Alberta Ltd. (2)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160,104</w:t>
            </w:r>
          </w:p>
        </w:tc>
        <w:tc>
          <w:tcPr>
            <w:tcW w:w="21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160,104</w:t>
            </w:r>
          </w:p>
        </w:tc>
        <w:tc>
          <w:tcPr>
            <w:tcW w:w="32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14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99" w:lineRule="exact"/>
        <w:rPr>
          <w:sz w:val="20"/>
          <w:szCs w:val="20"/>
          <w:color w:val="auto"/>
        </w:rPr>
      </w:pPr>
    </w:p>
    <w:p>
      <w:pPr>
        <w:ind w:right="20" w:firstLine="8"/>
        <w:spacing w:after="0" w:line="24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2,522,705 common shares issuable upon conversion of 9,042 shares of Class A Series 1 Preferred Shares and 214,649 Escrow Shares. Torgerson Family Trust may be deemed to have shared power to vote or to direct the vote and shared power to dispose or to direct the disposition of an aggregate of 214,649 shares held directly by Torgerson Family Trust. As one of three co-trustees of Torgerson Family Trust, Lance Torgerson may be deemed to have shared power to vote or to direct the vote and shared power to dispose or to direct the disposition of an aggregate of 214,649 shares held by Torgerson Family Trust. As one of three co-trustees of Torgerson Family Trust, Tammy Torgerson may be deemed to have shared power to vote or to direct the vote and shared power to dispose or to direct the disposition of an aggregate of 214,649 shares held directly by Torgerson Family Trust. As one of three co-trustees of Torgerson Family Trust, Richard Torgerson may be deemed to have shared power to vote or to direct the vote and shared power to dispose or to direct the disposition of an aggregate of 214,649 shares held directly by Torgerson Family Trust. Richard Torgerson disclaims beneficial ownership, voting power, and power to dispose of the 214,649 shares held directly by Torgerson Family Trust. Ownership percentage assumes the conversion of all Class A Series 1 Preferred Shares.</w:t>
      </w:r>
    </w:p>
    <w:p>
      <w:pPr>
        <w:spacing w:after="0" w:line="203" w:lineRule="exact"/>
        <w:rPr>
          <w:rFonts w:ascii="Times New Roman" w:cs="Times New Roman" w:eastAsia="Times New Roman" w:hAnsi="Times New Roman"/>
          <w:sz w:val="18"/>
          <w:szCs w:val="18"/>
          <w:color w:val="auto"/>
        </w:rPr>
      </w:pPr>
    </w:p>
    <w:p>
      <w:pPr>
        <w:ind w:right="40" w:firstLine="8"/>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160,104 Escrow Shares. 989677 Alberta Ltd. may be deemed to have shared power to vote or to direct the vote and shared power to dispose or to direct the disposition of an aggregate of 160,104 shares held directly by 989677 Alberta Ltd. As direct owner of all of the voting shares of 989677 Alberta Ltd., Svenco Investments Ltd. may be deemed to have shared power to vote or to direct the vote and shared power to dispose or to direct the disposition of an aggregate 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089" w:right="339" w:bottom="1440" w:gutter="0" w:footer="0" w:header="0"/>
        </w:sectPr>
      </w:pPr>
    </w:p>
    <w:bookmarkStart w:id="10" w:name="page11"/>
    <w:bookmarkEnd w:id="10"/>
    <w:p>
      <w:pPr>
        <w:ind w:right="20"/>
        <w:spacing w:after="0" w:line="247" w:lineRule="auto"/>
        <w:rPr>
          <w:sz w:val="20"/>
          <w:szCs w:val="20"/>
          <w:color w:val="auto"/>
        </w:rPr>
      </w:pPr>
      <w:r>
        <w:rPr>
          <w:rFonts w:ascii="Times New Roman" w:cs="Times New Roman" w:eastAsia="Times New Roman" w:hAnsi="Times New Roman"/>
          <w:sz w:val="18"/>
          <w:szCs w:val="18"/>
          <w:color w:val="auto"/>
        </w:rPr>
        <w:t>160,104 shares held directly by 989677 Alberta Ltd. As sole director and indirect beneficial owner of all of the voting shares of 989677 Alberta Ltd., Lance Torgerson may be deemed to have shared power to vote or to direct the vote and shared power to dispose or to direct the disposition of an aggregate of 160,104 shares held directly by 989677 Alberta Ltd.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160,104 shares held directly by 989677 Alberta Ltd. Tammy Torgerson disclaims beneficial ownership, voting power, and power to dispose of the 160,104 shares held directly by 989677 Alberta Ltd. and indirectly by her spouse, Lance Torgerson.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41"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On April 2, 2018, in connection with our acquisition of Noralta Lodge Ltd. (the “Acquisition”), we entered into a registration rights agreement (the “Registration Rights Agreement”) with the selling shareholders, pursuant to which we agreed that, as soon as practicable following the date that is 18 months after the date of the Registration Rights Agreement, but in no event more than 30 days thereafter, we will use commercially reasonable efforts to prepare and file a shelf registration statement to register the common shares held by the selling shareholders upon the closing of the Acquisition (including any common shares held in escrow) and any common shares issued upon conversion of the Class A Series 1 Preferred Shares held by the selling shareholders upon the closing of the Acquisition (including any Class A Series 1 Preferred Shares held in escrow). We were obligated to cause such shelf registration statement to be declared effective by the SEC within 150 days after filing, and we satisfied this obligation.</w:t>
      </w:r>
    </w:p>
    <w:p>
      <w:pPr>
        <w:spacing w:after="0" w:line="222"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The selling shareholders are subject to customary standstill restrictions, including a restriction on the purchase of additional common shares, and a restriction on voting their common shares that limits the voting by such holders of common shares (including common shares held in escrow) in excess of 15% of the voting power of the outstanding common shares, which will be voted consistently with all other Civeo shareholders (other than the selling shareholders). In addition, the selling shareholders have agreed not to, directly or indirectly, (i) solicit shareholders for the approval of any shareholder proposals, (ii) propose or seek to effect a change of control of Civeo, (iii) engage in a proxy solicitation involving Civeo, or (iv) form, join or otherwise participate in a group or voting trust with respect to common shares (other than a group comprised solely of selling shareholders, their affiliates and permitted transferees) for the purpose of acquiring, holding, voting or disposing of common shares. The restrictions described in the preceding sentence shall not apply if Civeo has entered into a definitive agreement, the consummation of which would result in a change of control of Civeo, or any person has commenced a public tender or exchange offer which if consummated would result in a change of control of Civeo. The standstill and voting restrictions in the Registration Rights Agreement shall terminate at such time as the common shares owned by the selling shareholders in the aggregate no longer constitute at least five percent of the common shares then outstanding (calculated assuming conversion of all of the outstanding Class A Series 1 Preferred Shares) or upon specified bankruptcy or change of control events.</w:t>
      </w:r>
    </w:p>
    <w:p>
      <w:pPr>
        <w:spacing w:after="0" w:line="23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selling shareholders’ registration rights are subject to certain customary limitations, including our right to delay or withdraw a registration statement under certain circumstances. We generally will be required to bear the registration expenses, other than underwriting discounts and commissions and transfer taxes or stamp or other duties attributable to a selling shareholder’s sale or other disposition of the common shares. In addition, we will pay the reasonable fees and expenses of one legal counsel selected by the majority-in-interest of the selling shareholders participating in any public offering.</w:t>
      </w:r>
    </w:p>
    <w:p>
      <w:pPr>
        <w:spacing w:after="0" w:line="20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Each selling shareholder has agreed to not transfer any of its common shares or Class A Series 1 Preferred Shares for a period of 18 months after the date of the Registration Rights Agreement, subject to certain exceptions, including transfers to affiliates. After the 18-month restricted period, any selling shareholder will be permitted to transfer its common shares in any public offering or in a sale transaction pursuant to and in accordance with Rule 144 under the Securities Act so long as no such transfer, when taken together with any and all other transfers during the period of 90 consecutive days ending on the date of such transfer, involves a number of common shares in excess of 10 percent of the number of such selling shareholder’s common shares issued to such selling shareholder in connection with the Acquisition (calculated assuming conversion of such selling shareholder’s Class A Series 1 Preferred Shares, if any). The foregoing transfer restrictions will not apply to a transfer in a public offering pursuant to a piggyback registration statement. In addition, no selling shareholder may transfer any common shares or Class A Series 1 Preferred Shares to any competitor of Civeo or any person, whether individually or as part of a group, that would then have the right to vote more than ten percent of the common shares then outstanding, other than transfers in an underwritten public offering or in a market transaction pursuant to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093"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As of the date of this prospectus, we have not been advised by the selling shareholders as to any plan of distribution. The selling shareholders may choose to sell some, all or none of the common shares offered by this prospectus. To the extent required, this prospectus may be amended or supplemented from time to time to describe a particular plan of distribution.</w:t>
      </w:r>
    </w:p>
    <w:p>
      <w:pPr>
        <w:spacing w:after="0" w:line="171" w:lineRule="exact"/>
        <w:rPr>
          <w:sz w:val="20"/>
          <w:szCs w:val="20"/>
          <w:color w:val="auto"/>
        </w:rPr>
      </w:pPr>
    </w:p>
    <w:p>
      <w:pPr>
        <w:ind w:right="120" w:firstLine="648"/>
        <w:spacing w:after="0" w:line="216" w:lineRule="auto"/>
        <w:rPr>
          <w:sz w:val="20"/>
          <w:szCs w:val="20"/>
          <w:color w:val="auto"/>
        </w:rPr>
      </w:pPr>
      <w:r>
        <w:rPr>
          <w:rFonts w:ascii="Times New Roman" w:cs="Times New Roman" w:eastAsia="Times New Roman" w:hAnsi="Times New Roman"/>
          <w:sz w:val="18"/>
          <w:szCs w:val="18"/>
          <w:color w:val="auto"/>
        </w:rPr>
        <w:t>The common shares held by the selling shareholders, or by their partners, pledgees, donees (including charitable organizations), transferees or other successors in interest, may from time to time be offered for sale either directly by the selling shareholders or other persons, or through underwriters, dealers or agents or on any exchange on which the common shares may from time to time be traded, in the over-the-counter markets or in independently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negotiated transactions or otherwise. The methods by which the common shares may be sold include:</w:t>
      </w:r>
    </w:p>
    <w:p>
      <w:pPr>
        <w:spacing w:after="0" w:line="16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84" w:lineRule="exact"/>
        <w:rPr>
          <w:rFonts w:ascii="Times New Roman" w:cs="Times New Roman" w:eastAsia="Times New Roman" w:hAnsi="Times New Roman"/>
          <w:sz w:val="18"/>
          <w:szCs w:val="18"/>
          <w:color w:val="auto"/>
        </w:rPr>
      </w:pPr>
    </w:p>
    <w:p>
      <w:pPr>
        <w:ind w:left="980" w:right="40" w:hanging="324"/>
        <w:spacing w:after="0" w:line="23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same broker-dealer acts as agent on both sides) in which the broker or dealer so engaged will attempt to sell the common shares as agent or as riskless principal but may position and resell a portion of the block as principal to facilitate the transaction;</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resales by such broker or dealer for its own account pursuant to this prospectus;</w:t>
      </w:r>
    </w:p>
    <w:p>
      <w:pPr>
        <w:spacing w:after="0" w:line="198" w:lineRule="exact"/>
        <w:rPr>
          <w:rFonts w:ascii="Times New Roman" w:cs="Times New Roman" w:eastAsia="Times New Roman" w:hAnsi="Times New Roman"/>
          <w:sz w:val="18"/>
          <w:szCs w:val="18"/>
          <w:color w:val="auto"/>
        </w:rPr>
      </w:pPr>
    </w:p>
    <w:p>
      <w:pPr>
        <w:ind w:left="980" w:right="300" w:hanging="324"/>
        <w:spacing w:after="0" w:line="23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distributions and/or secondary distributions in accordance with the rules of the NYSE or any other applicable national securities exchange on which the common shares are listed;</w:t>
      </w:r>
    </w:p>
    <w:p>
      <w:pPr>
        <w:spacing w:after="0" w:line="158" w:lineRule="exact"/>
        <w:rPr>
          <w:rFonts w:ascii="Times New Roman" w:cs="Times New Roman" w:eastAsia="Times New Roman" w:hAnsi="Times New Roman"/>
          <w:sz w:val="18"/>
          <w:szCs w:val="18"/>
          <w:color w:val="auto"/>
        </w:rPr>
      </w:pPr>
    </w:p>
    <w:p>
      <w:pPr>
        <w:ind w:left="980" w:right="280" w:hanging="324"/>
        <w:spacing w:after="0" w:line="23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on any national securities exchange or quotation service on which the common shares may be listed or quoted at the time of the sale, including the NYSE, in the over-the-counter markets or through a market maker or into an existing trading market (on an exchange or otherwise) for the common shares;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underwritten transactions;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whether through a broker-dealer or otherwise;</w:t>
      </w:r>
    </w:p>
    <w:p>
      <w:pPr>
        <w:spacing w:after="0" w:line="184" w:lineRule="exact"/>
        <w:rPr>
          <w:rFonts w:ascii="Times New Roman" w:cs="Times New Roman" w:eastAsia="Times New Roman" w:hAnsi="Times New Roman"/>
          <w:sz w:val="18"/>
          <w:szCs w:val="18"/>
          <w:color w:val="auto"/>
        </w:rPr>
      </w:pPr>
    </w:p>
    <w:p>
      <w:pPr>
        <w:ind w:left="980" w:right="600" w:hanging="324"/>
        <w:spacing w:after="0" w:line="23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which broker-dealers may agree with the selling shareholders to sell a specified number of such common shares at a stipulated price per share;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84" w:lineRule="exact"/>
        <w:rPr>
          <w:rFonts w:ascii="Times New Roman" w:cs="Times New Roman" w:eastAsia="Times New Roman" w:hAnsi="Times New Roman"/>
          <w:sz w:val="18"/>
          <w:szCs w:val="18"/>
          <w:color w:val="auto"/>
        </w:rPr>
      </w:pPr>
    </w:p>
    <w:p>
      <w:pPr>
        <w:ind w:left="980" w:hanging="324"/>
        <w:spacing w:after="0" w:line="23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the common shares as security for any loan or obligation, including pledges to brokers or dealers who may from time to time effect sales or other distributions of the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shareholders may effect such transactions by selling the common shares to underwriters or to or through broker-dealers, and such</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underwriters or broker-dealers may receive compensation in the form of discounts or commissions from the selling shareholders and may receive commissions from the purchasers of the common shares for whom they may act as agents. Such transactions may be effected by the selling shareholders at fixed prices, which may be changed, market prices prevailing at the time of sale, varying prices determined at the time of sale or at negotiated prices. These</w:t>
      </w:r>
    </w:p>
    <w:p>
      <w:pPr>
        <w:spacing w:after="0" w:line="2" w:lineRule="exact"/>
        <w:rPr>
          <w:sz w:val="20"/>
          <w:szCs w:val="20"/>
          <w:color w:val="auto"/>
        </w:rPr>
      </w:pPr>
    </w:p>
    <w:p>
      <w:pPr>
        <w:jc w:val="both"/>
        <w:ind w:right="240"/>
        <w:spacing w:after="0" w:line="218" w:lineRule="auto"/>
        <w:rPr>
          <w:sz w:val="20"/>
          <w:szCs w:val="20"/>
          <w:color w:val="auto"/>
        </w:rPr>
      </w:pPr>
      <w:r>
        <w:rPr>
          <w:rFonts w:ascii="Times New Roman" w:cs="Times New Roman" w:eastAsia="Times New Roman" w:hAnsi="Times New Roman"/>
          <w:sz w:val="18"/>
          <w:szCs w:val="18"/>
          <w:color w:val="auto"/>
        </w:rPr>
        <w:t>prices will be determined by the selling shareholders or by agreement between the selling shareholders and any underwriters or broker-dealers who may receive fees or commissions in connection with the sale. The aggregate proceeds to the selling shareholders from the sale of the common shares offered hereby will be the purchase price of the common shares less discounts and commissions, if 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the selling shareholders utilize a dealer in the sale of the common shares, the selling shareholders will sell those common shares to the dealer, as</w:t>
      </w:r>
    </w:p>
    <w:p>
      <w:pPr>
        <w:spacing w:after="0" w:line="14"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principal. The dealer may then resell those common shares to the public at varying prices to be determined by the dealer at the time of resale. The dealers may also be the selling shareholders’ customers or may engage in transactions with, or perform services for, the selling shareholders in the ordinary course of business.</w:t>
      </w:r>
    </w:p>
    <w:p>
      <w:pPr>
        <w:spacing w:after="0" w:line="172" w:lineRule="exact"/>
        <w:rPr>
          <w:sz w:val="20"/>
          <w:szCs w:val="20"/>
          <w:color w:val="auto"/>
        </w:rPr>
      </w:pPr>
    </w:p>
    <w:p>
      <w:pPr>
        <w:jc w:val="both"/>
        <w:ind w:right="180" w:firstLine="648"/>
        <w:spacing w:after="0" w:line="216" w:lineRule="auto"/>
        <w:rPr>
          <w:sz w:val="20"/>
          <w:szCs w:val="20"/>
          <w:color w:val="auto"/>
        </w:rPr>
      </w:pPr>
      <w:r>
        <w:rPr>
          <w:rFonts w:ascii="Times New Roman" w:cs="Times New Roman" w:eastAsia="Times New Roman" w:hAnsi="Times New Roman"/>
          <w:sz w:val="18"/>
          <w:szCs w:val="18"/>
          <w:color w:val="auto"/>
        </w:rPr>
        <w:t>In addition, the selling shareholders may from time to time sell securities in compliance with Rule 144 under the Securities Act, if available, or pursuant to other available exemptions from the registration requirements under the Securities Act, rather than pursuant to this prospectus. In such event, the selling shareholders may be required by the securities laws of certain states to offer and sell the common shares only through registered or licensed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or dealers.</w:t>
      </w:r>
    </w:p>
    <w:p>
      <w:pPr>
        <w:sectPr>
          <w:pgSz w:w="11900" w:h="16838" w:orient="portrait"/>
          <w:cols w:equalWidth="0" w:num="1">
            <w:col w:w="11200"/>
          </w:cols>
          <w:pgMar w:left="320" w:top="133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00"/>
          </w:cols>
          <w:pgMar w:left="320" w:top="1332" w:right="379" w:bottom="1440" w:gutter="0" w:footer="0" w:header="0"/>
          <w:type w:val="continuous"/>
        </w:sectPr>
      </w:pPr>
    </w:p>
    <w:bookmarkStart w:id="12" w:name="page13"/>
    <w:bookmarkEnd w:id="12"/>
    <w:p>
      <w:pPr>
        <w:ind w:right="120" w:firstLine="648"/>
        <w:spacing w:after="0" w:line="222" w:lineRule="auto"/>
        <w:rPr>
          <w:sz w:val="20"/>
          <w:szCs w:val="20"/>
          <w:color w:val="auto"/>
        </w:rPr>
      </w:pPr>
      <w:r>
        <w:rPr>
          <w:rFonts w:ascii="Times New Roman" w:cs="Times New Roman" w:eastAsia="Times New Roman" w:hAnsi="Times New Roman"/>
          <w:sz w:val="18"/>
          <w:szCs w:val="18"/>
          <w:color w:val="auto"/>
        </w:rPr>
        <w:t>Under the Registration Rights Agreement, we have agreed to indemnify the selling shareholders against any losses, claims, damages or liabilities resulting from any untrue statement or omission of a material fact in any registration statement or prospectus pursuant to which they sell common shares,</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unless such liability arose from their misstatement or omission, and each of the selling shareholders, severally and individually, has agreed to indemnify us against any losses, claims, damages or liabilities caused by such selling shareholder’s misstatements or omissions in those documents. We and the selling shareholders may agree to indemnify underwriters, brokers, dealers and agents who participate in the distribution of the common shares included in this</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prospectus against certain liabilities to which they may become subject in connection with the sale of such common shares, including liabilities arising under the Securities Act.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shareholders and other persons participating in the sale or distribution of the common shares will be subject to applicable provisions of</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the Securities Exchange Act of 1934 (the “Exchange Act”), and the rules and regulations thereunder, including Regulation M. This regulation may limit the timing of purchases and sales of any of the common shares by the selling shareholders and any other person. The anti-manipulation rules under the Exchange Act may apply to sales of securities in the market and to the activities of the selling shareholders and their affiliates. Furthermore, Regulation M</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may restrict the ability of any person engaged in the distribution of the common shares to engage in market-making activities with respect to the particular securities being distributed for a period of up to five business days before the distribution. These restrictions may affect the marketability of the common shares and the ability of any person or entity to engage in market-making activities with respect to the common shares.</w:t>
      </w:r>
    </w:p>
    <w:p>
      <w:pPr>
        <w:spacing w:after="0" w:line="172"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7"/>
          <w:szCs w:val="17"/>
          <w:color w:val="auto"/>
        </w:rPr>
        <w:t>In connection with sales of the common shares under this prospectus, the selling shareholders may enter into hedging transactions with broker-dealers, who may in turn engage in short sales of the common shares in the course of hedging the positions they assume. The selling shareholders also may sell common shares short and deliver them to close out the short positions or loan or pledge the common shares to broker-dealers that in turn may sell them.</w:t>
      </w:r>
    </w:p>
    <w:p>
      <w:pPr>
        <w:spacing w:after="0" w:line="172"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From time to time, one or more of the selling shareholders may pledge, hypothecate or grant a security interest in some or all of the common shares owned by them. The pledgees, secured parties or persons to whom the common shares have been hypothecated will, upon foreclosure in the event of default, be deemed to be selling shareholders. The number of a selling shareholder’s common shares offered under this prospectus will decrease as and</w:t>
      </w:r>
    </w:p>
    <w:p>
      <w:pPr>
        <w:spacing w:after="0" w:line="1" w:lineRule="exact"/>
        <w:rPr>
          <w:sz w:val="20"/>
          <w:szCs w:val="20"/>
          <w:color w:val="auto"/>
        </w:rPr>
      </w:pPr>
    </w:p>
    <w:p>
      <w:pPr>
        <w:jc w:val="both"/>
        <w:ind w:right="260"/>
        <w:spacing w:after="0" w:line="218" w:lineRule="auto"/>
        <w:rPr>
          <w:sz w:val="20"/>
          <w:szCs w:val="20"/>
          <w:color w:val="auto"/>
        </w:rPr>
      </w:pPr>
      <w:r>
        <w:rPr>
          <w:rFonts w:ascii="Times New Roman" w:cs="Times New Roman" w:eastAsia="Times New Roman" w:hAnsi="Times New Roman"/>
          <w:sz w:val="18"/>
          <w:szCs w:val="18"/>
          <w:color w:val="auto"/>
        </w:rPr>
        <w:t>when it takes such actions. The plan of distribution for that selling shareholder’s common shares will otherwise remain unchanged. In addition, a selling shareholder may, from time to time, sell the common shares short, and, in those instances, this prospectus may be delivered in connection with the short sales and the common shares offered under this prospectus may be used to cover short sales.</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selling shareholders may sell the common shares they hold using a public auction process in which the public offering price and the allocation of the common shares will be determined through an auction conducted by an auction agent. The auction process may involve a modified “Dutch auction” mechanic in which the auction agent (and potentially other brokers) will receive and accept bids from bidders at either a minimum bid price or at price</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increments in excess of the minimum bid price. The auction agent and any such other brokers may be the underwriters of the offering or their affiliates. After the auction closes and those bids become irrevocable, the auction agent will determine the clearing price for the sale of the common shares offered in the auction, and subject to agreement between the selling shareholders and the underwriter or underwriters to proceed with the offering, the common shares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will be allocated to winning bidders by the underwriter or underwriters. If the selling shareholders use a public auction process to sell the common shares, a more detailed description of the procedures to be used in connection with any such auction will be set forth in a pricing supplement to this prospectus.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shareholders or their respective underwriters, broker-dealers, or agents may make sales of the common shares that are deemed to be an</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at-the-market offering as defined in Securities Act Rule 415, which includes sales of such selling shareholders made directly on or through the NYSE, the existing trading market for the common shares, or in the over-the-counter market or otherwise.</w:t>
      </w:r>
    </w:p>
    <w:p>
      <w:pPr>
        <w:spacing w:after="0" w:line="157" w:lineRule="exact"/>
        <w:rPr>
          <w:sz w:val="20"/>
          <w:szCs w:val="20"/>
          <w:color w:val="auto"/>
        </w:rPr>
      </w:pPr>
    </w:p>
    <w:p>
      <w:pPr>
        <w:ind w:right="120" w:firstLine="648"/>
        <w:spacing w:after="0" w:line="222" w:lineRule="auto"/>
        <w:rPr>
          <w:sz w:val="20"/>
          <w:szCs w:val="20"/>
          <w:color w:val="auto"/>
        </w:rPr>
      </w:pPr>
      <w:r>
        <w:rPr>
          <w:rFonts w:ascii="Times New Roman" w:cs="Times New Roman" w:eastAsia="Times New Roman" w:hAnsi="Times New Roman"/>
          <w:sz w:val="18"/>
          <w:szCs w:val="18"/>
          <w:color w:val="auto"/>
        </w:rPr>
        <w:t>The selling shareholders and any underwriters, broker-dealers or agents who participate in the distribution of the common shares may be deemed to be “underwriters” within the meaning of the Securities Act. To the extent any of the selling shareholders are broker-dealers, they are, according to SEC</w:t>
      </w:r>
    </w:p>
    <w:p>
      <w:pPr>
        <w:spacing w:after="0" w:line="2" w:lineRule="exact"/>
        <w:rPr>
          <w:sz w:val="20"/>
          <w:szCs w:val="20"/>
          <w:color w:val="auto"/>
        </w:rPr>
      </w:pPr>
    </w:p>
    <w:p>
      <w:pPr>
        <w:ind w:right="280"/>
        <w:spacing w:after="0" w:line="218" w:lineRule="auto"/>
        <w:rPr>
          <w:sz w:val="20"/>
          <w:szCs w:val="20"/>
          <w:color w:val="auto"/>
        </w:rPr>
      </w:pPr>
      <w:r>
        <w:rPr>
          <w:rFonts w:ascii="Times New Roman" w:cs="Times New Roman" w:eastAsia="Times New Roman" w:hAnsi="Times New Roman"/>
          <w:sz w:val="18"/>
          <w:szCs w:val="18"/>
          <w:color w:val="auto"/>
        </w:rPr>
        <w:t>interpretation, “underwriters” within the meaning of the Securities Act. Underwriters are subject to the prospectus delivery requirements under the Securities Act. If the selling shareholders are deemed to be underwriters, the selling shareholders may be subject to certain statutory liabilities under the Securities Act and the Exchange Act.</w:t>
      </w:r>
    </w:p>
    <w:p>
      <w:pPr>
        <w:spacing w:after="0" w:line="172" w:lineRule="exact"/>
        <w:rPr>
          <w:sz w:val="20"/>
          <w:szCs w:val="20"/>
          <w:color w:val="auto"/>
        </w:rPr>
      </w:pPr>
    </w:p>
    <w:p>
      <w:pPr>
        <w:jc w:val="both"/>
        <w:ind w:right="80" w:firstLine="648"/>
        <w:spacing w:after="0" w:line="229" w:lineRule="auto"/>
        <w:rPr>
          <w:sz w:val="20"/>
          <w:szCs w:val="20"/>
          <w:color w:val="auto"/>
        </w:rPr>
      </w:pPr>
      <w:r>
        <w:rPr>
          <w:rFonts w:ascii="Times New Roman" w:cs="Times New Roman" w:eastAsia="Times New Roman" w:hAnsi="Times New Roman"/>
          <w:sz w:val="17"/>
          <w:szCs w:val="17"/>
          <w:color w:val="auto"/>
        </w:rPr>
        <w:t>To the extent required, the names of the specific managing underwriter or underwriters, if any, as well as other important information, will be set forth in one or more prospectus supplements. In that event, the discounts and commissions the selling shareholders will allow or pay to the underwriters, if any, and the discounts and commissions the underwriters may allow or pay to dealers or agents, if any, will be set forth in, or may be calculated from, the</w:t>
      </w:r>
    </w:p>
    <w:p>
      <w:pPr>
        <w:ind w:right="160"/>
        <w:spacing w:after="0" w:line="226" w:lineRule="auto"/>
        <w:rPr>
          <w:sz w:val="20"/>
          <w:szCs w:val="20"/>
          <w:color w:val="auto"/>
        </w:rPr>
      </w:pPr>
      <w:r>
        <w:rPr>
          <w:rFonts w:ascii="Times New Roman" w:cs="Times New Roman" w:eastAsia="Times New Roman" w:hAnsi="Times New Roman"/>
          <w:sz w:val="18"/>
          <w:szCs w:val="18"/>
          <w:color w:val="auto"/>
        </w:rPr>
        <w:t>prospectus supplements. Any underwriters, brokers, dealers and agents who participate in any sale of the common shares may also engage in transactions with, or perform services for, us or our affiliates in the ordinary course of their businesses.</w:t>
      </w:r>
    </w:p>
    <w:p>
      <w:pPr>
        <w:spacing w:after="0" w:line="157" w:lineRule="exact"/>
        <w:rPr>
          <w:sz w:val="20"/>
          <w:szCs w:val="20"/>
          <w:color w:val="auto"/>
        </w:rPr>
      </w:pPr>
    </w:p>
    <w:p>
      <w:pPr>
        <w:jc w:val="both"/>
        <w:ind w:right="200" w:firstLine="648"/>
        <w:spacing w:after="0" w:line="279"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The place and time of delivery for the common shares in respect of which this prospectus is delivered will be set forth in the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20"/>
          </w:cols>
          <w:pgMar w:left="320" w:top="1080" w:right="359" w:bottom="1440" w:gutter="0" w:footer="0" w:header="0"/>
        </w:sectPr>
      </w:pPr>
    </w:p>
    <w:bookmarkStart w:id="13" w:name="page14"/>
    <w:bookmarkEnd w:id="13"/>
    <w:p>
      <w:pPr>
        <w:ind w:right="200" w:firstLine="648"/>
        <w:spacing w:after="0" w:line="236" w:lineRule="auto"/>
        <w:rPr>
          <w:sz w:val="20"/>
          <w:szCs w:val="20"/>
          <w:color w:val="auto"/>
        </w:rPr>
      </w:pPr>
      <w:r>
        <w:rPr>
          <w:rFonts w:ascii="Times New Roman" w:cs="Times New Roman" w:eastAsia="Times New Roman" w:hAnsi="Times New Roman"/>
          <w:sz w:val="17"/>
          <w:szCs w:val="17"/>
          <w:color w:val="auto"/>
        </w:rPr>
        <w:t>In connection with offerings under this shelf registration statement and in compliance with applicable law, underwriters, brokers or dealers may engage in transactions that stabilize or maintain the market price of the common shares at levels above those that might otherwise prevail in the open</w:t>
      </w:r>
    </w:p>
    <w:p>
      <w:pPr>
        <w:ind w:right="160"/>
        <w:spacing w:after="0" w:line="220" w:lineRule="auto"/>
        <w:rPr>
          <w:sz w:val="20"/>
          <w:szCs w:val="20"/>
          <w:color w:val="auto"/>
        </w:rPr>
      </w:pPr>
      <w:r>
        <w:rPr>
          <w:rFonts w:ascii="Times New Roman" w:cs="Times New Roman" w:eastAsia="Times New Roman" w:hAnsi="Times New Roman"/>
          <w:sz w:val="17"/>
          <w:szCs w:val="17"/>
          <w:color w:val="auto"/>
        </w:rPr>
        <w:t>market. Specifically, underwriters, brokers or dealers may overallot in connection with offerings, creating a short position in the common shares for their own accounts. For the purpose of covering a syndicate short position or stabilizing the price of the common shares, the underwriters, brokers or dealers may place bids for the common shares or effect purchases of the common shares in the open market. Finally, the underwriters may impose a penalty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whereby selling concessions allowed to syndicate members or other brokers or dealers for distribution of the common shares in offerings may be reclaimed by the syndicate if the syndicate repurchases the previously distributed common shares in transactions to cover short positions, in stabilization transactions or otherwise. These activities may stabilize, maintain or otherwise affect the market price of the common shares, which may be higher than the price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might otherwise prevail in the open market, and, if commenced, may be discontinued at any time.</w:t>
      </w:r>
    </w:p>
    <w:p>
      <w:pPr>
        <w:spacing w:after="0" w:line="16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These transactions may be effected on or through the NYSE, the existing trading market for the common shares, or in the over-the-counter market or otherwise.</w:t>
      </w:r>
    </w:p>
    <w:p>
      <w:pPr>
        <w:spacing w:after="0" w:line="172"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7"/>
          <w:szCs w:val="17"/>
          <w:color w:val="auto"/>
        </w:rPr>
        <w:t>If required, we may add transferees, successors and donees by prospectus supplement in instances where the transferee, successor or donee has acquired its shares from holders named in this prospectus after the effective date of this prospectus. Transferees, successors and donees of identified selling shareholders may not be able to use this prospectus for resales until they are named in the selling shareholders table by prospectus supplement or post-</w:t>
      </w:r>
    </w:p>
    <w:p>
      <w:pPr>
        <w:spacing w:after="0"/>
        <w:rPr>
          <w:sz w:val="20"/>
          <w:szCs w:val="20"/>
          <w:color w:val="auto"/>
        </w:rPr>
      </w:pPr>
      <w:r>
        <w:rPr>
          <w:rFonts w:ascii="Times New Roman" w:cs="Times New Roman" w:eastAsia="Times New Roman" w:hAnsi="Times New Roman"/>
          <w:sz w:val="18"/>
          <w:szCs w:val="18"/>
          <w:color w:val="auto"/>
        </w:rPr>
        <w:t>effective amendment. See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180"/>
          </w:cols>
          <w:pgMar w:left="320" w:top="1080" w:right="39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Gibson, Dunn &amp; Crutcher LLP, Houston, Texas, with respect to U.S. law. Certain legal matters in connection with this offering will be passed upon for us by Dentons Canada LLP, Vancouver, British Columbia, Canada, with respect to Canadian law. Any underwriters will be advised about other issues relating to any offering by their own legal counsel.</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The consolidated financial statements of Civeo Corporation appearing in Civeo Corporation’s Annual Report (Form 10-K) for the year ended December 31, 2021, and the effectiveness of Civeo Corporation’s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addition, we file annual, quarterly and other reports, proxy statements and other information with the SEC. The SEC maintains a website that contains reports, proxy statements and other information about registrants, like us, that have been filed electronically with the SEC. You can access the website maintained by the SEC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14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204"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subsequent filings we make with the SEC under Section 13(a), 13(c), 14 or 15(d) of the Exchange Act (excluding information deemed to be furnished and not filed with the SEC) until all offerings under this registration statement are completed or terminated:</w:t>
      </w:r>
    </w:p>
    <w:p>
      <w:pPr>
        <w:spacing w:after="0" w:line="136"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2021 (the “Form 10-K”);</w:t>
      </w:r>
    </w:p>
    <w:p>
      <w:pPr>
        <w:spacing w:after="0" w:line="184" w:lineRule="exact"/>
        <w:rPr>
          <w:rFonts w:ascii="Times New Roman" w:cs="Times New Roman" w:eastAsia="Times New Roman" w:hAnsi="Times New Roman"/>
          <w:sz w:val="18"/>
          <w:szCs w:val="18"/>
          <w:color w:val="auto"/>
        </w:rPr>
      </w:pPr>
    </w:p>
    <w:p>
      <w:pPr>
        <w:ind w:left="980" w:right="460" w:hanging="324"/>
        <w:spacing w:after="0" w:line="25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our definitive proxy statement on Schedule 14A for our 2022 annual general meeting of shareholders to the extent incorporated by reference in Part III of the Form 10-K;</w:t>
      </w:r>
    </w:p>
    <w:p>
      <w:pPr>
        <w:spacing w:after="0" w:line="1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filed on April 29, 2022 and August 4, 2022;</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on April 5, 2022, April 7, 2022, May 18, 2022 and August 1, 2022; and</w:t>
      </w:r>
    </w:p>
    <w:p>
      <w:pPr>
        <w:spacing w:after="0" w:line="198" w:lineRule="exact"/>
        <w:rPr>
          <w:rFonts w:ascii="Times New Roman" w:cs="Times New Roman" w:eastAsia="Times New Roman" w:hAnsi="Times New Roman"/>
          <w:sz w:val="18"/>
          <w:szCs w:val="18"/>
          <w:color w:val="auto"/>
        </w:rPr>
      </w:pPr>
    </w:p>
    <w:p>
      <w:pPr>
        <w:ind w:left="980" w:right="300" w:hanging="324"/>
        <w:spacing w:after="0" w:line="23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shares contained in our Current Report on Form 8-K12B, filed on July 17, 2015, as that description may be updated from time to time.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89" w:right="339" w:bottom="1440" w:gutter="0" w:footer="0" w:header="0"/>
          <w:type w:val="continuous"/>
        </w:sectPr>
      </w:pPr>
    </w:p>
    <w:bookmarkStart w:id="15" w:name="page16"/>
    <w:bookmarkEnd w:id="15"/>
    <w:p>
      <w:pPr>
        <w:ind w:firstLine="648"/>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Three Allen Center</w:t>
      </w:r>
    </w:p>
    <w:p>
      <w:pPr>
        <w:ind w:left="1300"/>
        <w:spacing w:after="0" w:line="234" w:lineRule="auto"/>
        <w:rPr>
          <w:sz w:val="20"/>
          <w:szCs w:val="20"/>
          <w:color w:val="auto"/>
        </w:rPr>
      </w:pPr>
      <w:r>
        <w:rPr>
          <w:rFonts w:ascii="Times New Roman" w:cs="Times New Roman" w:eastAsia="Times New Roman" w:hAnsi="Times New Roman"/>
          <w:sz w:val="18"/>
          <w:szCs w:val="18"/>
          <w:color w:val="auto"/>
        </w:rPr>
        <w:t>333 Clay Street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4980</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ind w:left="1300"/>
        <w:spacing w:after="0"/>
        <w:rPr>
          <w:sz w:val="20"/>
          <w:szCs w:val="20"/>
          <w:color w:val="auto"/>
        </w:rPr>
      </w:pPr>
      <w:r>
        <w:rPr>
          <w:rFonts w:ascii="Times New Roman" w:cs="Times New Roman" w:eastAsia="Times New Roman" w:hAnsi="Times New Roman"/>
          <w:sz w:val="18"/>
          <w:szCs w:val="18"/>
          <w:color w:val="auto"/>
        </w:rPr>
        <w:t>(713) 510-2400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940"/>
      </w:cols>
      <w:pgMar w:left="320" w:top="1093"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2"/>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2022-09-16T14:44:51Z</dcterms:created>
  <dcterms:modified xsi:type="dcterms:W3CDTF">2022-09-16T14:44:51Z</dcterms:modified>
</cp:coreProperties>
</file>