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October 30, 2024</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4980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1075690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jc w:val="both"/>
        <w:ind w:firstLine="301"/>
        <w:spacing w:after="0" w:line="263" w:lineRule="auto"/>
        <w:rPr>
          <w:sz w:val="20"/>
          <w:szCs w:val="20"/>
          <w:color w:val="auto"/>
        </w:rPr>
      </w:pPr>
      <w:r>
        <w:rPr>
          <w:rFonts w:ascii="Times New Roman" w:cs="Times New Roman" w:eastAsia="Times New Roman" w:hAnsi="Times New Roman"/>
          <w:sz w:val="22"/>
          <w:szCs w:val="22"/>
          <w:color w:val="auto"/>
        </w:rPr>
        <w:t>On October 30, 2024, Civeo Corporation (“Civeo”) issued a press release announcing its financial condition and results of operations as of and for the quarter ended September 30, 2024. A copy of the press release is furnished as Exhibit 99.1 to this report on Form 8-K, and is incorporated herein by reference.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ind w:left="700" w:hanging="476"/>
        <w:spacing w:after="0"/>
        <w:tabs>
          <w:tab w:leader="none" w:pos="7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7"/>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620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99.1</w:t>
            </w:r>
          </w:p>
        </w:tc>
        <w:tc>
          <w:tcPr>
            <w:tcW w:w="1020" w:type="dxa"/>
            <w:vAlign w:val="bottom"/>
          </w:tcPr>
          <w:p>
            <w:pPr>
              <w:spacing w:after="0"/>
              <w:rPr>
                <w:sz w:val="24"/>
                <w:szCs w:val="24"/>
                <w:color w:val="auto"/>
              </w:rPr>
            </w:pPr>
          </w:p>
        </w:tc>
        <w:tc>
          <w:tcPr>
            <w:tcW w:w="32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8"/>
              </w:rPr>
              <w:t>Press Release dated October 30, 2024</w:t>
            </w:r>
          </w:p>
        </w:tc>
        <w:tc>
          <w:tcPr>
            <w:tcW w:w="6200" w:type="dxa"/>
            <w:vAlign w:val="bottom"/>
          </w:tcPr>
          <w:p>
            <w:pPr>
              <w:spacing w:after="0"/>
              <w:rPr>
                <w:sz w:val="24"/>
                <w:szCs w:val="24"/>
                <w:color w:val="auto"/>
              </w:rPr>
            </w:pPr>
          </w:p>
        </w:tc>
      </w:tr>
      <w:tr>
        <w:trPr>
          <w:trHeight w:val="4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Cover Page Interactive Data File (formatted as Inline XBRL and contained in Exhibit 101)</w:t>
            </w:r>
          </w:p>
        </w:tc>
      </w:tr>
      <w:tr>
        <w:trPr>
          <w:trHeight w:val="1385"/>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October 30, 2024</w:t>
      </w: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E. Collin Gerry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082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 Collin Gerry</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Chief Financial Officer and Treasurer</w:t>
      </w:r>
    </w:p>
    <w:p>
      <w:pPr>
        <w:sectPr>
          <w:pgSz w:w="11900" w:h="16838" w:orient="portrait"/>
          <w:cols w:equalWidth="0" w:num="1">
            <w:col w:w="11220"/>
          </w:cols>
          <w:pgMar w:left="320" w:top="1296"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Civeo Reports Third Quarter 2024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Third Quarter Highlights include:</w:t>
      </w:r>
    </w:p>
    <w:p>
      <w:pPr>
        <w:spacing w:after="0" w:line="14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revenues of $176.3 million, net loss of $5.1 million and operating cash flow of $35.7 million;</w:t>
      </w:r>
    </w:p>
    <w:p>
      <w:pPr>
        <w:spacing w:after="0" w:line="27"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Adjusted EBITDA of $18.8 million and free cash flow of $28.3 million;</w:t>
      </w:r>
    </w:p>
    <w:p>
      <w:pPr>
        <w:ind w:left="660" w:hanging="328"/>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Returned $17.8 million of capital to shareholders in the quarter through the quarterly dividend and share repurchases;</w:t>
      </w:r>
    </w:p>
    <w:p>
      <w:pPr>
        <w:ind w:left="660" w:right="280" w:hanging="328"/>
        <w:spacing w:after="0" w:line="23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Australian segment continues to deliver strong growth, with revenues up 33% on a year-over-year basis, driven by both increased occupancy at Civeo-owned villages and continued growth in our integrated services offering; and</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Today announced a 33-month contract renewal with a major Canadian oil sands producer to continue providing accommodations and hospitality services through June 2027 with expected revenues totaling approximately C$150 million.</w:t>
      </w:r>
    </w:p>
    <w:p>
      <w:pPr>
        <w:spacing w:after="0" w:line="21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HOUSTON and CALGARY, October 30, 2024 (BUSINESS WIRE) -- Civeo Corporation (NYSE:CVEO) today reported financial and operating results for the third quarter ended September 30, 2024.</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“Our Australian segment continues to perform well generating solid growth driven by increased billed rooms at our Civeo-owned villages and</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new business with an existing integrated services customer. As expected, the Canadian segment declined year-over-year with the ongoing wind-down of Canadian LNG-related activity. This decline was exacerbated by wildfire-related evacuations and delays as well as the effect of</w:t>
      </w:r>
    </w:p>
    <w:p>
      <w:pPr>
        <w:spacing w:after="0" w:line="1"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previously discussed pull-forward of customer turnaround and operational activities. We are encouraged by the multi-year contract renewal with a major Canadian oil sands producer and believe this is a testament to our solid operational execution and our strong customer relationships,” said Bradley J. Dodson, Civeo's President and Chief Executive Officer.</w:t>
      </w:r>
    </w:p>
    <w:p>
      <w:pPr>
        <w:spacing w:after="0" w:line="20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Mr. Dodson added, “In the third quarter, we continued to take advantage of the attractive valuation of our shares, and we elevated our repurchases to approximately 515,000 common shares for $14.2 million. We remain well positioned to invest in our growth initiatives while maintaining attractive cash flow generation to facilitate the continued return of capital to shareholders via steady dividends and opportunistic share repurchases.”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2024 Results</w:t>
      </w:r>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third quarter of 2024, Civeo generated revenues of $ 176.3 million and reported a net loss of $5.1 million, or $0.36 per diluted share. During the third quarter of 2024, Civeo produced operating cash flow of $35.7 million, Adjusted EBITDA of $18.8 million and free cash flow of $28.3 million.</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By comparison, in the third quarter of 2023, Civeo generated revenues of $183.6 million and reported net income of $9.0 million, or $0.61 per diluted share. During the third quarter of 2023, Civeo produced operating cash flow of $36.8 million, Adjusted EBITDA of $34.2 million and free cash flow of $31.7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decrease in Adjusted EBITDA in the third quarter of 2024 was primarily driven by the expected wind-down of Canadian</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LNG-related activity, lower Canadian oil sands turnaround activity due to customers starting their maintenance projects earlier in the year and lower Canadian occupancy related to the recent wildfires. This decrease was partially offset by increased billed rooms at the Australian</w:t>
      </w:r>
    </w:p>
    <w:p>
      <w:pPr>
        <w:spacing w:after="0" w:line="2" w:lineRule="exact"/>
        <w:rPr>
          <w:sz w:val="20"/>
          <w:szCs w:val="20"/>
          <w:color w:val="auto"/>
        </w:rPr>
      </w:pPr>
    </w:p>
    <w:p>
      <w:pPr>
        <w:ind w:right="2080"/>
        <w:spacing w:after="0" w:line="266" w:lineRule="auto"/>
        <w:rPr>
          <w:sz w:val="20"/>
          <w:szCs w:val="20"/>
          <w:color w:val="auto"/>
        </w:rPr>
      </w:pPr>
      <w:r>
        <w:rPr>
          <w:rFonts w:ascii="Arial" w:cs="Arial" w:eastAsia="Arial" w:hAnsi="Arial"/>
          <w:sz w:val="18"/>
          <w:szCs w:val="18"/>
          <w:color w:val="auto"/>
        </w:rPr>
        <w:t xml:space="preserve">owned-villages and increased Australian integrated services revenues related to new business with existing clients. </w:t>
      </w:r>
      <w:r>
        <w:rPr>
          <w:rFonts w:ascii="Arial" w:cs="Arial" w:eastAsia="Arial" w:hAnsi="Arial"/>
          <w:sz w:val="18"/>
          <w:szCs w:val="18"/>
          <w:u w:val="single" w:color="auto"/>
          <w:color w:val="auto"/>
        </w:rPr>
        <w:t>Business Segment Results</w:t>
      </w:r>
    </w:p>
    <w:p>
      <w:pPr>
        <w:spacing w:after="0" w:line="10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(Unless otherwise noted, the following discussion compares the quarterly results for the third quarter of 2024 to the results for the third quarter of 2023.)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31"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During the third quarter of 2024, the Canadian segment generated revenues of $57.7 million, operating loss of $8.3 million and Adjusted EBITDA of $3.4 million, compared to revenues of $95.1 million, operating income of $10.8 million and Adjusted EBITDA of $23.2 million in the third quarter of 2023.</w:t>
      </w:r>
    </w:p>
    <w:p>
      <w:pPr>
        <w:spacing w:after="0" w:line="20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Canadian segment experienced a 39% period-over-period decrease in revenues and an 85% decrease in Adjusted EBITDA driven by the anticipated wind-down of LNG-related activity, including $0.4 million of mobile camp demobilization costs, lower oil sands turnaround activity due to customers starting their projects earlier in the year and lower billed rooms as a result of the Canadian wildfires. The company does not anticipate a material impact from the wildfires in the fourth quarter.</w:t>
      </w:r>
    </w:p>
    <w:p>
      <w:pPr>
        <w:sectPr>
          <w:pgSz w:w="11900" w:h="16838" w:orient="portrait"/>
          <w:cols w:equalWidth="0" w:num="1">
            <w:col w:w="11240"/>
          </w:cols>
          <w:pgMar w:left="320" w:top="889" w:right="339" w:bottom="1440" w:gutter="0" w:footer="0" w:header="0"/>
        </w:sectPr>
      </w:pPr>
    </w:p>
    <w:bookmarkStart w:id="5" w:name="page6"/>
    <w:bookmarkEnd w:id="5"/>
    <w:p>
      <w:pPr>
        <w:ind w:right="180"/>
        <w:spacing w:after="0" w:line="287" w:lineRule="auto"/>
        <w:rPr>
          <w:sz w:val="20"/>
          <w:szCs w:val="20"/>
          <w:color w:val="auto"/>
        </w:rPr>
      </w:pPr>
      <w:r>
        <w:rPr>
          <w:rFonts w:ascii="Arial" w:cs="Arial" w:eastAsia="Arial" w:hAnsi="Arial"/>
          <w:sz w:val="18"/>
          <w:szCs w:val="18"/>
          <w:color w:val="auto"/>
        </w:rPr>
        <w:t>Today, the Company announced the execution of an expected contract renewal with a major oil sands producer to continue providing accommodations and hospitality services through June 2027 with expected revenues totaling approximately C$150 million over 33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5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During the third quarter of 2024, the Australian segment generated revenues of $116.6 million, operating income of $12.3 million and Adjusted EBITDA of $22.5 million, compared to revenues of $87.9 million, operating income of $9.1 million and Adjusted EBITDA of $18.9 million in the third quarter of 2023.</w:t>
      </w:r>
    </w:p>
    <w:p>
      <w:pPr>
        <w:spacing w:after="0" w:line="18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Revenue from the Australian segment increased 33% period-over-period and Adjusted EBITDA was up 19% primarily driven by a significant increase in integrated services activity from existing clients and a 4% year-over-year increase to billed rooms, building on a history of substantial multi-year growth.</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 and Capital Allocation</w:t>
      </w:r>
    </w:p>
    <w:p>
      <w:pPr>
        <w:spacing w:after="0" w:line="158"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As of September 30, 2024, Civeo had total liquidity of approximately $ 211.8 million. Civeo's net debt on September 30, 2024 was $32.2 million, a $7.9 million decrease since June 30, 2024. Civeo reported a net leverage ratio of 0.3x as of September 30, 2024.</w:t>
      </w:r>
    </w:p>
    <w:p>
      <w:pPr>
        <w:spacing w:after="0" w:line="7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During the third quarter of 2024, Civeo invested $7.5 million in capital expenditures compared to $9.5 million invested during the third quarter of 2023. Capital expenditures in both periods were primarily related to maintenance spending on the Company’s lodges and villages. Capital expenditures in the third quarter of 2023 also included $3.6 million related to customer-funded infrastructure upgrades at three Australian villages which were reimbursed by our client.</w:t>
      </w:r>
    </w:p>
    <w:p>
      <w:pPr>
        <w:spacing w:after="0" w:line="18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announced today that its board of directors has declared a quarterly cash dividend of $0.25 per common share, payable on December 16, 2024 to shareholders of record as of close of business on November 25, 2024. For purposes of the Income Tax Act (Canada), the Company has designated this dividend to be an "eligible dividend."</w:t>
      </w:r>
    </w:p>
    <w:p>
      <w:pPr>
        <w:spacing w:after="0" w:line="19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In the third quarter of 2024, Civeo repurchased approximately 515,000 shares for approximately $14.2 million. On September 11, the Board announced it renewed its share repurchase authorization for the Company to repurchase up to 5% of its total common shares outstanding over the next twelve months. The Company will continue to be opportunistic about pursuing repurchases. The Board may increase the number of common shares that may be repurchased under the repurchase plan at any time. The repurchase plan does not obligate Civeo to repurchase any particular number of shares, and it may be suspended or terminated at any time.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2024 Guidance</w:t>
      </w:r>
    </w:p>
    <w:p>
      <w:pPr>
        <w:spacing w:after="0" w:line="131"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For the full year of 2024, Civeo is tightening its previously provided revenue and Adjusted EBITDA guidance ranges to $675 million to $ 700 million and $83 million to $88 million, respectively. The Company is maintaining its full year 2024 capital expenditure guidance range of $30 million to $35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5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Civeo will host a conference call to discuss its third quarter 2024 financial results today at 11:00 a.m. Eastern time. This call is being webcast and can be accessed at Civeo's website at www.civeo.com. Participants may also join the conference call by dialing (877) 423-9813 in the United States or (201) 689-8573 internationally and asking for the Civeo call or using the conference ID 13749748#. A replay will be available after the call by dialing (844) 512-2921 in the United States or (412) 317-6671 internationally and using the conference ID 13749748#.</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4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owns and operates a total of 24 lodges and villages in North America and Australia with an aggregate of approximately 26,000 rooms. In addition, Civeo operates and provides hospitality services at 22 customer-owned locations with more than 18,000 rooms. Civeo is publicly traded under the symbol CVEO on the New York Stock Exchange. For more information, please visit Civeo's website at www.civeo.com.</w:t>
      </w:r>
    </w:p>
    <w:p>
      <w:pPr>
        <w:sectPr>
          <w:pgSz w:w="11900" w:h="16838" w:orient="portrait"/>
          <w:cols w:equalWidth="0" w:num="1">
            <w:col w:w="11240"/>
          </w:cols>
          <w:pgMar w:left="320" w:top="89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58" w:lineRule="exact"/>
        <w:rPr>
          <w:sz w:val="20"/>
          <w:szCs w:val="20"/>
          <w:color w:val="auto"/>
        </w:rPr>
      </w:pPr>
    </w:p>
    <w:p>
      <w:pPr>
        <w:ind w:right="1980"/>
        <w:spacing w:after="0" w:line="255"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including the statements regarding Civeo’s future plans and outlook, strategic priorities, guidance, current trends,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expectations with respect to future revenues, share repurchases and dividends, and liquidity needs,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inflation and volatility in the banking sector, risks associated with the company’s ability to integrate any future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geopolitical events, inflation, global weather conditions, natural disasters, including wildfires, global health concerns,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 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144" w:lineRule="exact"/>
        <w:rPr>
          <w:sz w:val="20"/>
          <w:szCs w:val="20"/>
          <w:color w:val="auto"/>
        </w:rPr>
      </w:pPr>
    </w:p>
    <w:p>
      <w:pPr>
        <w:ind w:right="2020"/>
        <w:spacing w:after="0" w:line="255" w:lineRule="auto"/>
        <w:rPr>
          <w:sz w:val="20"/>
          <w:szCs w:val="20"/>
          <w:color w:val="auto"/>
        </w:rPr>
      </w:pPr>
      <w:r>
        <w:rPr>
          <w:rFonts w:ascii="Arial" w:cs="Arial" w:eastAsia="Arial" w:hAnsi="Arial"/>
          <w:sz w:val="18"/>
          <w:szCs w:val="18"/>
          <w:color w:val="auto"/>
        </w:rPr>
        <w:t>EBITDA, Adjusted EBITDA, free cash flow, net debt, bank-adjusted EBITDA and net leverage ratio are non-GAAP financial measures. See “Non-GAAP Reconciliation” below for definitions and additional information concerning non-GAAP financial measures, including a reconciliation of the non-GAAP financial information presented in this 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 standardized, it may not be possible to compare these financial measures with other companies’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220"/>
          </w:cols>
          <w:pgMar w:left="320" w:top="1133" w:right="3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428"/>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210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September 30,</w:t>
            </w:r>
          </w:p>
        </w:tc>
      </w:tr>
      <w:tr>
        <w:trPr>
          <w:trHeight w:val="262"/>
        </w:trPr>
        <w:tc>
          <w:tcPr>
            <w:tcW w:w="42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r>
      <w:tr>
        <w:trPr>
          <w:trHeight w:val="499"/>
        </w:trPr>
        <w:tc>
          <w:tcPr>
            <w:tcW w:w="4260" w:type="dxa"/>
            <w:vAlign w:val="bottom"/>
          </w:tcPr>
          <w:p>
            <w:pPr>
              <w:spacing w:after="0"/>
              <w:rPr>
                <w:sz w:val="20"/>
                <w:szCs w:val="20"/>
                <w:color w:val="auto"/>
              </w:rPr>
            </w:pPr>
            <w:r>
              <w:rPr>
                <w:rFonts w:ascii="Arial" w:cs="Arial" w:eastAsia="Arial" w:hAnsi="Arial"/>
                <w:sz w:val="14"/>
                <w:szCs w:val="14"/>
                <w:color w:val="auto"/>
              </w:rPr>
              <w:t>Revenues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176,338</w:t>
            </w:r>
          </w:p>
        </w:tc>
        <w:tc>
          <w:tcPr>
            <w:tcW w:w="2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183,572</w:t>
            </w:r>
          </w:p>
        </w:tc>
        <w:tc>
          <w:tcPr>
            <w:tcW w:w="24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531,171</w:t>
            </w:r>
          </w:p>
        </w:tc>
        <w:tc>
          <w:tcPr>
            <w:tcW w:w="2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530,006</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Costs and expenses:</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138,542</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130,296</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409,821</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395,235</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19,635</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20,236</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55,708</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52,885</w:t>
            </w: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17,440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16,914</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51,269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59,277</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30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7,823</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(Gain) loss on sale of McClelland Lake Lodge assets, net</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171</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(5,817)</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60"/>
        </w:trPr>
        <w:tc>
          <w:tcPr>
            <w:tcW w:w="4260" w:type="dxa"/>
            <w:vAlign w:val="bottom"/>
          </w:tcPr>
          <w:p>
            <w:pPr>
              <w:ind w:left="120"/>
              <w:spacing w:after="0"/>
              <w:rPr>
                <w:sz w:val="20"/>
                <w:szCs w:val="20"/>
                <w:color w:val="auto"/>
              </w:rPr>
            </w:pPr>
            <w:r>
              <w:rPr>
                <w:rFonts w:ascii="Arial" w:cs="Arial" w:eastAsia="Arial" w:hAnsi="Arial"/>
                <w:sz w:val="14"/>
                <w:szCs w:val="14"/>
                <w:color w:val="auto"/>
              </w:rPr>
              <w:t>Other operating expense</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506</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992</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302</w:t>
            </w:r>
          </w:p>
        </w:tc>
      </w:tr>
      <w:tr>
        <w:trPr>
          <w:trHeight w:val="237"/>
        </w:trPr>
        <w:tc>
          <w:tcPr>
            <w:tcW w:w="4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176,294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167,533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519,796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507,699</w:t>
            </w:r>
          </w:p>
        </w:tc>
      </w:tr>
      <w:tr>
        <w:trPr>
          <w:trHeight w:val="233"/>
        </w:trPr>
        <w:tc>
          <w:tcPr>
            <w:tcW w:w="4260" w:type="dxa"/>
            <w:vAlign w:val="bottom"/>
          </w:tcPr>
          <w:p>
            <w:pPr>
              <w:spacing w:after="0"/>
              <w:rPr>
                <w:sz w:val="20"/>
                <w:szCs w:val="20"/>
                <w:color w:val="auto"/>
              </w:rPr>
            </w:pPr>
            <w:r>
              <w:rPr>
                <w:rFonts w:ascii="Arial" w:cs="Arial" w:eastAsia="Arial" w:hAnsi="Arial"/>
                <w:sz w:val="14"/>
                <w:szCs w:val="14"/>
                <w:color w:val="auto"/>
              </w:rPr>
              <w:t>Operating income</w:t>
            </w:r>
          </w:p>
        </w:tc>
        <w:tc>
          <w:tcPr>
            <w:tcW w:w="300" w:type="dxa"/>
            <w:vAlign w:val="bottom"/>
          </w:tcPr>
          <w:p>
            <w:pPr>
              <w:spacing w:after="0"/>
              <w:rPr>
                <w:sz w:val="20"/>
                <w:szCs w:val="20"/>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16,039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11,375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22,307</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(1,725)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(3,365)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(6,288)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(10,625)</w:t>
            </w:r>
          </w:p>
        </w:tc>
      </w:tr>
      <w:tr>
        <w:trPr>
          <w:trHeight w:val="257"/>
        </w:trPr>
        <w:tc>
          <w:tcPr>
            <w:tcW w:w="4260" w:type="dxa"/>
            <w:vAlign w:val="bottom"/>
          </w:tcPr>
          <w:p>
            <w:pPr>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147</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126</w:t>
            </w:r>
          </w:p>
        </w:tc>
      </w:tr>
      <w:tr>
        <w:trPr>
          <w:trHeight w:val="260"/>
        </w:trPr>
        <w:tc>
          <w:tcPr>
            <w:tcW w:w="4260" w:type="dxa"/>
            <w:vAlign w:val="bottom"/>
          </w:tcPr>
          <w:p>
            <w:pPr>
              <w:spacing w:after="0"/>
              <w:rPr>
                <w:sz w:val="20"/>
                <w:szCs w:val="20"/>
                <w:color w:val="auto"/>
              </w:rPr>
            </w:pPr>
            <w:r>
              <w:rPr>
                <w:rFonts w:ascii="Arial" w:cs="Arial" w:eastAsia="Arial" w:hAnsi="Arial"/>
                <w:sz w:val="14"/>
                <w:szCs w:val="14"/>
                <w:color w:val="auto"/>
              </w:rPr>
              <w:t>Other income (expense)</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(4,709)</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967</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(1,832)</w:t>
            </w:r>
          </w:p>
        </w:tc>
      </w:tr>
      <w:tr>
        <w:trPr>
          <w:trHeight w:val="233"/>
        </w:trPr>
        <w:tc>
          <w:tcPr>
            <w:tcW w:w="426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(1,427)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8,009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6,201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9,976</w:t>
            </w:r>
          </w:p>
        </w:tc>
      </w:tr>
      <w:tr>
        <w:trPr>
          <w:trHeight w:val="261"/>
        </w:trPr>
        <w:tc>
          <w:tcPr>
            <w:tcW w:w="4260" w:type="dxa"/>
            <w:vAlign w:val="bottom"/>
          </w:tcPr>
          <w:p>
            <w:pPr>
              <w:spacing w:after="0"/>
              <w:rPr>
                <w:sz w:val="20"/>
                <w:szCs w:val="20"/>
                <w:color w:val="auto"/>
              </w:rPr>
            </w:pPr>
            <w:r>
              <w:rPr>
                <w:rFonts w:ascii="Arial" w:cs="Arial" w:eastAsia="Arial" w:hAnsi="Arial"/>
                <w:sz w:val="14"/>
                <w:szCs w:val="14"/>
                <w:color w:val="auto"/>
              </w:rPr>
              <w:t>Income tax (expense) benefit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(3,862)</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1,214</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(9,199)</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(2,897)</w:t>
            </w:r>
          </w:p>
        </w:tc>
      </w:tr>
      <w:tr>
        <w:trPr>
          <w:trHeight w:val="232"/>
        </w:trPr>
        <w:tc>
          <w:tcPr>
            <w:tcW w:w="4260" w:type="dxa"/>
            <w:vAlign w:val="bottom"/>
          </w:tcPr>
          <w:p>
            <w:pPr>
              <w:spacing w:after="0"/>
              <w:rPr>
                <w:sz w:val="20"/>
                <w:szCs w:val="20"/>
                <w:color w:val="auto"/>
              </w:rPr>
            </w:pPr>
            <w:r>
              <w:rPr>
                <w:rFonts w:ascii="Arial" w:cs="Arial" w:eastAsia="Arial" w:hAnsi="Arial"/>
                <w:sz w:val="14"/>
                <w:szCs w:val="14"/>
                <w:color w:val="auto"/>
              </w:rPr>
              <w:t>Net income (loss)</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(5,289)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9,223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(2,998)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7,079</w:t>
            </w:r>
          </w:p>
        </w:tc>
      </w:tr>
      <w:tr>
        <w:trPr>
          <w:trHeight w:val="260"/>
        </w:trPr>
        <w:tc>
          <w:tcPr>
            <w:tcW w:w="4260" w:type="dxa"/>
            <w:vAlign w:val="bottom"/>
          </w:tcPr>
          <w:p>
            <w:pPr>
              <w:ind w:left="120"/>
              <w:spacing w:after="0"/>
              <w:rPr>
                <w:sz w:val="20"/>
                <w:szCs w:val="20"/>
                <w:color w:val="auto"/>
              </w:rPr>
            </w:pPr>
            <w:r>
              <w:rPr>
                <w:rFonts w:ascii="Arial" w:cs="Arial" w:eastAsia="Arial" w:hAnsi="Arial"/>
                <w:sz w:val="14"/>
                <w:szCs w:val="14"/>
                <w:color w:val="auto"/>
              </w:rPr>
              <w:t>Less: Net income (loss) attributable to noncontrolling interest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(1,001)</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214"/>
        </w:trPr>
        <w:tc>
          <w:tcPr>
            <w:tcW w:w="426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(5,091)</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9,022</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7,132</w:t>
            </w:r>
          </w:p>
        </w:tc>
      </w:tr>
      <w:tr>
        <w:trPr>
          <w:trHeight w:val="20"/>
        </w:trPr>
        <w:tc>
          <w:tcPr>
            <w:tcW w:w="4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72"/>
        </w:trPr>
        <w:tc>
          <w:tcPr>
            <w:tcW w:w="4560" w:type="dxa"/>
            <w:vAlign w:val="bottom"/>
            <w:gridSpan w:val="2"/>
          </w:tcPr>
          <w:p>
            <w:pPr>
              <w:spacing w:after="0"/>
              <w:rPr>
                <w:sz w:val="20"/>
                <w:szCs w:val="20"/>
                <w:color w:val="auto"/>
              </w:rPr>
            </w:pPr>
            <w:r>
              <w:rPr>
                <w:rFonts w:ascii="Arial" w:cs="Arial" w:eastAsia="Arial" w:hAnsi="Arial"/>
                <w:sz w:val="14"/>
                <w:szCs w:val="14"/>
                <w:color w:val="auto"/>
              </w:rPr>
              <w:t>Net income (loss) per share attributable to Civeo Corporation common</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0"/>
        </w:trPr>
        <w:tc>
          <w:tcPr>
            <w:tcW w:w="4260" w:type="dxa"/>
            <w:vAlign w:val="bottom"/>
          </w:tcPr>
          <w:p>
            <w:pPr>
              <w:spacing w:after="0"/>
              <w:rPr>
                <w:sz w:val="20"/>
                <w:szCs w:val="20"/>
                <w:color w:val="auto"/>
              </w:rPr>
            </w:pPr>
            <w:r>
              <w:rPr>
                <w:rFonts w:ascii="Arial" w:cs="Arial" w:eastAsia="Arial" w:hAnsi="Arial"/>
                <w:sz w:val="14"/>
                <w:szCs w:val="14"/>
                <w:color w:val="auto"/>
              </w:rPr>
              <w:t>shareholders:</w:t>
            </w: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7"/>
        </w:trPr>
        <w:tc>
          <w:tcPr>
            <w:tcW w:w="426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(0.36)</w:t>
            </w:r>
          </w:p>
        </w:tc>
        <w:tc>
          <w:tcPr>
            <w:tcW w:w="2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0.61</w:t>
            </w:r>
          </w:p>
        </w:tc>
        <w:tc>
          <w:tcPr>
            <w:tcW w:w="24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(0.14)</w:t>
            </w:r>
          </w:p>
        </w:tc>
        <w:tc>
          <w:tcPr>
            <w:tcW w:w="2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0.48</w:t>
            </w: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(0.36)</w:t>
            </w:r>
          </w:p>
        </w:tc>
        <w:tc>
          <w:tcPr>
            <w:tcW w:w="2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0.61</w:t>
            </w:r>
          </w:p>
        </w:tc>
        <w:tc>
          <w:tcPr>
            <w:tcW w:w="24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(0.14)</w:t>
            </w:r>
          </w:p>
        </w:tc>
        <w:tc>
          <w:tcPr>
            <w:tcW w:w="2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0.47</w:t>
            </w:r>
          </w:p>
        </w:tc>
      </w:tr>
      <w:tr>
        <w:trPr>
          <w:trHeight w:val="513"/>
        </w:trPr>
        <w:tc>
          <w:tcPr>
            <w:tcW w:w="426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7"/>
        </w:trPr>
        <w:tc>
          <w:tcPr>
            <w:tcW w:w="426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14,293</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14,814</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14,488</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14,980</w:t>
            </w:r>
          </w:p>
        </w:tc>
      </w:tr>
      <w:tr>
        <w:trPr>
          <w:trHeight w:val="256"/>
        </w:trPr>
        <w:tc>
          <w:tcPr>
            <w:tcW w:w="426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14,293</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14,891</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14,488</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15,051</w:t>
            </w:r>
          </w:p>
        </w:tc>
      </w:tr>
    </w:tbl>
    <w:p>
      <w:pPr>
        <w:sectPr>
          <w:pgSz w:w="11900" w:h="16838" w:orient="portrait"/>
          <w:cols w:equalWidth="0" w:num="1">
            <w:col w:w="9180"/>
          </w:cols>
          <w:pgMar w:left="1360" w:top="890" w:right="1359" w:bottom="1440" w:gutter="0" w:footer="0" w:header="0"/>
        </w:sectPr>
      </w:pPr>
    </w:p>
    <w:bookmarkStart w:id="8" w:name="page9"/>
    <w:bookmarkEnd w:id="8"/>
    <w:p>
      <w:pPr>
        <w:spacing w:after="0" w:line="1" w:lineRule="exact"/>
        <w:rPr>
          <w:sz w:val="20"/>
          <w:szCs w:val="20"/>
          <w:color w:val="auto"/>
        </w:rPr>
      </w:pPr>
    </w:p>
    <w:tbl>
      <w:tblPr>
        <w:tblLayout w:type="fixed"/>
        <w:tblInd w:w="1020" w:type="dxa"/>
        <w:tblCellMar>
          <w:top w:w="0" w:type="dxa"/>
          <w:left w:w="0" w:type="dxa"/>
          <w:bottom w:w="0" w:type="dxa"/>
          <w:right w:w="0" w:type="dxa"/>
        </w:tblCellMar>
      </w:tblPr>
      <w:tr>
        <w:trPr>
          <w:trHeight w:val="189"/>
        </w:trPr>
        <w:tc>
          <w:tcPr>
            <w:tcW w:w="5460" w:type="dxa"/>
            <w:vAlign w:val="bottom"/>
            <w:gridSpan w:val="4"/>
          </w:tcPr>
          <w:p>
            <w:pPr>
              <w:jc w:val="center"/>
              <w:ind w:left="1419"/>
              <w:spacing w:after="0"/>
              <w:rPr>
                <w:sz w:val="20"/>
                <w:szCs w:val="20"/>
                <w:color w:val="auto"/>
              </w:rPr>
            </w:pPr>
            <w:r>
              <w:rPr>
                <w:rFonts w:ascii="Arial" w:cs="Arial" w:eastAsia="Arial" w:hAnsi="Arial"/>
                <w:sz w:val="16"/>
                <w:szCs w:val="16"/>
                <w:b w:val="1"/>
                <w:bCs w:val="1"/>
                <w:color w:val="auto"/>
              </w:rPr>
              <w:t>CIVEO CORPORATION</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60" w:type="dxa"/>
            <w:vAlign w:val="bottom"/>
            <w:gridSpan w:val="4"/>
          </w:tcPr>
          <w:p>
            <w:pPr>
              <w:jc w:val="center"/>
              <w:ind w:left="1439"/>
              <w:spacing w:after="0"/>
              <w:rPr>
                <w:sz w:val="20"/>
                <w:szCs w:val="20"/>
                <w:color w:val="auto"/>
              </w:rPr>
            </w:pPr>
            <w:r>
              <w:rPr>
                <w:rFonts w:ascii="Arial" w:cs="Arial" w:eastAsia="Arial" w:hAnsi="Arial"/>
                <w:sz w:val="16"/>
                <w:szCs w:val="16"/>
                <w:b w:val="1"/>
                <w:bCs w:val="1"/>
                <w:color w:val="auto"/>
              </w:rPr>
              <w:t>CONDENSED CONSOLIDATED BALANCE SHEETS</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460" w:type="dxa"/>
            <w:vAlign w:val="bottom"/>
            <w:gridSpan w:val="4"/>
          </w:tcPr>
          <w:p>
            <w:pPr>
              <w:jc w:val="center"/>
              <w:ind w:left="1419"/>
              <w:spacing w:after="0"/>
              <w:rPr>
                <w:sz w:val="20"/>
                <w:szCs w:val="20"/>
                <w:color w:val="auto"/>
              </w:rPr>
            </w:pPr>
            <w:r>
              <w:rPr>
                <w:rFonts w:ascii="Arial" w:cs="Arial" w:eastAsia="Arial" w:hAnsi="Arial"/>
                <w:sz w:val="16"/>
                <w:szCs w:val="16"/>
                <w:b w:val="1"/>
                <w:bCs w:val="1"/>
                <w:color w:val="auto"/>
              </w:rPr>
              <w:t>(in thousands)</w:t>
            </w: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360"/>
              <w:spacing w:after="0" w:line="170" w:lineRule="exact"/>
              <w:rPr>
                <w:sz w:val="20"/>
                <w:szCs w:val="20"/>
                <w:color w:val="auto"/>
              </w:rPr>
            </w:pPr>
            <w:r>
              <w:rPr>
                <w:rFonts w:ascii="Arial" w:cs="Arial" w:eastAsia="Arial" w:hAnsi="Arial"/>
                <w:sz w:val="16"/>
                <w:szCs w:val="16"/>
                <w:b w:val="1"/>
                <w:bCs w:val="1"/>
                <w:color w:val="auto"/>
              </w:rPr>
              <w:t>September 30,</w:t>
            </w:r>
          </w:p>
        </w:tc>
        <w:tc>
          <w:tcPr>
            <w:tcW w:w="15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December 31, 2023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8"/>
                <w:szCs w:val="18"/>
                <w:color w:val="auto"/>
              </w:rPr>
            </w:pPr>
          </w:p>
        </w:tc>
        <w:tc>
          <w:tcPr>
            <w:tcW w:w="15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17,910</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3,323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106,707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143,222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8,769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6,982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5,873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12,120</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15,846</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145,506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175,246</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233,864</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270,563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7,812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7,690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72,426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77,999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10,985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12,286</w:t>
            </w:r>
          </w:p>
        </w:tc>
        <w:tc>
          <w:tcPr>
            <w:tcW w:w="0" w:type="dxa"/>
            <w:vAlign w:val="bottom"/>
          </w:tcPr>
          <w:p>
            <w:pPr>
              <w:spacing w:after="0"/>
              <w:rPr>
                <w:sz w:val="1"/>
                <w:szCs w:val="1"/>
                <w:color w:val="auto"/>
              </w:rPr>
            </w:pPr>
          </w:p>
        </w:tc>
      </w:tr>
      <w:tr>
        <w:trPr>
          <w:trHeight w:val="217"/>
        </w:trPr>
        <w:tc>
          <w:tcPr>
            <w:tcW w:w="3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7,043</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4,278</w:t>
            </w:r>
          </w:p>
        </w:tc>
        <w:tc>
          <w:tcPr>
            <w:tcW w:w="0" w:type="dxa"/>
            <w:vAlign w:val="bottom"/>
          </w:tcPr>
          <w:p>
            <w:pPr>
              <w:spacing w:after="0"/>
              <w:rPr>
                <w:sz w:val="1"/>
                <w:szCs w:val="1"/>
                <w:color w:val="auto"/>
              </w:rPr>
            </w:pPr>
          </w:p>
        </w:tc>
      </w:tr>
      <w:tr>
        <w:trPr>
          <w:trHeight w:val="211"/>
        </w:trPr>
        <w:tc>
          <w:tcPr>
            <w:tcW w:w="37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477,636</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548,062</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37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48,497</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58,699</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36,485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40,523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14,026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3,831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2,792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4,849</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5,039</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6,334</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106,839</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114,236</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50,078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65,554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5,241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11,803</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7,915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9,264</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23,619</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24,167</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193,692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225,024</w:t>
            </w:r>
          </w:p>
        </w:tc>
        <w:tc>
          <w:tcPr>
            <w:tcW w:w="0" w:type="dxa"/>
            <w:vAlign w:val="bottom"/>
          </w:tcPr>
          <w:p>
            <w:pPr>
              <w:spacing w:after="0"/>
              <w:rPr>
                <w:sz w:val="1"/>
                <w:szCs w:val="1"/>
                <w:color w:val="auto"/>
              </w:rPr>
            </w:pPr>
          </w:p>
        </w:tc>
      </w:tr>
      <w:tr>
        <w:trPr>
          <w:trHeight w:val="431"/>
        </w:trPr>
        <w:tc>
          <w:tcPr>
            <w:tcW w:w="372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6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1,630,851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1,628,972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(956,545)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(919,023)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(10,130)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(9,063)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(382,017)</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(380,715)</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282,159</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320,171</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1,785</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2,867</w:t>
            </w:r>
          </w:p>
        </w:tc>
        <w:tc>
          <w:tcPr>
            <w:tcW w:w="0" w:type="dxa"/>
            <w:vAlign w:val="bottom"/>
          </w:tcPr>
          <w:p>
            <w:pPr>
              <w:spacing w:after="0"/>
              <w:rPr>
                <w:sz w:val="1"/>
                <w:szCs w:val="1"/>
                <w:color w:val="auto"/>
              </w:rPr>
            </w:pPr>
          </w:p>
        </w:tc>
      </w:tr>
      <w:tr>
        <w:trPr>
          <w:trHeight w:val="210"/>
        </w:trPr>
        <w:tc>
          <w:tcPr>
            <w:tcW w:w="37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283,944</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323,038</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477,636</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548,062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5"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Nine Months Ended</w:t>
      </w:r>
    </w:p>
    <w:p>
      <w:pPr>
        <w:jc w:val="center"/>
        <w:ind w:left="5800"/>
        <w:spacing w:after="0"/>
        <w:rPr>
          <w:sz w:val="20"/>
          <w:szCs w:val="20"/>
          <w:color w:val="auto"/>
        </w:rPr>
      </w:pPr>
      <w:r>
        <w:rPr>
          <w:rFonts w:ascii="Arial" w:cs="Arial" w:eastAsia="Arial" w:hAnsi="Arial"/>
          <w:sz w:val="16"/>
          <w:szCs w:val="16"/>
          <w:b w:val="1"/>
          <w:bCs w:val="1"/>
          <w:color w:val="auto"/>
        </w:rPr>
        <w:t>September 30,</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r>
      <w:tr>
        <w:trPr>
          <w:trHeight w:val="491"/>
        </w:trPr>
        <w:tc>
          <w:tcPr>
            <w:tcW w:w="58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(2,998)</w:t>
            </w:r>
          </w:p>
        </w:tc>
        <w:tc>
          <w:tcPr>
            <w:tcW w:w="18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7,079</w:t>
            </w:r>
          </w:p>
        </w:tc>
      </w:tr>
      <w:tr>
        <w:trPr>
          <w:trHeight w:val="205"/>
        </w:trPr>
        <w:tc>
          <w:tcPr>
            <w:tcW w:w="5800" w:type="dxa"/>
            <w:vAlign w:val="bottom"/>
          </w:tcPr>
          <w:p>
            <w:pPr>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5800" w:type="dxa"/>
            <w:vAlign w:val="bottom"/>
          </w:tcPr>
          <w:p>
            <w:pPr>
              <w:spacing w:after="0"/>
              <w:rPr>
                <w:sz w:val="20"/>
                <w:szCs w:val="20"/>
                <w:color w:val="auto"/>
              </w:rPr>
            </w:pPr>
            <w:r>
              <w:rPr>
                <w:rFonts w:ascii="Arial" w:cs="Arial" w:eastAsia="Arial" w:hAnsi="Arial"/>
                <w:sz w:val="16"/>
                <w:szCs w:val="16"/>
                <w:color w:val="auto"/>
              </w:rPr>
              <w:t>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51,269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59,277</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7,823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Deferred income tax expense (benefit)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(6,487)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2,688</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1,879</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3,297</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(Gains) losses on disposals of assets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(6,134)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2,264</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Provision for credit losses, net of recoveries</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1,886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1,900</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35,771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(37,411)</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(1,690)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420</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(13,586)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4,767</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9,681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58"/>
        </w:trPr>
        <w:tc>
          <w:tcPr>
            <w:tcW w:w="5800" w:type="dxa"/>
            <w:vAlign w:val="bottom"/>
          </w:tcPr>
          <w:p>
            <w:pPr>
              <w:ind w:left="200"/>
              <w:spacing w:after="0"/>
              <w:rPr>
                <w:sz w:val="20"/>
                <w:szCs w:val="20"/>
                <w:color w:val="auto"/>
              </w:rPr>
            </w:pPr>
            <w:r>
              <w:rPr>
                <w:rFonts w:ascii="Arial" w:cs="Arial" w:eastAsia="Arial" w:hAnsi="Arial"/>
                <w:sz w:val="16"/>
                <w:szCs w:val="16"/>
                <w:color w:val="auto"/>
              </w:rPr>
              <w:t>Other current and noncurrent assets and liabilities, net</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(3,415)</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12,197</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operating activities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74,014</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56,593</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(18,405)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(21,179)</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Proceeds from dispositions of property, plant and equipment</w:t>
            </w:r>
          </w:p>
        </w:tc>
        <w:tc>
          <w:tcPr>
            <w:tcW w:w="3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10,700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7,070</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183</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investing activities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(7,522)</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(14,109)</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2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(22,338)</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(9,246)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(6,732)</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(2,976)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(10,984)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(3,731)</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(24,060)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(9,222)</w:t>
            </w:r>
          </w:p>
        </w:tc>
      </w:tr>
      <w:tr>
        <w:trPr>
          <w:trHeight w:val="258"/>
        </w:trPr>
        <w:tc>
          <w:tcPr>
            <w:tcW w:w="580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financing activities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(48,333)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(42,023)</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(3,572)</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r>
      <w:tr>
        <w:trPr>
          <w:trHeight w:val="235"/>
        </w:trPr>
        <w:tc>
          <w:tcPr>
            <w:tcW w:w="58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14,587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51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3,323</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7,954</w:t>
            </w:r>
          </w:p>
        </w:tc>
      </w:tr>
      <w:tr>
        <w:trPr>
          <w:trHeight w:val="224"/>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17,910</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7,817</w:t>
            </w:r>
          </w:p>
        </w:tc>
      </w:tr>
      <w:tr>
        <w:trPr>
          <w:trHeight w:val="21"/>
        </w:trPr>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5"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SEGMENT DATA</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5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3"/>
        </w:trPr>
        <w:tc>
          <w:tcPr>
            <w:tcW w:w="3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5"/>
              </w:rPr>
              <w:t>2023</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5"/>
              </w:rPr>
              <w:t>2023</w:t>
            </w: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57,736</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95,144</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204,423</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280,067</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116,622</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87,885</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316,967</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247,418</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1,980</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9,781</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2,521</w:t>
            </w:r>
          </w:p>
        </w:tc>
        <w:tc>
          <w:tcPr>
            <w:tcW w:w="0" w:type="dxa"/>
            <w:vAlign w:val="bottom"/>
          </w:tcPr>
          <w:p>
            <w:pPr>
              <w:spacing w:after="0"/>
              <w:rPr>
                <w:sz w:val="1"/>
                <w:szCs w:val="1"/>
                <w:color w:val="auto"/>
              </w:rPr>
            </w:pPr>
          </w:p>
        </w:tc>
      </w:tr>
      <w:tr>
        <w:trPr>
          <w:trHeight w:val="210"/>
        </w:trPr>
        <w:tc>
          <w:tcPr>
            <w:tcW w:w="336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176,338</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183,572</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531,171</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530,006</w:t>
            </w:r>
          </w:p>
        </w:tc>
        <w:tc>
          <w:tcPr>
            <w:tcW w:w="0" w:type="dxa"/>
            <w:vAlign w:val="bottom"/>
          </w:tcPr>
          <w:p>
            <w:pPr>
              <w:spacing w:after="0"/>
              <w:rPr>
                <w:sz w:val="1"/>
                <w:szCs w:val="1"/>
                <w:color w:val="auto"/>
              </w:rPr>
            </w:pPr>
          </w:p>
        </w:tc>
      </w:tr>
      <w:tr>
        <w:trPr>
          <w:trHeight w:val="21"/>
        </w:trPr>
        <w:tc>
          <w:tcPr>
            <w:tcW w:w="33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7"/>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3,171</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18,154</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31,944</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49,983</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22,421</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18,785</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58,494</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52,600</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(7,706)</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(8,896)</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(25,826)</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(22,778)</w:t>
            </w:r>
          </w:p>
        </w:tc>
        <w:tc>
          <w:tcPr>
            <w:tcW w:w="0" w:type="dxa"/>
            <w:vAlign w:val="bottom"/>
          </w:tcPr>
          <w:p>
            <w:pPr>
              <w:spacing w:after="0"/>
              <w:rPr>
                <w:sz w:val="1"/>
                <w:szCs w:val="1"/>
                <w:color w:val="auto"/>
              </w:rPr>
            </w:pPr>
          </w:p>
        </w:tc>
      </w:tr>
      <w:tr>
        <w:trPr>
          <w:trHeight w:val="211"/>
        </w:trPr>
        <w:tc>
          <w:tcPr>
            <w:tcW w:w="3360" w:type="dxa"/>
            <w:vAlign w:val="bottom"/>
          </w:tcPr>
          <w:p>
            <w:pPr>
              <w:ind w:left="44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17,886</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28,043</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64,612</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79,805</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3,434</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23,201</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26,454</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55,320</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22,474</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18,869</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64,417</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52,817</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(7,130)</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(7,906)</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(22,374)</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(20,167)</w:t>
            </w:r>
          </w:p>
        </w:tc>
        <w:tc>
          <w:tcPr>
            <w:tcW w:w="0" w:type="dxa"/>
            <w:vAlign w:val="bottom"/>
          </w:tcPr>
          <w:p>
            <w:pPr>
              <w:spacing w:after="0"/>
              <w:rPr>
                <w:sz w:val="1"/>
                <w:szCs w:val="1"/>
                <w:color w:val="auto"/>
              </w:rPr>
            </w:pPr>
          </w:p>
        </w:tc>
      </w:tr>
      <w:tr>
        <w:trPr>
          <w:trHeight w:val="211"/>
        </w:trPr>
        <w:tc>
          <w:tcPr>
            <w:tcW w:w="3360" w:type="dxa"/>
            <w:vAlign w:val="bottom"/>
          </w:tcPr>
          <w:p>
            <w:pPr>
              <w:ind w:left="44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18,778</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34,164</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68,497</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87,970</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(8,282)</w:t>
            </w:r>
          </w:p>
        </w:tc>
        <w:tc>
          <w:tcPr>
            <w:tcW w:w="16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10,811</w:t>
            </w:r>
          </w:p>
        </w:tc>
        <w:tc>
          <w:tcPr>
            <w:tcW w:w="18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(2,801)</w:t>
            </w:r>
          </w:p>
        </w:tc>
        <w:tc>
          <w:tcPr>
            <w:tcW w:w="180" w:type="dxa"/>
            <w:vAlign w:val="bottom"/>
          </w:tcPr>
          <w:p>
            <w:pPr>
              <w:spacing w:after="0"/>
              <w:rPr>
                <w:sz w:val="22"/>
                <w:szCs w:val="22"/>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9,486</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12,349</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9,067</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30,033</w:t>
            </w:r>
          </w:p>
        </w:tc>
        <w:tc>
          <w:tcPr>
            <w:tcW w:w="1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23,140</w:t>
            </w:r>
          </w:p>
        </w:tc>
        <w:tc>
          <w:tcPr>
            <w:tcW w:w="0" w:type="dxa"/>
            <w:vAlign w:val="bottom"/>
          </w:tcPr>
          <w:p>
            <w:pPr>
              <w:spacing w:after="0"/>
              <w:rPr>
                <w:sz w:val="1"/>
                <w:szCs w:val="1"/>
                <w:color w:val="auto"/>
              </w:rPr>
            </w:pPr>
          </w:p>
        </w:tc>
      </w:tr>
      <w:tr>
        <w:trPr>
          <w:trHeight w:val="258"/>
        </w:trPr>
        <w:tc>
          <w:tcPr>
            <w:tcW w:w="3360" w:type="dxa"/>
            <w:vAlign w:val="bottom"/>
          </w:tcPr>
          <w:p>
            <w:pPr>
              <w:ind w:left="200"/>
              <w:spacing w:after="0"/>
              <w:rPr>
                <w:sz w:val="20"/>
                <w:szCs w:val="20"/>
                <w:color w:val="auto"/>
              </w:rPr>
            </w:pPr>
            <w:r>
              <w:rPr>
                <w:rFonts w:ascii="Arial" w:cs="Arial" w:eastAsia="Arial" w:hAnsi="Arial"/>
                <w:sz w:val="16"/>
                <w:szCs w:val="16"/>
                <w:color w:val="auto"/>
              </w:rPr>
              <w:t>Corporate, other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(4,023)</w:t>
            </w:r>
          </w:p>
        </w:tc>
        <w:tc>
          <w:tcPr>
            <w:tcW w:w="1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(3,839)</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(15,857)</w:t>
            </w:r>
          </w:p>
        </w:tc>
        <w:tc>
          <w:tcPr>
            <w:tcW w:w="1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(10,319)</w:t>
            </w:r>
          </w:p>
        </w:tc>
        <w:tc>
          <w:tcPr>
            <w:tcW w:w="0" w:type="dxa"/>
            <w:vAlign w:val="bottom"/>
          </w:tcPr>
          <w:p>
            <w:pPr>
              <w:spacing w:after="0"/>
              <w:rPr>
                <w:sz w:val="1"/>
                <w:szCs w:val="1"/>
                <w:color w:val="auto"/>
              </w:rPr>
            </w:pPr>
          </w:p>
        </w:tc>
      </w:tr>
      <w:tr>
        <w:trPr>
          <w:trHeight w:val="210"/>
        </w:trPr>
        <w:tc>
          <w:tcPr>
            <w:tcW w:w="3360" w:type="dxa"/>
            <w:vAlign w:val="bottom"/>
          </w:tcPr>
          <w:p>
            <w:pPr>
              <w:ind w:left="44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16,039</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11,375</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22,307</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160"/>
          </w:cols>
          <w:pgMar w:left="1380" w:top="895" w:right="1359" w:bottom="1440" w:gutter="0" w:footer="0" w:header="0"/>
        </w:sectPr>
      </w:pPr>
    </w:p>
    <w:bookmarkStart w:id="11" w:name="page12"/>
    <w:bookmarkEnd w:id="11"/>
    <w:p>
      <w:pPr>
        <w:jc w:val="center"/>
        <w:ind w:right="-11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NON-GAAP RECONCILIATIONS</w:t>
      </w:r>
    </w:p>
    <w:p>
      <w:pPr>
        <w:spacing w:after="0" w:line="19"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111"/>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3" w:lineRule="exact"/>
        <w:rPr>
          <w:sz w:val="20"/>
          <w:szCs w:val="20"/>
          <w:color w:val="auto"/>
        </w:rPr>
      </w:pPr>
    </w:p>
    <w:tbl>
      <w:tblPr>
        <w:tblLayout w:type="fixed"/>
        <w:tblInd w:w="1632" w:type="dxa"/>
        <w:tblCellMar>
          <w:top w:w="0" w:type="dxa"/>
          <w:left w:w="0" w:type="dxa"/>
          <w:bottom w:w="0" w:type="dxa"/>
          <w:right w:w="0" w:type="dxa"/>
        </w:tblCellMar>
      </w:tblPr>
      <w:tr>
        <w:trPr>
          <w:trHeight w:val="184"/>
        </w:trPr>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vMerge w:val="restart"/>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260" w:type="dxa"/>
            <w:vAlign w:val="bottom"/>
            <w:gridSpan w:val="5"/>
            <w:vMerge w:val="restart"/>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Twelve Months</w:t>
            </w: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Ended</w:t>
            </w: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gridSpan w:val="5"/>
          </w:tcPr>
          <w:p>
            <w:pPr>
              <w:ind w:left="36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9"/>
                <w:szCs w:val="19"/>
                <w:color w:val="auto"/>
              </w:rPr>
            </w:pPr>
          </w:p>
        </w:tc>
        <w:tc>
          <w:tcPr>
            <w:tcW w:w="226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9"/>
                <w:szCs w:val="19"/>
                <w:color w:val="auto"/>
              </w:rPr>
            </w:pP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3"/>
        </w:trPr>
        <w:tc>
          <w:tcPr>
            <w:tcW w:w="16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518"/>
        </w:trPr>
        <w:tc>
          <w:tcPr>
            <w:tcW w:w="164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17,886</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28,043</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64,612</w:t>
            </w:r>
          </w:p>
        </w:tc>
        <w:tc>
          <w:tcPr>
            <w:tcW w:w="16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79,805</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113,744</w:t>
            </w: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18,778</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34,164</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68,497</w:t>
            </w:r>
          </w:p>
        </w:tc>
        <w:tc>
          <w:tcPr>
            <w:tcW w:w="16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87,970</w:t>
            </w:r>
          </w:p>
        </w:tc>
        <w:tc>
          <w:tcPr>
            <w:tcW w:w="1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87,021</w:t>
            </w: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0"/>
                <w:szCs w:val="20"/>
                <w:color w:val="auto"/>
              </w:rPr>
            </w:pPr>
            <w:r>
              <w:rPr>
                <w:rFonts w:ascii="Arial" w:cs="Arial" w:eastAsia="Arial" w:hAnsi="Arial"/>
                <w:sz w:val="16"/>
                <w:szCs w:val="16"/>
                <w:color w:val="auto"/>
              </w:rPr>
              <w:t>Free Cash Flow (2)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28,278</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31,721</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66,309</w:t>
            </w:r>
          </w:p>
        </w:tc>
        <w:tc>
          <w:tcPr>
            <w:tcW w:w="16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42,484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1640" w:type="dxa"/>
            <w:vAlign w:val="bottom"/>
          </w:tcPr>
          <w:p>
            <w:pPr>
              <w:spacing w:after="0" w:line="164" w:lineRule="exact"/>
              <w:rPr>
                <w:sz w:val="20"/>
                <w:szCs w:val="20"/>
                <w:color w:val="auto"/>
              </w:rPr>
            </w:pPr>
            <w:r>
              <w:rPr>
                <w:rFonts w:ascii="Arial" w:cs="Arial" w:eastAsia="Arial" w:hAnsi="Arial"/>
                <w:sz w:val="16"/>
                <w:szCs w:val="16"/>
                <w:color w:val="auto"/>
              </w:rPr>
              <w:t>Net Leverage Ratio</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0.3x</w:t>
            </w:r>
          </w:p>
        </w:tc>
        <w:tc>
          <w:tcPr>
            <w:tcW w:w="0" w:type="dxa"/>
            <w:vAlign w:val="bottom"/>
          </w:tcPr>
          <w:p>
            <w:pPr>
              <w:spacing w:after="0"/>
              <w:rPr>
                <w:sz w:val="1"/>
                <w:szCs w:val="1"/>
                <w:color w:val="auto"/>
              </w:rPr>
            </w:pPr>
          </w:p>
        </w:tc>
      </w:tr>
      <w:tr>
        <w:trPr>
          <w:trHeight w:val="215"/>
        </w:trPr>
        <w:tc>
          <w:tcPr>
            <w:tcW w:w="1640" w:type="dxa"/>
            <w:vAlign w:val="bottom"/>
          </w:tcPr>
          <w:p>
            <w:pPr>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32" w:right="2180" w:hanging="332"/>
        <w:spacing w:after="0" w:line="256" w:lineRule="auto"/>
        <w:tabs>
          <w:tab w:leader="none" w:pos="32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 Adjusted EBITDA is a non-GAAP financial measure that is</w:t>
      </w:r>
    </w:p>
    <w:p>
      <w:pPr>
        <w:spacing w:after="0" w:line="1" w:lineRule="exact"/>
        <w:rPr>
          <w:rFonts w:ascii="Arial" w:cs="Arial" w:eastAsia="Arial" w:hAnsi="Arial"/>
          <w:sz w:val="16"/>
          <w:szCs w:val="16"/>
          <w:color w:val="auto"/>
        </w:rPr>
      </w:pPr>
    </w:p>
    <w:p>
      <w:pPr>
        <w:ind w:left="332" w:right="80"/>
        <w:spacing w:after="0" w:line="238" w:lineRule="auto"/>
        <w:rPr>
          <w:rFonts w:ascii="Arial" w:cs="Arial" w:eastAsia="Arial" w:hAnsi="Arial"/>
          <w:sz w:val="16"/>
          <w:szCs w:val="16"/>
          <w:color w:val="auto"/>
        </w:rPr>
      </w:pPr>
      <w:r>
        <w:rPr>
          <w:rFonts w:ascii="Arial" w:cs="Arial" w:eastAsia="Arial" w:hAnsi="Arial"/>
          <w:sz w:val="16"/>
          <w:szCs w:val="16"/>
          <w:color w:val="auto"/>
        </w:rPr>
        <w:t>defined as EBITDA adjusted to exclude certain other unusual or non-operating items. For the three months ended September 30, 2024, Civeo revised its definition of Adjusted EBITDA to exclude non-cash share-based compensation. Comparative periods presented were also updated to reflect this revision.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24" w:lineRule="exact"/>
        <w:rPr>
          <w:rFonts w:ascii="Arial" w:cs="Arial" w:eastAsia="Arial" w:hAnsi="Arial"/>
          <w:sz w:val="16"/>
          <w:szCs w:val="16"/>
          <w:color w:val="auto"/>
        </w:rPr>
      </w:pPr>
    </w:p>
    <w:p>
      <w:pPr>
        <w:ind w:left="332" w:right="20"/>
        <w:spacing w:after="0" w:line="304"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228" w:lineRule="exact"/>
        <w:rPr>
          <w:sz w:val="20"/>
          <w:szCs w:val="20"/>
          <w:color w:val="auto"/>
        </w:rPr>
      </w:pPr>
    </w:p>
    <w:tbl>
      <w:tblPr>
        <w:tblLayout w:type="fixed"/>
        <w:tblInd w:w="792"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5"/>
            <w:vMerge w:val="restart"/>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300" w:type="dxa"/>
            <w:vAlign w:val="bottom"/>
            <w:gridSpan w:val="5"/>
            <w:vMerge w:val="restart"/>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120" w:type="dxa"/>
            <w:vAlign w:val="bottom"/>
          </w:tcPr>
          <w:p>
            <w:pPr>
              <w:spacing w:after="0"/>
              <w:rPr>
                <w:sz w:val="16"/>
                <w:szCs w:val="16"/>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Twelve Months</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vMerge w:val="continue"/>
          </w:tcPr>
          <w:p>
            <w:pPr>
              <w:spacing w:after="0"/>
              <w:rPr>
                <w:sz w:val="14"/>
                <w:szCs w:val="14"/>
                <w:color w:val="auto"/>
              </w:rPr>
            </w:pPr>
          </w:p>
        </w:tc>
        <w:tc>
          <w:tcPr>
            <w:tcW w:w="142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Ended September</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9"/>
                <w:szCs w:val="19"/>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9"/>
                <w:szCs w:val="19"/>
                <w:color w:val="auto"/>
              </w:rPr>
            </w:pPr>
          </w:p>
        </w:tc>
        <w:tc>
          <w:tcPr>
            <w:tcW w:w="1300" w:type="dxa"/>
            <w:vAlign w:val="bottom"/>
          </w:tcPr>
          <w:p>
            <w:pPr>
              <w:jc w:val="right"/>
              <w:ind w:right="519"/>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263"/>
        </w:trPr>
        <w:tc>
          <w:tcPr>
            <w:tcW w:w="3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412"/>
        </w:trPr>
        <w:tc>
          <w:tcPr>
            <w:tcW w:w="3240" w:type="dxa"/>
            <w:vAlign w:val="bottom"/>
          </w:tcPr>
          <w:p>
            <w:pPr>
              <w:spacing w:after="0"/>
              <w:rPr>
                <w:sz w:val="20"/>
                <w:szCs w:val="20"/>
                <w:color w:val="auto"/>
              </w:rPr>
            </w:pPr>
            <w:r>
              <w:rPr>
                <w:rFonts w:ascii="Arial" w:cs="Arial" w:eastAsia="Arial" w:hAnsi="Arial"/>
                <w:sz w:val="16"/>
                <w:szCs w:val="16"/>
                <w:color w:val="auto"/>
              </w:rPr>
              <w:t>Net income (loss) attributable to Civeo</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(5,091)</w:t>
            </w:r>
          </w:p>
        </w:tc>
        <w:tc>
          <w:tcPr>
            <w:tcW w:w="160" w:type="dxa"/>
            <w:vAlign w:val="bottom"/>
          </w:tcPr>
          <w:p>
            <w:pPr>
              <w:spacing w:after="0"/>
              <w:rPr>
                <w:sz w:val="24"/>
                <w:szCs w:val="2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9,022</w:t>
            </w:r>
          </w:p>
        </w:tc>
        <w:tc>
          <w:tcPr>
            <w:tcW w:w="160" w:type="dxa"/>
            <w:vAlign w:val="bottom"/>
          </w:tcPr>
          <w:p>
            <w:pPr>
              <w:spacing w:after="0"/>
              <w:rPr>
                <w:sz w:val="24"/>
                <w:szCs w:val="2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(1,997)</w:t>
            </w:r>
          </w:p>
        </w:tc>
        <w:tc>
          <w:tcPr>
            <w:tcW w:w="180" w:type="dxa"/>
            <w:vAlign w:val="bottom"/>
          </w:tcPr>
          <w:p>
            <w:pPr>
              <w:spacing w:after="0"/>
              <w:rPr>
                <w:sz w:val="24"/>
                <w:szCs w:val="24"/>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7,132</w:t>
            </w:r>
          </w:p>
        </w:tc>
        <w:tc>
          <w:tcPr>
            <w:tcW w:w="180" w:type="dxa"/>
            <w:vAlign w:val="bottom"/>
          </w:tcPr>
          <w:p>
            <w:pPr>
              <w:spacing w:after="0"/>
              <w:rPr>
                <w:sz w:val="24"/>
                <w:szCs w:val="24"/>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vMerge w:val="restart"/>
          </w:tcPr>
          <w:p>
            <w:pPr>
              <w:jc w:val="right"/>
              <w:ind w:right="19"/>
              <w:spacing w:after="0"/>
              <w:rPr>
                <w:sz w:val="20"/>
                <w:szCs w:val="20"/>
                <w:color w:val="auto"/>
              </w:rPr>
            </w:pPr>
            <w:r>
              <w:rPr>
                <w:rFonts w:ascii="Arial" w:cs="Arial" w:eastAsia="Arial" w:hAnsi="Arial"/>
                <w:sz w:val="16"/>
                <w:szCs w:val="16"/>
                <w:color w:val="auto"/>
              </w:rPr>
              <w:t>21,028</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20"/>
                <w:szCs w:val="20"/>
                <w:color w:val="auto"/>
              </w:rPr>
            </w:pPr>
            <w:r>
              <w:rPr>
                <w:rFonts w:ascii="Arial" w:cs="Arial" w:eastAsia="Arial" w:hAnsi="Arial"/>
                <w:sz w:val="16"/>
                <w:szCs w:val="16"/>
                <w:color w:val="auto"/>
              </w:rPr>
              <w:t>Corporation</w:t>
            </w:r>
          </w:p>
        </w:tc>
        <w:tc>
          <w:tcPr>
            <w:tcW w:w="2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24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3,862</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(1,214)</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9,199</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2,897</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16,935</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17,440</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16,914</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51,269</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59,277</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67,134</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(126)</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71"/>
        </w:trPr>
        <w:tc>
          <w:tcPr>
            <w:tcW w:w="3240" w:type="dxa"/>
            <w:vAlign w:val="bottom"/>
          </w:tcPr>
          <w:p>
            <w:pPr>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1,725</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3,365</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6,288</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10,625</w:t>
            </w: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8,840</w:t>
            </w:r>
          </w:p>
        </w:tc>
        <w:tc>
          <w:tcPr>
            <w:tcW w:w="0" w:type="dxa"/>
            <w:vAlign w:val="bottom"/>
          </w:tcPr>
          <w:p>
            <w:pPr>
              <w:spacing w:after="0"/>
              <w:rPr>
                <w:sz w:val="1"/>
                <w:szCs w:val="1"/>
                <w:color w:val="auto"/>
              </w:rPr>
            </w:pPr>
          </w:p>
        </w:tc>
      </w:tr>
      <w:tr>
        <w:trPr>
          <w:trHeight w:val="249"/>
        </w:trPr>
        <w:tc>
          <w:tcPr>
            <w:tcW w:w="3240" w:type="dxa"/>
            <w:vAlign w:val="bottom"/>
          </w:tcPr>
          <w:p>
            <w:pPr>
              <w:spacing w:after="0"/>
              <w:rPr>
                <w:sz w:val="20"/>
                <w:szCs w:val="20"/>
                <w:color w:val="auto"/>
              </w:rPr>
            </w:pPr>
            <w:r>
              <w:rPr>
                <w:rFonts w:ascii="Arial" w:cs="Arial" w:eastAsia="Arial" w:hAnsi="Arial"/>
                <w:sz w:val="16"/>
                <w:szCs w:val="16"/>
                <w:color w:val="auto"/>
              </w:rPr>
              <w:t>EBITDA</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17,886</w:t>
            </w:r>
          </w:p>
        </w:tc>
        <w:tc>
          <w:tcPr>
            <w:tcW w:w="16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28,043</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64,612</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79,805</w:t>
            </w:r>
          </w:p>
        </w:tc>
        <w:tc>
          <w:tcPr>
            <w:tcW w:w="180" w:type="dxa"/>
            <w:vAlign w:val="bottom"/>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113,744</w:t>
            </w: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0"/>
                <w:szCs w:val="20"/>
                <w:color w:val="auto"/>
              </w:rPr>
            </w:pPr>
            <w:r>
              <w:rPr>
                <w:rFonts w:ascii="Arial" w:cs="Arial" w:eastAsia="Arial" w:hAnsi="Arial"/>
                <w:sz w:val="16"/>
                <w:szCs w:val="16"/>
                <w:color w:val="auto"/>
              </w:rPr>
              <w:t>Adjustments to EBITDA</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20"/>
              <w:spacing w:after="0"/>
              <w:rPr>
                <w:sz w:val="20"/>
                <w:szCs w:val="20"/>
                <w:color w:val="auto"/>
              </w:rPr>
            </w:pPr>
            <w:r>
              <w:rPr>
                <w:rFonts w:ascii="Arial" w:cs="Arial" w:eastAsia="Arial" w:hAnsi="Arial"/>
                <w:sz w:val="16"/>
                <w:szCs w:val="16"/>
                <w:color w:val="auto"/>
              </w:rPr>
              <w:t>Impairment of long-lived assets (a)</w:t>
            </w:r>
          </w:p>
        </w:tc>
        <w:tc>
          <w:tcPr>
            <w:tcW w:w="22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7,823</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9,218</w:t>
            </w:r>
          </w:p>
        </w:tc>
        <w:tc>
          <w:tcPr>
            <w:tcW w:w="0" w:type="dxa"/>
            <w:vAlign w:val="bottom"/>
          </w:tcPr>
          <w:p>
            <w:pPr>
              <w:spacing w:after="0"/>
              <w:rPr>
                <w:sz w:val="1"/>
                <w:szCs w:val="1"/>
                <w:color w:val="auto"/>
              </w:rPr>
            </w:pPr>
          </w:p>
        </w:tc>
      </w:tr>
      <w:tr>
        <w:trPr>
          <w:trHeight w:val="204"/>
        </w:trPr>
        <w:tc>
          <w:tcPr>
            <w:tcW w:w="3240" w:type="dxa"/>
            <w:vAlign w:val="bottom"/>
          </w:tcPr>
          <w:p>
            <w:pPr>
              <w:ind w:left="220"/>
              <w:spacing w:after="0"/>
              <w:rPr>
                <w:sz w:val="20"/>
                <w:szCs w:val="20"/>
                <w:color w:val="auto"/>
              </w:rPr>
            </w:pPr>
            <w:r>
              <w:rPr>
                <w:rFonts w:ascii="Arial" w:cs="Arial" w:eastAsia="Arial" w:hAnsi="Arial"/>
                <w:sz w:val="16"/>
                <w:szCs w:val="16"/>
                <w:color w:val="auto"/>
              </w:rPr>
              <w:t>Net (gain) loss on disposition of</w:t>
            </w:r>
          </w:p>
        </w:tc>
        <w:tc>
          <w:tcPr>
            <w:tcW w:w="220" w:type="dxa"/>
            <w:vAlign w:val="bottom"/>
          </w:tcPr>
          <w:p>
            <w:pPr>
              <w:spacing w:after="0"/>
              <w:rPr>
                <w:sz w:val="17"/>
                <w:szCs w:val="17"/>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171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4,868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(5,817)</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4,868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(38,983)</w:t>
            </w:r>
          </w:p>
        </w:tc>
        <w:tc>
          <w:tcPr>
            <w:tcW w:w="0" w:type="dxa"/>
            <w:vAlign w:val="bottom"/>
          </w:tcPr>
          <w:p>
            <w:pPr>
              <w:spacing w:after="0"/>
              <w:rPr>
                <w:sz w:val="1"/>
                <w:szCs w:val="1"/>
                <w:color w:val="auto"/>
              </w:rPr>
            </w:pPr>
          </w:p>
        </w:tc>
      </w:tr>
      <w:tr>
        <w:trPr>
          <w:trHeight w:val="215"/>
        </w:trPr>
        <w:tc>
          <w:tcPr>
            <w:tcW w:w="3240" w:type="dxa"/>
            <w:vAlign w:val="bottom"/>
          </w:tcPr>
          <w:p>
            <w:pPr>
              <w:ind w:left="220"/>
              <w:spacing w:after="0"/>
              <w:rPr>
                <w:sz w:val="20"/>
                <w:szCs w:val="20"/>
                <w:color w:val="auto"/>
              </w:rPr>
            </w:pPr>
            <w:r>
              <w:rPr>
                <w:rFonts w:ascii="Arial" w:cs="Arial" w:eastAsia="Arial" w:hAnsi="Arial"/>
                <w:sz w:val="16"/>
                <w:szCs w:val="16"/>
                <w:color w:val="auto"/>
              </w:rPr>
              <w:t>McClelland Lake Lodge assets (b)</w:t>
            </w: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180"/>
              <w:spacing w:after="0"/>
              <w:rPr>
                <w:sz w:val="20"/>
                <w:szCs w:val="20"/>
                <w:color w:val="auto"/>
              </w:rPr>
            </w:pPr>
            <w:r>
              <w:rPr>
                <w:rFonts w:ascii="Arial" w:cs="Arial" w:eastAsia="Arial" w:hAnsi="Arial"/>
                <w:sz w:val="16"/>
                <w:szCs w:val="16"/>
                <w:color w:val="auto"/>
              </w:rPr>
              <w:t>Share-based compensation (c)</w:t>
            </w: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721</w:t>
            </w:r>
          </w:p>
        </w:tc>
        <w:tc>
          <w:tcPr>
            <w:tcW w:w="1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1,253</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1,879</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3,297</w:t>
            </w:r>
          </w:p>
        </w:tc>
        <w:tc>
          <w:tcPr>
            <w:tcW w:w="1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3,042</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18,778</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34,164</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68,497</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87,970</w:t>
            </w:r>
          </w:p>
        </w:tc>
        <w:tc>
          <w:tcPr>
            <w:tcW w:w="18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87,021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652" w:hanging="328"/>
        <w:spacing w:after="0" w:line="265" w:lineRule="auto"/>
        <w:tabs>
          <w:tab w:leader="none" w:pos="647"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asset impairments in the first quarter of 2024 and the fourth quarter of 2023. In the first quarter of 2024, we recorded a pre-tax loss related to the impairment of long-lived assets in our Australian segment of $5.7 million and a pre-tax loss related to the impairment of long-lived assets in the U.S. of $2.1 million. In the fourth quarter of 2023, we recorded a pre-tax loss related to the impairment of long-lived assets in the U.S. of $1.4 million.</w:t>
      </w:r>
    </w:p>
    <w:p>
      <w:pPr>
        <w:sectPr>
          <w:pgSz w:w="11900" w:h="16838" w:orient="portrait"/>
          <w:cols w:equalWidth="0" w:num="1">
            <w:col w:w="11132"/>
          </w:cols>
          <w:pgMar w:left="328" w:top="895" w:right="439" w:bottom="1440" w:gutter="0" w:footer="0" w:header="0"/>
        </w:sectPr>
      </w:pPr>
    </w:p>
    <w:bookmarkStart w:id="12" w:name="page13"/>
    <w:bookmarkEnd w:id="12"/>
    <w:p>
      <w:pPr>
        <w:ind w:left="652" w:hanging="328"/>
        <w:spacing w:after="0" w:line="258" w:lineRule="auto"/>
        <w:tabs>
          <w:tab w:leader="none" w:pos="647" w:val="left"/>
        </w:tabs>
        <w:numPr>
          <w:ilvl w:val="1"/>
          <w:numId w:val="6"/>
        </w:numPr>
        <w:rPr>
          <w:rFonts w:ascii="Arial" w:cs="Arial" w:eastAsia="Arial" w:hAnsi="Arial"/>
          <w:sz w:val="16"/>
          <w:szCs w:val="16"/>
          <w:color w:val="auto"/>
        </w:rPr>
      </w:pPr>
      <w:r>
        <w:rPr>
          <w:rFonts w:ascii="Arial" w:cs="Arial" w:eastAsia="Arial" w:hAnsi="Arial"/>
          <w:sz w:val="16"/>
          <w:szCs w:val="16"/>
          <w:color w:val="auto"/>
        </w:rPr>
        <w:t>Relates to proceeds received and expenses incurred associated with the dismantlement and sale of the McClelland Lake Lodge. In the third quarter of 2024, we recorded expenses associated with the sale of our McClelland Lake Lodge of $0.2 million, which are included in (Gain) loss on sale of McClelland Lake Lodge assets, net on the unaudited statements of operations. In the second quarter of 2024, we recorded expenses associated with the sale of our McClelland Lake Lodge of $0.1 million, which are included in (Gain) loss on sale of McClelland Lake Lodge assets, net on the unaudited statements of operations. In the first quarter of 2024, we recorded gains associated with the sale of the McClelland Lake Lodge of $6.1 million, which are included in (Gain) loss on sale of McClelland Lake Lodge assets, net on the unaudited statements of operations. In the fourth quarter of 2023, we recorded gains associated with the sale of the McClelland Lake Lodge of $33.2 million, which are included in (Gain) loss on sale of McClelland Lake Lodge assets, net ($23.5 million) and Other income ($9.7 million) on the unaudited statements of operations. In the third quarter of 2023, we recorded expenses associated with the sale of our McClelland Lake Lodge of $4.9 million, which are included in Other income (expense) on the unaudited statements of operations.</w:t>
      </w:r>
    </w:p>
    <w:p>
      <w:pPr>
        <w:spacing w:after="0" w:line="209" w:lineRule="exact"/>
        <w:rPr>
          <w:rFonts w:ascii="Arial" w:cs="Arial" w:eastAsia="Arial" w:hAnsi="Arial"/>
          <w:sz w:val="16"/>
          <w:szCs w:val="16"/>
          <w:color w:val="auto"/>
        </w:rPr>
      </w:pPr>
    </w:p>
    <w:p>
      <w:pPr>
        <w:ind w:left="652" w:right="280" w:hanging="328"/>
        <w:spacing w:after="0" w:line="286" w:lineRule="auto"/>
        <w:tabs>
          <w:tab w:leader="none" w:pos="652" w:val="left"/>
        </w:tabs>
        <w:numPr>
          <w:ilvl w:val="1"/>
          <w:numId w:val="6"/>
        </w:numPr>
        <w:rPr>
          <w:rFonts w:ascii="Arial" w:cs="Arial" w:eastAsia="Arial" w:hAnsi="Arial"/>
          <w:sz w:val="16"/>
          <w:szCs w:val="16"/>
          <w:color w:val="auto"/>
        </w:rPr>
      </w:pPr>
      <w:r>
        <w:rPr>
          <w:rFonts w:ascii="Arial" w:cs="Arial" w:eastAsia="Arial" w:hAnsi="Arial"/>
          <w:sz w:val="16"/>
          <w:szCs w:val="16"/>
          <w:color w:val="auto"/>
        </w:rPr>
        <w:t>Represents share-based compensation expense associated with performance share awards, restricted share awards, restricted share units and deferred share awards.</w:t>
      </w:r>
    </w:p>
    <w:p>
      <w:pPr>
        <w:spacing w:after="0" w:line="196" w:lineRule="exact"/>
        <w:rPr>
          <w:rFonts w:ascii="Arial" w:cs="Arial" w:eastAsia="Arial" w:hAnsi="Arial"/>
          <w:sz w:val="16"/>
          <w:szCs w:val="16"/>
          <w:color w:val="auto"/>
        </w:rPr>
      </w:pPr>
    </w:p>
    <w:p>
      <w:pPr>
        <w:ind w:left="332" w:right="2020" w:hanging="332"/>
        <w:spacing w:after="0" w:line="258"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Free Cash Flow is a non-GAAP financial measure that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w:t>
      </w:r>
    </w:p>
    <w:p>
      <w:pPr>
        <w:spacing w:after="0" w:line="204" w:lineRule="exact"/>
        <w:rPr>
          <w:rFonts w:ascii="Arial" w:cs="Arial" w:eastAsia="Arial" w:hAnsi="Arial"/>
          <w:sz w:val="16"/>
          <w:szCs w:val="16"/>
          <w:color w:val="auto"/>
        </w:rPr>
      </w:pPr>
    </w:p>
    <w:p>
      <w:pPr>
        <w:ind w:left="332" w:right="740"/>
        <w:spacing w:after="0" w:line="304"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28" w:lineRule="exact"/>
        <w:rPr>
          <w:sz w:val="20"/>
          <w:szCs w:val="20"/>
          <w:color w:val="auto"/>
        </w:rPr>
      </w:pPr>
    </w:p>
    <w:tbl>
      <w:tblPr>
        <w:tblLayout w:type="fixed"/>
        <w:tblInd w:w="1032"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5"/>
          </w:tcPr>
          <w:p>
            <w:pPr>
              <w:ind w:left="38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9"/>
                <w:szCs w:val="19"/>
                <w:color w:val="auto"/>
              </w:rPr>
            </w:pPr>
          </w:p>
        </w:tc>
        <w:tc>
          <w:tcPr>
            <w:tcW w:w="21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3"/>
        </w:trPr>
        <w:tc>
          <w:tcPr>
            <w:tcW w:w="4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518"/>
        </w:trPr>
        <w:tc>
          <w:tcPr>
            <w:tcW w:w="434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35,671</w:t>
            </w:r>
          </w:p>
        </w:tc>
        <w:tc>
          <w:tcPr>
            <w:tcW w:w="2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36,832</w:t>
            </w:r>
          </w:p>
        </w:tc>
        <w:tc>
          <w:tcPr>
            <w:tcW w:w="2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center"/>
              <w:ind w:left="79"/>
              <w:spacing w:after="0"/>
              <w:rPr>
                <w:sz w:val="20"/>
                <w:szCs w:val="20"/>
                <w:color w:val="auto"/>
              </w:rPr>
            </w:pPr>
            <w:r>
              <w:rPr>
                <w:rFonts w:ascii="Arial" w:cs="Arial" w:eastAsia="Arial" w:hAnsi="Arial"/>
                <w:sz w:val="16"/>
                <w:szCs w:val="16"/>
                <w:color w:val="auto"/>
                <w:w w:val="98"/>
              </w:rPr>
              <w:t>74,014</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56,593</w:t>
            </w:r>
          </w:p>
        </w:tc>
        <w:tc>
          <w:tcPr>
            <w:tcW w:w="0" w:type="dxa"/>
            <w:vAlign w:val="bottom"/>
          </w:tcPr>
          <w:p>
            <w:pPr>
              <w:spacing w:after="0"/>
              <w:rPr>
                <w:sz w:val="1"/>
                <w:szCs w:val="1"/>
                <w:color w:val="auto"/>
              </w:rPr>
            </w:pPr>
          </w:p>
        </w:tc>
      </w:tr>
      <w:tr>
        <w:trPr>
          <w:trHeight w:val="270"/>
        </w:trPr>
        <w:tc>
          <w:tcPr>
            <w:tcW w:w="434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(7,476)</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(9,462)</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center"/>
              <w:ind w:left="59"/>
              <w:spacing w:after="0"/>
              <w:rPr>
                <w:sz w:val="20"/>
                <w:szCs w:val="20"/>
                <w:color w:val="auto"/>
              </w:rPr>
            </w:pPr>
            <w:r>
              <w:rPr>
                <w:rFonts w:ascii="Arial" w:cs="Arial" w:eastAsia="Arial" w:hAnsi="Arial"/>
                <w:sz w:val="16"/>
                <w:szCs w:val="16"/>
                <w:color w:val="auto"/>
              </w:rPr>
              <w:t>(18,405)</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(21,179)</w:t>
            </w:r>
          </w:p>
        </w:tc>
        <w:tc>
          <w:tcPr>
            <w:tcW w:w="0" w:type="dxa"/>
            <w:vAlign w:val="bottom"/>
          </w:tcPr>
          <w:p>
            <w:pPr>
              <w:spacing w:after="0"/>
              <w:rPr>
                <w:sz w:val="1"/>
                <w:szCs w:val="1"/>
                <w:color w:val="auto"/>
              </w:rPr>
            </w:pPr>
          </w:p>
        </w:tc>
      </w:tr>
      <w:tr>
        <w:trPr>
          <w:trHeight w:val="164"/>
        </w:trPr>
        <w:tc>
          <w:tcPr>
            <w:tcW w:w="4340" w:type="dxa"/>
            <w:vAlign w:val="bottom"/>
          </w:tcPr>
          <w:p>
            <w:pPr>
              <w:ind w:left="120"/>
              <w:spacing w:after="0" w:line="164" w:lineRule="exact"/>
              <w:rPr>
                <w:sz w:val="20"/>
                <w:szCs w:val="20"/>
                <w:color w:val="auto"/>
              </w:rPr>
            </w:pPr>
            <w:r>
              <w:rPr>
                <w:rFonts w:ascii="Arial" w:cs="Arial" w:eastAsia="Arial" w:hAnsi="Arial"/>
                <w:sz w:val="16"/>
                <w:szCs w:val="16"/>
                <w:color w:val="auto"/>
              </w:rPr>
              <w:t>Proceeds from dispositions of property, plant and</w:t>
            </w: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83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4,351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center"/>
              <w:ind w:left="79"/>
              <w:spacing w:after="0"/>
              <w:rPr>
                <w:sz w:val="20"/>
                <w:szCs w:val="20"/>
                <w:color w:val="auto"/>
              </w:rPr>
            </w:pPr>
            <w:r>
              <w:rPr>
                <w:rFonts w:ascii="Arial" w:cs="Arial" w:eastAsia="Arial" w:hAnsi="Arial"/>
                <w:sz w:val="16"/>
                <w:szCs w:val="16"/>
                <w:color w:val="auto"/>
                <w:w w:val="98"/>
              </w:rPr>
              <w:t>10,700</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7,070</w:t>
            </w:r>
          </w:p>
        </w:tc>
        <w:tc>
          <w:tcPr>
            <w:tcW w:w="0" w:type="dxa"/>
            <w:vAlign w:val="bottom"/>
          </w:tcPr>
          <w:p>
            <w:pPr>
              <w:spacing w:after="0"/>
              <w:rPr>
                <w:sz w:val="1"/>
                <w:szCs w:val="1"/>
                <w:color w:val="auto"/>
              </w:rPr>
            </w:pPr>
          </w:p>
        </w:tc>
      </w:tr>
      <w:tr>
        <w:trPr>
          <w:trHeight w:val="215"/>
        </w:trPr>
        <w:tc>
          <w:tcPr>
            <w:tcW w:w="4340" w:type="dxa"/>
            <w:vAlign w:val="bottom"/>
          </w:tcPr>
          <w:p>
            <w:pPr>
              <w:ind w:left="120"/>
              <w:spacing w:after="0"/>
              <w:rPr>
                <w:sz w:val="20"/>
                <w:szCs w:val="20"/>
                <w:color w:val="auto"/>
              </w:rPr>
            </w:pPr>
            <w:r>
              <w:rPr>
                <w:rFonts w:ascii="Arial" w:cs="Arial" w:eastAsia="Arial" w:hAnsi="Arial"/>
                <w:sz w:val="16"/>
                <w:szCs w:val="16"/>
                <w:color w:val="auto"/>
              </w:rPr>
              <w:t>equipment</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40" w:type="dxa"/>
            <w:vAlign w:val="bottom"/>
          </w:tcPr>
          <w:p>
            <w:pPr>
              <w:ind w:left="120"/>
              <w:spacing w:after="0"/>
              <w:rPr>
                <w:sz w:val="20"/>
                <w:szCs w:val="20"/>
                <w:color w:val="auto"/>
              </w:rPr>
            </w:pPr>
            <w:r>
              <w:rPr>
                <w:rFonts w:ascii="Arial" w:cs="Arial" w:eastAsia="Arial" w:hAnsi="Arial"/>
                <w:sz w:val="16"/>
                <w:szCs w:val="16"/>
                <w:color w:val="auto"/>
              </w:rPr>
              <w:t>Free Cash Flow</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28,278</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31,721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color w:val="auto"/>
                <w:w w:val="98"/>
              </w:rPr>
              <w:t>66,309</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42,484</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332" w:right="1980" w:hanging="332"/>
        <w:spacing w:after="0" w:line="258" w:lineRule="auto"/>
        <w:tabs>
          <w:tab w:leader="none" w:pos="32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pacing w:after="0" w:line="204" w:lineRule="exact"/>
        <w:rPr>
          <w:rFonts w:ascii="Arial" w:cs="Arial" w:eastAsia="Arial" w:hAnsi="Arial"/>
          <w:sz w:val="16"/>
          <w:szCs w:val="16"/>
          <w:color w:val="auto"/>
        </w:rPr>
      </w:pPr>
    </w:p>
    <w:p>
      <w:pPr>
        <w:ind w:left="332" w:right="300"/>
        <w:spacing w:after="0" w:line="304"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net debt, bank-adjusted EBITDA and net leverage ratio to the most directly comparable measures of financial performance calculated under GAAP (in thousands) (unaudited):</w:t>
      </w:r>
    </w:p>
    <w:p>
      <w:pPr>
        <w:sectPr>
          <w:pgSz w:w="11900" w:h="16838" w:orient="portrait"/>
          <w:cols w:equalWidth="0" w:num="1">
            <w:col w:w="11212"/>
          </w:cols>
          <w:pgMar w:left="328" w:top="1138" w:right="35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b w:val="1"/>
                <w:bCs w:val="1"/>
                <w:color w:val="auto"/>
              </w:rPr>
              <w:t>As of September</w:t>
            </w:r>
          </w:p>
        </w:tc>
      </w:tr>
      <w:tr>
        <w:trPr>
          <w:trHeight w:val="215"/>
        </w:trPr>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30,</w:t>
            </w:r>
          </w:p>
        </w:tc>
      </w:tr>
      <w:tr>
        <w:trPr>
          <w:trHeight w:val="217"/>
        </w:trPr>
        <w:tc>
          <w:tcPr>
            <w:tcW w:w="6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464"/>
        </w:trPr>
        <w:tc>
          <w:tcPr>
            <w:tcW w:w="6260" w:type="dxa"/>
            <w:vAlign w:val="bottom"/>
          </w:tcPr>
          <w:p>
            <w:pPr>
              <w:spacing w:after="0"/>
              <w:rPr>
                <w:sz w:val="20"/>
                <w:szCs w:val="20"/>
                <w:color w:val="auto"/>
              </w:rPr>
            </w:pPr>
            <w:r>
              <w:rPr>
                <w:rFonts w:ascii="Arial" w:cs="Arial" w:eastAsia="Arial" w:hAnsi="Arial"/>
                <w:sz w:val="16"/>
                <w:szCs w:val="16"/>
                <w:color w:val="auto"/>
              </w:rPr>
              <w:t>Total debt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50,078</w:t>
            </w:r>
          </w:p>
        </w:tc>
      </w:tr>
      <w:tr>
        <w:trPr>
          <w:trHeight w:val="217"/>
        </w:trPr>
        <w:tc>
          <w:tcPr>
            <w:tcW w:w="6260" w:type="dxa"/>
            <w:vAlign w:val="bottom"/>
          </w:tcPr>
          <w:p>
            <w:pPr>
              <w:spacing w:after="0"/>
              <w:rPr>
                <w:sz w:val="20"/>
                <w:szCs w:val="20"/>
                <w:color w:val="auto"/>
              </w:rPr>
            </w:pPr>
            <w:r>
              <w:rPr>
                <w:rFonts w:ascii="Arial" w:cs="Arial" w:eastAsia="Arial" w:hAnsi="Arial"/>
                <w:sz w:val="16"/>
                <w:szCs w:val="16"/>
                <w:color w:val="auto"/>
              </w:rPr>
              <w:t>Less: Cash and cash equivalents</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17,910</w:t>
            </w:r>
          </w:p>
        </w:tc>
      </w:tr>
      <w:tr>
        <w:trPr>
          <w:trHeight w:val="211"/>
        </w:trPr>
        <w:tc>
          <w:tcPr>
            <w:tcW w:w="6260" w:type="dxa"/>
            <w:vAlign w:val="bottom"/>
          </w:tcPr>
          <w:p>
            <w:pPr>
              <w:ind w:left="100"/>
              <w:spacing w:after="0"/>
              <w:rPr>
                <w:sz w:val="20"/>
                <w:szCs w:val="20"/>
                <w:color w:val="auto"/>
              </w:rPr>
            </w:pPr>
            <w:r>
              <w:rPr>
                <w:rFonts w:ascii="Arial" w:cs="Arial" w:eastAsia="Arial" w:hAnsi="Arial"/>
                <w:sz w:val="16"/>
                <w:szCs w:val="16"/>
                <w:color w:val="auto"/>
              </w:rPr>
              <w:t>Net debt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32,168</w:t>
            </w:r>
          </w:p>
        </w:tc>
      </w:tr>
      <w:tr>
        <w:trPr>
          <w:trHeight w:val="20"/>
        </w:trPr>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450"/>
        </w:trPr>
        <w:tc>
          <w:tcPr>
            <w:tcW w:w="6260" w:type="dxa"/>
            <w:vAlign w:val="bottom"/>
          </w:tcPr>
          <w:p>
            <w:pPr>
              <w:spacing w:after="0"/>
              <w:rPr>
                <w:sz w:val="20"/>
                <w:szCs w:val="20"/>
                <w:color w:val="auto"/>
              </w:rPr>
            </w:pPr>
            <w:r>
              <w:rPr>
                <w:rFonts w:ascii="Arial" w:cs="Arial" w:eastAsia="Arial" w:hAnsi="Arial"/>
                <w:sz w:val="16"/>
                <w:szCs w:val="16"/>
                <w:color w:val="auto"/>
              </w:rPr>
              <w:t>Adjusted EBITDA for the twelve months ended September 30, 2024 (a)</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87,021</w:t>
            </w:r>
          </w:p>
        </w:tc>
      </w:tr>
      <w:tr>
        <w:trPr>
          <w:trHeight w:val="216"/>
        </w:trPr>
        <w:tc>
          <w:tcPr>
            <w:tcW w:w="6260" w:type="dxa"/>
            <w:vAlign w:val="bottom"/>
          </w:tcPr>
          <w:p>
            <w:pPr>
              <w:spacing w:after="0"/>
              <w:rPr>
                <w:sz w:val="20"/>
                <w:szCs w:val="20"/>
                <w:color w:val="auto"/>
              </w:rPr>
            </w:pPr>
            <w:r>
              <w:rPr>
                <w:rFonts w:ascii="Arial" w:cs="Arial" w:eastAsia="Arial" w:hAnsi="Arial"/>
                <w:sz w:val="16"/>
                <w:szCs w:val="16"/>
                <w:color w:val="auto"/>
              </w:rPr>
              <w:t>Adjustments to Adjusted EBITDA</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7"/>
        </w:trPr>
        <w:tc>
          <w:tcPr>
            <w:tcW w:w="6260" w:type="dxa"/>
            <w:vAlign w:val="bottom"/>
          </w:tcPr>
          <w:p>
            <w:pPr>
              <w:ind w:left="100"/>
              <w:spacing w:after="0"/>
              <w:rPr>
                <w:sz w:val="20"/>
                <w:szCs w:val="20"/>
                <w:color w:val="auto"/>
              </w:rPr>
            </w:pPr>
            <w:r>
              <w:rPr>
                <w:rFonts w:ascii="Arial" w:cs="Arial" w:eastAsia="Arial" w:hAnsi="Arial"/>
                <w:sz w:val="16"/>
                <w:szCs w:val="16"/>
                <w:color w:val="auto"/>
              </w:rPr>
              <w:t>Incremental adjustments for McClelland Lake Lodge disposition (b)</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13,781</w:t>
            </w:r>
          </w:p>
        </w:tc>
      </w:tr>
      <w:tr>
        <w:trPr>
          <w:trHeight w:val="210"/>
        </w:trPr>
        <w:tc>
          <w:tcPr>
            <w:tcW w:w="6260" w:type="dxa"/>
            <w:vAlign w:val="bottom"/>
          </w:tcPr>
          <w:p>
            <w:pPr>
              <w:ind w:left="200"/>
              <w:spacing w:after="0"/>
              <w:rPr>
                <w:sz w:val="20"/>
                <w:szCs w:val="20"/>
                <w:color w:val="auto"/>
              </w:rPr>
            </w:pPr>
            <w:r>
              <w:rPr>
                <w:rFonts w:ascii="Arial" w:cs="Arial" w:eastAsia="Arial" w:hAnsi="Arial"/>
                <w:sz w:val="16"/>
                <w:szCs w:val="16"/>
                <w:color w:val="auto"/>
              </w:rPr>
              <w:t>Bank-adjusted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100,995</w:t>
            </w:r>
          </w:p>
        </w:tc>
      </w:tr>
      <w:tr>
        <w:trPr>
          <w:trHeight w:val="21"/>
        </w:trPr>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450"/>
        </w:trPr>
        <w:tc>
          <w:tcPr>
            <w:tcW w:w="6260" w:type="dxa"/>
            <w:vAlign w:val="bottom"/>
          </w:tcPr>
          <w:p>
            <w:pPr>
              <w:ind w:left="100"/>
              <w:spacing w:after="0"/>
              <w:rPr>
                <w:sz w:val="20"/>
                <w:szCs w:val="20"/>
                <w:color w:val="auto"/>
              </w:rPr>
            </w:pPr>
            <w:r>
              <w:rPr>
                <w:rFonts w:ascii="Arial" w:cs="Arial" w:eastAsia="Arial" w:hAnsi="Arial"/>
                <w:sz w:val="16"/>
                <w:szCs w:val="16"/>
                <w:color w:val="auto"/>
              </w:rPr>
              <w:t>Net leverage ratio (c)</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0.3x</w:t>
            </w:r>
          </w:p>
        </w:tc>
      </w:tr>
    </w:tbl>
    <w:p>
      <w:pPr>
        <w:spacing w:after="0" w:line="200" w:lineRule="exact"/>
        <w:rPr>
          <w:sz w:val="20"/>
          <w:szCs w:val="20"/>
          <w:color w:val="auto"/>
        </w:rPr>
      </w:pPr>
    </w:p>
    <w:p>
      <w:pPr>
        <w:spacing w:after="0" w:line="220" w:lineRule="exact"/>
        <w:rPr>
          <w:sz w:val="20"/>
          <w:szCs w:val="20"/>
          <w:color w:val="auto"/>
        </w:rPr>
      </w:pPr>
    </w:p>
    <w:p>
      <w:pPr>
        <w:ind w:left="10" w:right="2359" w:hanging="10"/>
        <w:spacing w:after="0" w:line="246" w:lineRule="auto"/>
        <w:tabs>
          <w:tab w:leader="none" w:pos="237"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footnote 1 above for reconciliation of Adjusted EBITDA to net income (loss) attributable to Civeo Corporation</w:t>
      </w:r>
    </w:p>
    <w:p>
      <w:pPr>
        <w:ind w:left="10" w:right="2319" w:hanging="10"/>
        <w:spacing w:after="0" w:line="246" w:lineRule="auto"/>
        <w:tabs>
          <w:tab w:leader="none" w:pos="253" w:val="left"/>
        </w:tabs>
        <w:numPr>
          <w:ilvl w:val="0"/>
          <w:numId w:val="9"/>
        </w:numPr>
        <w:rPr>
          <w:rFonts w:ascii="Arial" w:cs="Arial" w:eastAsia="Arial" w:hAnsi="Arial"/>
          <w:sz w:val="16"/>
          <w:szCs w:val="16"/>
          <w:color w:val="auto"/>
        </w:rPr>
      </w:pPr>
      <w:r>
        <w:rPr>
          <w:rFonts w:ascii="Arial" w:cs="Arial" w:eastAsia="Arial" w:hAnsi="Arial"/>
          <w:sz w:val="16"/>
          <w:szCs w:val="16"/>
          <w:color w:val="auto"/>
        </w:rPr>
        <w:t>Related to incremental adjustments associated with the sale of the McClelland Lake Lodge assets as required by our credit facility</w:t>
      </w:r>
    </w:p>
    <w:p>
      <w:pPr>
        <w:ind w:left="230" w:hanging="230"/>
        <w:spacing w:after="0"/>
        <w:tabs>
          <w:tab w:leader="none" w:pos="23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Calculated as net debt divided by bank-adjusted EBITDA</w:t>
      </w:r>
    </w:p>
    <w:p>
      <w:pPr>
        <w:sectPr>
          <w:pgSz w:w="11900" w:h="16838" w:orient="portrait"/>
          <w:cols w:equalWidth="0" w:num="1">
            <w:col w:w="9789"/>
          </w:cols>
          <w:pgMar w:left="670" w:top="914" w:right="1440" w:bottom="1440" w:gutter="0" w:footer="0" w:header="0"/>
        </w:sectPr>
      </w:pPr>
    </w:p>
    <w:bookmarkStart w:id="14" w:name="page15"/>
    <w:bookmarkEnd w:id="14"/>
    <w:p>
      <w:pPr>
        <w:jc w:val="center"/>
        <w:ind w:right="-23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231"/>
        <w:spacing w:after="0"/>
        <w:rPr>
          <w:sz w:val="20"/>
          <w:szCs w:val="20"/>
          <w:color w:val="auto"/>
        </w:rPr>
      </w:pPr>
      <w:r>
        <w:rPr>
          <w:rFonts w:ascii="Arial" w:cs="Arial" w:eastAsia="Arial" w:hAnsi="Arial"/>
          <w:sz w:val="16"/>
          <w:szCs w:val="16"/>
          <w:b w:val="1"/>
          <w:bCs w:val="1"/>
          <w:color w:val="auto"/>
        </w:rPr>
        <w:t>NON-GAAP RECONCILIATIONS - GUIDANCE</w:t>
      </w:r>
    </w:p>
    <w:p>
      <w:pPr>
        <w:spacing w:after="0" w:line="19"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286" w:lineRule="exact"/>
        <w:rPr>
          <w:sz w:val="20"/>
          <w:szCs w:val="20"/>
          <w:color w:val="auto"/>
        </w:rPr>
      </w:pPr>
    </w:p>
    <w:tbl>
      <w:tblPr>
        <w:tblLayout w:type="fixed"/>
        <w:tblInd w:w="2072" w:type="dxa"/>
        <w:tblCellMar>
          <w:top w:w="0" w:type="dxa"/>
          <w:left w:w="0" w:type="dxa"/>
          <w:bottom w:w="0" w:type="dxa"/>
          <w:right w:w="0" w:type="dxa"/>
        </w:tblCellMar>
      </w:tblPr>
      <w:tr>
        <w:trPr>
          <w:trHeight w:val="223"/>
        </w:trPr>
        <w:tc>
          <w:tcPr>
            <w:tcW w:w="3260" w:type="dxa"/>
            <w:vAlign w:val="bottom"/>
          </w:tcPr>
          <w:p>
            <w:pPr>
              <w:spacing w:after="0"/>
              <w:rPr>
                <w:sz w:val="19"/>
                <w:szCs w:val="19"/>
                <w:color w:val="auto"/>
              </w:rPr>
            </w:pPr>
          </w:p>
        </w:tc>
        <w:tc>
          <w:tcPr>
            <w:tcW w:w="378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Ending December 31, 2024</w:t>
            </w:r>
          </w:p>
        </w:tc>
      </w:tr>
      <w:tr>
        <w:trPr>
          <w:trHeight w:val="302"/>
        </w:trPr>
        <w:tc>
          <w:tcPr>
            <w:tcW w:w="3260" w:type="dxa"/>
            <w:vAlign w:val="bottom"/>
          </w:tcPr>
          <w:p>
            <w:pPr>
              <w:spacing w:after="0"/>
              <w:rPr>
                <w:sz w:val="20"/>
                <w:szCs w:val="20"/>
                <w:color w:val="auto"/>
              </w:rPr>
            </w:pPr>
            <w:r>
              <w:rPr>
                <w:rFonts w:ascii="Arial" w:cs="Arial" w:eastAsia="Arial" w:hAnsi="Arial"/>
                <w:sz w:val="16"/>
                <w:szCs w:val="16"/>
                <w:color w:val="auto"/>
              </w:rPr>
              <w:t>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78.2</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83.2</w:t>
            </w: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83.0</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88.0</w:t>
            </w:r>
          </w:p>
        </w:tc>
      </w:tr>
    </w:tbl>
    <w:p>
      <w:pPr>
        <w:spacing w:after="0" w:line="298" w:lineRule="exact"/>
        <w:rPr>
          <w:sz w:val="20"/>
          <w:szCs w:val="20"/>
          <w:color w:val="auto"/>
        </w:rPr>
      </w:pPr>
    </w:p>
    <w:p>
      <w:pPr>
        <w:ind w:left="332" w:hanging="332"/>
        <w:spacing w:after="0" w:line="286" w:lineRule="auto"/>
        <w:tabs>
          <w:tab w:leader="none" w:pos="327"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and Adjusted EBITDA to estimated net loss, which is the most directly comparable measure of financial performance calculated under generally accepted accounting principles (in millions) (unaudited):</w:t>
      </w:r>
    </w:p>
    <w:p>
      <w:pPr>
        <w:spacing w:after="0" w:line="237" w:lineRule="exact"/>
        <w:rPr>
          <w:sz w:val="20"/>
          <w:szCs w:val="20"/>
          <w:color w:val="auto"/>
        </w:rPr>
      </w:pPr>
    </w:p>
    <w:tbl>
      <w:tblPr>
        <w:tblLayout w:type="fixed"/>
        <w:tblInd w:w="1872"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Ending December 31, 2024</w:t>
            </w:r>
          </w:p>
        </w:tc>
      </w:tr>
      <w:tr>
        <w:trPr>
          <w:trHeight w:val="223"/>
        </w:trPr>
        <w:tc>
          <w:tcPr>
            <w:tcW w:w="4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(estimated)</w:t>
            </w:r>
          </w:p>
        </w:tc>
        <w:tc>
          <w:tcPr>
            <w:tcW w:w="660" w:type="dxa"/>
            <w:vAlign w:val="bottom"/>
          </w:tcPr>
          <w:p>
            <w:pPr>
              <w:spacing w:after="0"/>
              <w:rPr>
                <w:sz w:val="19"/>
                <w:szCs w:val="19"/>
                <w:color w:val="auto"/>
              </w:rPr>
            </w:pPr>
          </w:p>
        </w:tc>
      </w:tr>
      <w:tr>
        <w:trPr>
          <w:trHeight w:val="316"/>
        </w:trPr>
        <w:tc>
          <w:tcPr>
            <w:tcW w:w="48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Pr>
          <w:p>
            <w:pPr>
              <w:spacing w:after="0"/>
              <w:rPr>
                <w:sz w:val="24"/>
                <w:szCs w:val="24"/>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70.0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70.0</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10"/>
        </w:trPr>
        <w:tc>
          <w:tcPr>
            <w:tcW w:w="4820" w:type="dxa"/>
            <w:vAlign w:val="bottom"/>
          </w:tcPr>
          <w:p>
            <w:pPr>
              <w:ind w:left="120"/>
              <w:spacing w:after="0"/>
              <w:rPr>
                <w:sz w:val="20"/>
                <w:szCs w:val="20"/>
                <w:color w:val="auto"/>
              </w:rPr>
            </w:pPr>
            <w:r>
              <w:rPr>
                <w:rFonts w:ascii="Arial" w:cs="Arial" w:eastAsia="Arial" w:hAnsi="Arial"/>
                <w:sz w:val="16"/>
                <w:szCs w:val="16"/>
                <w:color w:val="auto"/>
              </w:rPr>
              <w:t>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w:t>
            </w:r>
          </w:p>
        </w:tc>
      </w:tr>
      <w:tr>
        <w:trPr>
          <w:trHeight w:val="303"/>
        </w:trPr>
        <w:tc>
          <w:tcPr>
            <w:tcW w:w="4820" w:type="dxa"/>
            <w:vAlign w:val="bottom"/>
          </w:tcPr>
          <w:p>
            <w:pPr>
              <w:spacing w:after="0"/>
              <w:rPr>
                <w:sz w:val="20"/>
                <w:szCs w:val="20"/>
                <w:color w:val="auto"/>
              </w:rPr>
            </w:pPr>
            <w:r>
              <w:rPr>
                <w:rFonts w:ascii="Arial" w:cs="Arial" w:eastAsia="Arial" w:hAnsi="Arial"/>
                <w:sz w:val="16"/>
                <w:szCs w:val="16"/>
                <w:color w:val="auto"/>
              </w:rPr>
              <w:t>Adjustments to EBITDA</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6"/>
                <w:szCs w:val="16"/>
                <w:color w:val="auto"/>
              </w:rPr>
              <w:t>Impairment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6"/>
        </w:trPr>
        <w:tc>
          <w:tcPr>
            <w:tcW w:w="4820" w:type="dxa"/>
            <w:vAlign w:val="bottom"/>
          </w:tcPr>
          <w:p>
            <w:pPr>
              <w:ind w:left="120"/>
              <w:spacing w:after="0"/>
              <w:rPr>
                <w:sz w:val="20"/>
                <w:szCs w:val="20"/>
                <w:color w:val="auto"/>
              </w:rPr>
            </w:pPr>
            <w:r>
              <w:rPr>
                <w:rFonts w:ascii="Arial" w:cs="Arial" w:eastAsia="Arial" w:hAnsi="Arial"/>
                <w:sz w:val="16"/>
                <w:szCs w:val="16"/>
                <w:color w:val="auto"/>
              </w:rPr>
              <w:t>Net gain on disposition of McClelland Lake Lodge assets</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7"/>
        </w:trPr>
        <w:tc>
          <w:tcPr>
            <w:tcW w:w="482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11"/>
        </w:trPr>
        <w:tc>
          <w:tcPr>
            <w:tcW w:w="482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w:t>
            </w:r>
          </w:p>
        </w:tc>
        <w:tc>
          <w:tcPr>
            <w:tcW w:w="200" w:type="dxa"/>
            <w:vAlign w:val="bottom"/>
          </w:tcPr>
          <w:p>
            <w:pPr>
              <w:spacing w:after="0"/>
              <w:rPr>
                <w:sz w:val="18"/>
                <w:szCs w:val="18"/>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w:t>
            </w:r>
          </w:p>
        </w:tc>
      </w:tr>
      <w:tr>
        <w:trPr>
          <w:trHeight w:val="21"/>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92"/>
          </w:cols>
          <w:pgMar w:left="328" w:top="895" w:right="579" w:bottom="1440" w:gutter="0" w:footer="0" w:header="0"/>
        </w:sectPr>
      </w:pPr>
    </w:p>
    <w:bookmarkStart w:id="15" w:name="page16"/>
    <w:bookmarkEnd w:id="15"/>
    <w:p>
      <w:pPr>
        <w:jc w:val="center"/>
        <w:ind w:right="-9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19"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(unaudited)</w:t>
      </w:r>
    </w:p>
    <w:p>
      <w:pPr>
        <w:spacing w:after="0" w:line="76" w:lineRule="exact"/>
        <w:rPr>
          <w:sz w:val="20"/>
          <w:szCs w:val="20"/>
          <w:color w:val="auto"/>
        </w:rPr>
      </w:pPr>
    </w:p>
    <w:tbl>
      <w:tblPr>
        <w:tblLayout w:type="fixed"/>
        <w:tblInd w:w="1352"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22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9"/>
                <w:szCs w:val="19"/>
                <w:color w:val="auto"/>
              </w:rPr>
            </w:pPr>
          </w:p>
        </w:tc>
        <w:tc>
          <w:tcPr>
            <w:tcW w:w="222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50"/>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48,747</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71,417</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180,793</w:t>
            </w:r>
          </w:p>
        </w:tc>
        <w:tc>
          <w:tcPr>
            <w:tcW w:w="2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208,000</w:t>
            </w:r>
          </w:p>
        </w:tc>
        <w:tc>
          <w:tcPr>
            <w:tcW w:w="0" w:type="dxa"/>
            <w:vAlign w:val="bottom"/>
          </w:tcPr>
          <w:p>
            <w:pPr>
              <w:spacing w:after="0"/>
              <w:rPr>
                <w:sz w:val="1"/>
                <w:szCs w:val="1"/>
                <w:color w:val="auto"/>
              </w:rPr>
            </w:pPr>
          </w:p>
        </w:tc>
      </w:tr>
      <w:tr>
        <w:trPr>
          <w:trHeight w:val="270"/>
        </w:trPr>
        <w:tc>
          <w:tcPr>
            <w:tcW w:w="358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17,314</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1,473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54,752</w:t>
            </w:r>
          </w:p>
        </w:tc>
        <w:tc>
          <w:tcPr>
            <w:tcW w:w="0" w:type="dxa"/>
            <w:vAlign w:val="bottom"/>
          </w:tcPr>
          <w:p>
            <w:pPr>
              <w:spacing w:after="0"/>
              <w:rPr>
                <w:sz w:val="1"/>
                <w:szCs w:val="1"/>
                <w:color w:val="auto"/>
              </w:rPr>
            </w:pPr>
          </w:p>
        </w:tc>
      </w:tr>
      <w:tr>
        <w:trPr>
          <w:trHeight w:val="271"/>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8,866</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6,413</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22,157</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17,315</w:t>
            </w:r>
          </w:p>
        </w:tc>
        <w:tc>
          <w:tcPr>
            <w:tcW w:w="0" w:type="dxa"/>
            <w:vAlign w:val="bottom"/>
          </w:tcPr>
          <w:p>
            <w:pPr>
              <w:spacing w:after="0"/>
              <w:rPr>
                <w:sz w:val="1"/>
                <w:szCs w:val="1"/>
                <w:color w:val="auto"/>
              </w:rPr>
            </w:pPr>
          </w:p>
        </w:tc>
      </w:tr>
      <w:tr>
        <w:trPr>
          <w:trHeight w:val="249"/>
        </w:trPr>
        <w:tc>
          <w:tcPr>
            <w:tcW w:w="358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57,736</w:t>
            </w:r>
          </w:p>
        </w:tc>
        <w:tc>
          <w:tcPr>
            <w:tcW w:w="18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95,144</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204,423</w:t>
            </w:r>
          </w:p>
        </w:tc>
        <w:tc>
          <w:tcPr>
            <w:tcW w:w="2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280,067</w:t>
            </w:r>
          </w:p>
        </w:tc>
        <w:tc>
          <w:tcPr>
            <w:tcW w:w="0" w:type="dxa"/>
            <w:vAlign w:val="bottom"/>
          </w:tcPr>
          <w:p>
            <w:pPr>
              <w:spacing w:after="0"/>
              <w:rPr>
                <w:sz w:val="1"/>
                <w:szCs w:val="1"/>
                <w:color w:val="auto"/>
              </w:rPr>
            </w:pPr>
          </w:p>
        </w:tc>
      </w:tr>
      <w:tr>
        <w:trPr>
          <w:trHeight w:val="378"/>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38,762</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46,063</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132,679</w:t>
            </w:r>
          </w:p>
        </w:tc>
        <w:tc>
          <w:tcPr>
            <w:tcW w:w="2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150,592</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361</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11,636</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4,413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37,736</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8,385</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5,867</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20,839</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15,701</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2,544</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2,406</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8,227</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7,693</w:t>
            </w:r>
          </w:p>
        </w:tc>
        <w:tc>
          <w:tcPr>
            <w:tcW w:w="0" w:type="dxa"/>
            <w:vAlign w:val="bottom"/>
          </w:tcPr>
          <w:p>
            <w:pPr>
              <w:spacing w:after="0"/>
              <w:rPr>
                <w:sz w:val="1"/>
                <w:szCs w:val="1"/>
                <w:color w:val="auto"/>
              </w:rPr>
            </w:pPr>
          </w:p>
        </w:tc>
      </w:tr>
      <w:tr>
        <w:trPr>
          <w:trHeight w:val="144"/>
        </w:trPr>
        <w:tc>
          <w:tcPr>
            <w:tcW w:w="3580" w:type="dxa"/>
            <w:vAlign w:val="bottom"/>
          </w:tcPr>
          <w:p>
            <w:pPr>
              <w:ind w:left="660"/>
              <w:spacing w:after="0" w:line="144" w:lineRule="exact"/>
              <w:rPr>
                <w:sz w:val="20"/>
                <w:szCs w:val="20"/>
                <w:color w:val="auto"/>
              </w:rPr>
            </w:pPr>
            <w:r>
              <w:rPr>
                <w:rFonts w:ascii="Arial" w:cs="Arial" w:eastAsia="Arial" w:hAnsi="Arial"/>
                <w:sz w:val="16"/>
                <w:szCs w:val="16"/>
                <w:color w:val="auto"/>
              </w:rPr>
              <w:t>Total Canadian cost of sales and</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50,052</w:t>
            </w:r>
          </w:p>
        </w:tc>
        <w:tc>
          <w:tcPr>
            <w:tcW w:w="18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65,972</w:t>
            </w:r>
          </w:p>
        </w:tc>
        <w:tc>
          <w:tcPr>
            <w:tcW w:w="1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166,158</w:t>
            </w:r>
          </w:p>
        </w:tc>
        <w:tc>
          <w:tcPr>
            <w:tcW w:w="200" w:type="dxa"/>
            <w:vAlign w:val="bottom"/>
          </w:tcPr>
          <w:p>
            <w:pPr>
              <w:spacing w:after="0"/>
              <w:rPr>
                <w:sz w:val="12"/>
                <w:szCs w:val="12"/>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211,722</w:t>
            </w:r>
          </w:p>
        </w:tc>
        <w:tc>
          <w:tcPr>
            <w:tcW w:w="0" w:type="dxa"/>
            <w:vAlign w:val="bottom"/>
          </w:tcPr>
          <w:p>
            <w:pPr>
              <w:spacing w:after="0"/>
              <w:rPr>
                <w:sz w:val="1"/>
                <w:szCs w:val="1"/>
                <w:color w:val="auto"/>
              </w:rPr>
            </w:pPr>
          </w:p>
        </w:tc>
      </w:tr>
      <w:tr>
        <w:trPr>
          <w:trHeight w:val="215"/>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483,767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726,364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1,846,163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2,093,459</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0.733</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0.746</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0.735</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0.743</w:t>
            </w:r>
          </w:p>
        </w:tc>
        <w:tc>
          <w:tcPr>
            <w:tcW w:w="0" w:type="dxa"/>
            <w:vAlign w:val="bottom"/>
          </w:tcPr>
          <w:p>
            <w:pPr>
              <w:spacing w:after="0"/>
              <w:rPr>
                <w:sz w:val="1"/>
                <w:szCs w:val="1"/>
                <w:color w:val="auto"/>
              </w:rPr>
            </w:pPr>
          </w:p>
        </w:tc>
      </w:tr>
      <w:tr>
        <w:trPr>
          <w:trHeight w:val="434"/>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51,370</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46,012</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147,391</w:t>
            </w:r>
          </w:p>
        </w:tc>
        <w:tc>
          <w:tcPr>
            <w:tcW w:w="2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130,953</w:t>
            </w:r>
          </w:p>
        </w:tc>
        <w:tc>
          <w:tcPr>
            <w:tcW w:w="0" w:type="dxa"/>
            <w:vAlign w:val="bottom"/>
          </w:tcPr>
          <w:p>
            <w:pPr>
              <w:spacing w:after="0"/>
              <w:rPr>
                <w:sz w:val="1"/>
                <w:szCs w:val="1"/>
                <w:color w:val="auto"/>
              </w:rPr>
            </w:pPr>
          </w:p>
        </w:tc>
      </w:tr>
      <w:tr>
        <w:trPr>
          <w:trHeight w:val="271"/>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65,252</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41,873</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169,576</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116,465</w:t>
            </w:r>
          </w:p>
        </w:tc>
        <w:tc>
          <w:tcPr>
            <w:tcW w:w="0" w:type="dxa"/>
            <w:vAlign w:val="bottom"/>
          </w:tcPr>
          <w:p>
            <w:pPr>
              <w:spacing w:after="0"/>
              <w:rPr>
                <w:sz w:val="1"/>
                <w:szCs w:val="1"/>
                <w:color w:val="auto"/>
              </w:rPr>
            </w:pPr>
          </w:p>
        </w:tc>
      </w:tr>
      <w:tr>
        <w:trPr>
          <w:trHeight w:val="249"/>
        </w:trPr>
        <w:tc>
          <w:tcPr>
            <w:tcW w:w="358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116,622</w:t>
            </w:r>
          </w:p>
        </w:tc>
        <w:tc>
          <w:tcPr>
            <w:tcW w:w="18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87,885</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316,967</w:t>
            </w:r>
          </w:p>
        </w:tc>
        <w:tc>
          <w:tcPr>
            <w:tcW w:w="2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247,418</w:t>
            </w:r>
          </w:p>
        </w:tc>
        <w:tc>
          <w:tcPr>
            <w:tcW w:w="0" w:type="dxa"/>
            <w:vAlign w:val="bottom"/>
          </w:tcPr>
          <w:p>
            <w:pPr>
              <w:spacing w:after="0"/>
              <w:rPr>
                <w:sz w:val="1"/>
                <w:szCs w:val="1"/>
                <w:color w:val="auto"/>
              </w:rPr>
            </w:pPr>
          </w:p>
        </w:tc>
      </w:tr>
      <w:tr>
        <w:trPr>
          <w:trHeight w:val="378"/>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24,783</w:t>
            </w:r>
          </w:p>
        </w:tc>
        <w:tc>
          <w:tcPr>
            <w:tcW w:w="18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22,404</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70,990</w:t>
            </w:r>
          </w:p>
        </w:tc>
        <w:tc>
          <w:tcPr>
            <w:tcW w:w="2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63,670</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58,787</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38,898</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154,218</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110,132</w:t>
            </w:r>
          </w:p>
        </w:tc>
        <w:tc>
          <w:tcPr>
            <w:tcW w:w="0" w:type="dxa"/>
            <w:vAlign w:val="bottom"/>
          </w:tcPr>
          <w:p>
            <w:pPr>
              <w:spacing w:after="0"/>
              <w:rPr>
                <w:sz w:val="1"/>
                <w:szCs w:val="1"/>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3,497</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9,009</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6,646</w:t>
            </w:r>
          </w:p>
        </w:tc>
        <w:tc>
          <w:tcPr>
            <w:tcW w:w="0" w:type="dxa"/>
            <w:vAlign w:val="bottom"/>
          </w:tcPr>
          <w:p>
            <w:pPr>
              <w:spacing w:after="0"/>
              <w:rPr>
                <w:sz w:val="1"/>
                <w:szCs w:val="1"/>
                <w:color w:val="auto"/>
              </w:rPr>
            </w:pPr>
          </w:p>
        </w:tc>
      </w:tr>
      <w:tr>
        <w:trPr>
          <w:trHeight w:val="144"/>
        </w:trPr>
        <w:tc>
          <w:tcPr>
            <w:tcW w:w="3580" w:type="dxa"/>
            <w:vAlign w:val="bottom"/>
          </w:tcPr>
          <w:p>
            <w:pPr>
              <w:ind w:left="660"/>
              <w:spacing w:after="0" w:line="144" w:lineRule="exact"/>
              <w:rPr>
                <w:sz w:val="20"/>
                <w:szCs w:val="20"/>
                <w:color w:val="auto"/>
              </w:rPr>
            </w:pPr>
            <w:r>
              <w:rPr>
                <w:rFonts w:ascii="Arial" w:cs="Arial" w:eastAsia="Arial" w:hAnsi="Arial"/>
                <w:sz w:val="16"/>
                <w:szCs w:val="16"/>
                <w:color w:val="auto"/>
              </w:rPr>
              <w:t>Total Australian cost of sales and</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87,067</w:t>
            </w:r>
          </w:p>
        </w:tc>
        <w:tc>
          <w:tcPr>
            <w:tcW w:w="180" w:type="dxa"/>
            <w:vAlign w:val="bottom"/>
          </w:tcPr>
          <w:p>
            <w:pPr>
              <w:spacing w:after="0"/>
              <w:rPr>
                <w:sz w:val="12"/>
                <w:szCs w:val="12"/>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63,595</w:t>
            </w:r>
          </w:p>
        </w:tc>
        <w:tc>
          <w:tcPr>
            <w:tcW w:w="180" w:type="dxa"/>
            <w:vAlign w:val="bottom"/>
          </w:tcPr>
          <w:p>
            <w:pPr>
              <w:spacing w:after="0"/>
              <w:rPr>
                <w:sz w:val="12"/>
                <w:szCs w:val="12"/>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234,217</w:t>
            </w:r>
          </w:p>
        </w:tc>
        <w:tc>
          <w:tcPr>
            <w:tcW w:w="200" w:type="dxa"/>
            <w:vAlign w:val="bottom"/>
          </w:tcPr>
          <w:p>
            <w:pPr>
              <w:spacing w:after="0"/>
              <w:rPr>
                <w:sz w:val="12"/>
                <w:szCs w:val="12"/>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180,448</w:t>
            </w:r>
          </w:p>
        </w:tc>
        <w:tc>
          <w:tcPr>
            <w:tcW w:w="0" w:type="dxa"/>
            <w:vAlign w:val="bottom"/>
          </w:tcPr>
          <w:p>
            <w:pPr>
              <w:spacing w:after="0"/>
              <w:rPr>
                <w:sz w:val="1"/>
                <w:szCs w:val="1"/>
                <w:color w:val="auto"/>
              </w:rPr>
            </w:pPr>
          </w:p>
        </w:tc>
      </w:tr>
      <w:tr>
        <w:trPr>
          <w:trHeight w:val="215"/>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7"/>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647,358</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623,436</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1,886,647</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1,734,004</w:t>
            </w:r>
          </w:p>
        </w:tc>
        <w:tc>
          <w:tcPr>
            <w:tcW w:w="0" w:type="dxa"/>
            <w:vAlign w:val="bottom"/>
          </w:tcPr>
          <w:p>
            <w:pPr>
              <w:spacing w:after="0"/>
              <w:rPr>
                <w:sz w:val="1"/>
                <w:szCs w:val="1"/>
                <w:color w:val="auto"/>
              </w:rPr>
            </w:pP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0.670</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0.655</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0.662</w:t>
            </w:r>
          </w:p>
        </w:tc>
        <w:tc>
          <w:tcPr>
            <w:tcW w:w="2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ind w:left="312" w:hanging="312"/>
        <w:spacing w:after="0"/>
        <w:tabs>
          <w:tab w:leader="none" w:pos="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30" w:lineRule="exact"/>
        <w:rPr>
          <w:rFonts w:ascii="Arial" w:cs="Arial" w:eastAsia="Arial" w:hAnsi="Arial"/>
          <w:sz w:val="16"/>
          <w:szCs w:val="16"/>
          <w:color w:val="auto"/>
        </w:rPr>
      </w:pPr>
    </w:p>
    <w:p>
      <w:pPr>
        <w:ind w:left="312" w:hanging="312"/>
        <w:spacing w:after="0"/>
        <w:tabs>
          <w:tab w:leader="none" w:pos="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revenues related to mobile assets for the periods presented.</w:t>
      </w:r>
    </w:p>
    <w:p>
      <w:pPr>
        <w:spacing w:after="0" w:line="8" w:lineRule="exact"/>
        <w:rPr>
          <w:rFonts w:ascii="Arial" w:cs="Arial" w:eastAsia="Arial" w:hAnsi="Arial"/>
          <w:sz w:val="16"/>
          <w:szCs w:val="16"/>
          <w:color w:val="auto"/>
        </w:rPr>
      </w:pPr>
    </w:p>
    <w:p>
      <w:pPr>
        <w:ind w:left="312" w:hanging="312"/>
        <w:spacing w:after="0"/>
        <w:tabs>
          <w:tab w:leader="none" w:pos="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revenues related to food services,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14" w:lineRule="exact"/>
        <w:rPr>
          <w:rFonts w:ascii="Arial" w:cs="Arial" w:eastAsia="Arial" w:hAnsi="Arial"/>
          <w:sz w:val="16"/>
          <w:szCs w:val="16"/>
          <w:color w:val="auto"/>
        </w:rPr>
      </w:pPr>
    </w:p>
    <w:p>
      <w:pPr>
        <w:ind w:left="312" w:hanging="312"/>
        <w:spacing w:after="0"/>
        <w:tabs>
          <w:tab w:leader="none" w:pos="3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Billed rooms represents total billed days for owned assets for the periods presented.</w:t>
      </w:r>
    </w:p>
    <w:p>
      <w:pPr>
        <w:sectPr>
          <w:pgSz w:w="11900" w:h="16838" w:orient="portrait"/>
          <w:cols w:equalWidth="0" w:num="1">
            <w:col w:w="11152"/>
          </w:cols>
          <w:pgMar w:left="328" w:top="1138" w:right="4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Regan Nielsen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Development &amp;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8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1"/>
    </w:lvl>
    <w:lvl w:ilvl="1">
      <w:lvlJc w:val="left"/>
      <w:lvlText w:val="(%2)"/>
      <w:numFmt w:val="lowerLetter"/>
      <w:start w:val="2"/>
    </w:lvl>
  </w:abstractNum>
  <w:abstractNum w:abstractNumId="6">
    <w:nsid w:val="5BD062C2"/>
    <w:multiLevelType w:val="hybridMultilevel"/>
    <w:lvl w:ilvl="0">
      <w:lvlJc w:val="left"/>
      <w:lvlText w:val="(%1)"/>
      <w:numFmt w:val="decimal"/>
      <w:start w:val="2"/>
    </w:lvl>
    <w:lvl w:ilvl="1">
      <w:lvlJc w:val="left"/>
      <w:lvlText w:val="%2"/>
      <w:numFmt w:val="lowerLetter"/>
      <w:start w:val="1"/>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2024-10-30T08:13:04Z</dcterms:created>
  <dcterms:modified xsi:type="dcterms:W3CDTF">2024-10-30T08:13:04Z</dcterms:modified>
</cp:coreProperties>
</file>