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8"/>
          <w:szCs w:val="18"/>
          <w:color w:val="auto"/>
        </w:rPr>
        <w:t>(Mark One)</w:t>
      </w:r>
    </w:p>
    <w:p>
      <w:pPr>
        <w:spacing w:after="0" w:line="157" w:lineRule="exact"/>
        <w:rPr>
          <w:sz w:val="24"/>
          <w:szCs w:val="24"/>
          <w:color w:val="auto"/>
        </w:rPr>
      </w:pPr>
    </w:p>
    <w:p>
      <w:pPr>
        <w:ind w:left="1120" w:right="2660" w:hanging="1085"/>
        <w:spacing w:after="0" w:line="274" w:lineRule="auto"/>
        <w:tabs>
          <w:tab w:leader="none" w:pos="391"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2019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57" w:lineRule="exact"/>
        <w:rPr>
          <w:sz w:val="24"/>
          <w:szCs w:val="24"/>
          <w:color w:val="auto"/>
        </w:rPr>
      </w:pPr>
    </w:p>
    <w:p>
      <w:pPr>
        <w:ind w:left="1120" w:right="2340" w:hanging="1085"/>
        <w:spacing w:after="0" w:line="309" w:lineRule="auto"/>
        <w:tabs>
          <w:tab w:leader="none" w:pos="190"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_________________________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3670300</wp:posOffset>
            </wp:positionH>
            <wp:positionV relativeFrom="paragraph">
              <wp:posOffset>-62865</wp:posOffset>
            </wp:positionV>
            <wp:extent cx="18859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22"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001-36246</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Civeo Corporation</w:t>
      </w:r>
    </w:p>
    <w:p>
      <w:pPr>
        <w:spacing w:after="0" w:line="9" w:lineRule="exact"/>
        <w:rPr>
          <w:sz w:val="24"/>
          <w:szCs w:val="24"/>
          <w:color w:val="auto"/>
        </w:rPr>
      </w:pPr>
    </w:p>
    <w:p>
      <w:pPr>
        <w:ind w:left="5240"/>
        <w:spacing w:after="0"/>
        <w:rPr>
          <w:sz w:val="20"/>
          <w:szCs w:val="20"/>
          <w:color w:val="auto"/>
        </w:rPr>
      </w:pPr>
      <w:r>
        <w:rPr>
          <w:rFonts w:ascii="Arial" w:cs="Arial" w:eastAsia="Arial" w:hAnsi="Arial"/>
          <w:sz w:val="18"/>
          <w:szCs w:val="18"/>
          <w:color w:val="auto"/>
        </w:rPr>
        <w:t>____________</w:t>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154" w:lineRule="exact"/>
        <w:rPr>
          <w:sz w:val="24"/>
          <w:szCs w:val="24"/>
          <w:color w:val="auto"/>
        </w:rPr>
      </w:pPr>
    </w:p>
    <w:tbl>
      <w:tblPr>
        <w:tblLayout w:type="fixed"/>
        <w:tblInd w:w="180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92"/>
              </w:rPr>
              <w:t>British Columbia, Canada</w:t>
            </w:r>
          </w:p>
        </w:tc>
        <w:tc>
          <w:tcPr>
            <w:tcW w:w="1660" w:type="dxa"/>
            <w:vAlign w:val="bottom"/>
          </w:tcPr>
          <w:p>
            <w:pPr>
              <w:spacing w:after="0"/>
              <w:rPr>
                <w:sz w:val="17"/>
                <w:szCs w:val="17"/>
                <w:color w:val="auto"/>
              </w:rPr>
            </w:pPr>
          </w:p>
        </w:tc>
        <w:tc>
          <w:tcPr>
            <w:tcW w:w="2180" w:type="dxa"/>
            <w:vAlign w:val="bottom"/>
            <w:gridSpan w:val="5"/>
          </w:tcPr>
          <w:p>
            <w:pPr>
              <w:jc w:val="right"/>
              <w:ind w:right="240"/>
              <w:spacing w:after="0"/>
              <w:rPr>
                <w:sz w:val="20"/>
                <w:szCs w:val="20"/>
                <w:color w:val="auto"/>
              </w:rPr>
            </w:pPr>
            <w:r>
              <w:rPr>
                <w:rFonts w:ascii="Arial" w:cs="Arial" w:eastAsia="Arial" w:hAnsi="Arial"/>
                <w:sz w:val="18"/>
                <w:szCs w:val="18"/>
                <w:color w:val="auto"/>
              </w:rPr>
              <w:t>98-1253716</w:t>
            </w:r>
          </w:p>
        </w:tc>
      </w:tr>
      <w:tr>
        <w:trPr>
          <w:trHeight w:val="20"/>
        </w:trPr>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436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(State or other jurisdiction of</w:t>
            </w:r>
          </w:p>
        </w:tc>
        <w:tc>
          <w:tcPr>
            <w:tcW w:w="2180" w:type="dxa"/>
            <w:vAlign w:val="bottom"/>
            <w:gridSpan w:val="5"/>
          </w:tcPr>
          <w:p>
            <w:pPr>
              <w:jc w:val="center"/>
              <w:ind w:left="750"/>
              <w:spacing w:after="0"/>
              <w:rPr>
                <w:sz w:val="20"/>
                <w:szCs w:val="20"/>
                <w:color w:val="auto"/>
              </w:rPr>
            </w:pPr>
            <w:r>
              <w:rPr>
                <w:rFonts w:ascii="Arial" w:cs="Arial" w:eastAsia="Arial" w:hAnsi="Arial"/>
                <w:sz w:val="18"/>
                <w:szCs w:val="18"/>
                <w:color w:val="auto"/>
                <w:w w:val="92"/>
              </w:rPr>
              <w:t>(I.R.S. Employer</w:t>
            </w:r>
          </w:p>
        </w:tc>
      </w:tr>
      <w:tr>
        <w:trPr>
          <w:trHeight w:val="270"/>
        </w:trPr>
        <w:tc>
          <w:tcPr>
            <w:tcW w:w="4360" w:type="dxa"/>
            <w:vAlign w:val="bottom"/>
            <w:gridSpan w:val="5"/>
          </w:tcPr>
          <w:p>
            <w:pPr>
              <w:jc w:val="center"/>
              <w:ind w:right="840"/>
              <w:spacing w:after="0"/>
              <w:rPr>
                <w:sz w:val="20"/>
                <w:szCs w:val="20"/>
                <w:color w:val="auto"/>
              </w:rPr>
            </w:pPr>
            <w:r>
              <w:rPr>
                <w:rFonts w:ascii="Arial" w:cs="Arial" w:eastAsia="Arial" w:hAnsi="Arial"/>
                <w:sz w:val="18"/>
                <w:szCs w:val="18"/>
                <w:color w:val="auto"/>
                <w:w w:val="92"/>
              </w:rPr>
              <w:t>incorporation or organization)</w:t>
            </w:r>
          </w:p>
        </w:tc>
        <w:tc>
          <w:tcPr>
            <w:tcW w:w="2180" w:type="dxa"/>
            <w:vAlign w:val="bottom"/>
            <w:gridSpan w:val="5"/>
          </w:tcPr>
          <w:p>
            <w:pPr>
              <w:jc w:val="center"/>
              <w:ind w:left="750"/>
              <w:spacing w:after="0"/>
              <w:rPr>
                <w:sz w:val="20"/>
                <w:szCs w:val="20"/>
                <w:color w:val="auto"/>
              </w:rPr>
            </w:pPr>
            <w:r>
              <w:rPr>
                <w:rFonts w:ascii="Arial" w:cs="Arial" w:eastAsia="Arial" w:hAnsi="Arial"/>
                <w:sz w:val="18"/>
                <w:szCs w:val="18"/>
                <w:color w:val="auto"/>
                <w:w w:val="95"/>
              </w:rPr>
              <w:t>Identification No.)</w:t>
            </w:r>
          </w:p>
        </w:tc>
      </w:tr>
      <w:tr>
        <w:trPr>
          <w:trHeight w:val="540"/>
        </w:trPr>
        <w:tc>
          <w:tcPr>
            <w:tcW w:w="4360" w:type="dxa"/>
            <w:vAlign w:val="bottom"/>
            <w:gridSpan w:val="5"/>
          </w:tcPr>
          <w:p>
            <w:pPr>
              <w:jc w:val="center"/>
              <w:ind w:right="860"/>
              <w:spacing w:after="0"/>
              <w:rPr>
                <w:sz w:val="20"/>
                <w:szCs w:val="20"/>
                <w:color w:val="auto"/>
              </w:rPr>
            </w:pPr>
            <w:r>
              <w:rPr>
                <w:rFonts w:ascii="Arial" w:cs="Arial" w:eastAsia="Arial" w:hAnsi="Arial"/>
                <w:sz w:val="18"/>
                <w:szCs w:val="18"/>
                <w:color w:val="auto"/>
                <w:w w:val="90"/>
              </w:rPr>
              <w:t>Three Allen Center, 333 Clay Street, Suite 4980,</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0"/>
        </w:trPr>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Houston, Texas</w:t>
            </w:r>
          </w:p>
        </w:tc>
        <w:tc>
          <w:tcPr>
            <w:tcW w:w="2040" w:type="dxa"/>
            <w:vAlign w:val="bottom"/>
            <w:gridSpan w:val="2"/>
          </w:tcPr>
          <w:p>
            <w:pPr>
              <w:spacing w:after="0"/>
              <w:rPr>
                <w:sz w:val="19"/>
                <w:szCs w:val="19"/>
                <w:color w:val="auto"/>
              </w:rPr>
            </w:pPr>
          </w:p>
        </w:tc>
        <w:tc>
          <w:tcPr>
            <w:tcW w:w="1280" w:type="dxa"/>
            <w:vAlign w:val="bottom"/>
            <w:gridSpan w:val="2"/>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77002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91"/>
        </w:trPr>
        <w:tc>
          <w:tcPr>
            <w:tcW w:w="4360" w:type="dxa"/>
            <w:vAlign w:val="bottom"/>
            <w:gridSpan w:val="5"/>
          </w:tcPr>
          <w:p>
            <w:pPr>
              <w:jc w:val="center"/>
              <w:ind w:right="86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4"/>
                <w:szCs w:val="24"/>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8"/>
                <w:szCs w:val="18"/>
                <w:color w:val="auto"/>
                <w:w w:val="94"/>
              </w:rPr>
              <w:t>(Zip Code)</w:t>
            </w:r>
          </w:p>
        </w:tc>
      </w:tr>
    </w:tbl>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(713) 510-2400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48"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20" w:type="dxa"/>
            <w:vAlign w:val="bottom"/>
            <w:gridSpan w:val="4"/>
          </w:tcPr>
          <w:p>
            <w:pPr>
              <w:ind w:left="160"/>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338"/>
        </w:trPr>
        <w:tc>
          <w:tcPr>
            <w:tcW w:w="400" w:type="dxa"/>
            <w:vAlign w:val="bottom"/>
          </w:tcPr>
          <w:p>
            <w:pPr>
              <w:spacing w:after="0"/>
              <w:rPr>
                <w:sz w:val="24"/>
                <w:szCs w:val="24"/>
                <w:color w:val="auto"/>
              </w:rPr>
            </w:pPr>
          </w:p>
        </w:tc>
        <w:tc>
          <w:tcPr>
            <w:tcW w:w="194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Title of Each Class</w:t>
            </w:r>
          </w:p>
        </w:tc>
        <w:tc>
          <w:tcPr>
            <w:tcW w:w="1360" w:type="dxa"/>
            <w:vAlign w:val="bottom"/>
          </w:tcPr>
          <w:p>
            <w:pPr>
              <w:spacing w:after="0"/>
              <w:rPr>
                <w:sz w:val="24"/>
                <w:szCs w:val="24"/>
                <w:color w:val="auto"/>
              </w:rPr>
            </w:pPr>
          </w:p>
        </w:tc>
        <w:tc>
          <w:tcPr>
            <w:tcW w:w="2720" w:type="dxa"/>
            <w:vAlign w:val="bottom"/>
            <w:gridSpan w:val="2"/>
          </w:tcPr>
          <w:p>
            <w:pPr>
              <w:jc w:val="center"/>
              <w:ind w:right="1360"/>
              <w:spacing w:after="0"/>
              <w:rPr>
                <w:sz w:val="20"/>
                <w:szCs w:val="20"/>
                <w:color w:val="auto"/>
              </w:rPr>
            </w:pPr>
            <w:r>
              <w:rPr>
                <w:rFonts w:ascii="Arial" w:cs="Arial" w:eastAsia="Arial" w:hAnsi="Arial"/>
                <w:sz w:val="18"/>
                <w:szCs w:val="18"/>
                <w:color w:val="auto"/>
                <w:w w:val="92"/>
              </w:rPr>
              <w:t>Trading Symbol(s)</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0"/>
        </w:trPr>
        <w:tc>
          <w:tcPr>
            <w:tcW w:w="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91"/>
        </w:trPr>
        <w:tc>
          <w:tcPr>
            <w:tcW w:w="234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Common Shares, no par value</w:t>
            </w:r>
          </w:p>
        </w:tc>
        <w:tc>
          <w:tcPr>
            <w:tcW w:w="1360" w:type="dxa"/>
            <w:vAlign w:val="bottom"/>
          </w:tcPr>
          <w:p>
            <w:pPr>
              <w:spacing w:after="0"/>
              <w:rPr>
                <w:sz w:val="24"/>
                <w:szCs w:val="24"/>
                <w:color w:val="auto"/>
              </w:rPr>
            </w:pPr>
          </w:p>
        </w:tc>
        <w:tc>
          <w:tcPr>
            <w:tcW w:w="2720" w:type="dxa"/>
            <w:vAlign w:val="bottom"/>
            <w:gridSpan w:val="2"/>
          </w:tcPr>
          <w:p>
            <w:pPr>
              <w:jc w:val="center"/>
              <w:ind w:right="1380"/>
              <w:spacing w:after="0"/>
              <w:rPr>
                <w:sz w:val="20"/>
                <w:szCs w:val="20"/>
                <w:color w:val="auto"/>
              </w:rPr>
            </w:pPr>
            <w:r>
              <w:rPr>
                <w:rFonts w:ascii="Arial" w:cs="Arial" w:eastAsia="Arial" w:hAnsi="Arial"/>
                <w:sz w:val="18"/>
                <w:szCs w:val="18"/>
                <w:color w:val="auto"/>
                <w:w w:val="97"/>
              </w:rPr>
              <w:t>CVEO</w:t>
            </w:r>
          </w:p>
        </w:tc>
        <w:tc>
          <w:tcPr>
            <w:tcW w:w="29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7" w:lineRule="exact"/>
        <w:rPr>
          <w:sz w:val="24"/>
          <w:szCs w:val="24"/>
          <w:color w:val="auto"/>
        </w:rPr>
      </w:pPr>
    </w:p>
    <w:p>
      <w:pPr>
        <w:ind w:left="4560"/>
        <w:spacing w:after="0"/>
        <w:tabs>
          <w:tab w:leader="none" w:pos="584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 ]</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71" w:lineRule="exact"/>
        <w:rPr>
          <w:sz w:val="24"/>
          <w:szCs w:val="24"/>
          <w:color w:val="auto"/>
        </w:rPr>
      </w:pPr>
    </w:p>
    <w:p>
      <w:pPr>
        <w:ind w:left="4560"/>
        <w:spacing w:after="0"/>
        <w:tabs>
          <w:tab w:leader="none" w:pos="584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 ]</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7" w:lineRule="exact"/>
        <w:rPr>
          <w:sz w:val="24"/>
          <w:szCs w:val="24"/>
          <w:color w:val="auto"/>
        </w:rPr>
      </w:pPr>
    </w:p>
    <w:p>
      <w:pPr>
        <w:ind w:left="4560"/>
        <w:spacing w:after="0"/>
        <w:tabs>
          <w:tab w:leader="none" w:pos="58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52"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0" w:lineRule="exact"/>
        <w:rPr>
          <w:sz w:val="24"/>
          <w:szCs w:val="24"/>
          <w:color w:val="auto"/>
        </w:rPr>
      </w:pPr>
    </w:p>
    <w:p>
      <w:pPr>
        <w:ind w:left="4560"/>
        <w:spacing w:after="0"/>
        <w:tabs>
          <w:tab w:leader="none" w:pos="58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jc w:val="center"/>
        <w:ind w:right="-159"/>
        <w:spacing w:after="0"/>
        <w:rPr>
          <w:sz w:val="20"/>
          <w:szCs w:val="20"/>
          <w:color w:val="auto"/>
        </w:rPr>
      </w:pPr>
      <w:r>
        <w:rPr>
          <w:rFonts w:ascii="Arial" w:cs="Arial" w:eastAsia="Arial" w:hAnsi="Arial"/>
          <w:sz w:val="18"/>
          <w:szCs w:val="18"/>
          <w:color w:val="auto"/>
        </w:rPr>
        <w:t>(Check one):</w:t>
      </w:r>
    </w:p>
    <w:p>
      <w:pPr>
        <w:sectPr>
          <w:pgSz w:w="11900" w:h="16838" w:orient="portrait"/>
          <w:cols w:equalWidth="0" w:num="1">
            <w:col w:w="11400"/>
          </w:cols>
          <w:pgMar w:left="240" w:top="125" w:right="259" w:bottom="1440" w:gutter="0" w:footer="0" w:header="0"/>
        </w:sectPr>
      </w:pPr>
    </w:p>
    <w:p>
      <w:pPr>
        <w:spacing w:after="0" w:line="157" w:lineRule="exact"/>
        <w:rPr>
          <w:sz w:val="20"/>
          <w:szCs w:val="20"/>
          <w:color w:val="auto"/>
        </w:rPr>
      </w:pPr>
    </w:p>
    <w:p>
      <w:pPr>
        <w:ind w:left="40"/>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Emerging Growth Company [ ]</w:t>
      </w:r>
    </w:p>
    <w:p>
      <w:pPr>
        <w:spacing w:after="0" w:line="200" w:lineRule="exact"/>
        <w:rPr>
          <w:sz w:val="20"/>
          <w:szCs w:val="20"/>
          <w:color w:val="auto"/>
        </w:rPr>
      </w:pPr>
    </w:p>
    <w:p>
      <w:pPr>
        <w:sectPr>
          <w:pgSz w:w="11900" w:h="16838" w:orient="portrait"/>
          <w:cols w:equalWidth="0" w:num="3">
            <w:col w:w="5360" w:space="720"/>
            <w:col w:w="2300" w:space="720"/>
            <w:col w:w="2300"/>
          </w:cols>
          <w:pgMar w:left="240" w:top="125" w:right="259" w:bottom="1440" w:gutter="0" w:footer="0" w:header="0"/>
          <w:type w:val="continuous"/>
        </w:sectPr>
      </w:pPr>
    </w:p>
    <w:p>
      <w:pPr>
        <w:spacing w:after="0" w:line="145"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Non-Accelerated Filer [ ]</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Smaller Reporting Company [ ]</w:t>
      </w:r>
    </w:p>
    <w:p>
      <w:pPr>
        <w:spacing w:after="0" w:line="200" w:lineRule="exact"/>
        <w:rPr>
          <w:sz w:val="20"/>
          <w:szCs w:val="20"/>
          <w:color w:val="auto"/>
        </w:rPr>
      </w:pPr>
    </w:p>
    <w:p>
      <w:pPr>
        <w:sectPr>
          <w:pgSz w:w="11900" w:h="16838" w:orient="portrait"/>
          <w:cols w:equalWidth="0" w:num="2">
            <w:col w:w="5360" w:space="720"/>
            <w:col w:w="5320"/>
          </w:cols>
          <w:pgMar w:left="240" w:top="125" w:right="259" w:bottom="1440" w:gutter="0" w:footer="0" w:header="0"/>
          <w:type w:val="continuous"/>
        </w:sectPr>
      </w:pPr>
    </w:p>
    <w:p>
      <w:pPr>
        <w:spacing w:after="0" w:line="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0"/>
          <w:szCs w:val="20"/>
          <w:color w:val="auto"/>
        </w:rPr>
      </w:pPr>
    </w:p>
    <w:p>
      <w:pPr>
        <w:ind w:left="4560"/>
        <w:spacing w:after="0"/>
        <w:tabs>
          <w:tab w:leader="none" w:pos="584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 ]</w:t>
      </w:r>
    </w:p>
    <w:p>
      <w:pPr>
        <w:spacing w:after="0" w:line="25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aggregate market value of common shares held by non-affiliates computed by reference to the price at which the common equity was last sold, or the average bid and asked price of such common equity, as of the last business day of the registrant’s most recently completed second fiscal quarter, June 28, 2019, was $226,746,265.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had 169,661,527 common shares outstanding as of February 21, 2020.</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Portions of the registrant's Definitive Proxy Statement for the 2020 Annual General Meeting of Shareholders, which the registrant intends to file with the Securities and Exchange Commission not later than 120 days after the end of the fiscal year covered by this Annual Report on Form 10-K, are incorporated by reference into Part III of this Annual Report on Form 10-K.</w:t>
      </w:r>
    </w:p>
    <w:p>
      <w:pPr>
        <w:sectPr>
          <w:pgSz w:w="11900" w:h="16838" w:orient="portrait"/>
          <w:cols w:equalWidth="0" w:num="1">
            <w:col w:w="11400"/>
          </w:cols>
          <w:pgMar w:left="240" w:top="125" w:right="25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8820" w:type="dxa"/>
            <w:vAlign w:val="bottom"/>
          </w:tcPr>
          <w:p>
            <w:pPr>
              <w:ind w:left="3560"/>
              <w:spacing w:after="0"/>
              <w:rPr>
                <w:sz w:val="20"/>
                <w:szCs w:val="20"/>
                <w:color w:val="auto"/>
              </w:rPr>
            </w:pPr>
            <w:r>
              <w:rPr>
                <w:rFonts w:ascii="Arial" w:cs="Arial" w:eastAsia="Arial" w:hAnsi="Arial"/>
                <w:sz w:val="18"/>
                <w:szCs w:val="18"/>
                <w:b w:val="1"/>
                <w:bCs w:val="1"/>
                <w:color w:val="auto"/>
              </w:rPr>
              <w:t>CIVEO CORPORATION</w:t>
            </w: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8820" w:type="dxa"/>
            <w:vAlign w:val="bottom"/>
          </w:tcPr>
          <w:p>
            <w:pPr>
              <w:ind w:left="4260"/>
              <w:spacing w:after="0"/>
              <w:rPr>
                <w:sz w:val="20"/>
                <w:szCs w:val="20"/>
                <w:color w:val="auto"/>
              </w:rPr>
            </w:pPr>
            <w:r>
              <w:rPr>
                <w:rFonts w:ascii="Arial" w:cs="Arial" w:eastAsia="Arial" w:hAnsi="Arial"/>
                <w:sz w:val="18"/>
                <w:szCs w:val="18"/>
                <w:b w:val="1"/>
                <w:bCs w:val="1"/>
                <w:color w:val="auto"/>
              </w:rPr>
              <w:t>INDEX</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54"/>
        </w:trPr>
        <w:tc>
          <w:tcPr>
            <w:tcW w:w="116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1440" w:type="dxa"/>
            <w:vAlign w:val="bottom"/>
            <w:gridSpan w:val="3"/>
          </w:tcPr>
          <w:p>
            <w:pPr>
              <w:ind w:left="740"/>
              <w:spacing w:after="0"/>
              <w:rPr>
                <w:sz w:val="20"/>
                <w:szCs w:val="20"/>
                <w:color w:val="auto"/>
              </w:rPr>
            </w:pPr>
            <w:r>
              <w:rPr>
                <w:rFonts w:ascii="Arial" w:cs="Arial" w:eastAsia="Arial" w:hAnsi="Arial"/>
                <w:sz w:val="18"/>
                <w:szCs w:val="18"/>
                <w:b w:val="1"/>
                <w:bCs w:val="1"/>
                <w:color w:val="auto"/>
                <w:w w:val="88"/>
              </w:rPr>
              <w:t>Page No.</w:t>
            </w:r>
          </w:p>
        </w:tc>
      </w:tr>
      <w:tr>
        <w:trPr>
          <w:trHeight w:val="48"/>
        </w:trPr>
        <w:tc>
          <w:tcPr>
            <w:tcW w:w="1160" w:type="dxa"/>
            <w:vAlign w:val="bottom"/>
          </w:tcPr>
          <w:p>
            <w:pPr>
              <w:spacing w:after="0"/>
              <w:rPr>
                <w:sz w:val="4"/>
                <w:szCs w:val="4"/>
                <w:color w:val="auto"/>
              </w:rPr>
            </w:pPr>
          </w:p>
        </w:tc>
        <w:tc>
          <w:tcPr>
            <w:tcW w:w="8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6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4">
              <w:r>
                <w:rPr>
                  <w:rFonts w:ascii="Arial" w:cs="Arial" w:eastAsia="Arial" w:hAnsi="Arial"/>
                  <w:sz w:val="18"/>
                  <w:szCs w:val="18"/>
                  <w:color w:val="auto"/>
                </w:rPr>
                <w:t>PART I</w:t>
              </w:r>
            </w:hyperlink>
          </w:p>
        </w:tc>
        <w:tc>
          <w:tcPr>
            <w:tcW w:w="88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9980" w:type="dxa"/>
            <w:vAlign w:val="bottom"/>
            <w:gridSpan w:val="2"/>
          </w:tcPr>
          <w:p>
            <w:pPr>
              <w:ind w:left="180"/>
              <w:spacing w:after="0"/>
              <w:rPr>
                <w:rFonts w:ascii="Arial" w:cs="Arial" w:eastAsia="Arial" w:hAnsi="Arial"/>
                <w:sz w:val="18"/>
                <w:szCs w:val="18"/>
                <w:color w:val="auto"/>
              </w:rPr>
            </w:pPr>
            <w:hyperlink w:anchor="page4">
              <w:r>
                <w:rPr>
                  <w:rFonts w:ascii="Arial" w:cs="Arial" w:eastAsia="Arial" w:hAnsi="Arial"/>
                  <w:sz w:val="18"/>
                  <w:szCs w:val="18"/>
                  <w:color w:val="auto"/>
                </w:rPr>
                <w:t>Cautionary Statement Regarding Forward-Looking Statements</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4">
              <w:r>
                <w:rPr>
                  <w:rFonts w:ascii="Arial" w:cs="Arial" w:eastAsia="Arial" w:hAnsi="Arial"/>
                  <w:sz w:val="18"/>
                  <w:szCs w:val="18"/>
                  <w:color w:val="1335FF"/>
                </w:rPr>
                <w:t>1</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1160" w:type="dxa"/>
            <w:vAlign w:val="bottom"/>
            <w:shd w:val="clear" w:color="auto" w:fill="CCEEFF"/>
          </w:tcPr>
          <w:p>
            <w:pPr>
              <w:spacing w:after="0"/>
              <w:rPr>
                <w:sz w:val="23"/>
                <w:szCs w:val="23"/>
                <w:color w:val="auto"/>
              </w:rPr>
            </w:pPr>
          </w:p>
        </w:tc>
        <w:tc>
          <w:tcPr>
            <w:tcW w:w="88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1160" w:type="dxa"/>
            <w:vAlign w:val="bottom"/>
          </w:tcPr>
          <w:p>
            <w:pPr>
              <w:ind w:left="180"/>
              <w:spacing w:after="0"/>
              <w:rPr>
                <w:rFonts w:ascii="Arial" w:cs="Arial" w:eastAsia="Arial" w:hAnsi="Arial"/>
                <w:sz w:val="18"/>
                <w:szCs w:val="18"/>
                <w:color w:val="auto"/>
              </w:rPr>
            </w:pPr>
            <w:hyperlink w:anchor="page6">
              <w:r>
                <w:rPr>
                  <w:rFonts w:ascii="Arial" w:cs="Arial" w:eastAsia="Arial" w:hAnsi="Arial"/>
                  <w:sz w:val="18"/>
                  <w:szCs w:val="18"/>
                  <w:color w:val="auto"/>
                </w:rPr>
                <w:t>Item 1.</w:t>
              </w:r>
            </w:hyperlink>
          </w:p>
        </w:tc>
        <w:tc>
          <w:tcPr>
            <w:tcW w:w="8820" w:type="dxa"/>
            <w:vAlign w:val="bottom"/>
          </w:tcPr>
          <w:p>
            <w:pPr>
              <w:ind w:left="20"/>
              <w:spacing w:after="0"/>
              <w:rPr>
                <w:rFonts w:ascii="Arial" w:cs="Arial" w:eastAsia="Arial" w:hAnsi="Arial"/>
                <w:sz w:val="18"/>
                <w:szCs w:val="18"/>
                <w:color w:val="auto"/>
              </w:rPr>
            </w:pPr>
            <w:hyperlink w:anchor="page6">
              <w:r>
                <w:rPr>
                  <w:rFonts w:ascii="Arial" w:cs="Arial" w:eastAsia="Arial" w:hAnsi="Arial"/>
                  <w:sz w:val="18"/>
                  <w:szCs w:val="18"/>
                  <w:color w:val="auto"/>
                </w:rPr>
                <w:t>Business</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6">
              <w:r>
                <w:rPr>
                  <w:rFonts w:ascii="Arial" w:cs="Arial" w:eastAsia="Arial" w:hAnsi="Arial"/>
                  <w:sz w:val="18"/>
                  <w:szCs w:val="18"/>
                  <w:color w:val="1335FF"/>
                </w:rPr>
                <w:t>3</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rFonts w:ascii="Arial" w:cs="Arial" w:eastAsia="Arial" w:hAnsi="Arial"/>
                <w:sz w:val="18"/>
                <w:szCs w:val="18"/>
                <w:color w:val="auto"/>
              </w:rPr>
            </w:pPr>
            <w:hyperlink w:anchor="page27">
              <w:r>
                <w:rPr>
                  <w:rFonts w:ascii="Arial" w:cs="Arial" w:eastAsia="Arial" w:hAnsi="Arial"/>
                  <w:sz w:val="18"/>
                  <w:szCs w:val="18"/>
                  <w:color w:val="auto"/>
                </w:rPr>
                <w:t>Item 1A.</w:t>
              </w:r>
            </w:hyperlink>
          </w:p>
        </w:tc>
        <w:tc>
          <w:tcPr>
            <w:tcW w:w="8820" w:type="dxa"/>
            <w:vAlign w:val="bottom"/>
            <w:tcBorders>
              <w:bottom w:val="single" w:sz="8" w:color="CCEEFF"/>
            </w:tcBorders>
            <w:shd w:val="clear" w:color="auto" w:fill="CCEEFF"/>
          </w:tcPr>
          <w:p>
            <w:pPr>
              <w:ind w:left="20"/>
              <w:spacing w:after="0"/>
              <w:rPr>
                <w:rFonts w:ascii="Arial" w:cs="Arial" w:eastAsia="Arial" w:hAnsi="Arial"/>
                <w:sz w:val="18"/>
                <w:szCs w:val="18"/>
                <w:color w:val="auto"/>
              </w:rPr>
            </w:pPr>
            <w:hyperlink w:anchor="page27">
              <w:r>
                <w:rPr>
                  <w:rFonts w:ascii="Arial" w:cs="Arial" w:eastAsia="Arial" w:hAnsi="Arial"/>
                  <w:sz w:val="18"/>
                  <w:szCs w:val="18"/>
                  <w:color w:val="auto"/>
                </w:rPr>
                <w:t>Risk Factors</w:t>
              </w:r>
            </w:hyperlink>
          </w:p>
        </w:tc>
        <w:tc>
          <w:tcPr>
            <w:tcW w:w="144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27">
              <w:r>
                <w:rPr>
                  <w:rFonts w:ascii="Arial" w:cs="Arial" w:eastAsia="Arial" w:hAnsi="Arial"/>
                  <w:sz w:val="18"/>
                  <w:szCs w:val="18"/>
                  <w:color w:val="1335FF"/>
                </w:rPr>
                <w:t>24</w:t>
              </w:r>
            </w:hyperlink>
          </w:p>
        </w:tc>
      </w:tr>
      <w:tr>
        <w:trPr>
          <w:trHeight w:val="243"/>
        </w:trPr>
        <w:tc>
          <w:tcPr>
            <w:tcW w:w="1160" w:type="dxa"/>
            <w:vAlign w:val="bottom"/>
          </w:tcPr>
          <w:p>
            <w:pPr>
              <w:ind w:left="180"/>
              <w:spacing w:after="0"/>
              <w:rPr>
                <w:rFonts w:ascii="Arial" w:cs="Arial" w:eastAsia="Arial" w:hAnsi="Arial"/>
                <w:sz w:val="18"/>
                <w:szCs w:val="18"/>
                <w:color w:val="auto"/>
              </w:rPr>
            </w:pPr>
            <w:hyperlink w:anchor="page44">
              <w:r>
                <w:rPr>
                  <w:rFonts w:ascii="Arial" w:cs="Arial" w:eastAsia="Arial" w:hAnsi="Arial"/>
                  <w:sz w:val="18"/>
                  <w:szCs w:val="18"/>
                  <w:color w:val="auto"/>
                </w:rPr>
                <w:t>Item 1B.</w:t>
              </w:r>
            </w:hyperlink>
          </w:p>
        </w:tc>
        <w:tc>
          <w:tcPr>
            <w:tcW w:w="8820" w:type="dxa"/>
            <w:vAlign w:val="bottom"/>
          </w:tcPr>
          <w:p>
            <w:pPr>
              <w:ind w:left="20"/>
              <w:spacing w:after="0"/>
              <w:rPr>
                <w:rFonts w:ascii="Arial" w:cs="Arial" w:eastAsia="Arial" w:hAnsi="Arial"/>
                <w:sz w:val="18"/>
                <w:szCs w:val="18"/>
                <w:color w:val="auto"/>
              </w:rPr>
            </w:pPr>
            <w:hyperlink w:anchor="page44">
              <w:r>
                <w:rPr>
                  <w:rFonts w:ascii="Arial" w:cs="Arial" w:eastAsia="Arial" w:hAnsi="Arial"/>
                  <w:sz w:val="18"/>
                  <w:szCs w:val="18"/>
                  <w:color w:val="auto"/>
                </w:rPr>
                <w:t>Unresolved Staff Comments</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44">
              <w:r>
                <w:rPr>
                  <w:rFonts w:ascii="Arial" w:cs="Arial" w:eastAsia="Arial" w:hAnsi="Arial"/>
                  <w:sz w:val="18"/>
                  <w:szCs w:val="18"/>
                  <w:color w:val="1335FF"/>
                </w:rPr>
                <w:t>41</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rFonts w:ascii="Arial" w:cs="Arial" w:eastAsia="Arial" w:hAnsi="Arial"/>
                <w:sz w:val="18"/>
                <w:szCs w:val="18"/>
                <w:color w:val="auto"/>
              </w:rPr>
            </w:pPr>
            <w:hyperlink w:anchor="page44">
              <w:r>
                <w:rPr>
                  <w:rFonts w:ascii="Arial" w:cs="Arial" w:eastAsia="Arial" w:hAnsi="Arial"/>
                  <w:sz w:val="18"/>
                  <w:szCs w:val="18"/>
                  <w:color w:val="auto"/>
                </w:rPr>
                <w:t>Item 2.</w:t>
              </w:r>
            </w:hyperlink>
          </w:p>
        </w:tc>
        <w:tc>
          <w:tcPr>
            <w:tcW w:w="8820" w:type="dxa"/>
            <w:vAlign w:val="bottom"/>
            <w:tcBorders>
              <w:bottom w:val="single" w:sz="8" w:color="CCEEFF"/>
            </w:tcBorders>
            <w:shd w:val="clear" w:color="auto" w:fill="CCEEFF"/>
          </w:tcPr>
          <w:p>
            <w:pPr>
              <w:ind w:left="20"/>
              <w:spacing w:after="0"/>
              <w:rPr>
                <w:rFonts w:ascii="Arial" w:cs="Arial" w:eastAsia="Arial" w:hAnsi="Arial"/>
                <w:sz w:val="18"/>
                <w:szCs w:val="18"/>
                <w:color w:val="auto"/>
              </w:rPr>
            </w:pPr>
            <w:hyperlink w:anchor="page44">
              <w:r>
                <w:rPr>
                  <w:rFonts w:ascii="Arial" w:cs="Arial" w:eastAsia="Arial" w:hAnsi="Arial"/>
                  <w:sz w:val="18"/>
                  <w:szCs w:val="18"/>
                  <w:color w:val="auto"/>
                </w:rPr>
                <w:t>Properties</w:t>
              </w:r>
            </w:hyperlink>
          </w:p>
        </w:tc>
        <w:tc>
          <w:tcPr>
            <w:tcW w:w="144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44">
              <w:r>
                <w:rPr>
                  <w:rFonts w:ascii="Arial" w:cs="Arial" w:eastAsia="Arial" w:hAnsi="Arial"/>
                  <w:sz w:val="18"/>
                  <w:szCs w:val="18"/>
                  <w:color w:val="1335FF"/>
                </w:rPr>
                <w:t>41</w:t>
              </w:r>
            </w:hyperlink>
          </w:p>
        </w:tc>
      </w:tr>
      <w:tr>
        <w:trPr>
          <w:trHeight w:val="243"/>
        </w:trPr>
        <w:tc>
          <w:tcPr>
            <w:tcW w:w="1160" w:type="dxa"/>
            <w:vAlign w:val="bottom"/>
          </w:tcPr>
          <w:p>
            <w:pPr>
              <w:ind w:left="180"/>
              <w:spacing w:after="0"/>
              <w:rPr>
                <w:rFonts w:ascii="Arial" w:cs="Arial" w:eastAsia="Arial" w:hAnsi="Arial"/>
                <w:sz w:val="18"/>
                <w:szCs w:val="18"/>
                <w:color w:val="auto"/>
              </w:rPr>
            </w:pPr>
            <w:hyperlink w:anchor="page46">
              <w:r>
                <w:rPr>
                  <w:rFonts w:ascii="Arial" w:cs="Arial" w:eastAsia="Arial" w:hAnsi="Arial"/>
                  <w:sz w:val="18"/>
                  <w:szCs w:val="18"/>
                  <w:color w:val="auto"/>
                </w:rPr>
                <w:t>Item 3.</w:t>
              </w:r>
            </w:hyperlink>
          </w:p>
        </w:tc>
        <w:tc>
          <w:tcPr>
            <w:tcW w:w="8820" w:type="dxa"/>
            <w:vAlign w:val="bottom"/>
          </w:tcPr>
          <w:p>
            <w:pPr>
              <w:ind w:left="20"/>
              <w:spacing w:after="0"/>
              <w:rPr>
                <w:rFonts w:ascii="Arial" w:cs="Arial" w:eastAsia="Arial" w:hAnsi="Arial"/>
                <w:sz w:val="18"/>
                <w:szCs w:val="18"/>
                <w:color w:val="auto"/>
              </w:rPr>
            </w:pPr>
            <w:hyperlink w:anchor="page46">
              <w:r>
                <w:rPr>
                  <w:rFonts w:ascii="Arial" w:cs="Arial" w:eastAsia="Arial" w:hAnsi="Arial"/>
                  <w:sz w:val="18"/>
                  <w:szCs w:val="18"/>
                  <w:color w:val="auto"/>
                </w:rPr>
                <w:t>Legal Proceedings</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46">
              <w:r>
                <w:rPr>
                  <w:rFonts w:ascii="Arial" w:cs="Arial" w:eastAsia="Arial" w:hAnsi="Arial"/>
                  <w:sz w:val="18"/>
                  <w:szCs w:val="18"/>
                  <w:color w:val="1335FF"/>
                </w:rPr>
                <w:t>43</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rFonts w:ascii="Arial" w:cs="Arial" w:eastAsia="Arial" w:hAnsi="Arial"/>
                <w:sz w:val="18"/>
                <w:szCs w:val="18"/>
                <w:color w:val="auto"/>
              </w:rPr>
            </w:pPr>
            <w:hyperlink w:anchor="page46">
              <w:r>
                <w:rPr>
                  <w:rFonts w:ascii="Arial" w:cs="Arial" w:eastAsia="Arial" w:hAnsi="Arial"/>
                  <w:sz w:val="18"/>
                  <w:szCs w:val="18"/>
                  <w:color w:val="auto"/>
                </w:rPr>
                <w:t>Item 4.</w:t>
              </w:r>
            </w:hyperlink>
          </w:p>
        </w:tc>
        <w:tc>
          <w:tcPr>
            <w:tcW w:w="8820" w:type="dxa"/>
            <w:vAlign w:val="bottom"/>
            <w:tcBorders>
              <w:bottom w:val="single" w:sz="8" w:color="CCEEFF"/>
            </w:tcBorders>
            <w:shd w:val="clear" w:color="auto" w:fill="CCEEFF"/>
          </w:tcPr>
          <w:p>
            <w:pPr>
              <w:ind w:left="20"/>
              <w:spacing w:after="0"/>
              <w:rPr>
                <w:rFonts w:ascii="Arial" w:cs="Arial" w:eastAsia="Arial" w:hAnsi="Arial"/>
                <w:sz w:val="18"/>
                <w:szCs w:val="18"/>
                <w:color w:val="auto"/>
              </w:rPr>
            </w:pPr>
            <w:hyperlink w:anchor="page46">
              <w:r>
                <w:rPr>
                  <w:rFonts w:ascii="Arial" w:cs="Arial" w:eastAsia="Arial" w:hAnsi="Arial"/>
                  <w:sz w:val="18"/>
                  <w:szCs w:val="18"/>
                  <w:color w:val="auto"/>
                </w:rPr>
                <w:t>Mine Safety Disclosures</w:t>
              </w:r>
            </w:hyperlink>
          </w:p>
        </w:tc>
        <w:tc>
          <w:tcPr>
            <w:tcW w:w="144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46">
              <w:r>
                <w:rPr>
                  <w:rFonts w:ascii="Arial" w:cs="Arial" w:eastAsia="Arial" w:hAnsi="Arial"/>
                  <w:sz w:val="18"/>
                  <w:szCs w:val="18"/>
                  <w:color w:val="1335FF"/>
                </w:rPr>
                <w:t>43</w:t>
              </w:r>
            </w:hyperlink>
          </w:p>
        </w:tc>
      </w:tr>
      <w:tr>
        <w:trPr>
          <w:trHeight w:val="270"/>
        </w:trPr>
        <w:tc>
          <w:tcPr>
            <w:tcW w:w="1160" w:type="dxa"/>
            <w:vAlign w:val="bottom"/>
          </w:tcPr>
          <w:p>
            <w:pPr>
              <w:spacing w:after="0"/>
              <w:rPr>
                <w:sz w:val="23"/>
                <w:szCs w:val="23"/>
                <w:color w:val="auto"/>
              </w:rPr>
            </w:pPr>
          </w:p>
        </w:tc>
        <w:tc>
          <w:tcPr>
            <w:tcW w:w="8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116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47">
              <w:r>
                <w:rPr>
                  <w:rFonts w:ascii="Arial" w:cs="Arial" w:eastAsia="Arial" w:hAnsi="Arial"/>
                  <w:sz w:val="18"/>
                  <w:szCs w:val="18"/>
                  <w:color w:val="auto"/>
                </w:rPr>
                <w:t>PART II</w:t>
              </w:r>
            </w:hyperlink>
          </w:p>
        </w:tc>
        <w:tc>
          <w:tcPr>
            <w:tcW w:w="88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160" w:type="dxa"/>
            <w:vAlign w:val="bottom"/>
          </w:tcPr>
          <w:p>
            <w:pPr>
              <w:ind w:left="180"/>
              <w:spacing w:after="0"/>
              <w:rPr>
                <w:rFonts w:ascii="Arial" w:cs="Arial" w:eastAsia="Arial" w:hAnsi="Arial"/>
                <w:sz w:val="18"/>
                <w:szCs w:val="18"/>
                <w:color w:val="auto"/>
              </w:rPr>
            </w:pPr>
            <w:hyperlink w:anchor="page47">
              <w:r>
                <w:rPr>
                  <w:rFonts w:ascii="Arial" w:cs="Arial" w:eastAsia="Arial" w:hAnsi="Arial"/>
                  <w:sz w:val="18"/>
                  <w:szCs w:val="18"/>
                  <w:color w:val="auto"/>
                </w:rPr>
                <w:t>Item 5.</w:t>
              </w:r>
            </w:hyperlink>
          </w:p>
        </w:tc>
        <w:tc>
          <w:tcPr>
            <w:tcW w:w="8820" w:type="dxa"/>
            <w:vAlign w:val="bottom"/>
          </w:tcPr>
          <w:p>
            <w:pPr>
              <w:ind w:left="20"/>
              <w:spacing w:after="0"/>
              <w:rPr>
                <w:rFonts w:ascii="Arial" w:cs="Arial" w:eastAsia="Arial" w:hAnsi="Arial"/>
                <w:sz w:val="18"/>
                <w:szCs w:val="18"/>
                <w:color w:val="auto"/>
                <w:w w:val="98"/>
              </w:rPr>
            </w:pPr>
            <w:hyperlink w:anchor="page47">
              <w:r>
                <w:rPr>
                  <w:rFonts w:ascii="Arial" w:cs="Arial" w:eastAsia="Arial" w:hAnsi="Arial"/>
                  <w:sz w:val="18"/>
                  <w:szCs w:val="18"/>
                  <w:color w:val="auto"/>
                  <w:w w:val="98"/>
                </w:rPr>
                <w:t>Market for Registrant’s Common Equity, Related Shareholder Matters and Issuer Purchases of Equity Securities</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47">
              <w:r>
                <w:rPr>
                  <w:rFonts w:ascii="Arial" w:cs="Arial" w:eastAsia="Arial" w:hAnsi="Arial"/>
                  <w:sz w:val="18"/>
                  <w:szCs w:val="18"/>
                  <w:color w:val="1335FF"/>
                </w:rPr>
                <w:t>44</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rFonts w:ascii="Arial" w:cs="Arial" w:eastAsia="Arial" w:hAnsi="Arial"/>
                <w:sz w:val="18"/>
                <w:szCs w:val="18"/>
                <w:color w:val="auto"/>
              </w:rPr>
            </w:pPr>
            <w:hyperlink w:anchor="page48">
              <w:r>
                <w:rPr>
                  <w:rFonts w:ascii="Arial" w:cs="Arial" w:eastAsia="Arial" w:hAnsi="Arial"/>
                  <w:sz w:val="18"/>
                  <w:szCs w:val="18"/>
                  <w:color w:val="auto"/>
                </w:rPr>
                <w:t>Item 6.</w:t>
              </w:r>
            </w:hyperlink>
          </w:p>
        </w:tc>
        <w:tc>
          <w:tcPr>
            <w:tcW w:w="8820" w:type="dxa"/>
            <w:vAlign w:val="bottom"/>
            <w:tcBorders>
              <w:bottom w:val="single" w:sz="8" w:color="CCEEFF"/>
            </w:tcBorders>
            <w:shd w:val="clear" w:color="auto" w:fill="CCEEFF"/>
          </w:tcPr>
          <w:p>
            <w:pPr>
              <w:ind w:left="20"/>
              <w:spacing w:after="0"/>
              <w:rPr>
                <w:rFonts w:ascii="Arial" w:cs="Arial" w:eastAsia="Arial" w:hAnsi="Arial"/>
                <w:sz w:val="18"/>
                <w:szCs w:val="18"/>
                <w:color w:val="auto"/>
              </w:rPr>
            </w:pPr>
            <w:hyperlink w:anchor="page48">
              <w:r>
                <w:rPr>
                  <w:rFonts w:ascii="Arial" w:cs="Arial" w:eastAsia="Arial" w:hAnsi="Arial"/>
                  <w:sz w:val="18"/>
                  <w:szCs w:val="18"/>
                  <w:color w:val="auto"/>
                </w:rPr>
                <w:t>Selected Financial Data</w:t>
              </w:r>
            </w:hyperlink>
          </w:p>
        </w:tc>
        <w:tc>
          <w:tcPr>
            <w:tcW w:w="144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48">
              <w:r>
                <w:rPr>
                  <w:rFonts w:ascii="Arial" w:cs="Arial" w:eastAsia="Arial" w:hAnsi="Arial"/>
                  <w:sz w:val="18"/>
                  <w:szCs w:val="18"/>
                  <w:color w:val="1335FF"/>
                </w:rPr>
                <w:t>45</w:t>
              </w:r>
            </w:hyperlink>
          </w:p>
        </w:tc>
      </w:tr>
      <w:tr>
        <w:trPr>
          <w:trHeight w:val="243"/>
        </w:trPr>
        <w:tc>
          <w:tcPr>
            <w:tcW w:w="1160" w:type="dxa"/>
            <w:vAlign w:val="bottom"/>
          </w:tcPr>
          <w:p>
            <w:pPr>
              <w:ind w:left="180"/>
              <w:spacing w:after="0"/>
              <w:rPr>
                <w:rFonts w:ascii="Arial" w:cs="Arial" w:eastAsia="Arial" w:hAnsi="Arial"/>
                <w:sz w:val="18"/>
                <w:szCs w:val="18"/>
                <w:color w:val="auto"/>
              </w:rPr>
            </w:pPr>
            <w:hyperlink w:anchor="page50">
              <w:r>
                <w:rPr>
                  <w:rFonts w:ascii="Arial" w:cs="Arial" w:eastAsia="Arial" w:hAnsi="Arial"/>
                  <w:sz w:val="18"/>
                  <w:szCs w:val="18"/>
                  <w:color w:val="auto"/>
                </w:rPr>
                <w:t>Item 7.</w:t>
              </w:r>
            </w:hyperlink>
          </w:p>
        </w:tc>
        <w:tc>
          <w:tcPr>
            <w:tcW w:w="8820" w:type="dxa"/>
            <w:vAlign w:val="bottom"/>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Management’s Discussion and Analysis of Financial Condition and Results of Operations</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50">
              <w:r>
                <w:rPr>
                  <w:rFonts w:ascii="Arial" w:cs="Arial" w:eastAsia="Arial" w:hAnsi="Arial"/>
                  <w:sz w:val="18"/>
                  <w:szCs w:val="18"/>
                  <w:color w:val="1335FF"/>
                </w:rPr>
                <w:t>47</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rFonts w:ascii="Arial" w:cs="Arial" w:eastAsia="Arial" w:hAnsi="Arial"/>
                <w:sz w:val="18"/>
                <w:szCs w:val="18"/>
                <w:color w:val="auto"/>
              </w:rPr>
            </w:pPr>
            <w:hyperlink w:anchor="page71">
              <w:r>
                <w:rPr>
                  <w:rFonts w:ascii="Arial" w:cs="Arial" w:eastAsia="Arial" w:hAnsi="Arial"/>
                  <w:sz w:val="18"/>
                  <w:szCs w:val="18"/>
                  <w:color w:val="auto"/>
                </w:rPr>
                <w:t>Item 7A.</w:t>
              </w:r>
            </w:hyperlink>
          </w:p>
        </w:tc>
        <w:tc>
          <w:tcPr>
            <w:tcW w:w="8820" w:type="dxa"/>
            <w:vAlign w:val="bottom"/>
            <w:tcBorders>
              <w:bottom w:val="single" w:sz="8" w:color="CCEEFF"/>
            </w:tcBorders>
            <w:shd w:val="clear" w:color="auto" w:fill="CCEEFF"/>
          </w:tcPr>
          <w:p>
            <w:pPr>
              <w:ind w:left="20"/>
              <w:spacing w:after="0"/>
              <w:rPr>
                <w:rFonts w:ascii="Arial" w:cs="Arial" w:eastAsia="Arial" w:hAnsi="Arial"/>
                <w:sz w:val="18"/>
                <w:szCs w:val="18"/>
                <w:color w:val="auto"/>
              </w:rPr>
            </w:pPr>
            <w:hyperlink w:anchor="page71">
              <w:r>
                <w:rPr>
                  <w:rFonts w:ascii="Arial" w:cs="Arial" w:eastAsia="Arial" w:hAnsi="Arial"/>
                  <w:sz w:val="18"/>
                  <w:szCs w:val="18"/>
                  <w:color w:val="auto"/>
                </w:rPr>
                <w:t>Quantitative and Qualitative Disclosures About Market Risk</w:t>
              </w:r>
            </w:hyperlink>
          </w:p>
        </w:tc>
        <w:tc>
          <w:tcPr>
            <w:tcW w:w="144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71">
              <w:r>
                <w:rPr>
                  <w:rFonts w:ascii="Arial" w:cs="Arial" w:eastAsia="Arial" w:hAnsi="Arial"/>
                  <w:sz w:val="18"/>
                  <w:szCs w:val="18"/>
                  <w:color w:val="1335FF"/>
                </w:rPr>
                <w:t>68</w:t>
              </w:r>
            </w:hyperlink>
          </w:p>
        </w:tc>
      </w:tr>
      <w:tr>
        <w:trPr>
          <w:trHeight w:val="243"/>
        </w:trPr>
        <w:tc>
          <w:tcPr>
            <w:tcW w:w="1160" w:type="dxa"/>
            <w:vAlign w:val="bottom"/>
          </w:tcPr>
          <w:p>
            <w:pPr>
              <w:ind w:left="180"/>
              <w:spacing w:after="0"/>
              <w:rPr>
                <w:rFonts w:ascii="Arial" w:cs="Arial" w:eastAsia="Arial" w:hAnsi="Arial"/>
                <w:sz w:val="18"/>
                <w:szCs w:val="18"/>
                <w:color w:val="auto"/>
              </w:rPr>
            </w:pPr>
            <w:hyperlink w:anchor="page71">
              <w:r>
                <w:rPr>
                  <w:rFonts w:ascii="Arial" w:cs="Arial" w:eastAsia="Arial" w:hAnsi="Arial"/>
                  <w:sz w:val="18"/>
                  <w:szCs w:val="18"/>
                  <w:color w:val="auto"/>
                </w:rPr>
                <w:t>Item 8.</w:t>
              </w:r>
            </w:hyperlink>
          </w:p>
        </w:tc>
        <w:tc>
          <w:tcPr>
            <w:tcW w:w="8820" w:type="dxa"/>
            <w:vAlign w:val="bottom"/>
          </w:tcPr>
          <w:p>
            <w:pPr>
              <w:ind w:left="20"/>
              <w:spacing w:after="0"/>
              <w:rPr>
                <w:rFonts w:ascii="Arial" w:cs="Arial" w:eastAsia="Arial" w:hAnsi="Arial"/>
                <w:sz w:val="18"/>
                <w:szCs w:val="18"/>
                <w:color w:val="auto"/>
              </w:rPr>
            </w:pPr>
            <w:hyperlink w:anchor="page71">
              <w:r>
                <w:rPr>
                  <w:rFonts w:ascii="Arial" w:cs="Arial" w:eastAsia="Arial" w:hAnsi="Arial"/>
                  <w:sz w:val="18"/>
                  <w:szCs w:val="18"/>
                  <w:color w:val="auto"/>
                </w:rPr>
                <w:t>Financial Statements and Supplementary Data</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71">
              <w:r>
                <w:rPr>
                  <w:rFonts w:ascii="Arial" w:cs="Arial" w:eastAsia="Arial" w:hAnsi="Arial"/>
                  <w:sz w:val="18"/>
                  <w:szCs w:val="18"/>
                  <w:color w:val="1335FF"/>
                </w:rPr>
                <w:t>68</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rFonts w:ascii="Arial" w:cs="Arial" w:eastAsia="Arial" w:hAnsi="Arial"/>
                <w:sz w:val="18"/>
                <w:szCs w:val="18"/>
                <w:color w:val="auto"/>
              </w:rPr>
            </w:pPr>
            <w:hyperlink w:anchor="page71">
              <w:r>
                <w:rPr>
                  <w:rFonts w:ascii="Arial" w:cs="Arial" w:eastAsia="Arial" w:hAnsi="Arial"/>
                  <w:sz w:val="18"/>
                  <w:szCs w:val="18"/>
                  <w:color w:val="auto"/>
                </w:rPr>
                <w:t>Item 9.</w:t>
              </w:r>
            </w:hyperlink>
          </w:p>
        </w:tc>
        <w:tc>
          <w:tcPr>
            <w:tcW w:w="8820" w:type="dxa"/>
            <w:vAlign w:val="bottom"/>
            <w:tcBorders>
              <w:bottom w:val="single" w:sz="8" w:color="CCEEFF"/>
            </w:tcBorders>
            <w:shd w:val="clear" w:color="auto" w:fill="CCEEFF"/>
          </w:tcPr>
          <w:p>
            <w:pPr>
              <w:ind w:left="20"/>
              <w:spacing w:after="0"/>
              <w:rPr>
                <w:rFonts w:ascii="Arial" w:cs="Arial" w:eastAsia="Arial" w:hAnsi="Arial"/>
                <w:sz w:val="18"/>
                <w:szCs w:val="18"/>
                <w:color w:val="auto"/>
              </w:rPr>
            </w:pPr>
            <w:hyperlink w:anchor="page71">
              <w:r>
                <w:rPr>
                  <w:rFonts w:ascii="Arial" w:cs="Arial" w:eastAsia="Arial" w:hAnsi="Arial"/>
                  <w:sz w:val="18"/>
                  <w:szCs w:val="18"/>
                  <w:color w:val="auto"/>
                </w:rPr>
                <w:t>Changes in and Disagreements with Accountants on Accounting and Financial Disclosure</w:t>
              </w:r>
            </w:hyperlink>
          </w:p>
        </w:tc>
        <w:tc>
          <w:tcPr>
            <w:tcW w:w="144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71">
              <w:r>
                <w:rPr>
                  <w:rFonts w:ascii="Arial" w:cs="Arial" w:eastAsia="Arial" w:hAnsi="Arial"/>
                  <w:sz w:val="18"/>
                  <w:szCs w:val="18"/>
                  <w:color w:val="1335FF"/>
                </w:rPr>
                <w:t>68</w:t>
              </w:r>
            </w:hyperlink>
          </w:p>
        </w:tc>
      </w:tr>
      <w:tr>
        <w:trPr>
          <w:trHeight w:val="243"/>
        </w:trPr>
        <w:tc>
          <w:tcPr>
            <w:tcW w:w="1160" w:type="dxa"/>
            <w:vAlign w:val="bottom"/>
          </w:tcPr>
          <w:p>
            <w:pPr>
              <w:ind w:left="180"/>
              <w:spacing w:after="0"/>
              <w:rPr>
                <w:rFonts w:ascii="Arial" w:cs="Arial" w:eastAsia="Arial" w:hAnsi="Arial"/>
                <w:sz w:val="18"/>
                <w:szCs w:val="18"/>
                <w:color w:val="auto"/>
              </w:rPr>
            </w:pPr>
            <w:hyperlink w:anchor="page72">
              <w:r>
                <w:rPr>
                  <w:rFonts w:ascii="Arial" w:cs="Arial" w:eastAsia="Arial" w:hAnsi="Arial"/>
                  <w:sz w:val="18"/>
                  <w:szCs w:val="18"/>
                  <w:color w:val="auto"/>
                </w:rPr>
                <w:t>Item 9A.</w:t>
              </w:r>
            </w:hyperlink>
          </w:p>
        </w:tc>
        <w:tc>
          <w:tcPr>
            <w:tcW w:w="8820" w:type="dxa"/>
            <w:vAlign w:val="bottom"/>
          </w:tcPr>
          <w:p>
            <w:pPr>
              <w:ind w:left="20"/>
              <w:spacing w:after="0"/>
              <w:rPr>
                <w:rFonts w:ascii="Arial" w:cs="Arial" w:eastAsia="Arial" w:hAnsi="Arial"/>
                <w:sz w:val="18"/>
                <w:szCs w:val="18"/>
                <w:color w:val="auto"/>
              </w:rPr>
            </w:pPr>
            <w:hyperlink w:anchor="page72">
              <w:r>
                <w:rPr>
                  <w:rFonts w:ascii="Arial" w:cs="Arial" w:eastAsia="Arial" w:hAnsi="Arial"/>
                  <w:sz w:val="18"/>
                  <w:szCs w:val="18"/>
                  <w:color w:val="auto"/>
                </w:rPr>
                <w:t>Controls and Procedures</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72">
              <w:r>
                <w:rPr>
                  <w:rFonts w:ascii="Arial" w:cs="Arial" w:eastAsia="Arial" w:hAnsi="Arial"/>
                  <w:sz w:val="18"/>
                  <w:szCs w:val="18"/>
                  <w:color w:val="1335FF"/>
                </w:rPr>
                <w:t>69</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rFonts w:ascii="Arial" w:cs="Arial" w:eastAsia="Arial" w:hAnsi="Arial"/>
                <w:sz w:val="18"/>
                <w:szCs w:val="18"/>
                <w:color w:val="auto"/>
              </w:rPr>
            </w:pPr>
            <w:hyperlink w:anchor="page72">
              <w:r>
                <w:rPr>
                  <w:rFonts w:ascii="Arial" w:cs="Arial" w:eastAsia="Arial" w:hAnsi="Arial"/>
                  <w:sz w:val="18"/>
                  <w:szCs w:val="18"/>
                  <w:color w:val="auto"/>
                </w:rPr>
                <w:t>Item 9B.</w:t>
              </w:r>
            </w:hyperlink>
          </w:p>
        </w:tc>
        <w:tc>
          <w:tcPr>
            <w:tcW w:w="8820" w:type="dxa"/>
            <w:vAlign w:val="bottom"/>
            <w:tcBorders>
              <w:bottom w:val="single" w:sz="8" w:color="CCEEFF"/>
            </w:tcBorders>
            <w:shd w:val="clear" w:color="auto" w:fill="CCEEFF"/>
          </w:tcPr>
          <w:p>
            <w:pPr>
              <w:ind w:left="20"/>
              <w:spacing w:after="0"/>
              <w:rPr>
                <w:rFonts w:ascii="Arial" w:cs="Arial" w:eastAsia="Arial" w:hAnsi="Arial"/>
                <w:sz w:val="18"/>
                <w:szCs w:val="18"/>
                <w:color w:val="auto"/>
              </w:rPr>
            </w:pPr>
            <w:hyperlink w:anchor="page72">
              <w:r>
                <w:rPr>
                  <w:rFonts w:ascii="Arial" w:cs="Arial" w:eastAsia="Arial" w:hAnsi="Arial"/>
                  <w:sz w:val="18"/>
                  <w:szCs w:val="18"/>
                  <w:color w:val="auto"/>
                </w:rPr>
                <w:t>Other Information</w:t>
              </w:r>
            </w:hyperlink>
          </w:p>
        </w:tc>
        <w:tc>
          <w:tcPr>
            <w:tcW w:w="144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72">
              <w:r>
                <w:rPr>
                  <w:rFonts w:ascii="Arial" w:cs="Arial" w:eastAsia="Arial" w:hAnsi="Arial"/>
                  <w:sz w:val="18"/>
                  <w:szCs w:val="18"/>
                  <w:color w:val="1335FF"/>
                </w:rPr>
                <w:t>69</w:t>
              </w:r>
            </w:hyperlink>
          </w:p>
        </w:tc>
      </w:tr>
      <w:tr>
        <w:trPr>
          <w:trHeight w:val="270"/>
        </w:trPr>
        <w:tc>
          <w:tcPr>
            <w:tcW w:w="1160" w:type="dxa"/>
            <w:vAlign w:val="bottom"/>
          </w:tcPr>
          <w:p>
            <w:pPr>
              <w:spacing w:after="0"/>
              <w:rPr>
                <w:sz w:val="23"/>
                <w:szCs w:val="23"/>
                <w:color w:val="auto"/>
              </w:rPr>
            </w:pPr>
          </w:p>
        </w:tc>
        <w:tc>
          <w:tcPr>
            <w:tcW w:w="8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116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73">
              <w:r>
                <w:rPr>
                  <w:rFonts w:ascii="Arial" w:cs="Arial" w:eastAsia="Arial" w:hAnsi="Arial"/>
                  <w:sz w:val="18"/>
                  <w:szCs w:val="18"/>
                  <w:color w:val="auto"/>
                </w:rPr>
                <w:t>PART III</w:t>
              </w:r>
            </w:hyperlink>
          </w:p>
        </w:tc>
        <w:tc>
          <w:tcPr>
            <w:tcW w:w="88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160" w:type="dxa"/>
            <w:vAlign w:val="bottom"/>
          </w:tcPr>
          <w:p>
            <w:pPr>
              <w:ind w:left="180"/>
              <w:spacing w:after="0"/>
              <w:rPr>
                <w:rFonts w:ascii="Arial" w:cs="Arial" w:eastAsia="Arial" w:hAnsi="Arial"/>
                <w:sz w:val="18"/>
                <w:szCs w:val="18"/>
                <w:color w:val="auto"/>
              </w:rPr>
            </w:pPr>
            <w:hyperlink w:anchor="page73">
              <w:r>
                <w:rPr>
                  <w:rFonts w:ascii="Arial" w:cs="Arial" w:eastAsia="Arial" w:hAnsi="Arial"/>
                  <w:sz w:val="18"/>
                  <w:szCs w:val="18"/>
                  <w:color w:val="auto"/>
                </w:rPr>
                <w:t>Item 10.</w:t>
              </w:r>
            </w:hyperlink>
          </w:p>
        </w:tc>
        <w:tc>
          <w:tcPr>
            <w:tcW w:w="8820" w:type="dxa"/>
            <w:vAlign w:val="bottom"/>
          </w:tcPr>
          <w:p>
            <w:pPr>
              <w:ind w:left="20"/>
              <w:spacing w:after="0"/>
              <w:rPr>
                <w:rFonts w:ascii="Arial" w:cs="Arial" w:eastAsia="Arial" w:hAnsi="Arial"/>
                <w:sz w:val="18"/>
                <w:szCs w:val="18"/>
                <w:color w:val="auto"/>
              </w:rPr>
            </w:pPr>
            <w:hyperlink w:anchor="page73">
              <w:r>
                <w:rPr>
                  <w:rFonts w:ascii="Arial" w:cs="Arial" w:eastAsia="Arial" w:hAnsi="Arial"/>
                  <w:sz w:val="18"/>
                  <w:szCs w:val="18"/>
                  <w:color w:val="auto"/>
                </w:rPr>
                <w:t>Directors, Executive Officers and Corporate Governance</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73">
              <w:r>
                <w:rPr>
                  <w:rFonts w:ascii="Arial" w:cs="Arial" w:eastAsia="Arial" w:hAnsi="Arial"/>
                  <w:sz w:val="18"/>
                  <w:szCs w:val="18"/>
                  <w:color w:val="1335FF"/>
                </w:rPr>
                <w:t>70</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rFonts w:ascii="Arial" w:cs="Arial" w:eastAsia="Arial" w:hAnsi="Arial"/>
                <w:sz w:val="18"/>
                <w:szCs w:val="18"/>
                <w:color w:val="auto"/>
              </w:rPr>
            </w:pPr>
            <w:hyperlink w:anchor="page73">
              <w:r>
                <w:rPr>
                  <w:rFonts w:ascii="Arial" w:cs="Arial" w:eastAsia="Arial" w:hAnsi="Arial"/>
                  <w:sz w:val="18"/>
                  <w:szCs w:val="18"/>
                  <w:color w:val="auto"/>
                </w:rPr>
                <w:t>Item 11.</w:t>
              </w:r>
            </w:hyperlink>
          </w:p>
        </w:tc>
        <w:tc>
          <w:tcPr>
            <w:tcW w:w="8820" w:type="dxa"/>
            <w:vAlign w:val="bottom"/>
            <w:tcBorders>
              <w:bottom w:val="single" w:sz="8" w:color="CCEEFF"/>
            </w:tcBorders>
            <w:shd w:val="clear" w:color="auto" w:fill="CCEEFF"/>
          </w:tcPr>
          <w:p>
            <w:pPr>
              <w:ind w:left="20"/>
              <w:spacing w:after="0"/>
              <w:rPr>
                <w:rFonts w:ascii="Arial" w:cs="Arial" w:eastAsia="Arial" w:hAnsi="Arial"/>
                <w:sz w:val="18"/>
                <w:szCs w:val="18"/>
                <w:color w:val="auto"/>
              </w:rPr>
            </w:pPr>
            <w:hyperlink w:anchor="page73">
              <w:r>
                <w:rPr>
                  <w:rFonts w:ascii="Arial" w:cs="Arial" w:eastAsia="Arial" w:hAnsi="Arial"/>
                  <w:sz w:val="18"/>
                  <w:szCs w:val="18"/>
                  <w:color w:val="auto"/>
                </w:rPr>
                <w:t>Executive Compensation</w:t>
              </w:r>
            </w:hyperlink>
          </w:p>
        </w:tc>
        <w:tc>
          <w:tcPr>
            <w:tcW w:w="144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73">
              <w:r>
                <w:rPr>
                  <w:rFonts w:ascii="Arial" w:cs="Arial" w:eastAsia="Arial" w:hAnsi="Arial"/>
                  <w:sz w:val="18"/>
                  <w:szCs w:val="18"/>
                  <w:color w:val="1335FF"/>
                </w:rPr>
                <w:t>70</w:t>
              </w:r>
            </w:hyperlink>
          </w:p>
        </w:tc>
      </w:tr>
      <w:tr>
        <w:trPr>
          <w:trHeight w:val="243"/>
        </w:trPr>
        <w:tc>
          <w:tcPr>
            <w:tcW w:w="1160" w:type="dxa"/>
            <w:vAlign w:val="bottom"/>
          </w:tcPr>
          <w:p>
            <w:pPr>
              <w:ind w:left="180"/>
              <w:spacing w:after="0"/>
              <w:rPr>
                <w:rFonts w:ascii="Arial" w:cs="Arial" w:eastAsia="Arial" w:hAnsi="Arial"/>
                <w:sz w:val="18"/>
                <w:szCs w:val="18"/>
                <w:color w:val="auto"/>
              </w:rPr>
            </w:pPr>
            <w:hyperlink w:anchor="page73">
              <w:r>
                <w:rPr>
                  <w:rFonts w:ascii="Arial" w:cs="Arial" w:eastAsia="Arial" w:hAnsi="Arial"/>
                  <w:sz w:val="18"/>
                  <w:szCs w:val="18"/>
                  <w:color w:val="auto"/>
                </w:rPr>
                <w:t>Item 12.</w:t>
              </w:r>
            </w:hyperlink>
          </w:p>
        </w:tc>
        <w:tc>
          <w:tcPr>
            <w:tcW w:w="8820" w:type="dxa"/>
            <w:vAlign w:val="bottom"/>
          </w:tcPr>
          <w:p>
            <w:pPr>
              <w:ind w:left="20"/>
              <w:spacing w:after="0"/>
              <w:rPr>
                <w:rFonts w:ascii="Arial" w:cs="Arial" w:eastAsia="Arial" w:hAnsi="Arial"/>
                <w:sz w:val="18"/>
                <w:szCs w:val="18"/>
                <w:color w:val="auto"/>
              </w:rPr>
            </w:pPr>
            <w:hyperlink w:anchor="page73">
              <w:r>
                <w:rPr>
                  <w:rFonts w:ascii="Arial" w:cs="Arial" w:eastAsia="Arial" w:hAnsi="Arial"/>
                  <w:sz w:val="18"/>
                  <w:szCs w:val="18"/>
                  <w:color w:val="auto"/>
                </w:rPr>
                <w:t>Security Ownership of Certain Beneficial Owners and Management and Related Shareholder Matters</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73">
              <w:r>
                <w:rPr>
                  <w:rFonts w:ascii="Arial" w:cs="Arial" w:eastAsia="Arial" w:hAnsi="Arial"/>
                  <w:sz w:val="18"/>
                  <w:szCs w:val="18"/>
                  <w:color w:val="1335FF"/>
                </w:rPr>
                <w:t>70</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rFonts w:ascii="Arial" w:cs="Arial" w:eastAsia="Arial" w:hAnsi="Arial"/>
                <w:sz w:val="18"/>
                <w:szCs w:val="18"/>
                <w:color w:val="auto"/>
              </w:rPr>
            </w:pPr>
            <w:hyperlink w:anchor="page73">
              <w:r>
                <w:rPr>
                  <w:rFonts w:ascii="Arial" w:cs="Arial" w:eastAsia="Arial" w:hAnsi="Arial"/>
                  <w:sz w:val="18"/>
                  <w:szCs w:val="18"/>
                  <w:color w:val="auto"/>
                </w:rPr>
                <w:t>Item 13.</w:t>
              </w:r>
            </w:hyperlink>
          </w:p>
        </w:tc>
        <w:tc>
          <w:tcPr>
            <w:tcW w:w="8820" w:type="dxa"/>
            <w:vAlign w:val="bottom"/>
            <w:tcBorders>
              <w:bottom w:val="single" w:sz="8" w:color="CCEEFF"/>
            </w:tcBorders>
            <w:shd w:val="clear" w:color="auto" w:fill="CCEEFF"/>
          </w:tcPr>
          <w:p>
            <w:pPr>
              <w:ind w:left="20"/>
              <w:spacing w:after="0"/>
              <w:rPr>
                <w:rFonts w:ascii="Arial" w:cs="Arial" w:eastAsia="Arial" w:hAnsi="Arial"/>
                <w:sz w:val="18"/>
                <w:szCs w:val="18"/>
                <w:color w:val="auto"/>
              </w:rPr>
            </w:pPr>
            <w:hyperlink w:anchor="page73">
              <w:r>
                <w:rPr>
                  <w:rFonts w:ascii="Arial" w:cs="Arial" w:eastAsia="Arial" w:hAnsi="Arial"/>
                  <w:sz w:val="18"/>
                  <w:szCs w:val="18"/>
                  <w:color w:val="auto"/>
                </w:rPr>
                <w:t>Certain Relationships and Related Transactions, and Director Independence</w:t>
              </w:r>
            </w:hyperlink>
          </w:p>
        </w:tc>
        <w:tc>
          <w:tcPr>
            <w:tcW w:w="144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73">
              <w:r>
                <w:rPr>
                  <w:rFonts w:ascii="Arial" w:cs="Arial" w:eastAsia="Arial" w:hAnsi="Arial"/>
                  <w:sz w:val="18"/>
                  <w:szCs w:val="18"/>
                  <w:color w:val="1335FF"/>
                </w:rPr>
                <w:t>70</w:t>
              </w:r>
            </w:hyperlink>
          </w:p>
        </w:tc>
      </w:tr>
      <w:tr>
        <w:trPr>
          <w:trHeight w:val="243"/>
        </w:trPr>
        <w:tc>
          <w:tcPr>
            <w:tcW w:w="1160" w:type="dxa"/>
            <w:vAlign w:val="bottom"/>
          </w:tcPr>
          <w:p>
            <w:pPr>
              <w:ind w:left="180"/>
              <w:spacing w:after="0"/>
              <w:rPr>
                <w:rFonts w:ascii="Arial" w:cs="Arial" w:eastAsia="Arial" w:hAnsi="Arial"/>
                <w:sz w:val="18"/>
                <w:szCs w:val="18"/>
                <w:color w:val="auto"/>
              </w:rPr>
            </w:pPr>
            <w:hyperlink w:anchor="page73">
              <w:r>
                <w:rPr>
                  <w:rFonts w:ascii="Arial" w:cs="Arial" w:eastAsia="Arial" w:hAnsi="Arial"/>
                  <w:sz w:val="18"/>
                  <w:szCs w:val="18"/>
                  <w:color w:val="auto"/>
                </w:rPr>
                <w:t>Item 14.</w:t>
              </w:r>
            </w:hyperlink>
          </w:p>
        </w:tc>
        <w:tc>
          <w:tcPr>
            <w:tcW w:w="8820" w:type="dxa"/>
            <w:vAlign w:val="bottom"/>
          </w:tcPr>
          <w:p>
            <w:pPr>
              <w:ind w:left="20"/>
              <w:spacing w:after="0"/>
              <w:rPr>
                <w:rFonts w:ascii="Arial" w:cs="Arial" w:eastAsia="Arial" w:hAnsi="Arial"/>
                <w:sz w:val="18"/>
                <w:szCs w:val="18"/>
                <w:color w:val="auto"/>
              </w:rPr>
            </w:pPr>
            <w:hyperlink w:anchor="page73">
              <w:r>
                <w:rPr>
                  <w:rFonts w:ascii="Arial" w:cs="Arial" w:eastAsia="Arial" w:hAnsi="Arial"/>
                  <w:sz w:val="18"/>
                  <w:szCs w:val="18"/>
                  <w:color w:val="auto"/>
                </w:rPr>
                <w:t>Principal Accounting Fees and Services</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73">
              <w:r>
                <w:rPr>
                  <w:rFonts w:ascii="Arial" w:cs="Arial" w:eastAsia="Arial" w:hAnsi="Arial"/>
                  <w:sz w:val="18"/>
                  <w:szCs w:val="18"/>
                  <w:color w:val="1335FF"/>
                </w:rPr>
                <w:t>70</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1160" w:type="dxa"/>
            <w:vAlign w:val="bottom"/>
            <w:shd w:val="clear" w:color="auto" w:fill="CCEEFF"/>
          </w:tcPr>
          <w:p>
            <w:pPr>
              <w:spacing w:after="0"/>
              <w:rPr>
                <w:sz w:val="23"/>
                <w:szCs w:val="23"/>
                <w:color w:val="auto"/>
              </w:rPr>
            </w:pPr>
          </w:p>
        </w:tc>
        <w:tc>
          <w:tcPr>
            <w:tcW w:w="88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1160" w:type="dxa"/>
            <w:vAlign w:val="bottom"/>
          </w:tcPr>
          <w:p>
            <w:pPr>
              <w:ind w:left="40"/>
              <w:spacing w:after="0"/>
              <w:rPr>
                <w:rFonts w:ascii="Arial" w:cs="Arial" w:eastAsia="Arial" w:hAnsi="Arial"/>
                <w:sz w:val="18"/>
                <w:szCs w:val="18"/>
                <w:color w:val="auto"/>
              </w:rPr>
            </w:pPr>
            <w:hyperlink w:anchor="page74">
              <w:r>
                <w:rPr>
                  <w:rFonts w:ascii="Arial" w:cs="Arial" w:eastAsia="Arial" w:hAnsi="Arial"/>
                  <w:sz w:val="18"/>
                  <w:szCs w:val="18"/>
                  <w:color w:val="auto"/>
                </w:rPr>
                <w:t>PART IV</w:t>
              </w:r>
            </w:hyperlink>
          </w:p>
        </w:tc>
        <w:tc>
          <w:tcPr>
            <w:tcW w:w="8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180"/>
              <w:spacing w:after="0"/>
              <w:rPr>
                <w:rFonts w:ascii="Arial" w:cs="Arial" w:eastAsia="Arial" w:hAnsi="Arial"/>
                <w:sz w:val="18"/>
                <w:szCs w:val="18"/>
                <w:color w:val="auto"/>
              </w:rPr>
            </w:pPr>
            <w:hyperlink w:anchor="page74">
              <w:r>
                <w:rPr>
                  <w:rFonts w:ascii="Arial" w:cs="Arial" w:eastAsia="Arial" w:hAnsi="Arial"/>
                  <w:sz w:val="18"/>
                  <w:szCs w:val="18"/>
                  <w:color w:val="auto"/>
                </w:rPr>
                <w:t>Item 15.</w:t>
              </w:r>
            </w:hyperlink>
          </w:p>
        </w:tc>
        <w:tc>
          <w:tcPr>
            <w:tcW w:w="8820" w:type="dxa"/>
            <w:vAlign w:val="bottom"/>
            <w:tcBorders>
              <w:bottom w:val="single" w:sz="8" w:color="CCEEFF"/>
            </w:tcBorders>
            <w:shd w:val="clear" w:color="auto" w:fill="CCEEFF"/>
          </w:tcPr>
          <w:p>
            <w:pPr>
              <w:ind w:left="20"/>
              <w:spacing w:after="0"/>
              <w:rPr>
                <w:rFonts w:ascii="Arial" w:cs="Arial" w:eastAsia="Arial" w:hAnsi="Arial"/>
                <w:sz w:val="18"/>
                <w:szCs w:val="18"/>
                <w:color w:val="auto"/>
              </w:rPr>
            </w:pPr>
            <w:hyperlink w:anchor="page74">
              <w:r>
                <w:rPr>
                  <w:rFonts w:ascii="Arial" w:cs="Arial" w:eastAsia="Arial" w:hAnsi="Arial"/>
                  <w:sz w:val="18"/>
                  <w:szCs w:val="18"/>
                  <w:color w:val="auto"/>
                </w:rPr>
                <w:t>Exhibits, Financial Statement Schedules</w:t>
              </w:r>
            </w:hyperlink>
          </w:p>
        </w:tc>
        <w:tc>
          <w:tcPr>
            <w:tcW w:w="144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74">
              <w:r>
                <w:rPr>
                  <w:rFonts w:ascii="Arial" w:cs="Arial" w:eastAsia="Arial" w:hAnsi="Arial"/>
                  <w:sz w:val="18"/>
                  <w:szCs w:val="18"/>
                  <w:color w:val="1335FF"/>
                </w:rPr>
                <w:t>71</w:t>
              </w:r>
            </w:hyperlink>
          </w:p>
        </w:tc>
      </w:tr>
      <w:tr>
        <w:trPr>
          <w:trHeight w:val="243"/>
        </w:trPr>
        <w:tc>
          <w:tcPr>
            <w:tcW w:w="1160" w:type="dxa"/>
            <w:vAlign w:val="bottom"/>
          </w:tcPr>
          <w:p>
            <w:pPr>
              <w:ind w:left="180"/>
              <w:spacing w:after="0"/>
              <w:rPr>
                <w:rFonts w:ascii="Arial" w:cs="Arial" w:eastAsia="Arial" w:hAnsi="Arial"/>
                <w:sz w:val="18"/>
                <w:szCs w:val="18"/>
                <w:color w:val="auto"/>
              </w:rPr>
            </w:pPr>
            <w:hyperlink w:anchor="page77">
              <w:r>
                <w:rPr>
                  <w:rFonts w:ascii="Arial" w:cs="Arial" w:eastAsia="Arial" w:hAnsi="Arial"/>
                  <w:sz w:val="18"/>
                  <w:szCs w:val="18"/>
                  <w:color w:val="auto"/>
                </w:rPr>
                <w:t>Item 16.</w:t>
              </w:r>
            </w:hyperlink>
          </w:p>
        </w:tc>
        <w:tc>
          <w:tcPr>
            <w:tcW w:w="8820" w:type="dxa"/>
            <w:vAlign w:val="bottom"/>
          </w:tcPr>
          <w:p>
            <w:pPr>
              <w:ind w:left="20"/>
              <w:spacing w:after="0"/>
              <w:rPr>
                <w:rFonts w:ascii="Arial" w:cs="Arial" w:eastAsia="Arial" w:hAnsi="Arial"/>
                <w:sz w:val="18"/>
                <w:szCs w:val="18"/>
                <w:color w:val="auto"/>
              </w:rPr>
            </w:pPr>
            <w:hyperlink w:anchor="page77">
              <w:r>
                <w:rPr>
                  <w:rFonts w:ascii="Arial" w:cs="Arial" w:eastAsia="Arial" w:hAnsi="Arial"/>
                  <w:sz w:val="18"/>
                  <w:szCs w:val="18"/>
                  <w:color w:val="auto"/>
                </w:rPr>
                <w:t>Form 10-K Summary</w:t>
              </w:r>
            </w:hyperlink>
          </w:p>
        </w:tc>
        <w:tc>
          <w:tcPr>
            <w:tcW w:w="1440" w:type="dxa"/>
            <w:vAlign w:val="bottom"/>
            <w:gridSpan w:val="3"/>
          </w:tcPr>
          <w:p>
            <w:pPr>
              <w:jc w:val="right"/>
              <w:ind w:right="20"/>
              <w:spacing w:after="0"/>
              <w:rPr>
                <w:rFonts w:ascii="Arial" w:cs="Arial" w:eastAsia="Arial" w:hAnsi="Arial"/>
                <w:sz w:val="18"/>
                <w:szCs w:val="18"/>
                <w:color w:val="1335FF"/>
              </w:rPr>
            </w:pPr>
            <w:hyperlink w:anchor="page77">
              <w:r>
                <w:rPr>
                  <w:rFonts w:ascii="Arial" w:cs="Arial" w:eastAsia="Arial" w:hAnsi="Arial"/>
                  <w:sz w:val="18"/>
                  <w:szCs w:val="18"/>
                  <w:color w:val="1335FF"/>
                </w:rPr>
                <w:t>74</w:t>
              </w:r>
            </w:hyperlink>
          </w:p>
        </w:tc>
      </w:tr>
      <w:tr>
        <w:trPr>
          <w:trHeight w:val="27"/>
        </w:trPr>
        <w:tc>
          <w:tcPr>
            <w:tcW w:w="11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1160" w:type="dxa"/>
            <w:vAlign w:val="bottom"/>
            <w:shd w:val="clear" w:color="auto" w:fill="CCEEFF"/>
          </w:tcPr>
          <w:p>
            <w:pPr>
              <w:spacing w:after="0"/>
              <w:rPr>
                <w:sz w:val="23"/>
                <w:szCs w:val="23"/>
                <w:color w:val="auto"/>
              </w:rPr>
            </w:pPr>
          </w:p>
        </w:tc>
        <w:tc>
          <w:tcPr>
            <w:tcW w:w="88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1160" w:type="dxa"/>
            <w:vAlign w:val="bottom"/>
          </w:tcPr>
          <w:p>
            <w:pPr>
              <w:ind w:left="40"/>
              <w:spacing w:after="0"/>
              <w:rPr>
                <w:rFonts w:ascii="Arial" w:cs="Arial" w:eastAsia="Arial" w:hAnsi="Arial"/>
                <w:sz w:val="18"/>
                <w:szCs w:val="18"/>
                <w:color w:val="auto"/>
                <w:w w:val="93"/>
              </w:rPr>
            </w:pPr>
            <w:hyperlink w:anchor="page78">
              <w:r>
                <w:rPr>
                  <w:rFonts w:ascii="Arial" w:cs="Arial" w:eastAsia="Arial" w:hAnsi="Arial"/>
                  <w:sz w:val="18"/>
                  <w:szCs w:val="18"/>
                  <w:color w:val="auto"/>
                  <w:w w:val="93"/>
                </w:rPr>
                <w:t>SIGNATURES</w:t>
              </w:r>
            </w:hyperlink>
          </w:p>
        </w:tc>
        <w:tc>
          <w:tcPr>
            <w:tcW w:w="8820" w:type="dxa"/>
            <w:vAlign w:val="bottom"/>
          </w:tcPr>
          <w:p>
            <w:pPr>
              <w:spacing w:after="0"/>
              <w:rPr>
                <w:sz w:val="21"/>
                <w:szCs w:val="21"/>
                <w:color w:val="auto"/>
              </w:rPr>
            </w:pPr>
          </w:p>
        </w:tc>
        <w:tc>
          <w:tcPr>
            <w:tcW w:w="1440" w:type="dxa"/>
            <w:vAlign w:val="bottom"/>
            <w:gridSpan w:val="3"/>
          </w:tcPr>
          <w:p>
            <w:pPr>
              <w:jc w:val="right"/>
              <w:ind w:right="20"/>
              <w:spacing w:after="0"/>
              <w:rPr>
                <w:rFonts w:ascii="Arial" w:cs="Arial" w:eastAsia="Arial" w:hAnsi="Arial"/>
                <w:sz w:val="18"/>
                <w:szCs w:val="18"/>
                <w:color w:val="1335FF"/>
              </w:rPr>
            </w:pPr>
            <w:hyperlink w:anchor="page78">
              <w:r>
                <w:rPr>
                  <w:rFonts w:ascii="Arial" w:cs="Arial" w:eastAsia="Arial" w:hAnsi="Arial"/>
                  <w:sz w:val="18"/>
                  <w:szCs w:val="18"/>
                  <w:color w:val="1335FF"/>
                </w:rPr>
                <w:t>75</w:t>
              </w:r>
            </w:hyperlink>
          </w:p>
        </w:tc>
      </w:tr>
      <w:tr>
        <w:trPr>
          <w:trHeight w:val="27"/>
        </w:trPr>
        <w:tc>
          <w:tcPr>
            <w:tcW w:w="998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9980" w:type="dxa"/>
            <w:vAlign w:val="bottom"/>
            <w:gridSpan w:val="2"/>
            <w:shd w:val="clear" w:color="auto" w:fill="CCEEFF"/>
          </w:tcPr>
          <w:p>
            <w:pPr>
              <w:ind w:left="40"/>
              <w:spacing w:after="0"/>
              <w:rPr>
                <w:rFonts w:ascii="Arial" w:cs="Arial" w:eastAsia="Arial" w:hAnsi="Arial"/>
                <w:sz w:val="18"/>
                <w:szCs w:val="18"/>
                <w:color w:val="auto"/>
              </w:rPr>
            </w:pPr>
            <w:hyperlink w:anchor="page79">
              <w:r>
                <w:rPr>
                  <w:rFonts w:ascii="Arial" w:cs="Arial" w:eastAsia="Arial" w:hAnsi="Arial"/>
                  <w:sz w:val="18"/>
                  <w:szCs w:val="18"/>
                  <w:color w:val="auto"/>
                </w:rPr>
                <w:t>INDEX TO CONSOLIDATED FINANCIAL STATEMENTS</w:t>
              </w:r>
            </w:hyperlink>
          </w:p>
        </w:tc>
        <w:tc>
          <w:tcPr>
            <w:tcW w:w="1440" w:type="dxa"/>
            <w:vAlign w:val="bottom"/>
            <w:gridSpan w:val="3"/>
            <w:shd w:val="clear" w:color="auto" w:fill="CCEEFF"/>
          </w:tcPr>
          <w:p>
            <w:pPr>
              <w:jc w:val="right"/>
              <w:ind w:right="20"/>
              <w:spacing w:after="0"/>
              <w:rPr>
                <w:rFonts w:ascii="Arial" w:cs="Arial" w:eastAsia="Arial" w:hAnsi="Arial"/>
                <w:sz w:val="18"/>
                <w:szCs w:val="18"/>
                <w:color w:val="1335FF"/>
              </w:rPr>
            </w:pPr>
            <w:hyperlink w:anchor="page79">
              <w:r>
                <w:rPr>
                  <w:rFonts w:ascii="Arial" w:cs="Arial" w:eastAsia="Arial" w:hAnsi="Arial"/>
                  <w:sz w:val="18"/>
                  <w:szCs w:val="18"/>
                  <w:color w:val="1335FF"/>
                </w:rPr>
                <w:t>76</w:t>
              </w:r>
            </w:hyperlink>
          </w:p>
        </w:tc>
      </w:tr>
      <w:tr>
        <w:trPr>
          <w:trHeight w:val="27"/>
        </w:trPr>
        <w:tc>
          <w:tcPr>
            <w:tcW w:w="1160" w:type="dxa"/>
            <w:vAlign w:val="bottom"/>
            <w:shd w:val="clear" w:color="auto" w:fill="CCEEFF"/>
          </w:tcPr>
          <w:p>
            <w:pPr>
              <w:spacing w:after="0"/>
              <w:rPr>
                <w:sz w:val="2"/>
                <w:szCs w:val="2"/>
                <w:color w:val="auto"/>
              </w:rPr>
            </w:pPr>
          </w:p>
        </w:tc>
        <w:tc>
          <w:tcPr>
            <w:tcW w:w="8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This annual report on Form 10-K (annual report) contains certain “forward-looking statements" within the meaning of Section 27A of the Securities Act of 1933 (the Securities Act) and Section 21E of the Securities Exchange Act of 1934 (the Exchange Act). Actual results could differ materially from those projected in the forward-looking statements as a result of a number of important factors. For a discussion of known material factors that could affect our results, please refer to “Part I, Item 1. Business,” “Part I, Item 1A. Risk Factors,” “Part II, Item 7. Management's Discussion and Analysis of Financial Condition and Results of Operations” and “Part II, Item 7A. Quantitative and Qualitative Disclosures about Market Risk” of this annual report.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annual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firstLine="459"/>
        <w:spacing w:after="0" w:line="270" w:lineRule="auto"/>
        <w:rPr>
          <w:sz w:val="20"/>
          <w:szCs w:val="20"/>
          <w:color w:val="auto"/>
        </w:rPr>
      </w:pPr>
      <w:r>
        <w:rPr>
          <w:rFonts w:ascii="Arial" w:cs="Arial" w:eastAsia="Arial" w:hAnsi="Arial"/>
          <w:sz w:val="17"/>
          <w:szCs w:val="17"/>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annual report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178" w:lineRule="exact"/>
        <w:rPr>
          <w:sz w:val="20"/>
          <w:szCs w:val="20"/>
          <w:color w:val="auto"/>
        </w:rPr>
      </w:pPr>
    </w:p>
    <w:p>
      <w:pPr>
        <w:ind w:right="200" w:firstLine="459"/>
        <w:spacing w:after="0" w:line="259" w:lineRule="auto"/>
        <w:rPr>
          <w:sz w:val="20"/>
          <w:szCs w:val="20"/>
          <w:color w:val="auto"/>
        </w:rPr>
      </w:pPr>
      <w:r>
        <w:rPr>
          <w:rFonts w:ascii="Arial" w:cs="Arial" w:eastAsia="Arial" w:hAnsi="Arial"/>
          <w:sz w:val="18"/>
          <w:szCs w:val="18"/>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us:</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supply and demand for oil, coal, natural gas, iron ore and other minerals;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activity, spending and developments in the Canadian oil sands;</w:t>
      </w:r>
    </w:p>
    <w:p>
      <w:pPr>
        <w:spacing w:after="0" w:line="225" w:lineRule="exact"/>
        <w:rPr>
          <w:rFonts w:ascii="Arial" w:cs="Arial" w:eastAsia="Arial" w:hAnsi="Arial"/>
          <w:sz w:val="18"/>
          <w:szCs w:val="18"/>
          <w:color w:val="auto"/>
        </w:rPr>
      </w:pPr>
    </w:p>
    <w:p>
      <w:pPr>
        <w:ind w:left="660" w:right="38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by our customers to reach positive final investment decisions on, or otherwise not complete, projects with respect to which we have been awarded contracts to provide related hospitality services, which may cause those customers to terminate or postpone the contracts;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demand for coal and other natural resources from, and investments and opportunities in, Australia;</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assets, which may be affected by governmental actions or environmental activists which may restrict drilling;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current and future prices of oil, coal, natural gas, iron ore and other minerals;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global economic conditions and the pace of global economic growth;</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laws, tax treaties or tax regulations or the interpretation or enforcement thereof, including taxing authorities not agreeing with our assessment of the effects of such laws, treaties and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government and environmental regulations, including climate change;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weather conditions, natural disasters, global health concerns and security threats;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and retain skilled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 of capital, including the ability to access the debt and equity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integrate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development of new projects, including whether such projects will continue in the future;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identified in Item 1A. - "Risk Factors" of this annual report.</w:t>
      </w:r>
    </w:p>
    <w:p>
      <w:pPr>
        <w:spacing w:after="0" w:line="225" w:lineRule="exact"/>
        <w:rPr>
          <w:sz w:val="20"/>
          <w:szCs w:val="20"/>
          <w:color w:val="auto"/>
        </w:rPr>
      </w:pPr>
    </w:p>
    <w:p>
      <w:pPr>
        <w:ind w:right="380" w:firstLine="459"/>
        <w:spacing w:after="0" w:line="277" w:lineRule="auto"/>
        <w:rPr>
          <w:sz w:val="20"/>
          <w:szCs w:val="20"/>
          <w:color w:val="auto"/>
        </w:rPr>
      </w:pPr>
      <w:r>
        <w:rPr>
          <w:rFonts w:ascii="Arial" w:cs="Arial" w:eastAsia="Arial" w:hAnsi="Arial"/>
          <w:sz w:val="18"/>
          <w:szCs w:val="18"/>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170"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459"/>
        <w:spacing w:after="0" w:line="272" w:lineRule="auto"/>
        <w:rPr>
          <w:sz w:val="20"/>
          <w:szCs w:val="20"/>
          <w:color w:val="auto"/>
        </w:rPr>
      </w:pPr>
      <w:r>
        <w:rPr>
          <w:rFonts w:ascii="Arial" w:cs="Arial" w:eastAsia="Arial" w:hAnsi="Arial"/>
          <w:sz w:val="17"/>
          <w:szCs w:val="17"/>
          <w:color w:val="auto"/>
        </w:rPr>
        <w:t>We maintain a website with the address of www.civeo.com. We are not including the information contained on our website as a part of, or incorporating it by reference into, this annual report. We file or furnish annual, quarterly and current reports, proxy statements and other documents with the Securities and Exchange Commission (the SEC). We make available free of charge through our website our Annual Report on Form 10-K, quarterly reports on Form 10-Q and current reports on Form 8-K, and amendments to these reports, as soon as reasonably practicable after we electronically file such material with, or furnish such material to, the SEC. Also, the SEC maintains a website that contains reports, proxy and information statements, and other information regarding issuers that file electronically with the SEC, including us, and our filings are available on the Internet at www.sec.gov and free of charge upon written request to our corporate secretary at the address shown on the cover page of this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80" w:firstLine="459"/>
        <w:spacing w:after="0" w:line="290" w:lineRule="auto"/>
        <w:rPr>
          <w:sz w:val="20"/>
          <w:szCs w:val="20"/>
          <w:color w:val="auto"/>
        </w:rPr>
      </w:pPr>
      <w:r>
        <w:rPr>
          <w:rFonts w:ascii="Arial" w:cs="Arial" w:eastAsia="Arial" w:hAnsi="Arial"/>
          <w:sz w:val="16"/>
          <w:szCs w:val="16"/>
          <w:color w:val="auto"/>
        </w:rPr>
        <w:t>We are a hospitality company servicing the natural resources industry in Canada, Australia and the U.S. We provide a full suite of hospitality services for our guests, including lodging, food service, housekeeping and maintenance at accommodation facilities that we or our customers own. In many cases, we provide services that support the day-to-day operations of accommodation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and iron ore producing regions, and our customers include major and independent oil companies, mining companies, engineering companies and oilfield and mining service companies. Our extensive suite of services enables us to meet the unique needs of each of our customers, while providing comfortable accommodations for their employees.</w:t>
      </w:r>
    </w:p>
    <w:p>
      <w:pPr>
        <w:spacing w:after="0" w:line="166" w:lineRule="exact"/>
        <w:rPr>
          <w:sz w:val="20"/>
          <w:szCs w:val="20"/>
          <w:color w:val="auto"/>
        </w:rPr>
      </w:pPr>
    </w:p>
    <w:p>
      <w:pPr>
        <w:ind w:right="20" w:firstLine="459"/>
        <w:spacing w:after="0" w:line="271" w:lineRule="auto"/>
        <w:rPr>
          <w:sz w:val="20"/>
          <w:szCs w:val="20"/>
          <w:color w:val="auto"/>
        </w:rPr>
      </w:pPr>
      <w:r>
        <w:rPr>
          <w:rFonts w:ascii="Arial" w:cs="Arial" w:eastAsia="Arial" w:hAnsi="Arial"/>
          <w:sz w:val="17"/>
          <w:szCs w:val="17"/>
          <w:color w:val="auto"/>
        </w:rPr>
        <w:t>Our Company is built on the foundation of the following core values: Safety, Care, Excellence, Integrity and Collaboration. We put the safety of our employees and guests above all other concerns. We care about our people, guests, customers, communities and the environment, and we deliver excellent service with passion and pride. We act with integrity and collaborate with our people, communities, customers and partners. We take an active role working to minimize the environmental impact of our operations through a number of sustainable initiatives. We also have a focus on water conservation and utilize alternative water supply options such as recycling and rainwater collection and use. By building infrastructure such as wastewater treatment and water treatment facilities to recycle gray and black water on some of our sites, we are able to gain cost efficiencies as well as reduce the use of trucks related to water and wastewater hauling, which in turn, reduces our carbon footprint. In our Australian villages, we utilize passive-solar-design principles and smart-switching systems to reduce the need for electricity related to heating and cooling.</w:t>
      </w:r>
    </w:p>
    <w:p>
      <w:pPr>
        <w:spacing w:after="0" w:line="179" w:lineRule="exact"/>
        <w:rPr>
          <w:sz w:val="20"/>
          <w:szCs w:val="20"/>
          <w:color w:val="auto"/>
        </w:rPr>
      </w:pPr>
    </w:p>
    <w:p>
      <w:pPr>
        <w:ind w:right="60" w:firstLine="459"/>
        <w:spacing w:after="0" w:line="286" w:lineRule="auto"/>
        <w:rPr>
          <w:sz w:val="20"/>
          <w:szCs w:val="20"/>
          <w:color w:val="auto"/>
        </w:rPr>
      </w:pPr>
      <w:r>
        <w:rPr>
          <w:rFonts w:ascii="Arial" w:cs="Arial" w:eastAsia="Arial" w:hAnsi="Arial"/>
          <w:sz w:val="16"/>
          <w:szCs w:val="16"/>
          <w:color w:val="auto"/>
        </w:rPr>
        <w:t>We provide hospitality services that span the lifecycle of customer projects, from the initial exploration and resource delineation to long-term production. Initially, as customers assess the resource potential and determine how they will develop it, they typically need our hospitality services for a limited number of employees for an uncertain duration of time. Our fleet of mobile accommodation assets is well-suited to support this initial exploratory stage as customers evaluate their development and construction plans. As development of the resource begins, we are able to serve their needs through either:</w:t>
      </w:r>
    </w:p>
    <w:p>
      <w:pPr>
        <w:spacing w:after="0" w:line="2" w:lineRule="exact"/>
        <w:rPr>
          <w:sz w:val="20"/>
          <w:szCs w:val="20"/>
          <w:color w:val="auto"/>
        </w:rPr>
      </w:pPr>
    </w:p>
    <w:p>
      <w:pPr>
        <w:ind w:right="60" w:firstLine="8"/>
        <w:spacing w:after="0" w:line="295"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fleet of mobile accommodation assets, particularly for shorter term projects such as pipeline construction and seasonal drilling programs; (2) our scalable lodge or village model; or (3) our service of guests in customer-owned facilities. As projects grow and headcount needs increase, we are able to meet our customers growing needs at our accommodations facilities or with our hospitality services. By providing infrastructure support and hospitality services early in the project lifecycle, we are well positioned to continue to service our customers throughout the production phase, which typically lasts decades.</w:t>
      </w:r>
    </w:p>
    <w:p>
      <w:pPr>
        <w:spacing w:after="0" w:line="162" w:lineRule="exact"/>
        <w:rPr>
          <w:sz w:val="20"/>
          <w:szCs w:val="20"/>
          <w:color w:val="auto"/>
        </w:rPr>
      </w:pPr>
    </w:p>
    <w:p>
      <w:pPr>
        <w:ind w:right="20" w:firstLine="459"/>
        <w:spacing w:after="0" w:line="290" w:lineRule="auto"/>
        <w:rPr>
          <w:sz w:val="20"/>
          <w:szCs w:val="20"/>
          <w:color w:val="auto"/>
        </w:rPr>
      </w:pPr>
      <w:r>
        <w:rPr>
          <w:rFonts w:ascii="Arial" w:cs="Arial" w:eastAsia="Arial" w:hAnsi="Arial"/>
          <w:sz w:val="16"/>
          <w:szCs w:val="16"/>
          <w:color w:val="auto"/>
        </w:rPr>
        <w:t>Our scalable facilities provide workforce accommodations where, in many cases, traditional accommodations and related infrastructure are not accessible, sufficient or cost effective. Our hospitality services help facilitate efficient development and production of natural resources found in areas without sufficient housing, infrastructure or local labor. We support the development of these natural resources by providing hospitality services, including lodging, food service, housekeeping, recreation facilities, laundry and facilities management, as well as water and wastewater treatment, power generation, communications and logistics. Our customers are able to outsource their accommodations needs to a single supplier, maintaining employee welfare and satisfaction while focusing their investment on their core resource production efforts. Our primary focus is on providing these hospitality services to leading natural resource companies at our major properties, which we refer to as lodges in Canada and the U.S. and villages in Australia, or at facilities owned by our customers. We own and operate 28 lodges and villages with an aggregate of approximately 30,000 rooms. Additionally, in both Canada and the U.S., we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also offer a fleet of mobile accommodation assets. We have long-standing relationships with many of our customers, many of whom are, or are affiliates of, large, investment-grade energy and mining companies.</w:t>
      </w:r>
    </w:p>
    <w:p>
      <w:pPr>
        <w:spacing w:after="0" w:line="170" w:lineRule="exact"/>
        <w:rPr>
          <w:sz w:val="20"/>
          <w:szCs w:val="20"/>
          <w:color w:val="auto"/>
        </w:rPr>
      </w:pPr>
    </w:p>
    <w:p>
      <w:pPr>
        <w:ind w:right="300" w:firstLine="459"/>
        <w:spacing w:after="0" w:line="259" w:lineRule="auto"/>
        <w:rPr>
          <w:sz w:val="20"/>
          <w:szCs w:val="20"/>
          <w:color w:val="auto"/>
        </w:rPr>
      </w:pPr>
      <w:r>
        <w:rPr>
          <w:rFonts w:ascii="Arial" w:cs="Arial" w:eastAsia="Arial" w:hAnsi="Arial"/>
          <w:sz w:val="18"/>
          <w:szCs w:val="18"/>
          <w:color w:val="auto"/>
        </w:rPr>
        <w:t>On July 1, 2019, we completed our acquisition of Action Industrial Catering (Action), a provider of catering and managed services to the mining industry in Western Australia. The acquisition expands our business by providing an entry point into the growing integrated services opportunities in the Western Australian mining market. Please see Note 7 - Acquisitions to the notes to the consolidated financial statements in Item 8 of this annual report for further discussion.</w:t>
      </w:r>
    </w:p>
    <w:p>
      <w:pPr>
        <w:spacing w:after="0" w:line="187" w:lineRule="exact"/>
        <w:rPr>
          <w:sz w:val="20"/>
          <w:szCs w:val="20"/>
          <w:color w:val="auto"/>
        </w:rPr>
      </w:pPr>
    </w:p>
    <w:p>
      <w:pPr>
        <w:ind w:right="180" w:firstLine="459"/>
        <w:spacing w:after="0" w:line="257" w:lineRule="auto"/>
        <w:rPr>
          <w:sz w:val="20"/>
          <w:szCs w:val="20"/>
          <w:color w:val="auto"/>
        </w:rPr>
      </w:pPr>
      <w:r>
        <w:rPr>
          <w:rFonts w:ascii="Arial" w:cs="Arial" w:eastAsia="Arial" w:hAnsi="Arial"/>
          <w:sz w:val="18"/>
          <w:szCs w:val="18"/>
          <w:color w:val="auto"/>
        </w:rPr>
        <w:t>Demand for our hospitality services is influenced by four primary factors: commodity prices, available infrastructure, headcount requirements and competition. Current commodity prices, and our customers’ expectations for future commodity prices, influence customers’ spending on current productive assets, maintenance on and expansion of existing assets and development of greenfield, brownfield or new assets. In addition to commodity prices, different types of customer activity require varying workforce sizes, influencing the demand for our services. Competing locations and services will also influence demand for our rooms and services.</w:t>
      </w:r>
    </w:p>
    <w:p>
      <w:pPr>
        <w:spacing w:after="0" w:line="188"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color w:val="auto"/>
        </w:rPr>
        <w:t>In the Canadian oil sands region, demand for our hospitality services is influenced by oil prices. Spending on the construction and development of new projects has historically decreased as the outlook for oil prices decreases. However, spending on current operations and maintenance has historically reacted less quickly and less severely to changes in oil prices, as customers consider their cash operating costs, rather than overall full-cycle returns. Likewise, construction and expansion projects already underway have also been less sensitive to commodity price decreases, as customers generally focus on completion and incremental costs. Natural gas prices also influence oil sands activity as an input cost: as natural gas prices fall, a significant component of our customers’ operating costs falls as well.</w:t>
      </w:r>
    </w:p>
    <w:p>
      <w:pPr>
        <w:spacing w:after="0" w:line="193" w:lineRule="exact"/>
        <w:rPr>
          <w:sz w:val="20"/>
          <w:szCs w:val="20"/>
          <w:color w:val="auto"/>
        </w:rPr>
      </w:pPr>
    </w:p>
    <w:p>
      <w:pPr>
        <w:ind w:right="320" w:firstLine="459"/>
        <w:spacing w:after="0" w:line="286" w:lineRule="auto"/>
        <w:rPr>
          <w:sz w:val="20"/>
          <w:szCs w:val="20"/>
          <w:color w:val="auto"/>
        </w:rPr>
      </w:pPr>
      <w:r>
        <w:rPr>
          <w:rFonts w:ascii="Arial" w:cs="Arial" w:eastAsia="Arial" w:hAnsi="Arial"/>
          <w:sz w:val="17"/>
          <w:szCs w:val="17"/>
          <w:color w:val="auto"/>
        </w:rPr>
        <w:t>Another factor that influences demand for our hospitality services is the type of customer project we are supporting. Generally, Canadian customers require larger workforces during construction and expansionary periods, and therefore have higher demand for our rooms and services. Operational and maintenance headcounts are typically a fraction, 20-25%, of the headcounts experienced during construction.</w:t>
      </w:r>
    </w:p>
    <w:p>
      <w:pPr>
        <w:spacing w:after="0" w:line="166" w:lineRule="exact"/>
        <w:rPr>
          <w:sz w:val="20"/>
          <w:szCs w:val="20"/>
          <w:color w:val="auto"/>
        </w:rPr>
      </w:pPr>
    </w:p>
    <w:p>
      <w:pPr>
        <w:ind w:right="160" w:firstLine="459"/>
        <w:spacing w:after="0" w:line="264" w:lineRule="auto"/>
        <w:rPr>
          <w:sz w:val="20"/>
          <w:szCs w:val="20"/>
          <w:color w:val="auto"/>
        </w:rPr>
      </w:pPr>
      <w:r>
        <w:rPr>
          <w:rFonts w:ascii="Arial" w:cs="Arial" w:eastAsia="Arial" w:hAnsi="Arial"/>
          <w:sz w:val="18"/>
          <w:szCs w:val="18"/>
          <w:color w:val="auto"/>
        </w:rPr>
        <w:t>In addition, proximity to customer activity and availability of customer-owned and competitor-owned rooms influences the rental demand of our rooms. Typically, customers prefer to first utilize their own rooms on location, and if such customer-owned rooms are insufficient, customers prefer to avoid busing their workforces to housing more than 45 kilometers away.</w:t>
      </w:r>
    </w:p>
    <w:p>
      <w:pPr>
        <w:spacing w:after="0" w:line="181" w:lineRule="exact"/>
        <w:rPr>
          <w:sz w:val="20"/>
          <w:szCs w:val="20"/>
          <w:color w:val="auto"/>
        </w:rPr>
      </w:pPr>
    </w:p>
    <w:p>
      <w:pPr>
        <w:jc w:val="both"/>
        <w:ind w:right="320" w:firstLine="459"/>
        <w:spacing w:after="0" w:line="286" w:lineRule="auto"/>
        <w:rPr>
          <w:sz w:val="20"/>
          <w:szCs w:val="20"/>
          <w:color w:val="auto"/>
        </w:rPr>
      </w:pPr>
      <w:r>
        <w:rPr>
          <w:rFonts w:ascii="Arial" w:cs="Arial" w:eastAsia="Arial" w:hAnsi="Arial"/>
          <w:sz w:val="17"/>
          <w:szCs w:val="17"/>
          <w:color w:val="auto"/>
        </w:rPr>
        <w:t>A number of multinational energy companies believe there is a potential to export liquefied natural gas (LNG) from Canada to meet the increasing global demand, particularly in Asia, for LNG. We expect that LNG activity in Western Canada will be influenced by the global prices for LNG, which are largely tied to global oil prices, global supply/demand dynamics for LNG and Western Canadian wellhead prices for natural gas.</w:t>
      </w:r>
    </w:p>
    <w:p>
      <w:pPr>
        <w:spacing w:after="0" w:line="166" w:lineRule="exact"/>
        <w:rPr>
          <w:sz w:val="20"/>
          <w:szCs w:val="20"/>
          <w:color w:val="auto"/>
        </w:rPr>
      </w:pPr>
    </w:p>
    <w:p>
      <w:pPr>
        <w:ind w:right="40" w:firstLine="459"/>
        <w:spacing w:after="0" w:line="272" w:lineRule="auto"/>
        <w:rPr>
          <w:sz w:val="20"/>
          <w:szCs w:val="20"/>
          <w:color w:val="auto"/>
        </w:rPr>
      </w:pPr>
      <w:r>
        <w:rPr>
          <w:rFonts w:ascii="Arial" w:cs="Arial" w:eastAsia="Arial" w:hAnsi="Arial"/>
          <w:sz w:val="17"/>
          <w:szCs w:val="17"/>
          <w:color w:val="auto"/>
        </w:rPr>
        <w:t>Currently, Western Canada does not have any operational LNG export facilities. On October 1, 2018, LNG Canada (LNGC), a large LNG export project proposed by a joint venture between Shell Canada Energy, an affiliate of Royal Dutch Shell plc (40 percent), and affiliates of PETRONAS, through its wholly-owned entity, North Montney LNG Limited Partnership (25 percent), PetroChina (15 percent), Mitsubishi Corporation (15 percent) and Korea Gas Corporation (5 percent), announced that a positive final investment decision (FID) had been reached on the proposed Kitimat liquefaction and export facility in Kitimat, British Columbia (Kitimat LNG Facility). With the project moving forward, British Columbia LNG activity and related pipeline projects have become a material driver of activity for our Sitka Lodge, as well as for our mobile fleet assets, which are contracted to serve several portions of the related pipeline construction activity. See "Canada-Canadian British Columbia Lodge" for more information.</w:t>
      </w:r>
    </w:p>
    <w:p>
      <w:pPr>
        <w:spacing w:after="0" w:line="178" w:lineRule="exact"/>
        <w:rPr>
          <w:sz w:val="20"/>
          <w:szCs w:val="20"/>
          <w:color w:val="auto"/>
        </w:rPr>
      </w:pPr>
    </w:p>
    <w:p>
      <w:pPr>
        <w:ind w:firstLine="459"/>
        <w:spacing w:after="0" w:line="288" w:lineRule="auto"/>
        <w:rPr>
          <w:sz w:val="20"/>
          <w:szCs w:val="20"/>
          <w:color w:val="auto"/>
        </w:rPr>
      </w:pPr>
      <w:r>
        <w:rPr>
          <w:rFonts w:ascii="Arial" w:cs="Arial" w:eastAsia="Arial" w:hAnsi="Arial"/>
          <w:sz w:val="16"/>
          <w:szCs w:val="16"/>
          <w:color w:val="auto"/>
        </w:rPr>
        <w:t>Our Australian villages support similar activities as our Canadian lodges for the natural resources industry in Australia. Our customers are typically developing and producing met coal, iron ore and other minerals which have resource lives that are measured in decades. As such, their spending levels tend to react similarly to commodity prices as the spending levels of our Canadian customers. Spending on producing assets is less sensitive to commodity price decreases in the short and medium term, assuming the projects remain cash flow positive. However, new construction projects and expansionary projects are typically canceled or deferred during periods of lower met coal prices. Similar to the Canadian market, new project construction activity typically requires larger workforces than day-to-day operations, where proximity and availability of customer-owned rooms influences the demand for our rooms and services. During the period from mid-year 2012 to mid-year 2016, much of the previous demand for our hospitality services from new construction activity had ceased. Subsequently, our customer service requirements were primarily driven by production, maintenance and operational activities. More recently, we have seen an increase in the number of significant maintenance projects, along with customers initiating projects to optimize their operations. This work has also included some small mine expansion projects. The rise in met coal prices since the fourth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quarter of 2016 has improved market sentiment, and we are working closely with our existing and potential customers as they consider capital investment and expansion opportunities in the future. We expect that customers will assess the likelihood of a period of sustained higher prices before committing capital to new projects.</w:t>
      </w:r>
    </w:p>
    <w:p>
      <w:pPr>
        <w:spacing w:after="0" w:line="181" w:lineRule="exact"/>
        <w:rPr>
          <w:sz w:val="20"/>
          <w:szCs w:val="20"/>
          <w:color w:val="auto"/>
        </w:rPr>
      </w:pPr>
    </w:p>
    <w:p>
      <w:pPr>
        <w:ind w:firstLine="459"/>
        <w:spacing w:after="0" w:line="269" w:lineRule="auto"/>
        <w:rPr>
          <w:sz w:val="20"/>
          <w:szCs w:val="20"/>
          <w:color w:val="auto"/>
        </w:rPr>
      </w:pPr>
      <w:r>
        <w:rPr>
          <w:rFonts w:ascii="Arial" w:cs="Arial" w:eastAsia="Arial" w:hAnsi="Arial"/>
          <w:sz w:val="17"/>
          <w:szCs w:val="17"/>
          <w:color w:val="auto"/>
        </w:rPr>
        <w:t>Our U.S. operations are primarily tied to activity in the U.S. shale formations in the Permian Basin, the Mid-Continent, the Bakken and the Rockies, as well as activity in the Louisiana downstream and offshore Gulf of Mexico markets. Given the shorter investment horizon and decision cycle of our U.S. customers, which is typically on a well-by-well basis, spending activities of U.S. customers typically react more quickly to changes in oil and natural gas prices. These spending dynamics were clearly demonstrated over the past several years. With oil prices near $100 per barrel from 2012 to late 2014, drilling and completion activity levels grew. However, as oil prices fell beginning in August 2014, and remained at relatively low levels throughout 2015 and most of 2016, activity in the U.S. reacted swiftly, with the U.S. rig count falling over 50% in six months from its peak in the third quarter of 2014. After staging a significant recovery from 2017 to 2018, the U.S. oil rig count and associated completion activity drifted lower in 2019 due to the oil price decline in late 2018 and early 2019 coupled with other market dynamics negatively impacting exploration and production (E&amp;P) spending, finishing the year at 677 rigs. The Permian Basin remains the most active U.S. unconventional play, representing 60% of the rigs in the U.S. market at the end of 2019. Given the U.S. market for accommodations is primarily supported by mobile camp assets, competition is primarily driven by the availability of assets in the markets we service and pricing among our competitors.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20" w:firstLine="459"/>
        <w:spacing w:after="0" w:line="297" w:lineRule="auto"/>
        <w:rPr>
          <w:sz w:val="20"/>
          <w:szCs w:val="20"/>
          <w:color w:val="auto"/>
        </w:rPr>
      </w:pPr>
      <w:r>
        <w:rPr>
          <w:rFonts w:ascii="Arial" w:cs="Arial" w:eastAsia="Arial" w:hAnsi="Arial"/>
          <w:sz w:val="16"/>
          <w:szCs w:val="16"/>
          <w:color w:val="auto"/>
        </w:rPr>
        <w:t>For the years ended December 31, 2019, 2018 and 2017, we generated $527.6 million, $466.7 million and $382.3 million in revenues and $49.1 million, $88.1 million and $98.0 million in operating loss, respectively. The majority of our operations, assets and income are derived from the hospitality services provided at our lodges and villages that have historically been contracted by our customers under multi-year, take-or-pay or exclusivity contracts. The hospitality services we provide at these facilities generate 80% of our revenue. Important performance metrics include revenue related to our major properties, average daily rate and aggregate billed rooms. The table below summarizes these key statistics for the periods presented in this annual report.</w:t>
      </w:r>
    </w:p>
    <w:p>
      <w:pPr>
        <w:spacing w:after="0" w:line="105" w:lineRule="exact"/>
        <w:rPr>
          <w:sz w:val="20"/>
          <w:szCs w:val="20"/>
          <w:color w:val="auto"/>
        </w:rPr>
      </w:pPr>
    </w:p>
    <w:p>
      <w:pPr>
        <w:jc w:val="center"/>
        <w:ind w:left="67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37465</wp:posOffset>
            </wp:positionV>
            <wp:extent cx="29673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0" w:lineRule="exact"/>
        <w:rPr>
          <w:sz w:val="20"/>
          <w:szCs w:val="20"/>
          <w:color w:val="auto"/>
        </w:rPr>
      </w:pPr>
    </w:p>
    <w:p>
      <w:pPr>
        <w:ind w:left="7340"/>
        <w:spacing w:after="0"/>
        <w:tabs>
          <w:tab w:leader="none" w:pos="8920" w:val="left"/>
          <w:tab w:leader="none" w:pos="1050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r>
        <w:rPr>
          <w:sz w:val="20"/>
          <w:szCs w:val="20"/>
          <w:color w:val="auto"/>
        </w:rPr>
        <w:tab/>
      </w:r>
      <w:r>
        <w:rPr>
          <w:rFonts w:ascii="Arial" w:cs="Arial" w:eastAsia="Arial" w:hAnsi="Arial"/>
          <w:sz w:val="15"/>
          <w:szCs w:val="15"/>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37465</wp:posOffset>
            </wp:positionV>
            <wp:extent cx="29673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66" w:lineRule="exact"/>
        <w:rPr>
          <w:sz w:val="20"/>
          <w:szCs w:val="20"/>
          <w:color w:val="auto"/>
        </w:rPr>
      </w:pPr>
    </w:p>
    <w:p>
      <w:pPr>
        <w:ind w:left="6960"/>
        <w:spacing w:after="0"/>
        <w:rPr>
          <w:sz w:val="20"/>
          <w:szCs w:val="20"/>
          <w:color w:val="auto"/>
        </w:rPr>
      </w:pPr>
      <w:r>
        <w:rPr>
          <w:rFonts w:ascii="Arial" w:cs="Arial" w:eastAsia="Arial" w:hAnsi="Arial"/>
          <w:sz w:val="15"/>
          <w:szCs w:val="15"/>
          <w:b w:val="1"/>
          <w:bCs w:val="1"/>
          <w:color w:val="auto"/>
        </w:rPr>
        <w:t>(In thousands, except for room counts and average daily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Accommodation Revenue (1)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720" w:type="dxa"/>
            <w:vAlign w:val="bottom"/>
          </w:tcPr>
          <w:p>
            <w:pPr>
              <w:ind w:left="800"/>
              <w:spacing w:after="0"/>
              <w:rPr>
                <w:sz w:val="20"/>
                <w:szCs w:val="20"/>
                <w:color w:val="auto"/>
              </w:rPr>
            </w:pPr>
            <w:r>
              <w:rPr>
                <w:rFonts w:ascii="Arial" w:cs="Arial" w:eastAsia="Arial" w:hAnsi="Arial"/>
                <w:sz w:val="16"/>
                <w:szCs w:val="16"/>
                <w:color w:val="auto"/>
              </w:rPr>
              <w:t>Canada</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281,577</w:t>
            </w:r>
          </w:p>
        </w:tc>
        <w:tc>
          <w:tcPr>
            <w:tcW w:w="120" w:type="dxa"/>
            <w:vAlign w:val="bottom"/>
          </w:tcPr>
          <w:p>
            <w:pPr>
              <w:spacing w:after="0"/>
              <w:rPr>
                <w:sz w:val="17"/>
                <w:szCs w:val="17"/>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266,899</w:t>
            </w:r>
          </w:p>
        </w:tc>
        <w:tc>
          <w:tcPr>
            <w:tcW w:w="10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228,062</w:t>
            </w: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Australia</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126,047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117,896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111,221</w:t>
            </w:r>
          </w:p>
        </w:tc>
      </w:tr>
      <w:tr>
        <w:trPr>
          <w:trHeight w:val="237"/>
        </w:trPr>
        <w:tc>
          <w:tcPr>
            <w:tcW w:w="20" w:type="dxa"/>
            <w:vAlign w:val="bottom"/>
          </w:tcPr>
          <w:p>
            <w:pPr>
              <w:spacing w:after="0"/>
              <w:rPr>
                <w:sz w:val="20"/>
                <w:szCs w:val="20"/>
                <w:color w:val="auto"/>
              </w:rPr>
            </w:pPr>
          </w:p>
        </w:tc>
        <w:tc>
          <w:tcPr>
            <w:tcW w:w="6720" w:type="dxa"/>
            <w:vAlign w:val="bottom"/>
          </w:tcPr>
          <w:p>
            <w:pPr>
              <w:ind w:left="800"/>
              <w:spacing w:after="0"/>
              <w:rPr>
                <w:sz w:val="20"/>
                <w:szCs w:val="20"/>
                <w:color w:val="auto"/>
              </w:rPr>
            </w:pPr>
            <w:r>
              <w:rPr>
                <w:rFonts w:ascii="Arial" w:cs="Arial" w:eastAsia="Arial" w:hAnsi="Arial"/>
                <w:sz w:val="16"/>
                <w:szCs w:val="16"/>
                <w:color w:val="auto"/>
              </w:rPr>
              <w:t>United States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12,462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18,288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9,832</w:t>
            </w:r>
          </w:p>
        </w:tc>
      </w:tr>
      <w:tr>
        <w:trPr>
          <w:trHeight w:val="33"/>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6"/>
                <w:szCs w:val="16"/>
                <w:color w:val="auto"/>
              </w:rPr>
              <w:t>Total Accommodation Revenue</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420,086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403,083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349,115</w:t>
            </w:r>
          </w:p>
        </w:tc>
      </w:tr>
      <w:tr>
        <w:trPr>
          <w:trHeight w:val="183"/>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Mobile Facility Rental Revenue (2)</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800"/>
              <w:spacing w:after="0"/>
              <w:rPr>
                <w:sz w:val="20"/>
                <w:szCs w:val="20"/>
                <w:color w:val="auto"/>
              </w:rPr>
            </w:pPr>
            <w:r>
              <w:rPr>
                <w:rFonts w:ascii="Arial" w:cs="Arial" w:eastAsia="Arial" w:hAnsi="Arial"/>
                <w:sz w:val="16"/>
                <w:szCs w:val="16"/>
                <w:color w:val="auto"/>
              </w:rPr>
              <w:t>Canada</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9,575</w:t>
            </w:r>
          </w:p>
        </w:tc>
        <w:tc>
          <w:tcPr>
            <w:tcW w:w="12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9,316</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3,935</w:t>
            </w: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United States</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28,119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20,389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8,764</w:t>
            </w:r>
          </w:p>
        </w:tc>
      </w:tr>
      <w:tr>
        <w:trPr>
          <w:trHeight w:val="217"/>
        </w:trPr>
        <w:tc>
          <w:tcPr>
            <w:tcW w:w="20" w:type="dxa"/>
            <w:vAlign w:val="bottom"/>
          </w:tcPr>
          <w:p>
            <w:pPr>
              <w:spacing w:after="0"/>
              <w:rPr>
                <w:sz w:val="18"/>
                <w:szCs w:val="18"/>
                <w:color w:val="auto"/>
              </w:rPr>
            </w:pPr>
          </w:p>
        </w:tc>
        <w:tc>
          <w:tcPr>
            <w:tcW w:w="6720" w:type="dxa"/>
            <w:vAlign w:val="bottom"/>
          </w:tcPr>
          <w:p>
            <w:pPr>
              <w:ind w:left="1340"/>
              <w:spacing w:after="0"/>
              <w:rPr>
                <w:sz w:val="20"/>
                <w:szCs w:val="20"/>
                <w:color w:val="auto"/>
              </w:rPr>
            </w:pPr>
            <w:r>
              <w:rPr>
                <w:rFonts w:ascii="Arial" w:cs="Arial" w:eastAsia="Arial" w:hAnsi="Arial"/>
                <w:sz w:val="16"/>
                <w:szCs w:val="16"/>
                <w:color w:val="auto"/>
              </w:rPr>
              <w:t>Total Mobile Facility Rental Revenue</w:t>
            </w: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37,694</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29,705</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12,699</w:t>
            </w:r>
          </w:p>
        </w:tc>
      </w:tr>
      <w:tr>
        <w:trPr>
          <w:trHeight w:val="33"/>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6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6"/>
                <w:szCs w:val="16"/>
                <w:color w:val="auto"/>
              </w:rPr>
              <w:t>Food Service and Other Services Revenue (3)</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Canada</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33,485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11,891</w:t>
            </w:r>
          </w:p>
        </w:tc>
      </w:tr>
      <w:tr>
        <w:trPr>
          <w:trHeight w:val="237"/>
        </w:trPr>
        <w:tc>
          <w:tcPr>
            <w:tcW w:w="20" w:type="dxa"/>
            <w:vAlign w:val="bottom"/>
          </w:tcPr>
          <w:p>
            <w:pPr>
              <w:spacing w:after="0"/>
              <w:rPr>
                <w:sz w:val="20"/>
                <w:szCs w:val="20"/>
                <w:color w:val="auto"/>
              </w:rPr>
            </w:pPr>
          </w:p>
        </w:tc>
        <w:tc>
          <w:tcPr>
            <w:tcW w:w="6720" w:type="dxa"/>
            <w:vAlign w:val="bottom"/>
          </w:tcPr>
          <w:p>
            <w:pPr>
              <w:ind w:left="800"/>
              <w:spacing w:after="0"/>
              <w:rPr>
                <w:sz w:val="20"/>
                <w:szCs w:val="20"/>
                <w:color w:val="auto"/>
              </w:rPr>
            </w:pPr>
            <w:r>
              <w:rPr>
                <w:rFonts w:ascii="Arial" w:cs="Arial" w:eastAsia="Arial" w:hAnsi="Arial"/>
                <w:sz w:val="16"/>
                <w:szCs w:val="16"/>
                <w:color w:val="auto"/>
              </w:rPr>
              <w:t>Australia</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30,046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1,342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United States</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r>
      <w:tr>
        <w:trPr>
          <w:trHeight w:val="217"/>
        </w:trPr>
        <w:tc>
          <w:tcPr>
            <w:tcW w:w="20" w:type="dxa"/>
            <w:vAlign w:val="bottom"/>
          </w:tcPr>
          <w:p>
            <w:pPr>
              <w:spacing w:after="0"/>
              <w:rPr>
                <w:sz w:val="18"/>
                <w:szCs w:val="18"/>
                <w:color w:val="auto"/>
              </w:rPr>
            </w:pPr>
          </w:p>
        </w:tc>
        <w:tc>
          <w:tcPr>
            <w:tcW w:w="6720" w:type="dxa"/>
            <w:vAlign w:val="bottom"/>
          </w:tcPr>
          <w:p>
            <w:pPr>
              <w:ind w:left="1340"/>
              <w:spacing w:after="0"/>
              <w:rPr>
                <w:sz w:val="20"/>
                <w:szCs w:val="20"/>
                <w:color w:val="auto"/>
              </w:rPr>
            </w:pPr>
            <w:r>
              <w:rPr>
                <w:rFonts w:ascii="Arial" w:cs="Arial" w:eastAsia="Arial" w:hAnsi="Arial"/>
                <w:sz w:val="16"/>
                <w:szCs w:val="16"/>
                <w:color w:val="auto"/>
              </w:rPr>
              <w:t>Total Food Service and Other Services Revenue</w:t>
            </w: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63,676</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17,113</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12,062</w:t>
            </w:r>
          </w:p>
        </w:tc>
      </w:tr>
      <w:tr>
        <w:trPr>
          <w:trHeight w:val="33"/>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6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6"/>
                <w:szCs w:val="16"/>
                <w:color w:val="auto"/>
              </w:rPr>
              <w:t>Manufacturing Revenue (4)</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Canada</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1,707</w:t>
            </w:r>
          </w:p>
        </w:tc>
      </w:tr>
      <w:tr>
        <w:trPr>
          <w:trHeight w:val="237"/>
        </w:trPr>
        <w:tc>
          <w:tcPr>
            <w:tcW w:w="20" w:type="dxa"/>
            <w:vAlign w:val="bottom"/>
          </w:tcPr>
          <w:p>
            <w:pPr>
              <w:spacing w:after="0"/>
              <w:rPr>
                <w:sz w:val="20"/>
                <w:szCs w:val="20"/>
                <w:color w:val="auto"/>
              </w:rPr>
            </w:pPr>
          </w:p>
        </w:tc>
        <w:tc>
          <w:tcPr>
            <w:tcW w:w="6720" w:type="dxa"/>
            <w:vAlign w:val="bottom"/>
          </w:tcPr>
          <w:p>
            <w:pPr>
              <w:ind w:left="800"/>
              <w:spacing w:after="0"/>
              <w:rPr>
                <w:sz w:val="20"/>
                <w:szCs w:val="20"/>
                <w:color w:val="auto"/>
              </w:rPr>
            </w:pPr>
            <w:r>
              <w:rPr>
                <w:rFonts w:ascii="Arial" w:cs="Arial" w:eastAsia="Arial" w:hAnsi="Arial"/>
                <w:sz w:val="16"/>
                <w:szCs w:val="16"/>
                <w:color w:val="auto"/>
              </w:rPr>
              <w:t>United States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5,085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12,595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6,693</w:t>
            </w:r>
          </w:p>
        </w:tc>
      </w:tr>
      <w:tr>
        <w:trPr>
          <w:trHeight w:val="33"/>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6"/>
                <w:szCs w:val="16"/>
                <w:color w:val="auto"/>
              </w:rPr>
              <w:t>Total Manufacturing Revenue</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8,400</w:t>
            </w:r>
          </w:p>
        </w:tc>
      </w:tr>
      <w:tr>
        <w:trPr>
          <w:trHeight w:val="183"/>
        </w:trPr>
        <w:tc>
          <w:tcPr>
            <w:tcW w:w="20" w:type="dxa"/>
            <w:vAlign w:val="bottom"/>
          </w:tcPr>
          <w:p>
            <w:pPr>
              <w:spacing w:after="0"/>
              <w:rPr>
                <w:sz w:val="15"/>
                <w:szCs w:val="15"/>
                <w:color w:val="auto"/>
              </w:rPr>
            </w:pPr>
          </w:p>
        </w:tc>
        <w:tc>
          <w:tcPr>
            <w:tcW w:w="672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527,555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466,692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382,276</w:t>
            </w:r>
          </w:p>
        </w:tc>
      </w:tr>
      <w:tr>
        <w:trPr>
          <w:trHeight w:val="183"/>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Daily Rates for Lodges and Villages (5)</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800"/>
              <w:spacing w:after="0"/>
              <w:rPr>
                <w:sz w:val="20"/>
                <w:szCs w:val="20"/>
                <w:color w:val="auto"/>
              </w:rPr>
            </w:pPr>
            <w:r>
              <w:rPr>
                <w:rFonts w:ascii="Arial" w:cs="Arial" w:eastAsia="Arial" w:hAnsi="Arial"/>
                <w:sz w:val="16"/>
                <w:szCs w:val="16"/>
                <w:color w:val="auto"/>
              </w:rPr>
              <w:t>Canada</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92</w:t>
            </w: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Australia</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r>
      <w:tr>
        <w:trPr>
          <w:trHeight w:val="189"/>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Billed Rooms for Lodges and Villages (6)</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800"/>
              <w:spacing w:after="0"/>
              <w:rPr>
                <w:sz w:val="20"/>
                <w:szCs w:val="20"/>
                <w:color w:val="auto"/>
              </w:rPr>
            </w:pPr>
            <w:r>
              <w:rPr>
                <w:rFonts w:ascii="Arial" w:cs="Arial" w:eastAsia="Arial" w:hAnsi="Arial"/>
                <w:sz w:val="16"/>
                <w:szCs w:val="16"/>
                <w:color w:val="auto"/>
              </w:rPr>
              <w:t>Canada</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3,078,727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3,007,229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2,469,899</w:t>
            </w: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Australia</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1,717,186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1,512,030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1,385,087</w:t>
            </w:r>
          </w:p>
        </w:tc>
      </w:tr>
      <w:tr>
        <w:trPr>
          <w:trHeight w:val="189"/>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Exchange Rate</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800"/>
              <w:spacing w:after="0"/>
              <w:rPr>
                <w:sz w:val="20"/>
                <w:szCs w:val="20"/>
                <w:color w:val="auto"/>
              </w:rPr>
            </w:pPr>
            <w:r>
              <w:rPr>
                <w:rFonts w:ascii="Arial" w:cs="Arial" w:eastAsia="Arial" w:hAnsi="Arial"/>
                <w:sz w:val="16"/>
                <w:szCs w:val="16"/>
                <w:color w:val="auto"/>
              </w:rPr>
              <w:t>Canadian dollar to U.S. dollar</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0.75</w:t>
            </w:r>
          </w:p>
        </w:tc>
        <w:tc>
          <w:tcPr>
            <w:tcW w:w="12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0.77</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0.77</w:t>
            </w: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Australian dollar to U.S. dollar</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0.77</w:t>
            </w:r>
          </w:p>
        </w:tc>
      </w:tr>
      <w:tr>
        <w:trPr>
          <w:trHeight w:val="218"/>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__________</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ind w:left="660" w:hanging="31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revenues related to lodge and village rooms and hospitality services for owned rooms for the periods presented.</w:t>
      </w:r>
    </w:p>
    <w:p>
      <w:pPr>
        <w:spacing w:after="0" w:line="7" w:lineRule="exact"/>
        <w:rPr>
          <w:rFonts w:ascii="Arial" w:cs="Arial" w:eastAsia="Arial" w:hAnsi="Arial"/>
          <w:sz w:val="18"/>
          <w:szCs w:val="18"/>
          <w:color w:val="auto"/>
        </w:rPr>
      </w:pPr>
    </w:p>
    <w:p>
      <w:pPr>
        <w:ind w:left="660" w:hanging="31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revenues related to mobile camps for the periods presented.</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revenues related to food service, laundry and water and wastewater treatment services, and facilities management for the periods presented.</w:t>
      </w:r>
    </w:p>
    <w:p>
      <w:pPr>
        <w:spacing w:after="0" w:line="32" w:lineRule="exact"/>
        <w:rPr>
          <w:rFonts w:ascii="Arial" w:cs="Arial" w:eastAsia="Arial" w:hAnsi="Arial"/>
          <w:sz w:val="16"/>
          <w:szCs w:val="16"/>
          <w:color w:val="auto"/>
        </w:rPr>
      </w:pPr>
    </w:p>
    <w:p>
      <w:pPr>
        <w:ind w:left="660" w:hanging="31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revenues related to modular construction and manufacturing services for the periods presented.</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 for the periods presented.</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jc w:val="both"/>
        <w:ind w:right="120" w:firstLine="459"/>
        <w:spacing w:after="0" w:line="255" w:lineRule="auto"/>
        <w:rPr>
          <w:sz w:val="20"/>
          <w:szCs w:val="20"/>
          <w:color w:val="auto"/>
        </w:rPr>
      </w:pPr>
      <w:r>
        <w:rPr>
          <w:rFonts w:ascii="Arial" w:cs="Arial" w:eastAsia="Arial" w:hAnsi="Arial"/>
          <w:sz w:val="18"/>
          <w:szCs w:val="18"/>
          <w:color w:val="auto"/>
        </w:rPr>
        <w:t>Our Canadian operations, founded in 1977, began by providing modular rental housing to energy customers, primarily supporting drilling rig crews in the Western Canadian Sedimentary Basin. Over the next decade, we acquired a food service operation and a manufacturing facility, enabling us to provide a more comprehensive accommodation solution. Through our experience with Syncrude’s Mildred Lake Village, a 2,100 bed facility that we built and sold to Syncrude in 1990 and operated and managed for them for nearly 20 years, we recognized a need for a premium, and more permanent, solution for workforce accommodations and hospitality services in the Canadian oil sands region. Pursuing this strategy, we opened PTI Lodge in 1998, one of the first independent lodging facilities in the region.</w:t>
      </w:r>
    </w:p>
    <w:p>
      <w:pPr>
        <w:spacing w:after="0" w:line="193" w:lineRule="exact"/>
        <w:rPr>
          <w:sz w:val="20"/>
          <w:szCs w:val="20"/>
          <w:color w:val="auto"/>
        </w:rPr>
      </w:pPr>
    </w:p>
    <w:p>
      <w:pPr>
        <w:ind w:right="20" w:firstLine="459"/>
        <w:spacing w:after="0" w:line="290" w:lineRule="auto"/>
        <w:rPr>
          <w:sz w:val="20"/>
          <w:szCs w:val="20"/>
          <w:color w:val="auto"/>
        </w:rPr>
      </w:pPr>
      <w:r>
        <w:rPr>
          <w:rFonts w:ascii="Arial" w:cs="Arial" w:eastAsia="Arial" w:hAnsi="Arial"/>
          <w:sz w:val="16"/>
          <w:szCs w:val="16"/>
          <w:color w:val="auto"/>
        </w:rPr>
        <w:t>Through our wide range of hospitality services, we are able to identify, solve and implement solutions and services that enhance the guests’ accommodations experience and reduce the customer’s total cost of housing a workforce in a remote operating location. Through our experiences and service delivery model, our hospitality services have evolved to include fitness centers, water and wastewater treatment, laundry service and many other enhancements. As our experience in the Canadian oil sands region grew, we were the first to introduce suite-style accommodations for middle and upper-level management working in the region, with our Beaver River Executive Lodge in 2005. Since then, we have continued to innovate our service offerings to meet our customers’ growing and evolving needs. On April 2, 2018, we acquired Noralta Lodge Ltd. (Noralta), which provided remote hospitality services in Alberta, Canada (the Noralta Acquisition) through eleven lodges comprising over 5,700 owned rooms and 7,900 total rooms. From our entrepreneurial beginning, we have developed into Canada’s largest third-party provider of accommodations and hospitality services in the Canadian oil sands region.</w:t>
      </w:r>
    </w:p>
    <w:p>
      <w:pPr>
        <w:spacing w:after="0" w:line="166" w:lineRule="exact"/>
        <w:rPr>
          <w:sz w:val="20"/>
          <w:szCs w:val="20"/>
          <w:color w:val="auto"/>
        </w:rPr>
      </w:pPr>
    </w:p>
    <w:p>
      <w:pPr>
        <w:ind w:right="300" w:firstLine="459"/>
        <w:spacing w:after="0" w:line="264" w:lineRule="auto"/>
        <w:rPr>
          <w:sz w:val="20"/>
          <w:szCs w:val="20"/>
          <w:color w:val="auto"/>
        </w:rPr>
      </w:pPr>
      <w:r>
        <w:rPr>
          <w:rFonts w:ascii="Arial" w:cs="Arial" w:eastAsia="Arial" w:hAnsi="Arial"/>
          <w:sz w:val="18"/>
          <w:szCs w:val="18"/>
          <w:color w:val="auto"/>
        </w:rPr>
        <w:t>Today, we also support customers’ logistical efforts in managing the movement of large numbers of personnel efficiently. At our Wapasu Creek location, we have introduced services that improve efficiencies for customers in transporting personnel to mine sites on a daily basis, as well as in rotating personnel when crews change.</w:t>
      </w:r>
    </w:p>
    <w:p>
      <w:pPr>
        <w:spacing w:after="0" w:line="181" w:lineRule="exact"/>
        <w:rPr>
          <w:sz w:val="20"/>
          <w:szCs w:val="20"/>
          <w:color w:val="auto"/>
        </w:rPr>
      </w:pPr>
    </w:p>
    <w:p>
      <w:pPr>
        <w:jc w:val="both"/>
        <w:ind w:right="40" w:firstLine="459"/>
        <w:spacing w:after="0" w:line="286" w:lineRule="auto"/>
        <w:rPr>
          <w:sz w:val="20"/>
          <w:szCs w:val="20"/>
          <w:color w:val="auto"/>
        </w:rPr>
      </w:pPr>
      <w:r>
        <w:rPr>
          <w:rFonts w:ascii="Arial" w:cs="Arial" w:eastAsia="Arial" w:hAnsi="Arial"/>
          <w:sz w:val="17"/>
          <w:szCs w:val="17"/>
          <w:color w:val="auto"/>
        </w:rPr>
        <w:t>During 2015, we entered the Canadian LNG market with our Sitka Lodge. On October 1, 2018, LNGC's participants announced that a positive FID had been reached on the Kitimat LNG Facility. British Columbia LNG activity and related pipeline projects has become a material driver of activity for our Sitka Lodge, as well as for our mobile camp assets, which are contracted to serve several portions of the related pipeline construction activity.</w:t>
      </w:r>
    </w:p>
    <w:p>
      <w:pPr>
        <w:spacing w:after="0" w:line="166" w:lineRule="exact"/>
        <w:rPr>
          <w:sz w:val="20"/>
          <w:szCs w:val="20"/>
          <w:color w:val="auto"/>
        </w:rPr>
      </w:pPr>
    </w:p>
    <w:p>
      <w:pPr>
        <w:ind w:right="60" w:firstLine="459"/>
        <w:spacing w:after="0" w:line="270" w:lineRule="auto"/>
        <w:rPr>
          <w:sz w:val="20"/>
          <w:szCs w:val="20"/>
          <w:color w:val="auto"/>
        </w:rPr>
      </w:pPr>
      <w:r>
        <w:rPr>
          <w:rFonts w:ascii="Arial" w:cs="Arial" w:eastAsia="Arial" w:hAnsi="Arial"/>
          <w:sz w:val="17"/>
          <w:szCs w:val="17"/>
          <w:color w:val="auto"/>
        </w:rPr>
        <w:t>With the acquisition of our Australian business in December 2010, we began providing hospitality services to support the Australian natural resources industry through our villages located in Queensland, New South Wales and Western Australia. Like Canada, our Australian business has a long-history of taking care of customers in remote regions, beginning with its initial Moranbah Village in 1996, and has grown to become Australia’s largest independent provider of hospitality services for people working in remote locations. Our Australian business was the first to introduce resort-style accommodations to the mining sector, adding landscaping, outdoor kitchens, pools, fitness centers and, in some cases, taverns. In all our operating regions, our business is built on a culture of continuous service improvement to enhance the guest experience and reduce customers' workforce housing costs. On July 1, 2019, we completed the acquisition of Action, a provider of catering and managed services to the mining industry in Western Australia. The acquisition enhances our service offering, geographic footprint and exposure to new commodities in Australia and underlines our focus on pursuing growth opportunities that fit within our core competencies and strategic direction.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firstLine="459"/>
        <w:spacing w:after="0" w:line="290" w:lineRule="auto"/>
        <w:rPr>
          <w:sz w:val="20"/>
          <w:szCs w:val="20"/>
          <w:color w:val="auto"/>
        </w:rPr>
      </w:pPr>
      <w:r>
        <w:rPr>
          <w:rFonts w:ascii="Arial" w:cs="Arial" w:eastAsia="Arial" w:hAnsi="Arial"/>
          <w:sz w:val="16"/>
          <w:szCs w:val="16"/>
          <w:color w:val="auto"/>
        </w:rPr>
        <w:t>We provide hospitality services for the natural resource industries. Our scalable facilities provide long-term and temporary workforce accommodations where traditional accommodations and related infrastructure often are not accessible, sufficient or cost effective. Once facilities are deployed in the field, we also provide hospitality services such as lodging, food service, housekeeping, and maintenance, as well as day-to-day operations, such as laundry, water and wastewater treatment, power generation, communication systems, security and group logistics. Our hospitality services can be provided at accommodation facilities we own or at facilities owned by our customers. Demand for our services is cyclical and substantially dependent upon activity levels, particularly our customers’ willingness to spend capital on the exploration for, development and production of oil, met coal, natural gas and other resource reserves. Our customers’ spending plans generally are based on their view of commodity supply and demand dynamics, as well as the outlook for near-term and long-term commodity prices. As a result, the demand for our services is sensitive to current and expected commodity prices.</w:t>
      </w:r>
    </w:p>
    <w:p>
      <w:pPr>
        <w:spacing w:after="0" w:line="166" w:lineRule="exact"/>
        <w:rPr>
          <w:sz w:val="20"/>
          <w:szCs w:val="20"/>
          <w:color w:val="auto"/>
        </w:rPr>
      </w:pPr>
    </w:p>
    <w:p>
      <w:pPr>
        <w:ind w:right="220" w:firstLine="459"/>
        <w:spacing w:after="0" w:line="277" w:lineRule="auto"/>
        <w:rPr>
          <w:sz w:val="20"/>
          <w:szCs w:val="20"/>
          <w:color w:val="auto"/>
        </w:rPr>
      </w:pPr>
      <w:r>
        <w:rPr>
          <w:rFonts w:ascii="Arial" w:cs="Arial" w:eastAsia="Arial" w:hAnsi="Arial"/>
          <w:sz w:val="18"/>
          <w:szCs w:val="18"/>
          <w:color w:val="auto"/>
        </w:rPr>
        <w:t>We serve multiple projects and multiple customers at most of our sites, which allows those customers to share some of the costs associated with their peak accommodations needs. Our facilities provide customers with cost efficiencies as they 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able to share the costs of accommodations related infrastructure (power, water, sewer and information technology) and central dining and recreation facilities with other customers operating projects in the same vicinity.</w:t>
      </w:r>
    </w:p>
    <w:p>
      <w:pPr>
        <w:spacing w:after="0" w:line="170" w:lineRule="exact"/>
        <w:rPr>
          <w:sz w:val="20"/>
          <w:szCs w:val="20"/>
          <w:color w:val="auto"/>
        </w:rPr>
      </w:pPr>
    </w:p>
    <w:p>
      <w:pPr>
        <w:ind w:right="120" w:firstLine="459"/>
        <w:spacing w:after="0" w:line="264" w:lineRule="auto"/>
        <w:rPr>
          <w:sz w:val="20"/>
          <w:szCs w:val="20"/>
          <w:color w:val="auto"/>
        </w:rPr>
      </w:pPr>
      <w:r>
        <w:rPr>
          <w:rFonts w:ascii="Arial" w:cs="Arial" w:eastAsia="Arial" w:hAnsi="Arial"/>
          <w:sz w:val="18"/>
          <w:szCs w:val="18"/>
          <w:color w:val="auto"/>
        </w:rPr>
        <w:t>Our business is significantly influenced by: (1) the level of production of oil sands deposits in Alberta, Canada; (2) activity levels in support of extractive industries in Australia; (3) LNG and related pipeline activity in Canada; (4) oil production in Canada and the U.S.; and (5) met coal production in Australia's Bowen Basin and iron ore production in Western Australia.</w:t>
      </w:r>
    </w:p>
    <w:p>
      <w:pPr>
        <w:spacing w:after="0" w:line="181" w:lineRule="exact"/>
        <w:rPr>
          <w:sz w:val="20"/>
          <w:szCs w:val="20"/>
          <w:color w:val="auto"/>
        </w:rPr>
      </w:pPr>
    </w:p>
    <w:p>
      <w:pPr>
        <w:ind w:right="20" w:firstLine="459"/>
        <w:spacing w:after="0" w:line="279" w:lineRule="auto"/>
        <w:rPr>
          <w:sz w:val="20"/>
          <w:szCs w:val="20"/>
          <w:color w:val="auto"/>
        </w:rPr>
      </w:pPr>
      <w:r>
        <w:rPr>
          <w:rFonts w:ascii="Arial" w:cs="Arial" w:eastAsia="Arial" w:hAnsi="Arial"/>
          <w:sz w:val="17"/>
          <w:szCs w:val="17"/>
          <w:color w:val="auto"/>
        </w:rPr>
        <w:t>Historically, oil sands developers and Australian mining companies built, owned and in some cases operated the accommodations necessary to house their personnel in these remote regions because local labor and third-party owned rooms were not available. Over the past 20 years, and increasingly over the past 10 years, some customers have moved away from the insourcing business model for some of their accommodations as they recognize that owning accommodations and providing the hospitality services are non-core investments for their business.</w:t>
      </w:r>
    </w:p>
    <w:p>
      <w:pPr>
        <w:spacing w:after="0" w:line="171" w:lineRule="exact"/>
        <w:rPr>
          <w:sz w:val="20"/>
          <w:szCs w:val="20"/>
          <w:color w:val="auto"/>
        </w:rPr>
      </w:pPr>
    </w:p>
    <w:p>
      <w:pPr>
        <w:ind w:right="40" w:firstLine="459"/>
        <w:spacing w:after="0" w:line="290" w:lineRule="auto"/>
        <w:rPr>
          <w:sz w:val="20"/>
          <w:szCs w:val="20"/>
          <w:color w:val="auto"/>
        </w:rPr>
      </w:pPr>
      <w:r>
        <w:rPr>
          <w:rFonts w:ascii="Arial" w:cs="Arial" w:eastAsia="Arial" w:hAnsi="Arial"/>
          <w:sz w:val="16"/>
          <w:szCs w:val="16"/>
          <w:color w:val="auto"/>
        </w:rPr>
        <w:t>We believe that our existing industry divides accommodations into two primary types: (1) lodges and villages and (2) mobile assets. Civeo is principally focused on hospitality services at lodges and villages. Lodges and villages typically contain a larger number of rooms and require more time and capital to develop. These facilities typically have dining areas, meeting rooms, recreational facilities, pubs and landscaped grounds where weather permits. Lodges and villages are generally supported by multi-year, take-or-pay or exclusivity contracts. These facilities are designed to serve the long-term needs of customers in constructing and operating their resource developments. Mobile camps are designed to follow customers’ activities and can be deployed rapidly to scale. They are often used to support conventional and in-situ drilling crews, as well as pipeline and seismic crews, and are contracted on a project-by-project, well-by-well or short-term basis. Oftentimes, customers will initially require mobile accommodations as they evaluate or initially develop a field or mine. Mobile camp projects can be dedicated and committed to a single customer or project or the camps can serve multiple customers.</w:t>
      </w:r>
    </w:p>
    <w:p>
      <w:pPr>
        <w:spacing w:after="0" w:line="166" w:lineRule="exact"/>
        <w:rPr>
          <w:sz w:val="20"/>
          <w:szCs w:val="20"/>
          <w:color w:val="auto"/>
        </w:rPr>
      </w:pPr>
    </w:p>
    <w:p>
      <w:pPr>
        <w:ind w:right="40" w:firstLine="459"/>
        <w:spacing w:after="0" w:line="270" w:lineRule="auto"/>
        <w:rPr>
          <w:sz w:val="20"/>
          <w:szCs w:val="20"/>
          <w:color w:val="auto"/>
        </w:rPr>
      </w:pPr>
      <w:r>
        <w:rPr>
          <w:rFonts w:ascii="Arial" w:cs="Arial" w:eastAsia="Arial" w:hAnsi="Arial"/>
          <w:sz w:val="17"/>
          <w:szCs w:val="17"/>
          <w:color w:val="auto"/>
        </w:rPr>
        <w:t>The accommodations market supporting the natural resource industry is segmented into competitors that serve components of the overall value chain, but very few offer the entire suite of hospitality services to customers. We estimate that customer-owned rooms represent over 50% of the market. Engineering firms such as Bechtel, Fluor and ColtAmec often design accommodations facilities. Many public and private firms, such as ATCO Structures &amp; Logistics Ltd. (ATCO), Horizon North Logistics Inc. (Horizon North), Alta-Fab Structures Ltd. (Alta-Fab) and Northgate Industries Ltd. (Northgate), build modular accommodations for sale. Horizon North, Black Diamond Group Limited (Black Diamond), ATCO, Royal Camp Services Ltd. and Target Hospitality primarily own and lease units to customers and, in some cases, provide facility management services, usually on a shorter-term basis with a more limited number of rooms, similar to our mobile camp business. Facility service companies, such as Aramark Corporation (Aramark), Sodexo Inc. (Sodexo), Compass Group PLC (Compass Group), or Cater Care typically do not invest in and own the accommodations assets, but will provide hospitality services at third-party or customer-owned facilities.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color w:val="auto"/>
        </w:rPr>
        <w:t>During the year ended December 31, 2019, we generated approximately 62% of our revenue from our Canadian operations. We are Canada’s largest provider of hospitality services for people working in remote locations. We provide our services through our lodges and mobile assets and at customer-owned locations. Our hospitality services support workforces in the Canadian LNG and oil sands markets and in a variety of oil and natural gas drilling, mining and related natural resource applications.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Market</w:t>
      </w:r>
    </w:p>
    <w:p>
      <w:pPr>
        <w:spacing w:after="0" w:line="225" w:lineRule="exact"/>
        <w:rPr>
          <w:sz w:val="20"/>
          <w:szCs w:val="20"/>
          <w:color w:val="auto"/>
        </w:rPr>
      </w:pPr>
    </w:p>
    <w:p>
      <w:pPr>
        <w:ind w:right="60" w:firstLine="459"/>
        <w:spacing w:after="0" w:line="274" w:lineRule="auto"/>
        <w:rPr>
          <w:sz w:val="20"/>
          <w:szCs w:val="20"/>
          <w:color w:val="auto"/>
        </w:rPr>
      </w:pPr>
      <w:r>
        <w:rPr>
          <w:rFonts w:ascii="Arial" w:cs="Arial" w:eastAsia="Arial" w:hAnsi="Arial"/>
          <w:sz w:val="17"/>
          <w:szCs w:val="17"/>
          <w:color w:val="auto"/>
        </w:rPr>
        <w:t>Demand for our hospitality services in the Canadian oil sands region is primarily influenced by the longer-term outlook for crude oil prices rather than current energy prices, given the multi-year production phase of oil sands projects and the costs associated with development of such large scale</w:t>
      </w:r>
    </w:p>
    <w:p>
      <w:pPr>
        <w:jc w:val="both"/>
        <w:ind w:right="240"/>
        <w:spacing w:after="0" w:line="255" w:lineRule="auto"/>
        <w:rPr>
          <w:sz w:val="20"/>
          <w:szCs w:val="20"/>
          <w:color w:val="auto"/>
        </w:rPr>
      </w:pPr>
      <w:r>
        <w:rPr>
          <w:rFonts w:ascii="Arial" w:cs="Arial" w:eastAsia="Arial" w:hAnsi="Arial"/>
          <w:sz w:val="18"/>
          <w:szCs w:val="18"/>
          <w:color w:val="auto"/>
        </w:rPr>
        <w:t>projects. Demand for hospitality services related to LNG is influenced by the global prices for LNG. Utilization of our existing Canadian capacity and any future expansions will largely depend on continued LNG and oil sands spending related to existing production, maintenance activities and potential future expansion of existing projects.</w:t>
      </w:r>
    </w:p>
    <w:p>
      <w:pPr>
        <w:spacing w:after="0" w:line="190" w:lineRule="exact"/>
        <w:rPr>
          <w:sz w:val="20"/>
          <w:szCs w:val="20"/>
          <w:color w:val="auto"/>
        </w:rPr>
      </w:pPr>
    </w:p>
    <w:p>
      <w:pPr>
        <w:ind w:right="180" w:firstLine="459"/>
        <w:spacing w:after="0" w:line="264" w:lineRule="auto"/>
        <w:rPr>
          <w:sz w:val="20"/>
          <w:szCs w:val="20"/>
          <w:color w:val="auto"/>
        </w:rPr>
      </w:pPr>
      <w:r>
        <w:rPr>
          <w:rFonts w:ascii="Arial" w:cs="Arial" w:eastAsia="Arial" w:hAnsi="Arial"/>
          <w:sz w:val="18"/>
          <w:szCs w:val="18"/>
          <w:color w:val="auto"/>
        </w:rPr>
        <w:t>The Athabasca oil sands are located in northern Alberta, an area that is very remote, with a limited local labor supply. Of Canada’s approximately 38 million residents, nearly half of the population lives in ten cities, while approximately 12% of the population lives in Alberta and less than 1% of the population lives within 100 kilometers of the oil sands activity. The local</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125"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municipalities, of which Fort McMurray is the largest, have limited infrastructure to respond to workforce accommodation demands and are a significant driving distance from many of the oil sands projects. As such, the workforce accommodations market provides a cost effective solution to the problem of staffing large oil sands projects by sourcing labor largely throughout Canada to work on a rotational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Oil Sands Lodges</w:t>
      </w:r>
    </w:p>
    <w:p>
      <w:pPr>
        <w:spacing w:after="0" w:line="225" w:lineRule="exact"/>
        <w:rPr>
          <w:sz w:val="20"/>
          <w:szCs w:val="20"/>
          <w:color w:val="auto"/>
        </w:rPr>
      </w:pPr>
    </w:p>
    <w:p>
      <w:pPr>
        <w:ind w:firstLine="459"/>
        <w:spacing w:after="0" w:line="269" w:lineRule="auto"/>
        <w:rPr>
          <w:sz w:val="20"/>
          <w:szCs w:val="20"/>
          <w:color w:val="auto"/>
        </w:rPr>
      </w:pPr>
      <w:r>
        <w:rPr>
          <w:rFonts w:ascii="Arial" w:cs="Arial" w:eastAsia="Arial" w:hAnsi="Arial"/>
          <w:sz w:val="17"/>
          <w:szCs w:val="17"/>
          <w:color w:val="auto"/>
        </w:rPr>
        <w:t>During the year ended December 31, 2019, activity in the Athabasca oil sands region generated approximately 74% of our Canadian revenue. The oil sands region continues to represent one of the world’s largest reserves for heavy oil. Our McClelland Lake, Wapasu, Athabasca, Beaver River, Fort McMurray Village, Grey Wolf, Hudson, and Borealis lodges are focused on the northern region of the Athabasca oil sands, where customers primarily utilize surface mining to extract the bitumen, or oil sands. Oil sands mining operations are characterized by large capital requirements, large reserves, large personnel requirements, very low exploration or reserve risk and relatively lower cash operating costs per barrel of bitumen produced. Our Conklin, Anzac, Red Earth and Wabasca lodges, as well as a portion of our mobile camp assets, are focused in the southern portion of the region where we primarily serve in-situ operations and pipeline expansion activity. In-situ methods are used on reserves that are too deep for traditional mining methods. In-situ technology typically injects steam or solvents into the deep oil sands in place to separate the bitumen from the sand and pumps it to the surface where it undergoes the same upgrading treatment as the mined bitumen. Reserves requiring in-situ techniques of extraction represent 80% of the established recoverable reserves in Alberta. In-situ operations generally require less capital and personnel and produce lower volumes of bitumen per development, with higher ongoing operating expense per barrel of bitumen produced.</w:t>
      </w:r>
    </w:p>
    <w:p>
      <w:pPr>
        <w:spacing w:after="0" w:line="183" w:lineRule="exact"/>
        <w:rPr>
          <w:sz w:val="20"/>
          <w:szCs w:val="20"/>
          <w:color w:val="auto"/>
        </w:rPr>
      </w:pPr>
    </w:p>
    <w:p>
      <w:pPr>
        <w:ind w:right="180" w:firstLine="459"/>
        <w:spacing w:after="0" w:line="297" w:lineRule="auto"/>
        <w:rPr>
          <w:sz w:val="20"/>
          <w:szCs w:val="20"/>
          <w:color w:val="auto"/>
        </w:rPr>
      </w:pPr>
      <w:r>
        <w:rPr>
          <w:rFonts w:ascii="Arial" w:cs="Arial" w:eastAsia="Arial" w:hAnsi="Arial"/>
          <w:sz w:val="16"/>
          <w:szCs w:val="16"/>
          <w:color w:val="auto"/>
        </w:rPr>
        <w:t>Our oil sands lodges support construction and operating personnel for maintenance, turnaround and expansionary projects, as well as ongoing operations associated with surface mining and in-situ oil sands projects, generally under short and medium-term contracts. Most of our oil sands lodges are located on land with leases obtained from the province of Alberta, with initial terms of ten years, or subleased from the resource developer. Our leases have expiration dates that range from 2020 to 2028. Currently, two of our Canadian lodges are on land with leases expiring prior to December 31, 2020. In recent years, we have successfully renewed or extended all expiring land leases. Two of our oil sands properties are located on land which we own.</w:t>
      </w:r>
    </w:p>
    <w:p>
      <w:pPr>
        <w:spacing w:after="0" w:line="158" w:lineRule="exact"/>
        <w:rPr>
          <w:sz w:val="20"/>
          <w:szCs w:val="20"/>
          <w:color w:val="auto"/>
        </w:rPr>
      </w:pPr>
    </w:p>
    <w:p>
      <w:pPr>
        <w:ind w:right="120" w:firstLine="459"/>
        <w:spacing w:after="0" w:line="276" w:lineRule="auto"/>
        <w:rPr>
          <w:sz w:val="20"/>
          <w:szCs w:val="20"/>
          <w:color w:val="auto"/>
        </w:rPr>
      </w:pPr>
      <w:r>
        <w:rPr>
          <w:rFonts w:ascii="Arial" w:cs="Arial" w:eastAsia="Arial" w:hAnsi="Arial"/>
          <w:sz w:val="17"/>
          <w:szCs w:val="17"/>
          <w:color w:val="auto"/>
        </w:rPr>
        <w:t>In order to operate a lodge in Canada, we are required to obtain a development permit from the regional municipality in which the lodge resides. The development permits are granted for a term ranging from two to ten years. Our development permits have expiration dates that range from 2020 to 2023. In recent years, we have successfully renewed or extended all expiring development permits. See “Item 1A. Risk Factors-</w:t>
      </w:r>
      <w:r>
        <w:rPr>
          <w:rFonts w:ascii="Arial" w:cs="Arial" w:eastAsia="Arial" w:hAnsi="Arial"/>
          <w:sz w:val="17"/>
          <w:szCs w:val="17"/>
          <w:i w:val="1"/>
          <w:iCs w:val="1"/>
          <w:color w:val="auto"/>
        </w:rPr>
        <w:t>Risks Related to Our Business-All but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three of our major Canadian lodges are located on land subject to leases. If we are unable to renew a lease or obtain permits necessary to operate on such leased land, we could be materially and adversely affected.” </w:t>
      </w:r>
      <w:r>
        <w:rPr>
          <w:rFonts w:ascii="Arial" w:cs="Arial" w:eastAsia="Arial" w:hAnsi="Arial"/>
          <w:sz w:val="17"/>
          <w:szCs w:val="17"/>
          <w:color w:val="auto"/>
        </w:rPr>
        <w:t>of this annual report for further information.</w:t>
      </w:r>
    </w:p>
    <w:p>
      <w:pPr>
        <w:spacing w:after="0" w:line="173" w:lineRule="exact"/>
        <w:rPr>
          <w:sz w:val="20"/>
          <w:szCs w:val="20"/>
          <w:color w:val="auto"/>
        </w:rPr>
      </w:pPr>
    </w:p>
    <w:p>
      <w:pPr>
        <w:jc w:val="both"/>
        <w:ind w:right="200" w:firstLine="459"/>
        <w:spacing w:after="0" w:line="259" w:lineRule="auto"/>
        <w:rPr>
          <w:sz w:val="20"/>
          <w:szCs w:val="20"/>
          <w:color w:val="auto"/>
        </w:rPr>
      </w:pPr>
      <w:r>
        <w:rPr>
          <w:rFonts w:ascii="Arial" w:cs="Arial" w:eastAsia="Arial" w:hAnsi="Arial"/>
          <w:sz w:val="18"/>
          <w:szCs w:val="18"/>
          <w:color w:val="auto"/>
        </w:rPr>
        <w:t>We provide a range of hospitality services at our lodges, including reservation management, check in and check out, food service, housekeeping and facilities management. Our lodge guests receive amenities similar to a full-service hotel plus three meals a day. During 2019, no further rooms were added (net of retirements) to our major oil sands lodges. Our Wapasu Creek Lodge, with more than 5,000 rooms, is equivalent in size to the largest hotels in North America.</w:t>
      </w:r>
    </w:p>
    <w:p>
      <w:pPr>
        <w:spacing w:after="0" w:line="187" w:lineRule="exact"/>
        <w:rPr>
          <w:sz w:val="20"/>
          <w:szCs w:val="20"/>
          <w:color w:val="auto"/>
        </w:rPr>
      </w:pPr>
    </w:p>
    <w:p>
      <w:pPr>
        <w:ind w:right="240" w:firstLine="459"/>
        <w:spacing w:after="0" w:line="259" w:lineRule="auto"/>
        <w:rPr>
          <w:sz w:val="20"/>
          <w:szCs w:val="20"/>
          <w:color w:val="auto"/>
        </w:rPr>
      </w:pPr>
      <w:r>
        <w:rPr>
          <w:rFonts w:ascii="Arial" w:cs="Arial" w:eastAsia="Arial" w:hAnsi="Arial"/>
          <w:sz w:val="18"/>
          <w:szCs w:val="18"/>
          <w:color w:val="auto"/>
        </w:rPr>
        <w:t>We provide our hospitality services at the lodges we own on a day rate or monthly rental basis, and our customers typically commit for short to medium-term contracts (from several months up to several years). Customers make a minimum nightly or monthly room commitment or an aggregate total room night commitment for the term of the contract, and the multi-year contracts typically provide for inflationary escalations in rates for increased food, labor and utilities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British Columbia Lodge</w:t>
      </w:r>
    </w:p>
    <w:p>
      <w:pPr>
        <w:spacing w:after="0" w:line="225" w:lineRule="exact"/>
        <w:rPr>
          <w:sz w:val="20"/>
          <w:szCs w:val="20"/>
          <w:color w:val="auto"/>
        </w:rPr>
      </w:pPr>
    </w:p>
    <w:p>
      <w:pPr>
        <w:ind w:right="220" w:firstLine="459"/>
        <w:spacing w:after="0" w:line="259" w:lineRule="auto"/>
        <w:rPr>
          <w:sz w:val="20"/>
          <w:szCs w:val="20"/>
          <w:color w:val="auto"/>
        </w:rPr>
      </w:pPr>
      <w:r>
        <w:rPr>
          <w:rFonts w:ascii="Arial" w:cs="Arial" w:eastAsia="Arial" w:hAnsi="Arial"/>
          <w:sz w:val="18"/>
          <w:szCs w:val="18"/>
          <w:color w:val="auto"/>
        </w:rPr>
        <w:t>We began the expansion of our room count in Kitimat, British Columbia during the second half of 2015 to support LNG projects on the west coast of British Columbia. We developed a new accommodations facility, Sitka Lodge, which includes private washrooms, recreational facilities, a pub and other amenities. The lodge had 774 rooms as of the end of 2018. Expansion of the lodge was completed in the third quarter of 2019, which resulted in 1,186 total available rooms.</w:t>
      </w:r>
    </w:p>
    <w:p>
      <w:pPr>
        <w:spacing w:after="0" w:line="187" w:lineRule="exact"/>
        <w:rPr>
          <w:sz w:val="20"/>
          <w:szCs w:val="20"/>
          <w:color w:val="auto"/>
        </w:rPr>
      </w:pPr>
    </w:p>
    <w:p>
      <w:pPr>
        <w:ind w:right="100" w:firstLine="459"/>
        <w:spacing w:after="0" w:line="257" w:lineRule="auto"/>
        <w:rPr>
          <w:sz w:val="20"/>
          <w:szCs w:val="20"/>
          <w:color w:val="auto"/>
        </w:rPr>
      </w:pPr>
      <w:r>
        <w:rPr>
          <w:rFonts w:ascii="Arial" w:cs="Arial" w:eastAsia="Arial" w:hAnsi="Arial"/>
          <w:sz w:val="18"/>
          <w:szCs w:val="18"/>
          <w:color w:val="auto"/>
        </w:rPr>
        <w:t>As previously discussed, on October 1, 2018, LNGC's participants announced a positive FID on the Kitimat LNG Facility. With the project moving forward, British Columbia LNG activity and related pipeline projects have become a material driver of activity for our Sitka Lodge, as well as for our mobile camp assets, which are contracted to serve several portions of the related pipeline construction activity. We previously announced contract awards for locations along the CGL pipeline project and room commitments for our Sitka Lodge. The actual timing of when revenue is realized from the CGL pipeline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Sitka Lodge contracts could be impacted by any delays in the construction of the Kitimat LNG Facility or the pipeline, including recent blockades that aim to delay construction.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Lodge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48985" cy="329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125" w:right="3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Rooms in our Canadian Lodges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w w:val="99"/>
              </w:rPr>
              <w:t>As of December 31,</w:t>
            </w:r>
          </w:p>
        </w:tc>
        <w:tc>
          <w:tcPr>
            <w:tcW w:w="1460" w:type="dxa"/>
            <w:vAlign w:val="bottom"/>
          </w:tcPr>
          <w:p>
            <w:pPr>
              <w:spacing w:after="0"/>
              <w:rPr>
                <w:sz w:val="18"/>
                <w:szCs w:val="18"/>
                <w:color w:val="auto"/>
              </w:rPr>
            </w:pPr>
          </w:p>
        </w:tc>
      </w:tr>
      <w:tr>
        <w:trPr>
          <w:trHeight w:val="249"/>
        </w:trPr>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ind w:left="420"/>
              <w:spacing w:after="0"/>
              <w:rPr>
                <w:sz w:val="20"/>
                <w:szCs w:val="20"/>
                <w:color w:val="auto"/>
              </w:rPr>
            </w:pPr>
            <w:r>
              <w:rPr>
                <w:rFonts w:ascii="Arial" w:cs="Arial" w:eastAsia="Arial" w:hAnsi="Arial"/>
                <w:sz w:val="16"/>
                <w:szCs w:val="16"/>
                <w:b w:val="1"/>
                <w:bCs w:val="1"/>
                <w:color w:val="auto"/>
              </w:rPr>
              <w:t>Extraction</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10"/>
        </w:trPr>
        <w:tc>
          <w:tcPr>
            <w:tcW w:w="3320" w:type="dxa"/>
            <w:vAlign w:val="bottom"/>
            <w:gridSpan w:val="2"/>
          </w:tcPr>
          <w:p>
            <w:pPr>
              <w:ind w:left="1360"/>
              <w:spacing w:after="0"/>
              <w:rPr>
                <w:sz w:val="20"/>
                <w:szCs w:val="20"/>
                <w:color w:val="auto"/>
              </w:rPr>
            </w:pPr>
            <w:r>
              <w:rPr>
                <w:rFonts w:ascii="Arial" w:cs="Arial" w:eastAsia="Arial" w:hAnsi="Arial"/>
                <w:sz w:val="16"/>
                <w:szCs w:val="16"/>
                <w:b w:val="1"/>
                <w:bCs w:val="1"/>
                <w:color w:val="auto"/>
              </w:rPr>
              <w:t>Lodges</w:t>
            </w:r>
          </w:p>
        </w:tc>
        <w:tc>
          <w:tcPr>
            <w:tcW w:w="1720" w:type="dxa"/>
            <w:vAlign w:val="bottom"/>
            <w:gridSpan w:val="2"/>
          </w:tcPr>
          <w:p>
            <w:pPr>
              <w:ind w:left="560"/>
              <w:spacing w:after="0"/>
              <w:rPr>
                <w:sz w:val="20"/>
                <w:szCs w:val="20"/>
                <w:color w:val="auto"/>
              </w:rPr>
            </w:pPr>
            <w:r>
              <w:rPr>
                <w:rFonts w:ascii="Arial" w:cs="Arial" w:eastAsia="Arial" w:hAnsi="Arial"/>
                <w:sz w:val="16"/>
                <w:szCs w:val="16"/>
                <w:b w:val="1"/>
                <w:bCs w:val="1"/>
                <w:color w:val="auto"/>
              </w:rPr>
              <w:t>Region</w:t>
            </w:r>
          </w:p>
        </w:tc>
        <w:tc>
          <w:tcPr>
            <w:tcW w:w="1700" w:type="dxa"/>
            <w:vAlign w:val="bottom"/>
            <w:gridSpan w:val="2"/>
          </w:tcPr>
          <w:p>
            <w:pPr>
              <w:ind w:left="440"/>
              <w:spacing w:after="0"/>
              <w:rPr>
                <w:sz w:val="20"/>
                <w:szCs w:val="20"/>
                <w:color w:val="auto"/>
              </w:rPr>
            </w:pPr>
            <w:r>
              <w:rPr>
                <w:rFonts w:ascii="Arial" w:cs="Arial" w:eastAsia="Arial" w:hAnsi="Arial"/>
                <w:sz w:val="16"/>
                <w:szCs w:val="16"/>
                <w:b w:val="1"/>
                <w:bCs w:val="1"/>
                <w:color w:val="auto"/>
              </w:rPr>
              <w:t>Technique</w:t>
            </w: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r>
      <w:tr>
        <w:trPr>
          <w:trHeight w:val="33"/>
        </w:trPr>
        <w:tc>
          <w:tcPr>
            <w:tcW w:w="3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Wapasu</w:t>
            </w: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5,246</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5,246</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5,246</w:t>
            </w:r>
          </w:p>
        </w:tc>
      </w:tr>
      <w:tr>
        <w:trPr>
          <w:trHeight w:val="237"/>
        </w:trPr>
        <w:tc>
          <w:tcPr>
            <w:tcW w:w="3320" w:type="dxa"/>
            <w:vAlign w:val="bottom"/>
            <w:gridSpan w:val="2"/>
          </w:tcPr>
          <w:p>
            <w:pPr>
              <w:ind w:left="180"/>
              <w:spacing w:after="0"/>
              <w:rPr>
                <w:sz w:val="20"/>
                <w:szCs w:val="20"/>
                <w:color w:val="auto"/>
              </w:rPr>
            </w:pPr>
            <w:r>
              <w:rPr>
                <w:rFonts w:ascii="Arial" w:cs="Arial" w:eastAsia="Arial" w:hAnsi="Arial"/>
                <w:sz w:val="16"/>
                <w:szCs w:val="16"/>
                <w:color w:val="auto"/>
              </w:rPr>
              <w:t>Athabasca (2)</w:t>
            </w:r>
          </w:p>
        </w:tc>
        <w:tc>
          <w:tcPr>
            <w:tcW w:w="1720" w:type="dxa"/>
            <w:vAlign w:val="bottom"/>
            <w:gridSpan w:val="2"/>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2,005</w:t>
            </w:r>
          </w:p>
        </w:tc>
        <w:tc>
          <w:tcPr>
            <w:tcW w:w="10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2,005</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2,005</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McClelland Lake</w:t>
            </w: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1,997</w:t>
            </w:r>
          </w:p>
        </w:tc>
      </w:tr>
      <w:tr>
        <w:trPr>
          <w:trHeight w:val="237"/>
        </w:trPr>
        <w:tc>
          <w:tcPr>
            <w:tcW w:w="3320" w:type="dxa"/>
            <w:vAlign w:val="bottom"/>
            <w:gridSpan w:val="2"/>
          </w:tcPr>
          <w:p>
            <w:pPr>
              <w:ind w:left="180"/>
              <w:spacing w:after="0"/>
              <w:rPr>
                <w:sz w:val="20"/>
                <w:szCs w:val="20"/>
                <w:color w:val="auto"/>
              </w:rPr>
            </w:pPr>
            <w:r>
              <w:rPr>
                <w:rFonts w:ascii="Arial" w:cs="Arial" w:eastAsia="Arial" w:hAnsi="Arial"/>
                <w:sz w:val="16"/>
                <w:szCs w:val="16"/>
                <w:color w:val="auto"/>
              </w:rPr>
              <w:t>Henday (1)</w:t>
            </w:r>
          </w:p>
        </w:tc>
        <w:tc>
          <w:tcPr>
            <w:tcW w:w="1720" w:type="dxa"/>
            <w:vAlign w:val="bottom"/>
            <w:gridSpan w:val="2"/>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mining/in-situ</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1,698</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1,698</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Beaver River</w:t>
            </w: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1,094</w:t>
            </w:r>
          </w:p>
        </w:tc>
      </w:tr>
      <w:tr>
        <w:trPr>
          <w:trHeight w:val="224"/>
        </w:trPr>
        <w:tc>
          <w:tcPr>
            <w:tcW w:w="3320" w:type="dxa"/>
            <w:vAlign w:val="bottom"/>
            <w:gridSpan w:val="2"/>
          </w:tcPr>
          <w:p>
            <w:pPr>
              <w:ind w:left="180"/>
              <w:spacing w:after="0"/>
              <w:rPr>
                <w:sz w:val="20"/>
                <w:szCs w:val="20"/>
                <w:color w:val="auto"/>
              </w:rPr>
            </w:pPr>
            <w:r>
              <w:rPr>
                <w:rFonts w:ascii="Arial" w:cs="Arial" w:eastAsia="Arial" w:hAnsi="Arial"/>
                <w:sz w:val="16"/>
                <w:szCs w:val="16"/>
                <w:color w:val="auto"/>
              </w:rPr>
              <w:t>Fort McMurray Village:</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3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Buffalo (1) (3)</w:t>
            </w: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mining</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320" w:type="dxa"/>
            <w:vAlign w:val="bottom"/>
            <w:gridSpan w:val="2"/>
          </w:tcPr>
          <w:p>
            <w:pPr>
              <w:ind w:left="380"/>
              <w:spacing w:after="0"/>
              <w:rPr>
                <w:sz w:val="20"/>
                <w:szCs w:val="20"/>
                <w:color w:val="auto"/>
              </w:rPr>
            </w:pPr>
            <w:r>
              <w:rPr>
                <w:rFonts w:ascii="Arial" w:cs="Arial" w:eastAsia="Arial" w:hAnsi="Arial"/>
                <w:sz w:val="16"/>
                <w:szCs w:val="16"/>
                <w:color w:val="auto"/>
              </w:rPr>
              <w:t>Black Bear (3)</w:t>
            </w:r>
          </w:p>
        </w:tc>
        <w:tc>
          <w:tcPr>
            <w:tcW w:w="1720" w:type="dxa"/>
            <w:vAlign w:val="bottom"/>
            <w:gridSpan w:val="2"/>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Bighorn (3)</w:t>
            </w: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320" w:type="dxa"/>
            <w:vAlign w:val="bottom"/>
            <w:gridSpan w:val="2"/>
          </w:tcPr>
          <w:p>
            <w:pPr>
              <w:ind w:left="380"/>
              <w:spacing w:after="0"/>
              <w:rPr>
                <w:sz w:val="20"/>
                <w:szCs w:val="20"/>
                <w:color w:val="auto"/>
              </w:rPr>
            </w:pPr>
            <w:r>
              <w:rPr>
                <w:rFonts w:ascii="Arial" w:cs="Arial" w:eastAsia="Arial" w:hAnsi="Arial"/>
                <w:sz w:val="16"/>
                <w:szCs w:val="16"/>
                <w:color w:val="auto"/>
              </w:rPr>
              <w:t>Lynx (3)</w:t>
            </w:r>
          </w:p>
        </w:tc>
        <w:tc>
          <w:tcPr>
            <w:tcW w:w="1720" w:type="dxa"/>
            <w:vAlign w:val="bottom"/>
            <w:gridSpan w:val="2"/>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855</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Wolverine (3)</w:t>
            </w: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320" w:type="dxa"/>
            <w:vAlign w:val="bottom"/>
            <w:gridSpan w:val="2"/>
          </w:tcPr>
          <w:p>
            <w:pPr>
              <w:ind w:left="180"/>
              <w:spacing w:after="0"/>
              <w:rPr>
                <w:sz w:val="20"/>
                <w:szCs w:val="20"/>
                <w:color w:val="auto"/>
              </w:rPr>
            </w:pPr>
            <w:r>
              <w:rPr>
                <w:rFonts w:ascii="Arial" w:cs="Arial" w:eastAsia="Arial" w:hAnsi="Arial"/>
                <w:sz w:val="16"/>
                <w:szCs w:val="16"/>
                <w:color w:val="auto"/>
              </w:rPr>
              <w:t>Borealis (3)</w:t>
            </w:r>
          </w:p>
        </w:tc>
        <w:tc>
          <w:tcPr>
            <w:tcW w:w="1720" w:type="dxa"/>
            <w:vAlign w:val="bottom"/>
            <w:gridSpan w:val="2"/>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1,504</w:t>
            </w:r>
          </w:p>
        </w:tc>
        <w:tc>
          <w:tcPr>
            <w:tcW w:w="10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1,504</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Grey Wolf (3)</w:t>
            </w: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320" w:type="dxa"/>
            <w:vAlign w:val="bottom"/>
            <w:gridSpan w:val="2"/>
          </w:tcPr>
          <w:p>
            <w:pPr>
              <w:ind w:left="180"/>
              <w:spacing w:after="0"/>
              <w:rPr>
                <w:sz w:val="20"/>
                <w:szCs w:val="20"/>
                <w:color w:val="auto"/>
              </w:rPr>
            </w:pPr>
            <w:r>
              <w:rPr>
                <w:rFonts w:ascii="Arial" w:cs="Arial" w:eastAsia="Arial" w:hAnsi="Arial"/>
                <w:sz w:val="16"/>
                <w:szCs w:val="16"/>
                <w:color w:val="auto"/>
              </w:rPr>
              <w:t>Firebag (1) (3)</w:t>
            </w:r>
          </w:p>
        </w:tc>
        <w:tc>
          <w:tcPr>
            <w:tcW w:w="1720" w:type="dxa"/>
            <w:vAlign w:val="bottom"/>
            <w:gridSpan w:val="2"/>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in situ</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Hudson (3)</w:t>
            </w: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 Athabasca</w:t>
            </w: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320" w:type="dxa"/>
            <w:vAlign w:val="bottom"/>
            <w:gridSpan w:val="2"/>
          </w:tcPr>
          <w:p>
            <w:pPr>
              <w:ind w:left="180"/>
              <w:spacing w:after="0"/>
              <w:rPr>
                <w:sz w:val="20"/>
                <w:szCs w:val="20"/>
                <w:color w:val="auto"/>
              </w:rPr>
            </w:pPr>
            <w:r>
              <w:rPr>
                <w:rFonts w:ascii="Arial" w:cs="Arial" w:eastAsia="Arial" w:hAnsi="Arial"/>
                <w:sz w:val="16"/>
                <w:szCs w:val="16"/>
                <w:color w:val="auto"/>
              </w:rPr>
              <w:t>Wabasca (2) (3)</w:t>
            </w:r>
          </w:p>
        </w:tc>
        <w:tc>
          <w:tcPr>
            <w:tcW w:w="1720" w:type="dxa"/>
            <w:vAlign w:val="bottom"/>
            <w:gridSpan w:val="2"/>
          </w:tcPr>
          <w:p>
            <w:pPr>
              <w:ind w:left="160"/>
              <w:spacing w:after="0"/>
              <w:rPr>
                <w:sz w:val="20"/>
                <w:szCs w:val="20"/>
                <w:color w:val="auto"/>
              </w:rPr>
            </w:pPr>
            <w:r>
              <w:rPr>
                <w:rFonts w:ascii="Arial" w:cs="Arial" w:eastAsia="Arial" w:hAnsi="Arial"/>
                <w:sz w:val="16"/>
                <w:szCs w:val="16"/>
                <w:color w:val="auto"/>
              </w:rPr>
              <w:t>S. Athabasca</w:t>
            </w: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Red Earth (2) (3)</w:t>
            </w: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 Athabasca</w:t>
            </w: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mining</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320" w:type="dxa"/>
            <w:vAlign w:val="bottom"/>
            <w:gridSpan w:val="2"/>
          </w:tcPr>
          <w:p>
            <w:pPr>
              <w:ind w:left="180"/>
              <w:spacing w:after="0"/>
              <w:rPr>
                <w:sz w:val="20"/>
                <w:szCs w:val="20"/>
                <w:color w:val="auto"/>
              </w:rPr>
            </w:pPr>
            <w:r>
              <w:rPr>
                <w:rFonts w:ascii="Arial" w:cs="Arial" w:eastAsia="Arial" w:hAnsi="Arial"/>
                <w:sz w:val="16"/>
                <w:szCs w:val="16"/>
                <w:color w:val="auto"/>
              </w:rPr>
              <w:t>Conklin (2)</w:t>
            </w:r>
          </w:p>
        </w:tc>
        <w:tc>
          <w:tcPr>
            <w:tcW w:w="1720" w:type="dxa"/>
            <w:vAlign w:val="bottom"/>
            <w:gridSpan w:val="2"/>
          </w:tcPr>
          <w:p>
            <w:pPr>
              <w:ind w:left="160"/>
              <w:spacing w:after="0"/>
              <w:rPr>
                <w:sz w:val="20"/>
                <w:szCs w:val="20"/>
                <w:color w:val="auto"/>
              </w:rPr>
            </w:pPr>
            <w:r>
              <w:rPr>
                <w:rFonts w:ascii="Arial" w:cs="Arial" w:eastAsia="Arial" w:hAnsi="Arial"/>
                <w:sz w:val="16"/>
                <w:szCs w:val="16"/>
                <w:color w:val="auto"/>
              </w:rPr>
              <w:t>S. Athabasca</w:t>
            </w: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mining/in-situ</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1,032</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1,032</w:t>
            </w: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Anzac</w:t>
            </w:r>
          </w:p>
        </w:tc>
        <w:tc>
          <w:tcPr>
            <w:tcW w:w="1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 Athabasca</w:t>
            </w: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in-situ</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w:t>
            </w:r>
          </w:p>
        </w:tc>
      </w:tr>
      <w:tr>
        <w:trPr>
          <w:trHeight w:val="237"/>
        </w:trPr>
        <w:tc>
          <w:tcPr>
            <w:tcW w:w="3320" w:type="dxa"/>
            <w:vAlign w:val="bottom"/>
            <w:gridSpan w:val="2"/>
          </w:tcPr>
          <w:p>
            <w:pPr>
              <w:ind w:left="180"/>
              <w:spacing w:after="0"/>
              <w:rPr>
                <w:sz w:val="20"/>
                <w:szCs w:val="20"/>
                <w:color w:val="auto"/>
              </w:rPr>
            </w:pPr>
            <w:r>
              <w:rPr>
                <w:rFonts w:ascii="Arial" w:cs="Arial" w:eastAsia="Arial" w:hAnsi="Arial"/>
                <w:sz w:val="16"/>
                <w:szCs w:val="16"/>
                <w:color w:val="auto"/>
              </w:rPr>
              <w:t>Mariana Lake (1)</w:t>
            </w:r>
          </w:p>
        </w:tc>
        <w:tc>
          <w:tcPr>
            <w:tcW w:w="1720" w:type="dxa"/>
            <w:vAlign w:val="bottom"/>
            <w:gridSpan w:val="2"/>
          </w:tcPr>
          <w:p>
            <w:pPr>
              <w:ind w:left="160"/>
              <w:spacing w:after="0"/>
              <w:rPr>
                <w:sz w:val="20"/>
                <w:szCs w:val="20"/>
                <w:color w:val="auto"/>
              </w:rPr>
            </w:pPr>
            <w:r>
              <w:rPr>
                <w:rFonts w:ascii="Arial" w:cs="Arial" w:eastAsia="Arial" w:hAnsi="Arial"/>
                <w:sz w:val="16"/>
                <w:szCs w:val="16"/>
                <w:color w:val="auto"/>
              </w:rPr>
              <w:t>S. Athabasca</w:t>
            </w: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mining</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686</w:t>
            </w:r>
          </w:p>
        </w:tc>
      </w:tr>
      <w:tr>
        <w:trPr>
          <w:trHeight w:val="33"/>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Subtotal – Oil Sands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18,463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22,061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14,284</w:t>
            </w:r>
          </w:p>
        </w:tc>
      </w:tr>
      <w:tr>
        <w:trPr>
          <w:trHeight w:val="217"/>
        </w:trPr>
        <w:tc>
          <w:tcPr>
            <w:tcW w:w="3320" w:type="dxa"/>
            <w:vAlign w:val="bottom"/>
            <w:gridSpan w:val="2"/>
          </w:tcPr>
          <w:p>
            <w:pPr>
              <w:ind w:left="180"/>
              <w:spacing w:after="0"/>
              <w:rPr>
                <w:sz w:val="20"/>
                <w:szCs w:val="20"/>
                <w:color w:val="auto"/>
              </w:rPr>
            </w:pPr>
            <w:r>
              <w:rPr>
                <w:rFonts w:ascii="Arial" w:cs="Arial" w:eastAsia="Arial" w:hAnsi="Arial"/>
                <w:sz w:val="16"/>
                <w:szCs w:val="16"/>
                <w:color w:val="auto"/>
              </w:rPr>
              <w:t>Sitka Lodge</w:t>
            </w:r>
          </w:p>
        </w:tc>
        <w:tc>
          <w:tcPr>
            <w:tcW w:w="1720" w:type="dxa"/>
            <w:vAlign w:val="bottom"/>
            <w:gridSpan w:val="2"/>
          </w:tcPr>
          <w:p>
            <w:pPr>
              <w:ind w:left="160"/>
              <w:spacing w:after="0"/>
              <w:rPr>
                <w:sz w:val="20"/>
                <w:szCs w:val="20"/>
                <w:color w:val="auto"/>
              </w:rPr>
            </w:pPr>
            <w:r>
              <w:rPr>
                <w:rFonts w:ascii="Arial" w:cs="Arial" w:eastAsia="Arial" w:hAnsi="Arial"/>
                <w:sz w:val="16"/>
                <w:szCs w:val="16"/>
                <w:color w:val="auto"/>
              </w:rPr>
              <w:t>Kitimat, BC</w:t>
            </w: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LNG</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1,186</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436</w:t>
            </w:r>
          </w:p>
        </w:tc>
      </w:tr>
      <w:tr>
        <w:trPr>
          <w:trHeight w:val="33"/>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5"/>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Total Rooms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19,649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22,707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14,720</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457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182" w:lineRule="exact"/>
        <w:rPr>
          <w:sz w:val="20"/>
          <w:szCs w:val="20"/>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Permanently closed as of December 31, 2019.</w:t>
      </w:r>
    </w:p>
    <w:p>
      <w:pPr>
        <w:spacing w:after="0" w:line="23" w:lineRule="exact"/>
        <w:rPr>
          <w:rFonts w:ascii="Arial" w:cs="Arial" w:eastAsia="Arial" w:hAnsi="Arial"/>
          <w:sz w:val="18"/>
          <w:szCs w:val="18"/>
          <w:color w:val="auto"/>
        </w:rPr>
      </w:pPr>
    </w:p>
    <w:p>
      <w:pPr>
        <w:ind w:left="500" w:right="40" w:hanging="316"/>
        <w:spacing w:after="0" w:line="25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Currently closed due to low activity level in the region. All four closed lodges are periodically assessed for impairment, in accordance with U.S. generally accepted accounting principles (U.S. GAAP). Please see Note 4 - Impairment Charges to the notes to the consolidated financial statements in Item 8 of this annual report for further discussion.</w:t>
      </w:r>
    </w:p>
    <w:p>
      <w:pPr>
        <w:spacing w:after="0" w:line="1"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Lodges acquired in the Noralta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Hospitality Services at Third-Party Owned Facilities</w:t>
      </w:r>
    </w:p>
    <w:p>
      <w:pPr>
        <w:spacing w:after="0" w:line="225" w:lineRule="exact"/>
        <w:rPr>
          <w:sz w:val="20"/>
          <w:szCs w:val="20"/>
          <w:color w:val="auto"/>
        </w:rPr>
      </w:pPr>
    </w:p>
    <w:p>
      <w:pPr>
        <w:ind w:right="40" w:firstLine="459"/>
        <w:spacing w:after="0" w:line="302" w:lineRule="auto"/>
        <w:rPr>
          <w:sz w:val="20"/>
          <w:szCs w:val="20"/>
          <w:color w:val="auto"/>
        </w:rPr>
      </w:pPr>
      <w:r>
        <w:rPr>
          <w:rFonts w:ascii="Arial" w:cs="Arial" w:eastAsia="Arial" w:hAnsi="Arial"/>
          <w:sz w:val="16"/>
          <w:szCs w:val="16"/>
          <w:color w:val="auto"/>
        </w:rPr>
        <w:t>We also provide hospitality services at facilities owned by our customers. Historically, this has been focused around natural resource production-related housing facilities that are owned by the natural resource owners. Currently, we operate camp facilities for third-party customers. The facilities we manage range anywhere from 100 to 1,500 rooms. We customize our service offerings depending on our customer’s needs. Hospitality services can be performed on an end-to-end basis with food service, housekeeping, maintenance and utility services included or in segments such as food service only.</w:t>
      </w:r>
    </w:p>
    <w:p>
      <w:pPr>
        <w:spacing w:after="0" w:line="154" w:lineRule="exact"/>
        <w:rPr>
          <w:sz w:val="20"/>
          <w:szCs w:val="20"/>
          <w:color w:val="auto"/>
        </w:rPr>
      </w:pPr>
    </w:p>
    <w:p>
      <w:pPr>
        <w:jc w:val="both"/>
        <w:ind w:right="580" w:firstLine="459"/>
        <w:spacing w:after="0" w:line="286" w:lineRule="auto"/>
        <w:rPr>
          <w:sz w:val="20"/>
          <w:szCs w:val="20"/>
          <w:color w:val="auto"/>
        </w:rPr>
      </w:pPr>
      <w:r>
        <w:rPr>
          <w:rFonts w:ascii="Arial" w:cs="Arial" w:eastAsia="Arial" w:hAnsi="Arial"/>
          <w:sz w:val="17"/>
          <w:szCs w:val="17"/>
          <w:color w:val="auto"/>
        </w:rPr>
        <w:t>Recently, we have engaged in developing a related food service brand, Red Table. This diversification initiative targets food service and facility management opportunities outside of the natural resources industry, including educational, entertainment and health care sectors. Currently, Red Table operates four facilities, and includes a food production facility, which began operations in the second quarter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Mobile Accommodations</w:t>
      </w:r>
    </w:p>
    <w:p>
      <w:pPr>
        <w:spacing w:after="0" w:line="117"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color w:val="auto"/>
        </w:rPr>
        <w:t>Our mobile accommodations consist of modular, skid-mounted accommodations and central facilities that can be quickly configured to serve a multitude of short to medium-term accommodation needs. The dormitory, kitchen and ancillary assets can be rapidly mobilized and demobilized and are scalable to support 200 to 800 people in a single location. In addition to asset rental, we provide hospitality services such as food service and housekeeping, as well as camp management services, including managing fresh water and sewage hauling services. Our mobile camps service the traditional oil and gas sector in Alberta and British Columbia and in-situ oil sands drilling and development operations in Alberta, as well as pipeline construction crews throughout Western Canada. The assets have also been used in the past in disaster relief efforts, the 2010 Vancouver Winter Olympic Games and a variety of other non-energy related projects.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459"/>
        <w:spacing w:after="0" w:line="276" w:lineRule="auto"/>
        <w:rPr>
          <w:sz w:val="20"/>
          <w:szCs w:val="20"/>
          <w:color w:val="auto"/>
        </w:rPr>
      </w:pPr>
      <w:r>
        <w:rPr>
          <w:rFonts w:ascii="Arial" w:cs="Arial" w:eastAsia="Arial" w:hAnsi="Arial"/>
          <w:sz w:val="17"/>
          <w:szCs w:val="17"/>
          <w:color w:val="auto"/>
        </w:rPr>
        <w:t>Our mobile camp assets are rented on a per unit basis based on the number of days that a customer utilizes the asset. In cases where we provide food service or ancillary services, the contract can provide for per unit pricing or cost-plus pricing. Customers are also typically responsible for mobilization and demobilization costs. Our focus on hospitality service contracts has allowed us to successfully pursue food service only opportunities. Due to the business nature of servicing customer-owned facilities, this business easily fits into our overall business strategy. In addition to traditional workforce accommodations, we are expanding our target markets to areas such as institutional, educational and entertainment facilities.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20" w:firstLine="459"/>
        <w:spacing w:after="0" w:line="273" w:lineRule="auto"/>
        <w:rPr>
          <w:sz w:val="20"/>
          <w:szCs w:val="20"/>
          <w:color w:val="auto"/>
        </w:rPr>
      </w:pPr>
      <w:r>
        <w:rPr>
          <w:rFonts w:ascii="Arial" w:cs="Arial" w:eastAsia="Arial" w:hAnsi="Arial"/>
          <w:sz w:val="17"/>
          <w:szCs w:val="17"/>
          <w:color w:val="auto"/>
        </w:rPr>
        <w:t>During the year ended December 31, 2019, we generated 29% of our revenue from our Australian operations. As of December 31, 2019, we owned 9,046 rooms across nine villages, of which 7,392 rooms service the Bowen Basin region of Queensland, one of the premier met coal basins in the world. We provide hospitality services on a day rate basis to mining and related service companies (including construction contractors), typically under short and medium-term contracts (one to five years) with minimum nightly room commitments. In addition, we provide village operation and mine site cleaning services at eleven customer-owned locations primarily in the Pilbara region of Western Australia, one of the premier iron ore bodies in the world, and in the Kimberly and Goldfields-Esperance regions of Western Australia.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Market</w:t>
      </w:r>
    </w:p>
    <w:p>
      <w:pPr>
        <w:spacing w:after="0" w:line="225" w:lineRule="exact"/>
        <w:rPr>
          <w:sz w:val="20"/>
          <w:szCs w:val="20"/>
          <w:color w:val="auto"/>
        </w:rPr>
      </w:pPr>
    </w:p>
    <w:p>
      <w:pPr>
        <w:ind w:right="20" w:firstLine="459"/>
        <w:spacing w:after="0" w:line="288" w:lineRule="auto"/>
        <w:rPr>
          <w:sz w:val="20"/>
          <w:szCs w:val="20"/>
          <w:color w:val="auto"/>
        </w:rPr>
      </w:pPr>
      <w:r>
        <w:rPr>
          <w:rFonts w:ascii="Arial" w:cs="Arial" w:eastAsia="Arial" w:hAnsi="Arial"/>
          <w:sz w:val="16"/>
          <w:szCs w:val="16"/>
          <w:color w:val="auto"/>
        </w:rPr>
        <w:t>As the largest contributor to exports and a major contributor to the country’s gross domestic product and government revenue, the Australian natural resources industry plays a vital role in the Australian economy. Australia has broad natural resources, including met and thermal coal, conventional and coal seam gas, base metals, iron ore and precious metals such as gold. Australia is the largest exporter of met coal and iron ore in the world, in addition to being in close proximity to the largest steel producing countries in the world. The growth of Australian natural resource commodity exports over the last decade has been largely driven by strong Asian demand for coal, iron ore and LNG. Australia’s resources are primarily located in remote regions of the country that lack infrastructure and resident labor forces to develop these resources, as the majority of Australia’s population is located on the east coast of the country. As a result, much of the natural resources labor force works on a rotational basis, which often requires a commute from a major city or the coast to a living arrangement near the resource projects. Consequently, there is substantial need for workforce accommodations and hospitality services to support resource production in the country. Workforce accommodations have historically been built and owned by the resource developer/owner, with third parties providing the hospitality and facility management services, typical of an insourcing business model.</w:t>
      </w:r>
    </w:p>
    <w:p>
      <w:pPr>
        <w:spacing w:after="0" w:line="169" w:lineRule="exact"/>
        <w:rPr>
          <w:sz w:val="20"/>
          <w:szCs w:val="20"/>
          <w:color w:val="auto"/>
        </w:rPr>
      </w:pPr>
    </w:p>
    <w:p>
      <w:pPr>
        <w:ind w:firstLine="459"/>
        <w:spacing w:after="0" w:line="264" w:lineRule="auto"/>
        <w:rPr>
          <w:sz w:val="20"/>
          <w:szCs w:val="20"/>
          <w:color w:val="auto"/>
        </w:rPr>
      </w:pPr>
      <w:r>
        <w:rPr>
          <w:rFonts w:ascii="Arial" w:cs="Arial" w:eastAsia="Arial" w:hAnsi="Arial"/>
          <w:sz w:val="18"/>
          <w:szCs w:val="18"/>
          <w:color w:val="auto"/>
        </w:rPr>
        <w:t>Since 1996, our Australian business has sought to change the insourcing business model through its hospitality services offering, allowing customers to outsource their accommodations needs and focus their investments on resource production operations. Our Australian villages are strategically located in proximity to long-lived, low-cost mines operated by investment-grade, international mining companies.</w:t>
      </w:r>
    </w:p>
    <w:p>
      <w:pPr>
        <w:spacing w:after="0" w:line="181" w:lineRule="exact"/>
        <w:rPr>
          <w:sz w:val="20"/>
          <w:szCs w:val="20"/>
          <w:color w:val="auto"/>
        </w:rPr>
      </w:pPr>
    </w:p>
    <w:p>
      <w:pPr>
        <w:ind w:right="120" w:firstLine="459"/>
        <w:spacing w:after="0" w:line="271" w:lineRule="auto"/>
        <w:rPr>
          <w:sz w:val="20"/>
          <w:szCs w:val="20"/>
          <w:color w:val="auto"/>
        </w:rPr>
      </w:pPr>
      <w:r>
        <w:rPr>
          <w:rFonts w:ascii="Arial" w:cs="Arial" w:eastAsia="Arial" w:hAnsi="Arial"/>
          <w:sz w:val="17"/>
          <w:szCs w:val="17"/>
          <w:color w:val="auto"/>
        </w:rPr>
        <w:t>During the year ended December 31, 2019, our five villages in the Bowen Basin of central Queensland generated 70% of our Australian revenue. The Bowen Basin contains one of the largest coal deposits in Australia and is renowned for its premium met coal. In addition, we provide village operation and mine site cleaning services at six customer locations in the Pilbara and Kimberly regions of Western Australia, which are renowned for high grade iron ore production. Met coal and iron ore are used in the steel making process and demand has largely been driven by global demand for steel finished goods and steel construction materials. In recent years, growth in construction demand for steel products in emerging economies, particularly China, slowed significantly, negatively impacting demand for the commodity. However, the rebounding of steel demand in 2018 and 2019 led to stabilized pricing for met coal in 2018 and 2019. Our villages and customer based locations are focused on the mines in the central portion of the Pilbara and Bowen Basins and are well positioned for the active mines in the region.</w:t>
      </w:r>
    </w:p>
    <w:p>
      <w:pPr>
        <w:spacing w:after="0" w:line="179" w:lineRule="exact"/>
        <w:rPr>
          <w:sz w:val="20"/>
          <w:szCs w:val="20"/>
          <w:color w:val="auto"/>
        </w:rPr>
      </w:pPr>
    </w:p>
    <w:p>
      <w:pPr>
        <w:ind w:firstLine="459"/>
        <w:spacing w:after="0" w:line="276" w:lineRule="auto"/>
        <w:rPr>
          <w:sz w:val="20"/>
          <w:szCs w:val="20"/>
          <w:color w:val="auto"/>
        </w:rPr>
      </w:pPr>
      <w:r>
        <w:rPr>
          <w:rFonts w:ascii="Arial" w:cs="Arial" w:eastAsia="Arial" w:hAnsi="Arial"/>
          <w:sz w:val="17"/>
          <w:szCs w:val="17"/>
          <w:color w:val="auto"/>
        </w:rPr>
        <w:t>Beyond the Pilbara and Bowen Basins, we serve several other markets with four additional villages and five customer-owned villages. At the end of 2019, we had two villages with over 1,000 combined rooms in the Gunnedah Basin, a thermal and met coal region in New South Wales. In Western Australia, we serve workforces related to LNG facilities operations on the Northwest Shelf through our Karratha village and the Goldfields region through our Kambalda village. In addition, we provide hospitality services in Western Australia at five customer-owned villages which support workforces related to nickel, copper, zinc, silver and gold production in the Goldfields-Esperance region and lithium production in the Pilbara region.</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Village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14605</wp:posOffset>
            </wp:positionV>
            <wp:extent cx="5848985" cy="3293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Rooms in our Australian Villages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w w:val="99"/>
              </w:rPr>
              <w:t>As of December 31,</w:t>
            </w:r>
          </w:p>
        </w:tc>
        <w:tc>
          <w:tcPr>
            <w:tcW w:w="1480" w:type="dxa"/>
            <w:vAlign w:val="bottom"/>
          </w:tcPr>
          <w:p>
            <w:pPr>
              <w:spacing w:after="0"/>
              <w:rPr>
                <w:sz w:val="18"/>
                <w:szCs w:val="18"/>
                <w:color w:val="auto"/>
              </w:rPr>
            </w:pPr>
          </w:p>
        </w:tc>
      </w:tr>
      <w:tr>
        <w:trPr>
          <w:trHeight w:val="249"/>
        </w:trPr>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ind w:left="420"/>
              <w:spacing w:after="0"/>
              <w:rPr>
                <w:sz w:val="20"/>
                <w:szCs w:val="20"/>
                <w:color w:val="auto"/>
              </w:rPr>
            </w:pPr>
            <w:r>
              <w:rPr>
                <w:rFonts w:ascii="Arial" w:cs="Arial" w:eastAsia="Arial" w:hAnsi="Arial"/>
                <w:sz w:val="16"/>
                <w:szCs w:val="16"/>
                <w:b w:val="1"/>
                <w:bCs w:val="1"/>
                <w:color w:val="auto"/>
              </w:rPr>
              <w:t>Resource</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10"/>
        </w:trPr>
        <w:tc>
          <w:tcPr>
            <w:tcW w:w="3220" w:type="dxa"/>
            <w:vAlign w:val="bottom"/>
            <w:gridSpan w:val="2"/>
          </w:tcPr>
          <w:p>
            <w:pPr>
              <w:ind w:left="1280"/>
              <w:spacing w:after="0"/>
              <w:rPr>
                <w:sz w:val="20"/>
                <w:szCs w:val="20"/>
                <w:color w:val="auto"/>
              </w:rPr>
            </w:pPr>
            <w:r>
              <w:rPr>
                <w:rFonts w:ascii="Arial" w:cs="Arial" w:eastAsia="Arial" w:hAnsi="Arial"/>
                <w:sz w:val="16"/>
                <w:szCs w:val="16"/>
                <w:b w:val="1"/>
                <w:bCs w:val="1"/>
                <w:color w:val="auto"/>
              </w:rPr>
              <w:t>Villages</w:t>
            </w:r>
          </w:p>
        </w:tc>
        <w:tc>
          <w:tcPr>
            <w:tcW w:w="1600" w:type="dxa"/>
            <w:vAlign w:val="bottom"/>
            <w:gridSpan w:val="2"/>
          </w:tcPr>
          <w:p>
            <w:pPr>
              <w:ind w:left="560"/>
              <w:spacing w:after="0"/>
              <w:rPr>
                <w:sz w:val="20"/>
                <w:szCs w:val="20"/>
                <w:color w:val="auto"/>
              </w:rPr>
            </w:pPr>
            <w:r>
              <w:rPr>
                <w:rFonts w:ascii="Arial" w:cs="Arial" w:eastAsia="Arial" w:hAnsi="Arial"/>
                <w:sz w:val="16"/>
                <w:szCs w:val="16"/>
                <w:b w:val="1"/>
                <w:bCs w:val="1"/>
                <w:color w:val="auto"/>
              </w:rPr>
              <w:t>Basin</w:t>
            </w:r>
          </w:p>
        </w:tc>
        <w:tc>
          <w:tcPr>
            <w:tcW w:w="1960" w:type="dxa"/>
            <w:vAlign w:val="bottom"/>
            <w:gridSpan w:val="2"/>
          </w:tcPr>
          <w:p>
            <w:pPr>
              <w:ind w:left="520"/>
              <w:spacing w:after="0"/>
              <w:rPr>
                <w:sz w:val="20"/>
                <w:szCs w:val="20"/>
                <w:color w:val="auto"/>
              </w:rPr>
            </w:pPr>
            <w:r>
              <w:rPr>
                <w:rFonts w:ascii="Arial" w:cs="Arial" w:eastAsia="Arial" w:hAnsi="Arial"/>
                <w:sz w:val="16"/>
                <w:szCs w:val="16"/>
                <w:b w:val="1"/>
                <w:bCs w:val="1"/>
                <w:color w:val="auto"/>
              </w:rPr>
              <w:t>Commodity</w:t>
            </w: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r>
      <w:tr>
        <w:trPr>
          <w:trHeight w:val="33"/>
        </w:trPr>
        <w:tc>
          <w:tcPr>
            <w:tcW w:w="3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Coppabella</w:t>
            </w:r>
          </w:p>
        </w:tc>
        <w:tc>
          <w:tcPr>
            <w:tcW w:w="1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Bowen</w:t>
            </w:r>
          </w:p>
        </w:tc>
        <w:tc>
          <w:tcPr>
            <w:tcW w:w="1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met coal</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3,048</w:t>
            </w:r>
          </w:p>
        </w:tc>
      </w:tr>
      <w:tr>
        <w:trPr>
          <w:trHeight w:val="237"/>
        </w:trPr>
        <w:tc>
          <w:tcPr>
            <w:tcW w:w="3220" w:type="dxa"/>
            <w:vAlign w:val="bottom"/>
            <w:gridSpan w:val="2"/>
          </w:tcPr>
          <w:p>
            <w:pPr>
              <w:ind w:left="180"/>
              <w:spacing w:after="0"/>
              <w:rPr>
                <w:sz w:val="20"/>
                <w:szCs w:val="20"/>
                <w:color w:val="auto"/>
              </w:rPr>
            </w:pPr>
            <w:r>
              <w:rPr>
                <w:rFonts w:ascii="Arial" w:cs="Arial" w:eastAsia="Arial" w:hAnsi="Arial"/>
                <w:sz w:val="16"/>
                <w:szCs w:val="16"/>
                <w:color w:val="auto"/>
              </w:rPr>
              <w:t>Dysart</w:t>
            </w:r>
          </w:p>
        </w:tc>
        <w:tc>
          <w:tcPr>
            <w:tcW w:w="1600" w:type="dxa"/>
            <w:vAlign w:val="bottom"/>
            <w:gridSpan w:val="2"/>
          </w:tcPr>
          <w:p>
            <w:pPr>
              <w:ind w:left="160"/>
              <w:spacing w:after="0"/>
              <w:rPr>
                <w:sz w:val="20"/>
                <w:szCs w:val="20"/>
                <w:color w:val="auto"/>
              </w:rPr>
            </w:pPr>
            <w:r>
              <w:rPr>
                <w:rFonts w:ascii="Arial" w:cs="Arial" w:eastAsia="Arial" w:hAnsi="Arial"/>
                <w:sz w:val="16"/>
                <w:szCs w:val="16"/>
                <w:color w:val="auto"/>
              </w:rPr>
              <w:t>Bowen</w:t>
            </w:r>
          </w:p>
        </w:tc>
        <w:tc>
          <w:tcPr>
            <w:tcW w:w="1960" w:type="dxa"/>
            <w:vAlign w:val="bottom"/>
            <w:gridSpan w:val="2"/>
          </w:tcPr>
          <w:p>
            <w:pPr>
              <w:ind w:left="180"/>
              <w:spacing w:after="0"/>
              <w:rPr>
                <w:sz w:val="20"/>
                <w:szCs w:val="20"/>
                <w:color w:val="auto"/>
              </w:rPr>
            </w:pPr>
            <w:r>
              <w:rPr>
                <w:rFonts w:ascii="Arial" w:cs="Arial" w:eastAsia="Arial" w:hAnsi="Arial"/>
                <w:sz w:val="16"/>
                <w:szCs w:val="16"/>
                <w:color w:val="auto"/>
              </w:rPr>
              <w:t>met coal</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1,798</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1,798</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1,798</w:t>
            </w: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Moranbah</w:t>
            </w:r>
          </w:p>
        </w:tc>
        <w:tc>
          <w:tcPr>
            <w:tcW w:w="1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Bowen</w:t>
            </w:r>
          </w:p>
        </w:tc>
        <w:tc>
          <w:tcPr>
            <w:tcW w:w="1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met coal</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w:t>
            </w:r>
          </w:p>
        </w:tc>
      </w:tr>
      <w:tr>
        <w:trPr>
          <w:trHeight w:val="237"/>
        </w:trPr>
        <w:tc>
          <w:tcPr>
            <w:tcW w:w="3220" w:type="dxa"/>
            <w:vAlign w:val="bottom"/>
            <w:gridSpan w:val="2"/>
          </w:tcPr>
          <w:p>
            <w:pPr>
              <w:ind w:left="180"/>
              <w:spacing w:after="0"/>
              <w:rPr>
                <w:sz w:val="20"/>
                <w:szCs w:val="20"/>
                <w:color w:val="auto"/>
              </w:rPr>
            </w:pPr>
            <w:r>
              <w:rPr>
                <w:rFonts w:ascii="Arial" w:cs="Arial" w:eastAsia="Arial" w:hAnsi="Arial"/>
                <w:sz w:val="16"/>
                <w:szCs w:val="16"/>
                <w:color w:val="auto"/>
              </w:rPr>
              <w:t>Middlemount</w:t>
            </w:r>
          </w:p>
        </w:tc>
        <w:tc>
          <w:tcPr>
            <w:tcW w:w="1600" w:type="dxa"/>
            <w:vAlign w:val="bottom"/>
            <w:gridSpan w:val="2"/>
          </w:tcPr>
          <w:p>
            <w:pPr>
              <w:ind w:left="160"/>
              <w:spacing w:after="0"/>
              <w:rPr>
                <w:sz w:val="20"/>
                <w:szCs w:val="20"/>
                <w:color w:val="auto"/>
              </w:rPr>
            </w:pPr>
            <w:r>
              <w:rPr>
                <w:rFonts w:ascii="Arial" w:cs="Arial" w:eastAsia="Arial" w:hAnsi="Arial"/>
                <w:sz w:val="16"/>
                <w:szCs w:val="16"/>
                <w:color w:val="auto"/>
              </w:rPr>
              <w:t>Bowen</w:t>
            </w:r>
          </w:p>
        </w:tc>
        <w:tc>
          <w:tcPr>
            <w:tcW w:w="1960" w:type="dxa"/>
            <w:vAlign w:val="bottom"/>
            <w:gridSpan w:val="2"/>
          </w:tcPr>
          <w:p>
            <w:pPr>
              <w:ind w:left="180"/>
              <w:spacing w:after="0"/>
              <w:rPr>
                <w:sz w:val="20"/>
                <w:szCs w:val="20"/>
                <w:color w:val="auto"/>
              </w:rPr>
            </w:pPr>
            <w:r>
              <w:rPr>
                <w:rFonts w:ascii="Arial" w:cs="Arial" w:eastAsia="Arial" w:hAnsi="Arial"/>
                <w:sz w:val="16"/>
                <w:szCs w:val="16"/>
                <w:color w:val="auto"/>
              </w:rPr>
              <w:t>met coal</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816</w:t>
            </w: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Boggabri</w:t>
            </w:r>
          </w:p>
        </w:tc>
        <w:tc>
          <w:tcPr>
            <w:tcW w:w="1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Gunnedah</w:t>
            </w:r>
          </w:p>
        </w:tc>
        <w:tc>
          <w:tcPr>
            <w:tcW w:w="1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met/thermal coal</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w:t>
            </w:r>
          </w:p>
        </w:tc>
      </w:tr>
      <w:tr>
        <w:trPr>
          <w:trHeight w:val="237"/>
        </w:trPr>
        <w:tc>
          <w:tcPr>
            <w:tcW w:w="3220" w:type="dxa"/>
            <w:vAlign w:val="bottom"/>
            <w:gridSpan w:val="2"/>
          </w:tcPr>
          <w:p>
            <w:pPr>
              <w:ind w:left="180"/>
              <w:spacing w:after="0"/>
              <w:rPr>
                <w:sz w:val="20"/>
                <w:szCs w:val="20"/>
                <w:color w:val="auto"/>
              </w:rPr>
            </w:pPr>
            <w:r>
              <w:rPr>
                <w:rFonts w:ascii="Arial" w:cs="Arial" w:eastAsia="Arial" w:hAnsi="Arial"/>
                <w:sz w:val="16"/>
                <w:szCs w:val="16"/>
                <w:color w:val="auto"/>
              </w:rPr>
              <w:t>Narrabri</w:t>
            </w:r>
          </w:p>
        </w:tc>
        <w:tc>
          <w:tcPr>
            <w:tcW w:w="1600" w:type="dxa"/>
            <w:vAlign w:val="bottom"/>
            <w:gridSpan w:val="2"/>
          </w:tcPr>
          <w:p>
            <w:pPr>
              <w:ind w:left="160"/>
              <w:spacing w:after="0"/>
              <w:rPr>
                <w:sz w:val="20"/>
                <w:szCs w:val="20"/>
                <w:color w:val="auto"/>
              </w:rPr>
            </w:pPr>
            <w:r>
              <w:rPr>
                <w:rFonts w:ascii="Arial" w:cs="Arial" w:eastAsia="Arial" w:hAnsi="Arial"/>
                <w:sz w:val="16"/>
                <w:szCs w:val="16"/>
                <w:color w:val="auto"/>
              </w:rPr>
              <w:t>Gunnedah</w:t>
            </w:r>
          </w:p>
        </w:tc>
        <w:tc>
          <w:tcPr>
            <w:tcW w:w="1960" w:type="dxa"/>
            <w:vAlign w:val="bottom"/>
            <w:gridSpan w:val="2"/>
          </w:tcPr>
          <w:p>
            <w:pPr>
              <w:ind w:left="180"/>
              <w:spacing w:after="0"/>
              <w:rPr>
                <w:sz w:val="20"/>
                <w:szCs w:val="20"/>
                <w:color w:val="auto"/>
              </w:rPr>
            </w:pPr>
            <w:r>
              <w:rPr>
                <w:rFonts w:ascii="Arial" w:cs="Arial" w:eastAsia="Arial" w:hAnsi="Arial"/>
                <w:sz w:val="16"/>
                <w:szCs w:val="16"/>
                <w:color w:val="auto"/>
              </w:rPr>
              <w:t>met/thermal coal</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502</w:t>
            </w: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Nebo</w:t>
            </w:r>
          </w:p>
        </w:tc>
        <w:tc>
          <w:tcPr>
            <w:tcW w:w="1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Bowen</w:t>
            </w:r>
          </w:p>
        </w:tc>
        <w:tc>
          <w:tcPr>
            <w:tcW w:w="1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met coal</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r>
      <w:tr>
        <w:trPr>
          <w:trHeight w:val="237"/>
        </w:trPr>
        <w:tc>
          <w:tcPr>
            <w:tcW w:w="3220" w:type="dxa"/>
            <w:vAlign w:val="bottom"/>
            <w:gridSpan w:val="2"/>
          </w:tcPr>
          <w:p>
            <w:pPr>
              <w:ind w:left="180"/>
              <w:spacing w:after="0"/>
              <w:rPr>
                <w:sz w:val="20"/>
                <w:szCs w:val="20"/>
                <w:color w:val="auto"/>
              </w:rPr>
            </w:pPr>
            <w:r>
              <w:rPr>
                <w:rFonts w:ascii="Arial" w:cs="Arial" w:eastAsia="Arial" w:hAnsi="Arial"/>
                <w:sz w:val="16"/>
                <w:szCs w:val="16"/>
                <w:color w:val="auto"/>
              </w:rPr>
              <w:t>Calliope (1)</w:t>
            </w:r>
          </w:p>
        </w:tc>
        <w:tc>
          <w:tcPr>
            <w:tcW w:w="1480" w:type="dxa"/>
            <w:vAlign w:val="bottom"/>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960" w:type="dxa"/>
            <w:vAlign w:val="bottom"/>
            <w:gridSpan w:val="2"/>
          </w:tcPr>
          <w:p>
            <w:pPr>
              <w:ind w:left="180"/>
              <w:spacing w:after="0"/>
              <w:rPr>
                <w:sz w:val="20"/>
                <w:szCs w:val="20"/>
                <w:color w:val="auto"/>
              </w:rPr>
            </w:pPr>
            <w:r>
              <w:rPr>
                <w:rFonts w:ascii="Arial" w:cs="Arial" w:eastAsia="Arial" w:hAnsi="Arial"/>
                <w:sz w:val="16"/>
                <w:szCs w:val="16"/>
                <w:color w:val="auto"/>
              </w:rPr>
              <w:t>LNG</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300</w:t>
            </w: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Kambalda</w:t>
            </w:r>
          </w:p>
        </w:tc>
        <w:tc>
          <w:tcPr>
            <w:tcW w:w="14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Gold, lithium</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r>
      <w:tr>
        <w:trPr>
          <w:trHeight w:val="237"/>
        </w:trPr>
        <w:tc>
          <w:tcPr>
            <w:tcW w:w="3220" w:type="dxa"/>
            <w:vAlign w:val="bottom"/>
            <w:gridSpan w:val="2"/>
          </w:tcPr>
          <w:p>
            <w:pPr>
              <w:ind w:left="180"/>
              <w:spacing w:after="0"/>
              <w:rPr>
                <w:sz w:val="20"/>
                <w:szCs w:val="20"/>
                <w:color w:val="auto"/>
              </w:rPr>
            </w:pPr>
            <w:r>
              <w:rPr>
                <w:rFonts w:ascii="Arial" w:cs="Arial" w:eastAsia="Arial" w:hAnsi="Arial"/>
                <w:sz w:val="16"/>
                <w:szCs w:val="16"/>
                <w:color w:val="auto"/>
              </w:rPr>
              <w:t>Karratha</w:t>
            </w:r>
          </w:p>
        </w:tc>
        <w:tc>
          <w:tcPr>
            <w:tcW w:w="1600" w:type="dxa"/>
            <w:vAlign w:val="bottom"/>
            <w:gridSpan w:val="2"/>
          </w:tcPr>
          <w:p>
            <w:pPr>
              <w:ind w:left="160"/>
              <w:spacing w:after="0"/>
              <w:rPr>
                <w:sz w:val="20"/>
                <w:szCs w:val="20"/>
                <w:color w:val="auto"/>
              </w:rPr>
            </w:pPr>
            <w:r>
              <w:rPr>
                <w:rFonts w:ascii="Arial" w:cs="Arial" w:eastAsia="Arial" w:hAnsi="Arial"/>
                <w:sz w:val="16"/>
                <w:szCs w:val="16"/>
                <w:color w:val="auto"/>
              </w:rPr>
              <w:t>Pilbara</w:t>
            </w:r>
          </w:p>
        </w:tc>
        <w:tc>
          <w:tcPr>
            <w:tcW w:w="1960" w:type="dxa"/>
            <w:vAlign w:val="bottom"/>
            <w:gridSpan w:val="2"/>
          </w:tcPr>
          <w:p>
            <w:pPr>
              <w:ind w:left="180"/>
              <w:spacing w:after="0"/>
              <w:rPr>
                <w:sz w:val="20"/>
                <w:szCs w:val="20"/>
                <w:color w:val="auto"/>
              </w:rPr>
            </w:pPr>
            <w:r>
              <w:rPr>
                <w:rFonts w:ascii="Arial" w:cs="Arial" w:eastAsia="Arial" w:hAnsi="Arial"/>
                <w:sz w:val="16"/>
                <w:szCs w:val="16"/>
                <w:color w:val="auto"/>
              </w:rPr>
              <w:t>LNG, iron ore</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298</w:t>
            </w:r>
          </w:p>
        </w:tc>
      </w:tr>
      <w:tr>
        <w:trPr>
          <w:trHeight w:val="33"/>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5"/>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Total Rooms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9,046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9,346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9,346</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4573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182" w:lineRule="exact"/>
        <w:rPr>
          <w:sz w:val="20"/>
          <w:szCs w:val="20"/>
          <w:color w:val="auto"/>
        </w:rPr>
      </w:pPr>
    </w:p>
    <w:p>
      <w:pPr>
        <w:ind w:left="580" w:hanging="437"/>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Sold in September 2019.</w:t>
      </w:r>
    </w:p>
    <w:p>
      <w:pPr>
        <w:spacing w:after="0" w:line="225" w:lineRule="exact"/>
        <w:rPr>
          <w:sz w:val="20"/>
          <w:szCs w:val="20"/>
          <w:color w:val="auto"/>
        </w:rPr>
      </w:pPr>
    </w:p>
    <w:p>
      <w:pPr>
        <w:ind w:right="160" w:firstLine="459"/>
        <w:spacing w:after="0" w:line="302" w:lineRule="auto"/>
        <w:rPr>
          <w:sz w:val="20"/>
          <w:szCs w:val="20"/>
          <w:color w:val="auto"/>
        </w:rPr>
      </w:pPr>
      <w:r>
        <w:rPr>
          <w:rFonts w:ascii="Arial" w:cs="Arial" w:eastAsia="Arial" w:hAnsi="Arial"/>
          <w:sz w:val="16"/>
          <w:szCs w:val="16"/>
          <w:color w:val="auto"/>
        </w:rPr>
        <w:t>Our Australian segment includes nine company-owned villages with 9,046 rooms as of December 31, 2019, which are strategically located near long-lived, low-cost mines operated by large mining companies. Our Australian business provides hospitality services to mining and related service companies under short- and medium-term contracts. Our growth plan for this part of our business continues to include enhanced occupancy and expansion of these properties where we believe there is durable long-term demand, as well as to provide hospitality services at customer-owned assets.</w:t>
      </w:r>
    </w:p>
    <w:p>
      <w:pPr>
        <w:spacing w:after="0" w:line="154" w:lineRule="exact"/>
        <w:rPr>
          <w:sz w:val="20"/>
          <w:szCs w:val="20"/>
          <w:color w:val="auto"/>
        </w:rPr>
      </w:pPr>
    </w:p>
    <w:p>
      <w:pPr>
        <w:jc w:val="both"/>
        <w:ind w:right="240" w:firstLine="459"/>
        <w:spacing w:after="0" w:line="286" w:lineRule="auto"/>
        <w:rPr>
          <w:sz w:val="20"/>
          <w:szCs w:val="20"/>
          <w:color w:val="auto"/>
        </w:rPr>
      </w:pPr>
      <w:r>
        <w:rPr>
          <w:rFonts w:ascii="Arial" w:cs="Arial" w:eastAsia="Arial" w:hAnsi="Arial"/>
          <w:sz w:val="17"/>
          <w:szCs w:val="17"/>
          <w:color w:val="auto"/>
        </w:rPr>
        <w:t>Our Coppabella, Dysart, Moranbah, Middlemount and Nebo villages are located in the Bowen Basin. Coppabella, at over 3,000 rooms, is our largest village and provides rooms and related hospitality services to a variety of customers. Each of these villages supports both operational workforce needs and contractor needs with resort style amenities, including swimming pools, gyms, a walking track and a tavern.</w:t>
      </w:r>
    </w:p>
    <w:p>
      <w:pPr>
        <w:spacing w:after="0" w:line="166" w:lineRule="exact"/>
        <w:rPr>
          <w:sz w:val="20"/>
          <w:szCs w:val="20"/>
          <w:color w:val="auto"/>
        </w:rPr>
      </w:pPr>
    </w:p>
    <w:p>
      <w:pPr>
        <w:ind w:right="200" w:firstLine="459"/>
        <w:spacing w:after="0" w:line="264" w:lineRule="auto"/>
        <w:rPr>
          <w:sz w:val="20"/>
          <w:szCs w:val="20"/>
          <w:color w:val="auto"/>
        </w:rPr>
      </w:pPr>
      <w:r>
        <w:rPr>
          <w:rFonts w:ascii="Arial" w:cs="Arial" w:eastAsia="Arial" w:hAnsi="Arial"/>
          <w:sz w:val="18"/>
          <w:szCs w:val="18"/>
          <w:color w:val="auto"/>
        </w:rPr>
        <w:t>Our Narrabri and Boggabri villages in New South Wales service met and thermal coal mines and coal seam gas in the Gunnedah Basin. Our Karratha village, in Western Australia, services workforces related to LNG facilities operations on the Northwest Shelf. Our Kambalda village supports gold and lithium mining in southern Western Australia.</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20" w:firstLine="459"/>
        <w:spacing w:after="0" w:line="276" w:lineRule="auto"/>
        <w:rPr>
          <w:sz w:val="20"/>
          <w:szCs w:val="20"/>
          <w:color w:val="auto"/>
        </w:rPr>
      </w:pPr>
      <w:r>
        <w:rPr>
          <w:rFonts w:ascii="Arial" w:cs="Arial" w:eastAsia="Arial" w:hAnsi="Arial"/>
          <w:sz w:val="17"/>
          <w:szCs w:val="17"/>
          <w:color w:val="auto"/>
        </w:rPr>
        <w:t>During the year ended December 31, 2019, our U.S. business generated 9% of our revenue. Our U.S. business has operational exposure in the U.S. shale formations in the Permian Basin, the Bakken, the Mid-Continent and the Rockies and offshore Gulf of Mexico markets. The business provides accommodations facilities with hospitality services and highly mobile smaller camps that follow drilling rigs and completion crews as well as accommodations, office and storage modules that are placed on offshore drilling rigs and production platforms. Our U.S. business also provides lodging and hospitality services to the downstream industry through a 300-room facility near Lake Charles, Louisiana.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Market</w:t>
      </w:r>
    </w:p>
    <w:p>
      <w:pPr>
        <w:spacing w:after="0" w:line="225"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color w:val="auto"/>
        </w:rPr>
        <w:t>Onshore oil and natural gas development in the U.S. has historically been supported by local workforces traveling short to moderate distances to the worksites. With the development of substantial resources in regions such as the Bakken and Permian Basin, labor demand has exceeded the local labor supply and accommodations infrastructure to support the demand. Consequently, demand for remote, scalable accommodations and hospitality services has developed in the U.S. over the past several years. Demand for workforce accommodations in the U.S. has historically been tied to the level of oil and natural gas exploration and production activity, which is primarily driven by oil and natural gas prices. Activity levels have been, and we expect will continue to be, highly correlated with hydrocarbon commodity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48985" cy="3293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U.S. Mobile Camps</w:t>
      </w:r>
    </w:p>
    <w:p>
      <w:pPr>
        <w:spacing w:after="0" w:line="225" w:lineRule="exact"/>
        <w:rPr>
          <w:sz w:val="20"/>
          <w:szCs w:val="20"/>
          <w:color w:val="auto"/>
        </w:rPr>
      </w:pPr>
    </w:p>
    <w:p>
      <w:pPr>
        <w:ind w:right="40" w:firstLine="459"/>
        <w:spacing w:after="0" w:line="286" w:lineRule="auto"/>
        <w:rPr>
          <w:sz w:val="20"/>
          <w:szCs w:val="20"/>
          <w:color w:val="auto"/>
        </w:rPr>
      </w:pPr>
      <w:r>
        <w:rPr>
          <w:rFonts w:ascii="Arial" w:cs="Arial" w:eastAsia="Arial" w:hAnsi="Arial"/>
          <w:sz w:val="17"/>
          <w:szCs w:val="17"/>
          <w:color w:val="auto"/>
        </w:rPr>
        <w:t>Our business in the U.S. consists primarily of mobile camps, both in the lower 48 states, including the (1) Permian Basin region, (2) Mid-Continent region, (3) Rocky Mountain corridor, and (4) Bakken region, and in the Gulf of Mexico. We provide a variety of sizes and configurations to meet the needs of E&amp;P companies, completion companies, infrastructure construction projects and offshore drilling and completion activity.</w:t>
      </w:r>
    </w:p>
    <w:p>
      <w:pPr>
        <w:spacing w:after="0" w:line="166" w:lineRule="exact"/>
        <w:rPr>
          <w:sz w:val="20"/>
          <w:szCs w:val="20"/>
          <w:color w:val="auto"/>
        </w:rPr>
      </w:pPr>
    </w:p>
    <w:p>
      <w:pPr>
        <w:ind w:right="100" w:firstLine="459"/>
        <w:spacing w:after="0" w:line="264" w:lineRule="auto"/>
        <w:rPr>
          <w:sz w:val="20"/>
          <w:szCs w:val="20"/>
          <w:color w:val="auto"/>
        </w:rPr>
      </w:pPr>
      <w:r>
        <w:rPr>
          <w:rFonts w:ascii="Arial" w:cs="Arial" w:eastAsia="Arial" w:hAnsi="Arial"/>
          <w:sz w:val="18"/>
          <w:szCs w:val="18"/>
          <w:color w:val="auto"/>
        </w:rPr>
        <w:t>Our mobile camps are rented on a per unit basis based on the number of days that a customer utilizes the asset. In cases where we provide food service or other hospitality services, the contract can provide for per unit pricing or cost-plus pricing. Customers are also typically responsible for mobilization and demobilization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Lodges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w w:val="99"/>
              </w:rPr>
              <w:t>As of December 31,</w:t>
            </w:r>
          </w:p>
        </w:tc>
        <w:tc>
          <w:tcPr>
            <w:tcW w:w="1480" w:type="dxa"/>
            <w:vAlign w:val="bottom"/>
          </w:tcPr>
          <w:p>
            <w:pPr>
              <w:spacing w:after="0"/>
              <w:rPr>
                <w:sz w:val="18"/>
                <w:szCs w:val="18"/>
                <w:color w:val="auto"/>
              </w:rPr>
            </w:pPr>
          </w:p>
        </w:tc>
      </w:tr>
      <w:tr>
        <w:trPr>
          <w:trHeight w:val="270"/>
        </w:trPr>
        <w:tc>
          <w:tcPr>
            <w:tcW w:w="5160" w:type="dxa"/>
            <w:vAlign w:val="bottom"/>
          </w:tcPr>
          <w:p>
            <w:pPr>
              <w:spacing w:after="0"/>
              <w:rPr>
                <w:sz w:val="23"/>
                <w:szCs w:val="23"/>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State</w:t>
            </w:r>
          </w:p>
        </w:tc>
        <w:tc>
          <w:tcPr>
            <w:tcW w:w="15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3"/>
                <w:szCs w:val="23"/>
                <w:color w:val="auto"/>
              </w:rPr>
            </w:pP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3"/>
                <w:szCs w:val="23"/>
                <w:color w:val="auto"/>
              </w:rPr>
            </w:pP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West Permian</w:t>
            </w:r>
          </w:p>
        </w:tc>
        <w:tc>
          <w:tcPr>
            <w:tcW w:w="1600" w:type="dxa"/>
            <w:vAlign w:val="bottom"/>
            <w:tcBorders>
              <w:bottom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TX</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Acadian Acres</w:t>
            </w:r>
          </w:p>
        </w:tc>
        <w:tc>
          <w:tcPr>
            <w:tcW w:w="1600" w:type="dxa"/>
            <w:vAlign w:val="bottom"/>
            <w:gridSpan w:val="2"/>
          </w:tcPr>
          <w:p>
            <w:pPr>
              <w:jc w:val="right"/>
              <w:ind w:right="680"/>
              <w:spacing w:after="0"/>
              <w:rPr>
                <w:sz w:val="20"/>
                <w:szCs w:val="20"/>
                <w:color w:val="auto"/>
              </w:rPr>
            </w:pPr>
            <w:r>
              <w:rPr>
                <w:rFonts w:ascii="Arial" w:cs="Arial" w:eastAsia="Arial" w:hAnsi="Arial"/>
                <w:sz w:val="16"/>
                <w:szCs w:val="16"/>
                <w:color w:val="auto"/>
              </w:rPr>
              <w:t>LA</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Killdeer</w:t>
            </w:r>
          </w:p>
        </w:tc>
        <w:tc>
          <w:tcPr>
            <w:tcW w:w="1600" w:type="dxa"/>
            <w:vAlign w:val="bottom"/>
            <w:tcBorders>
              <w:bottom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ND</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w:t>
            </w: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Total Rooms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945</w:t>
            </w:r>
          </w:p>
        </w:tc>
        <w:tc>
          <w:tcPr>
            <w:tcW w:w="10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1,025</w:t>
            </w:r>
          </w:p>
        </w:tc>
        <w:tc>
          <w:tcPr>
            <w:tcW w:w="10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561</w:t>
            </w: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59"/>
        <w:spacing w:after="0" w:line="264" w:lineRule="auto"/>
        <w:rPr>
          <w:sz w:val="20"/>
          <w:szCs w:val="20"/>
          <w:color w:val="auto"/>
        </w:rPr>
      </w:pPr>
      <w:r>
        <w:rPr>
          <w:rFonts w:ascii="Arial" w:cs="Arial" w:eastAsia="Arial" w:hAnsi="Arial"/>
          <w:sz w:val="18"/>
          <w:szCs w:val="18"/>
          <w:color w:val="auto"/>
        </w:rPr>
        <w:t>We had three lodges in the U.S. comprised of 945 rooms as of December 31, 2019. Our Killdeer Lodge provides rooms to the Bakken Shale region in North Dakota. Our West Permian Lodge supports the Permian Basin in West Texas. Our Acadian Acres Lodge, which we acquired in February 2018, provides rooms near Lake Charles, Louisiana to support the Louisiana downstream 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Modular Construction</w:t>
      </w:r>
    </w:p>
    <w:p>
      <w:pPr>
        <w:spacing w:after="0" w:line="229" w:lineRule="exact"/>
        <w:rPr>
          <w:sz w:val="20"/>
          <w:szCs w:val="20"/>
          <w:color w:val="auto"/>
        </w:rPr>
      </w:pPr>
    </w:p>
    <w:p>
      <w:pPr>
        <w:ind w:firstLine="459"/>
        <w:spacing w:after="0" w:line="254" w:lineRule="auto"/>
        <w:rPr>
          <w:sz w:val="20"/>
          <w:szCs w:val="20"/>
          <w:color w:val="auto"/>
        </w:rPr>
      </w:pPr>
      <w:r>
        <w:rPr>
          <w:rFonts w:ascii="Arial" w:cs="Arial" w:eastAsia="Arial" w:hAnsi="Arial"/>
          <w:sz w:val="18"/>
          <w:szCs w:val="18"/>
          <w:color w:val="auto"/>
        </w:rPr>
        <w:t>The capability of our Canadian business includes the design, engineering, transportation and installation of a variety of modular buildings, predominately for our own use. As of December 31, 2019, we owned one modular construction and manufacturing plant near Edmonton, Alberta, Canada, which is held for sale. During the fourth quarter of 2017, we made the decision to sell this plant due to changing geographic and market needs. In line with our Australian and U.S. strategy, we are now subcontracting modular construction from third-party manufacturers for our Canadian business. In Canada, we continue to retain a staff of experts who have designed and delivered large and small modular construction projects. We are capable of taking highly replicable and well-designed manufactured buildings and our expertise in site layout, combined with site-built components including landscaping, recreational facilities and certain common facilities, to create a comfortable community within a community. We design accommodations facilities to suit the climate, terrain and population of a specific project site.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Relations</w:t>
      </w:r>
    </w:p>
    <w:p>
      <w:pPr>
        <w:spacing w:after="0" w:line="229" w:lineRule="exact"/>
        <w:rPr>
          <w:sz w:val="20"/>
          <w:szCs w:val="20"/>
          <w:color w:val="auto"/>
        </w:rPr>
      </w:pPr>
    </w:p>
    <w:p>
      <w:pPr>
        <w:ind w:right="220" w:firstLine="459"/>
        <w:spacing w:after="0" w:line="255" w:lineRule="auto"/>
        <w:rPr>
          <w:sz w:val="20"/>
          <w:szCs w:val="20"/>
          <w:color w:val="auto"/>
        </w:rPr>
      </w:pPr>
      <w:r>
        <w:rPr>
          <w:rFonts w:ascii="Arial" w:cs="Arial" w:eastAsia="Arial" w:hAnsi="Arial"/>
          <w:sz w:val="18"/>
          <w:szCs w:val="18"/>
          <w:color w:val="auto"/>
        </w:rPr>
        <w:t>With a focus on long-term indigenous community participation, our Canadian operations continue to work closely with a number of First Nations to develop mutually beneficial partnerships focused on revenue sharing, capacity building, employment and community investment and support. For over a decade, our Canadian operations supported Buffalo Metis Catering, a partnership with three Metis communities in the Regional Municipality of Wood Buffalo. Through this partnership, food and housekeeping services were delivered to three of our lodges. Beyond these services, this partnership provided a business incubator environment for a number of Metis business ventures. Our Canadian operations also procure services from a number of other First Nations-owned, Metis-owned and member-owned businesses including water hauling, snow removal and security services. The annual value of these contracts exceeds C$23 million.</w:t>
      </w:r>
    </w:p>
    <w:p>
      <w:pPr>
        <w:spacing w:after="0" w:line="189" w:lineRule="exact"/>
        <w:rPr>
          <w:sz w:val="20"/>
          <w:szCs w:val="20"/>
          <w:color w:val="auto"/>
        </w:rPr>
      </w:pPr>
    </w:p>
    <w:p>
      <w:pPr>
        <w:ind w:right="260" w:firstLine="459"/>
        <w:spacing w:after="0" w:line="302" w:lineRule="auto"/>
        <w:rPr>
          <w:sz w:val="20"/>
          <w:szCs w:val="20"/>
          <w:color w:val="auto"/>
        </w:rPr>
      </w:pPr>
      <w:r>
        <w:rPr>
          <w:rFonts w:ascii="Arial" w:cs="Arial" w:eastAsia="Arial" w:hAnsi="Arial"/>
          <w:sz w:val="16"/>
          <w:szCs w:val="16"/>
          <w:color w:val="auto"/>
        </w:rPr>
        <w:t>Our indigenous partnership initiatives were recognized in 2011 and 2012 with awards from the Alberta Chamber of Commerce. In addition, in 2016, Civeo was awarded a Silver level Progressive Aboriginal Relation (PAR) certification by the Canadian Council for Aboriginal Business (CCAB), demonstrating our commitment to the principles and practices established by the CCAB. In 2019, Civeo was awarded by a jury comprised of indigenous business people a Gold level PAR certification which is supported by an unbiased, independent, third-party verification of our performance.</w:t>
      </w:r>
    </w:p>
    <w:p>
      <w:pPr>
        <w:spacing w:after="0" w:line="181" w:lineRule="exact"/>
        <w:rPr>
          <w:sz w:val="20"/>
          <w:szCs w:val="20"/>
          <w:color w:val="auto"/>
        </w:rPr>
      </w:pPr>
    </w:p>
    <w:p>
      <w:pPr>
        <w:jc w:val="both"/>
        <w:ind w:right="160" w:firstLine="459"/>
        <w:spacing w:after="0" w:line="306" w:lineRule="auto"/>
        <w:rPr>
          <w:sz w:val="20"/>
          <w:szCs w:val="20"/>
          <w:color w:val="auto"/>
        </w:rPr>
      </w:pPr>
      <w:r>
        <w:rPr>
          <w:rFonts w:ascii="Arial" w:cs="Arial" w:eastAsia="Arial" w:hAnsi="Arial"/>
          <w:sz w:val="18"/>
          <w:szCs w:val="18"/>
          <w:color w:val="auto"/>
        </w:rPr>
        <w:t>In 2018, Civeo entered into three new indigenous partnerships in the oil sands region and two new partnerships in British Columbia. Our partnerships in British Columbia are tied to accommodations contracts secured by Civeo for the Kitimat LNG Facility and for the Coastal Gas Link pipeline project that originates in the North Montney region of north east British Columbia. Beyond revenue sharing, these new arrangements provide employment, training, and ancillary business opportunities for indigenous owned businesses.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459"/>
        <w:spacing w:after="0" w:line="255" w:lineRule="auto"/>
        <w:rPr>
          <w:sz w:val="20"/>
          <w:szCs w:val="20"/>
          <w:color w:val="auto"/>
        </w:rPr>
      </w:pPr>
      <w:r>
        <w:rPr>
          <w:rFonts w:ascii="Arial" w:cs="Arial" w:eastAsia="Arial" w:hAnsi="Arial"/>
          <w:sz w:val="18"/>
          <w:szCs w:val="18"/>
          <w:color w:val="auto"/>
        </w:rPr>
        <w:t>In Australia, our community relations program also aims to build and maintain a positive social license to operate by consulting and engaging with local regional communities from project inception, through development, construction and operations. This is a major advantage for our business model, as it facilitates consistent communication, engenders trust and builds relationships to last throughout the resource lifecycle. There is an emphasis on developing partnerships that create a long-term sustainable outcome to address specific community needs. To that end, we partner with local municipalities to improve and expand municipal infrastructure. These improvements provide necessary infrastructure, allowing the local communities an opportunity to expand and improve.</w:t>
      </w:r>
    </w:p>
    <w:p>
      <w:pPr>
        <w:spacing w:after="0" w:line="193" w:lineRule="exact"/>
        <w:rPr>
          <w:sz w:val="20"/>
          <w:szCs w:val="20"/>
          <w:color w:val="auto"/>
        </w:rPr>
      </w:pPr>
    </w:p>
    <w:p>
      <w:pPr>
        <w:ind w:right="260" w:firstLine="486"/>
        <w:spacing w:after="0" w:line="257" w:lineRule="auto"/>
        <w:rPr>
          <w:sz w:val="20"/>
          <w:szCs w:val="20"/>
          <w:color w:val="auto"/>
        </w:rPr>
      </w:pPr>
      <w:r>
        <w:rPr>
          <w:rFonts w:ascii="Arial" w:cs="Arial" w:eastAsia="Arial" w:hAnsi="Arial"/>
          <w:sz w:val="18"/>
          <w:szCs w:val="18"/>
          <w:color w:val="auto"/>
        </w:rPr>
        <w:t>In addition, we have four unincorporated joint venture partnerships with indigenous land owners in Western Australia. These agreements assist to develop the business capacity, project management skills and expertise of the indigenous joint venture members and also provide local employment opportunities and training. Two of the four unincorporated joint venture partnerships entitle indigenous landowners to a profit distribution calculated in accordance with the unincorporated joint venture deeds. The remaining two agreements incentivize the joint venture members via milestone payments for business objectives achieved.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Competitors</w:t>
      </w:r>
    </w:p>
    <w:p>
      <w:pPr>
        <w:spacing w:after="0" w:line="229" w:lineRule="exact"/>
        <w:rPr>
          <w:sz w:val="20"/>
          <w:szCs w:val="20"/>
          <w:color w:val="auto"/>
        </w:rPr>
      </w:pPr>
    </w:p>
    <w:p>
      <w:pPr>
        <w:ind w:right="40" w:firstLine="459"/>
        <w:spacing w:after="0" w:line="279" w:lineRule="auto"/>
        <w:rPr>
          <w:sz w:val="20"/>
          <w:szCs w:val="20"/>
          <w:color w:val="auto"/>
        </w:rPr>
      </w:pPr>
      <w:r>
        <w:rPr>
          <w:rFonts w:ascii="Arial" w:cs="Arial" w:eastAsia="Arial" w:hAnsi="Arial"/>
          <w:sz w:val="17"/>
          <w:szCs w:val="17"/>
          <w:color w:val="auto"/>
        </w:rPr>
        <w:t>Our customers primarily operate in oil sands mining and development, drilling, exploration and extraction of oil and natural gas and coal and other extractive industries. To a lesser extent, we also support other activities, including pipeline construction, forestry and humanitarian aid. Our largest customers in 2019 were Imperial Oil Limited (a company controlled by ExxonMobil Corporation) and Fort Hills Energy LP (a partnership between Suncor Energy Inc., Total E&amp;P Canada Ltd and Teck Resources Limited) who each accounted for more than 10% of our 2019 revenues.</w:t>
      </w:r>
    </w:p>
    <w:p>
      <w:pPr>
        <w:spacing w:after="0" w:line="171" w:lineRule="exact"/>
        <w:rPr>
          <w:sz w:val="20"/>
          <w:szCs w:val="20"/>
          <w:color w:val="auto"/>
        </w:rPr>
      </w:pPr>
    </w:p>
    <w:p>
      <w:pPr>
        <w:ind w:right="100" w:firstLine="459"/>
        <w:spacing w:after="0" w:line="259" w:lineRule="auto"/>
        <w:rPr>
          <w:sz w:val="20"/>
          <w:szCs w:val="20"/>
          <w:color w:val="auto"/>
        </w:rPr>
      </w:pPr>
      <w:r>
        <w:rPr>
          <w:rFonts w:ascii="Arial" w:cs="Arial" w:eastAsia="Arial" w:hAnsi="Arial"/>
          <w:sz w:val="18"/>
          <w:szCs w:val="18"/>
          <w:color w:val="auto"/>
        </w:rPr>
        <w:t>Our primary competitors in Canada in lodge and mobile camp hospitality services include ATCO, Black Diamond, Horizon North and Clean Harbors, Inc. Some of these competitors have one or two locations similar to our oil sands lodges; however, based on our estimates, these competitors do not have the breadth or scale of our lodge operations. In Canada, we also compete against Aramark and Compass Group for third-party facility management and hospitality services.</w:t>
      </w:r>
    </w:p>
    <w:p>
      <w:pPr>
        <w:spacing w:after="0" w:line="187" w:lineRule="exact"/>
        <w:rPr>
          <w:sz w:val="20"/>
          <w:szCs w:val="20"/>
          <w:color w:val="auto"/>
        </w:rPr>
      </w:pPr>
    </w:p>
    <w:p>
      <w:pPr>
        <w:ind w:right="540" w:firstLine="459"/>
        <w:spacing w:after="0" w:line="264" w:lineRule="auto"/>
        <w:rPr>
          <w:sz w:val="20"/>
          <w:szCs w:val="20"/>
          <w:color w:val="auto"/>
        </w:rPr>
      </w:pPr>
      <w:r>
        <w:rPr>
          <w:rFonts w:ascii="Arial" w:cs="Arial" w:eastAsia="Arial" w:hAnsi="Arial"/>
          <w:sz w:val="18"/>
          <w:szCs w:val="18"/>
          <w:color w:val="auto"/>
        </w:rPr>
        <w:t>Our primary competitors in Australia for our village hospitality services are customer-owned and operated villages as well as Ausco Modular (a subsidiary of Algeco Group) and Fleetwood Corporation. We also compete against Sodexo, Compass Group and Cater Care for third-party facility management services.</w:t>
      </w:r>
    </w:p>
    <w:p>
      <w:pPr>
        <w:spacing w:after="0" w:line="181" w:lineRule="exact"/>
        <w:rPr>
          <w:sz w:val="20"/>
          <w:szCs w:val="20"/>
          <w:color w:val="auto"/>
        </w:rPr>
      </w:pPr>
    </w:p>
    <w:p>
      <w:pPr>
        <w:ind w:right="120" w:firstLine="459"/>
        <w:spacing w:after="0" w:line="342" w:lineRule="auto"/>
        <w:rPr>
          <w:sz w:val="20"/>
          <w:szCs w:val="20"/>
          <w:color w:val="auto"/>
        </w:rPr>
      </w:pPr>
      <w:r>
        <w:rPr>
          <w:rFonts w:ascii="Arial" w:cs="Arial" w:eastAsia="Arial" w:hAnsi="Arial"/>
          <w:sz w:val="16"/>
          <w:szCs w:val="16"/>
          <w:color w:val="auto"/>
        </w:rPr>
        <w:t>In the U.S., we primarily offer our lodge and mobile camp hospitality services and compete against Peak Oilfield Services (a subsidiary of Select Energy Services), Stallion Oilfield Holdings, Inc., Target Hospitality, HB Rentals (a subsidiary of Superior Energy Services), Oil Patch and Black Diamond.</w:t>
      </w:r>
    </w:p>
    <w:p>
      <w:pPr>
        <w:spacing w:after="0" w:line="124" w:lineRule="exact"/>
        <w:rPr>
          <w:sz w:val="20"/>
          <w:szCs w:val="20"/>
          <w:color w:val="auto"/>
        </w:rPr>
      </w:pPr>
    </w:p>
    <w:p>
      <w:pPr>
        <w:ind w:right="180" w:firstLine="459"/>
        <w:spacing w:after="0" w:line="277" w:lineRule="auto"/>
        <w:rPr>
          <w:sz w:val="20"/>
          <w:szCs w:val="20"/>
          <w:color w:val="auto"/>
        </w:rPr>
      </w:pPr>
      <w:r>
        <w:rPr>
          <w:rFonts w:ascii="Arial" w:cs="Arial" w:eastAsia="Arial" w:hAnsi="Arial"/>
          <w:sz w:val="18"/>
          <w:szCs w:val="18"/>
          <w:color w:val="auto"/>
        </w:rPr>
        <w:t>Historically, many customers have invested in their own accommodations. We estimate that our existing and potential customers own approximately 50% of the rooms available in the Canadian oil sands and 50% of the rooms in the Australian coal mining regions.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Lodge and Village Contracts</w:t>
      </w:r>
    </w:p>
    <w:p>
      <w:pPr>
        <w:spacing w:after="0" w:line="229" w:lineRule="exact"/>
        <w:rPr>
          <w:sz w:val="20"/>
          <w:szCs w:val="20"/>
          <w:color w:val="auto"/>
        </w:rPr>
      </w:pPr>
    </w:p>
    <w:p>
      <w:pPr>
        <w:ind w:firstLine="459"/>
        <w:spacing w:after="0" w:line="253" w:lineRule="auto"/>
        <w:rPr>
          <w:sz w:val="20"/>
          <w:szCs w:val="20"/>
          <w:color w:val="auto"/>
        </w:rPr>
      </w:pPr>
      <w:r>
        <w:rPr>
          <w:rFonts w:ascii="Arial" w:cs="Arial" w:eastAsia="Arial" w:hAnsi="Arial"/>
          <w:sz w:val="18"/>
          <w:szCs w:val="18"/>
          <w:color w:val="auto"/>
        </w:rPr>
        <w:t>During the year ended December 31, 2019, revenues from our lodges and villages represented over 80% of our consolidated revenues. Our customers typically contract for hospitality services under take-or-pay or exclusivity contracts with terms that most often range from several months to three years. Our contract terms generally provide for a rental rate for a reserved room and an occupied room rate that compensates us for hospitality services, including meals, housekeeping, utilities and maintenance for workers staying in the lodges and villages. In multi-year contracts, our rates typically have annual contractual escalation provisions to cover expected increases in labor and consumables costs over the contract term. Over the term of a take-or-pay contract, the customer commits to either a minimum number of rooms over a specified period or an aggregate number of room nights over the period. Over the term of an exclusivity contract, rather than receiving a minimum room commitment, we are the exclusive hospitality service provider for the customer's employees working on a specific project or projects. In some contracts, customers have a contractual right to terminate rooms, for reasons other than a breach, in exchange for a termination fee. As of December 31, 2019, we had commitments for 25% of our rentable rooms for 2020 and 10% of our rentable rooms for 2021.</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2019, we had 6,567 rooms under contract. The table below details the expiration of those contracts:</w:t>
      </w:r>
    </w:p>
    <w:p>
      <w:pPr>
        <w:spacing w:after="0" w:line="172" w:lineRule="exact"/>
        <w:rPr>
          <w:sz w:val="20"/>
          <w:szCs w:val="20"/>
          <w:color w:val="auto"/>
        </w:rPr>
      </w:pPr>
    </w:p>
    <w:tbl>
      <w:tblPr>
        <w:tblLayout w:type="fixed"/>
        <w:tblInd w:w="344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Contracted Room</w:t>
            </w:r>
          </w:p>
        </w:tc>
      </w:tr>
      <w:tr>
        <w:trPr>
          <w:trHeight w:val="210"/>
        </w:trPr>
        <w:tc>
          <w:tcPr>
            <w:tcW w:w="3100" w:type="dxa"/>
            <w:vAlign w:val="bottom"/>
          </w:tcPr>
          <w:p>
            <w:pPr>
              <w:spacing w:after="0"/>
              <w:rPr>
                <w:sz w:val="18"/>
                <w:szCs w:val="18"/>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Expiration</w:t>
            </w:r>
          </w:p>
        </w:tc>
      </w:tr>
      <w:tr>
        <w:trPr>
          <w:trHeight w:val="33"/>
        </w:trPr>
        <w:tc>
          <w:tcPr>
            <w:tcW w:w="3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2,831</w:t>
            </w:r>
          </w:p>
        </w:tc>
      </w:tr>
      <w:tr>
        <w:trPr>
          <w:trHeight w:val="224"/>
        </w:trPr>
        <w:tc>
          <w:tcPr>
            <w:tcW w:w="3100" w:type="dxa"/>
            <w:vAlign w:val="bottom"/>
          </w:tcPr>
          <w:p>
            <w:pPr>
              <w:ind w:left="20"/>
              <w:spacing w:after="0"/>
              <w:rPr>
                <w:sz w:val="20"/>
                <w:szCs w:val="20"/>
                <w:color w:val="auto"/>
              </w:rPr>
            </w:pPr>
            <w:r>
              <w:rPr>
                <w:rFonts w:ascii="Arial" w:cs="Arial" w:eastAsia="Arial" w:hAnsi="Arial"/>
                <w:sz w:val="16"/>
                <w:szCs w:val="16"/>
                <w:color w:val="auto"/>
              </w:rPr>
              <w:t>2021</w:t>
            </w:r>
          </w:p>
        </w:tc>
        <w:tc>
          <w:tcPr>
            <w:tcW w:w="1460" w:type="dxa"/>
            <w:vAlign w:val="bottom"/>
          </w:tcPr>
          <w:p>
            <w:pPr>
              <w:jc w:val="right"/>
              <w:spacing w:after="0"/>
              <w:rPr>
                <w:sz w:val="20"/>
                <w:szCs w:val="20"/>
                <w:color w:val="auto"/>
              </w:rPr>
            </w:pPr>
            <w:r>
              <w:rPr>
                <w:rFonts w:ascii="Arial" w:cs="Arial" w:eastAsia="Arial" w:hAnsi="Arial"/>
                <w:sz w:val="16"/>
                <w:szCs w:val="16"/>
                <w:color w:val="auto"/>
              </w:rPr>
              <w:t>2,536</w:t>
            </w:r>
          </w:p>
        </w:tc>
      </w:tr>
      <w:tr>
        <w:trPr>
          <w:trHeight w:val="33"/>
        </w:trPr>
        <w:tc>
          <w:tcPr>
            <w:tcW w:w="3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24"/>
        </w:trPr>
        <w:tc>
          <w:tcPr>
            <w:tcW w:w="3100" w:type="dxa"/>
            <w:vAlign w:val="bottom"/>
          </w:tcPr>
          <w:p>
            <w:pPr>
              <w:ind w:left="20"/>
              <w:spacing w:after="0"/>
              <w:rPr>
                <w:sz w:val="20"/>
                <w:szCs w:val="20"/>
                <w:color w:val="auto"/>
              </w:rPr>
            </w:pPr>
            <w:r>
              <w:rPr>
                <w:rFonts w:ascii="Arial" w:cs="Arial" w:eastAsia="Arial" w:hAnsi="Arial"/>
                <w:sz w:val="16"/>
                <w:szCs w:val="16"/>
                <w:color w:val="auto"/>
              </w:rPr>
              <w:t>2023</w:t>
            </w:r>
          </w:p>
        </w:tc>
        <w:tc>
          <w:tcPr>
            <w:tcW w:w="1460" w:type="dxa"/>
            <w:vAlign w:val="bottom"/>
          </w:tcPr>
          <w:p>
            <w:pPr>
              <w:jc w:val="right"/>
              <w:spacing w:after="0"/>
              <w:rPr>
                <w:sz w:val="20"/>
                <w:szCs w:val="20"/>
                <w:color w:val="auto"/>
              </w:rPr>
            </w:pPr>
            <w:r>
              <w:rPr>
                <w:rFonts w:ascii="Arial" w:cs="Arial" w:eastAsia="Arial" w:hAnsi="Arial"/>
                <w:sz w:val="16"/>
                <w:szCs w:val="16"/>
                <w:color w:val="auto"/>
              </w:rPr>
              <w:t>890</w:t>
            </w:r>
          </w:p>
        </w:tc>
      </w:tr>
      <w:tr>
        <w:trPr>
          <w:trHeight w:val="33"/>
        </w:trPr>
        <w:tc>
          <w:tcPr>
            <w:tcW w:w="3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31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5"/>
        </w:trPr>
        <w:tc>
          <w:tcPr>
            <w:tcW w:w="3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6,567</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900" w:firstLine="459"/>
        <w:spacing w:after="0" w:line="308" w:lineRule="auto"/>
        <w:rPr>
          <w:sz w:val="20"/>
          <w:szCs w:val="20"/>
          <w:color w:val="auto"/>
        </w:rPr>
      </w:pPr>
      <w:r>
        <w:rPr>
          <w:rFonts w:ascii="Arial" w:cs="Arial" w:eastAsia="Arial" w:hAnsi="Arial"/>
          <w:sz w:val="17"/>
          <w:szCs w:val="17"/>
          <w:color w:val="auto"/>
        </w:rPr>
        <w:t>The contracts expire throughout the year, and for many of the near-term expirations, we are in the process of negotiating extensions or new commitments. We cannot assure that we can renew existing contracts or obtain new business on the same or better terms, if at all.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of Operations</w:t>
      </w:r>
    </w:p>
    <w:p>
      <w:pPr>
        <w:spacing w:after="0" w:line="229" w:lineRule="exact"/>
        <w:rPr>
          <w:sz w:val="20"/>
          <w:szCs w:val="20"/>
          <w:color w:val="auto"/>
        </w:rPr>
      </w:pPr>
    </w:p>
    <w:p>
      <w:pPr>
        <w:ind w:right="40" w:firstLine="459"/>
        <w:spacing w:after="0" w:line="271" w:lineRule="auto"/>
        <w:rPr>
          <w:sz w:val="20"/>
          <w:szCs w:val="20"/>
          <w:color w:val="auto"/>
        </w:rPr>
      </w:pPr>
      <w:r>
        <w:rPr>
          <w:rFonts w:ascii="Arial" w:cs="Arial" w:eastAsia="Arial" w:hAnsi="Arial"/>
          <w:sz w:val="17"/>
          <w:szCs w:val="17"/>
          <w:color w:val="auto"/>
        </w:rPr>
        <w:t>Our operations are directly affected by seasonal weather. A portion of our Canadian operations is conducted during the winter months when the winter freeze in remote regions is required for customers’ activity to occur. The spring thaw in these frontier regions restricts operations in the second quarter and adversely affects our operations and our ability to provide services. Customers’ maintenance activities in the oil sands region, such as shutdown and turnaround activity, are typically performed in the second and third quarters annually. Our Canadian operations have also been impacted by forest fires and flooding in the past five years. During the Australian rainy season between November and April, our operations in Queensland and the northern parts of Western Australia can be affected by cyclones, monsoons and resultant flooding. In the U.S., winter weather in the first quarter and the resulting spring break up in the second quarter have historically negatively impacted our Bakken and Rocky Mountain operations. Our U.S. offshore operations have historically been impacted by the Gulf of Mexico hurricane season from July through November.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80" w:firstLine="459"/>
        <w:spacing w:after="0" w:line="312" w:lineRule="auto"/>
        <w:rPr>
          <w:sz w:val="20"/>
          <w:szCs w:val="20"/>
          <w:color w:val="auto"/>
        </w:rPr>
      </w:pPr>
      <w:r>
        <w:rPr>
          <w:rFonts w:ascii="Arial" w:cs="Arial" w:eastAsia="Arial" w:hAnsi="Arial"/>
          <w:sz w:val="16"/>
          <w:szCs w:val="16"/>
          <w:color w:val="auto"/>
        </w:rPr>
        <w:t>As of December 31, 2019, we had approximately 950 full-time employees and approximately 1,500 hourly employees on a consolidated basis, 61% of whom are located in Canada, 32% of whom are located in Australia and 7% of whom are located in the U.S. We were party to collective bargaining agreements covering approximately 1,200 employees located in Canada and 550 employees located in Australia as of December 31,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100" w:firstLine="459"/>
        <w:spacing w:after="0" w:line="259" w:lineRule="auto"/>
        <w:rPr>
          <w:sz w:val="20"/>
          <w:szCs w:val="20"/>
          <w:color w:val="auto"/>
        </w:rPr>
      </w:pPr>
      <w:r>
        <w:rPr>
          <w:rFonts w:ascii="Arial" w:cs="Arial" w:eastAsia="Arial" w:hAnsi="Arial"/>
          <w:sz w:val="18"/>
          <w:szCs w:val="18"/>
          <w:color w:val="auto"/>
        </w:rPr>
        <w:t>Our business is significantly affected by Canadian, Australian and U.S. laws and regulations at the federal, provincial, state and local levels relating to the oil, natural gas and mining industries, worker safety and environmental protection. Changes in these laws, including more stringent regulations and increased levels of enforcement of these laws and regulations, and the development of new laws and regulations could significantly affect our business and result in:</w:t>
      </w:r>
    </w:p>
    <w:p>
      <w:pPr>
        <w:spacing w:after="0" w:line="187"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compliance costs or additional operating restrictions associated with our operations or our customers’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increased costs to our business or our customers’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demand for oil, natural gas, and other natural resources that our customers produce;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demand for our services.</w:t>
      </w:r>
    </w:p>
    <w:p>
      <w:pPr>
        <w:spacing w:after="0" w:line="225" w:lineRule="exact"/>
        <w:rPr>
          <w:sz w:val="20"/>
          <w:szCs w:val="20"/>
          <w:color w:val="auto"/>
        </w:rPr>
      </w:pPr>
    </w:p>
    <w:p>
      <w:pPr>
        <w:ind w:firstLine="459"/>
        <w:spacing w:after="0" w:line="297" w:lineRule="auto"/>
        <w:rPr>
          <w:sz w:val="20"/>
          <w:szCs w:val="20"/>
          <w:color w:val="auto"/>
        </w:rPr>
      </w:pPr>
      <w:r>
        <w:rPr>
          <w:rFonts w:ascii="Arial" w:cs="Arial" w:eastAsia="Arial" w:hAnsi="Arial"/>
          <w:sz w:val="16"/>
          <w:szCs w:val="16"/>
          <w:color w:val="auto"/>
        </w:rPr>
        <w:t>To the extent that these laws and regulations impose more stringent requirements or increased costs or delays upon our customers in the performance of their operations, the resulting demand for our services by those customers may be adversely affected, which impact could be significant and long-lasting. Moreover, climate change laws or regulations could increase the cost of consuming, and thereby reduce demand for, oil and natural gas, which could reduce our customers’ demand for our services. We cannot predict changes in the level of enforcement of existing laws and regulations, how these laws and regulations may be interpreted or the effect changes in these laws and regulations may have on us or our customers or on our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future operations or earnings. We also are not able to predict the extent to which new laws and regulations will be adopted or whether such new laws and regulations may impose more stringent or costly restrictions on our customers or our operations.</w:t>
      </w:r>
    </w:p>
    <w:p>
      <w:pPr>
        <w:spacing w:after="0" w:line="170" w:lineRule="exact"/>
        <w:rPr>
          <w:sz w:val="20"/>
          <w:szCs w:val="20"/>
          <w:color w:val="auto"/>
        </w:rPr>
      </w:pPr>
    </w:p>
    <w:p>
      <w:pPr>
        <w:ind w:right="60" w:firstLine="459"/>
        <w:spacing w:after="0" w:line="288" w:lineRule="auto"/>
        <w:rPr>
          <w:sz w:val="20"/>
          <w:szCs w:val="20"/>
          <w:color w:val="auto"/>
        </w:rPr>
      </w:pPr>
      <w:r>
        <w:rPr>
          <w:rFonts w:ascii="Arial" w:cs="Arial" w:eastAsia="Arial" w:hAnsi="Arial"/>
          <w:sz w:val="16"/>
          <w:szCs w:val="16"/>
          <w:color w:val="auto"/>
        </w:rPr>
        <w:t>Our operations and the operations of our customers are subject to numerous stringent and comprehensive foreign, federal, provincial, state and local environmental laws and regulations governing the release or discharge of materials into the environment or otherwise relating to environmental protection. Numerous governmental agencies issue regulations to implement and enforce these laws, for which compliance is often costly yet critical. The violation of these laws and regulations may result in the denial or revocation of permits, issuance of corrective action orders, modification or cessation of operations, assessment of administrative and civil penalties, and even criminal prosecution. We believe that we are in substantial compliance with existing environmental laws and regulations and we do not anticipate that future compliance with existing environmental laws and regulations will have a material effect on our financial condition, results of operations or cash flows. However, there can be no assurance that substantial costs for compliance or penalties for non-compliance with these existing requirements will not be incurred in the future by us or our customers. Moreover, it is possible that other developments, such as the adoption of stricter environmental laws, regulations and enforcement policies or more stringent enforcement of existing environmental laws and regulations, could result in additional costs or liabilities upon us or our customers that we cannot currently quantify.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Environmental Regulations</w:t>
      </w:r>
    </w:p>
    <w:p>
      <w:pPr>
        <w:spacing w:after="0" w:line="22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Canada, the federal and provincial governments both have jurisdiction to regulate environmental matters. The provincial governments may also devolve jurisdiction over environmental matters to local governments. Our activities, or those of our customers, may be subject to environmental regulations imposed by these three levels of government. The following addresses updates to Canadian environmental regulations in 2019 that may affect us or our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Quality Management</w:t>
      </w:r>
    </w:p>
    <w:p>
      <w:pPr>
        <w:spacing w:after="0" w:line="225"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Government of Alberta (Alberta), the Government of British Columbia (British Columbia) and the Government of Canada (Canada) each have frameworks for air quality management that may affect us and our customers.</w:t>
      </w:r>
    </w:p>
    <w:p>
      <w:pPr>
        <w:spacing w:after="0" w:line="17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 xml:space="preserve">At the federal level, the </w:t>
      </w:r>
      <w:r>
        <w:rPr>
          <w:rFonts w:ascii="Arial" w:cs="Arial" w:eastAsia="Arial" w:hAnsi="Arial"/>
          <w:sz w:val="18"/>
          <w:szCs w:val="18"/>
          <w:i w:val="1"/>
          <w:iCs w:val="1"/>
          <w:color w:val="auto"/>
        </w:rPr>
        <w:t>Multi-Sector Air Pollutants Regulations</w:t>
      </w:r>
      <w:r>
        <w:rPr>
          <w:rFonts w:ascii="Arial" w:cs="Arial" w:eastAsia="Arial" w:hAnsi="Arial"/>
          <w:sz w:val="18"/>
          <w:szCs w:val="18"/>
          <w:color w:val="auto"/>
        </w:rPr>
        <w:t xml:space="preserve"> impose mandatory air emissions standards that limit the amount of nitrogen oxides and sulfur dioxides that can be emitted from certain boilers, heaters and gaseous-fuel-fired engines used in industrial facilities as well as from cement kilns. These regulations may impact emission performance standards for compressors and boilers used by our customers in conventional and steam assisted gravity operations in the oil sands and may affect our customers’ operations.</w:t>
      </w:r>
    </w:p>
    <w:p>
      <w:pPr>
        <w:spacing w:after="0" w:line="187"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 addition to federal requirements, emissions from facilities in Alberta are subject to provincial regulation. The Alberta Energy Regulator (AER), which is responsible for regulating upstream oil and gas activity in Alberta, oversees compliance with Directive 60. This Directive requires operators to eliminate or reduce flaring associated with a wide variety of energy development activities and operations. In December 2018, the AER finalized amendments to its Directive 60 and Directive 17 as part of its role in implementing commitments from the Alberta government to reduce methane emissions from upstream oil and gas operations by 45 per cent by 2025. These requirements, among other things, set limits on methane emissions from various facilities and require annual reporting of such emissions to the AER, with the first such report covering the 2019 calendar year and coming due on June 1, 2020. Meeting these regulatory requirements may result in additional costs or liabilities for our customers’ operations.</w:t>
      </w:r>
    </w:p>
    <w:p>
      <w:pPr>
        <w:spacing w:after="0" w:line="17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Similarly, emissions from facilities in British Columbia are also subject to provincial regulation. The British Columbia Oil and Gas Commission (BCOGC) is responsible for regulating oil and gas activity in British Columbia. BCOGC oversees compliance with the Drilling and Production Regulation, among others. Effective January 1, 2020 that Regulation was amended to require operators to eliminate or reduce natural gas leaking or venting associated with a wide variety of equipment and activities in energy development. Under this Regulation, new requirements are imposed for facilities detecting leaks and inspecting seals as well as restrictions or prohibitions on the types of equipment used for energy development. Meeting these regulatory requirements may result in additional costs or liabilities for our customers’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Regulation</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Scientific studies have suggested that emissions of greenhouse gases (GHG), including carbon dioxide and methane, may be contributing to warming of the Earth’s atmosphere and other climatic changes. On January 29, 2010, Canada affirmed its desire to be associated with the Copenhagen Accord that was negotiated in December 2009 as part of the international meetings on climate change regulation in Copenhagen. The Copenhagen Accord, which is not legally binding, allows countries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to commit to specific efforts to reduce GHG emissions, although how and when the commitments may be converted into binding emission reduction obligations, if ever, is currently uncertain. Pursuant to the Copenhagen Accord process, Canada has indicated an economy-wide GHG emissions target that equates to a 17 percent reduction from 2005 levels by 2020, and the former Canadian Conservative federal government indicated an objective of reducing overall Canadian GHG emissions by 60 percent to 70 percent from 2006 levels by 2050. However, it is expected that the Canadian Government will announce in 2020 that Canada did not meet its commitments under the Copenhagen Accord. As a result, it is possible that Canada may introduce policy or regulatory measures to strengthen its efforts to reduce GHG emissions. Any such policy or regulatory measures may adversely affect our operations and financial results as well as those of our customers with whom we conduct business.</w:t>
      </w:r>
    </w:p>
    <w:p>
      <w:pPr>
        <w:spacing w:after="0" w:line="178"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In December 2015, 195 nations, including Canada, Australia, and the U.S., adopted the Paris Agreement at the 21st “Conference of the Parties” (COP 21). The Paris Agreement does not set legally binding emission reduction targets but does set a goal of limiting global temperature increases to less than 2° Celsius. Canada announced that it is in favor of the decision of the COP 21 to endeavor to take action to further limit global temperature increases to less than 1.5° Celsius. The Paris Agreement also requires parties to submit Intended Nationally Determined Contributions (INDCs) which set out their emission reduction targets and to renew these INDCs, with the goal of increasing the reductions, every five years. The Paris Agreement does not legally bind the parties to reach their INDCs, nor does it prescribe the measures it must take to achieve them. These measures are left to each participating nation. In September 2016, the new federal government confirmed that it would not commit to a more ambitious INDC than the preceding Conservative federal government. The government maintained this approach in 2017 revisions to Canada’s INDC submission taking into account the federal Pan-Canadian Framework on Clean Growth and Climate Change (PCF) adopted in 2016.</w:t>
      </w:r>
    </w:p>
    <w:p>
      <w:pPr>
        <w:spacing w:after="0" w:line="182"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 xml:space="preserve">In March 2016, Canada and the Government of the United States jointly announced their intention to take action to reduce methane emissions from the oil and gas sector in an effort to meet their respective INDCs pursuant to the Paris Agreement. For its part, Canada announced its intention to reduce methane emissions from the oil and gas sector by 40-45 percent below 2012 levels by 2025. In 2018, the government introduced the </w:t>
      </w:r>
      <w:r>
        <w:rPr>
          <w:rFonts w:ascii="Arial" w:cs="Arial" w:eastAsia="Arial" w:hAnsi="Arial"/>
          <w:sz w:val="17"/>
          <w:szCs w:val="17"/>
          <w:i w:val="1"/>
          <w:iCs w:val="1"/>
          <w:color w:val="auto"/>
        </w:rPr>
        <w:t>Regulations Respecting Reduction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 the Release of Methane and Certain Volatile Organic Compounds (Upstream Oil and Gas Sector) </w:t>
      </w:r>
      <w:r>
        <w:rPr>
          <w:rFonts w:ascii="Arial" w:cs="Arial" w:eastAsia="Arial" w:hAnsi="Arial"/>
          <w:sz w:val="17"/>
          <w:szCs w:val="17"/>
          <w:color w:val="auto"/>
        </w:rPr>
        <w:t>(“Federal Methane Regulations”) to implement its</w:t>
      </w:r>
      <w:r>
        <w:rPr>
          <w:rFonts w:ascii="Arial" w:cs="Arial" w:eastAsia="Arial" w:hAnsi="Arial"/>
          <w:sz w:val="17"/>
          <w:szCs w:val="17"/>
          <w:i w:val="1"/>
          <w:iCs w:val="1"/>
          <w:color w:val="auto"/>
        </w:rPr>
        <w:t xml:space="preserve"> </w:t>
      </w:r>
      <w:r>
        <w:rPr>
          <w:rFonts w:ascii="Arial" w:cs="Arial" w:eastAsia="Arial" w:hAnsi="Arial"/>
          <w:sz w:val="17"/>
          <w:szCs w:val="17"/>
          <w:color w:val="auto"/>
        </w:rPr>
        <w:t>methane commitment. The Federal Methane Regulations impose various quantity-based limits on the venting of natural gas (or in the case of well completions involving hydraulic fracturing, a ban on such venting) and include associated conservation, measurement, inspection and corrective action requirements. Certain requirements of the Federal Methane Regulations came into effect January 1, 2020, with others deferred until January 1, 2023. These requirements may result in additional costs or liabilities for our customers’ operations.</w:t>
      </w:r>
    </w:p>
    <w:p>
      <w:pPr>
        <w:spacing w:after="0" w:line="17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 xml:space="preserve">In March 2016, as a further effort to meet Canada’s INDC, representatives of the federal and the majority of provincial governments committed to imposing a price on carbon pollution, beginning at $10 per tonne in 2018 and increasing at a rate of $10 annually to $50 per tonne in 2022. To implement its INDC and PCF commitments, the federal government introduced the </w:t>
      </w:r>
      <w:r>
        <w:rPr>
          <w:rFonts w:ascii="Arial" w:cs="Arial" w:eastAsia="Arial" w:hAnsi="Arial"/>
          <w:sz w:val="18"/>
          <w:szCs w:val="18"/>
          <w:i w:val="1"/>
          <w:iCs w:val="1"/>
          <w:color w:val="auto"/>
        </w:rPr>
        <w:t>Greenhouse Gas Pollution Pricing Act</w:t>
      </w:r>
      <w:r>
        <w:rPr>
          <w:rFonts w:ascii="Arial" w:cs="Arial" w:eastAsia="Arial" w:hAnsi="Arial"/>
          <w:sz w:val="18"/>
          <w:szCs w:val="18"/>
          <w:color w:val="auto"/>
        </w:rPr>
        <w:t>, which as of its assent in June 2018 implements a federal legislative carbon pricing “backstop”. This applies a benchmark carbon price in any province that does not establish an equivalent framework at or above the benchmark level. This allows GHG regulation to take place at the provincial level, where provinces may choose between an explicit price-based system (as exists in British Columbia) or a cap-and-trade system (as exists in Quebec). The federal backstop is only being applied to provinces in which no equivalent framework is in place.</w:t>
      </w:r>
    </w:p>
    <w:p>
      <w:pPr>
        <w:spacing w:after="0" w:line="189"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 xml:space="preserve">In Alberta, the previous government's Climate Leadership Plan (CLP), was launched in November 2015. This framework was approved as meeting the PCF benchmark and exempting Alberta from the federal backstop. Among other things, the CLP proposed a framework for managing GHG emissions by reducing specified gas emissions, relative to total production from facilities that emit over 100,000 tons of carbon dioxide equivalent per year. The details of this framework were set out in legislation and regulations issued after the CLP. The previous Alberta government then passed the </w:t>
      </w:r>
      <w:r>
        <w:rPr>
          <w:rFonts w:ascii="Arial" w:cs="Arial" w:eastAsia="Arial" w:hAnsi="Arial"/>
          <w:sz w:val="18"/>
          <w:szCs w:val="18"/>
          <w:i w:val="1"/>
          <w:iCs w:val="1"/>
          <w:color w:val="auto"/>
        </w:rPr>
        <w:t>Climate Leadership Act</w:t>
      </w:r>
      <w:r>
        <w:rPr>
          <w:rFonts w:ascii="Arial" w:cs="Arial" w:eastAsia="Arial" w:hAnsi="Arial"/>
          <w:sz w:val="18"/>
          <w:szCs w:val="18"/>
          <w:color w:val="auto"/>
        </w:rPr>
        <w:t xml:space="preserve">, implementing the broad economy-wide levy on GHG emissions, subject to limited exceptions as well as the </w:t>
      </w:r>
      <w:r>
        <w:rPr>
          <w:rFonts w:ascii="Arial" w:cs="Arial" w:eastAsia="Arial" w:hAnsi="Arial"/>
          <w:sz w:val="18"/>
          <w:szCs w:val="18"/>
          <w:i w:val="1"/>
          <w:iCs w:val="1"/>
          <w:color w:val="auto"/>
        </w:rPr>
        <w:t>Oil Sands Emissions Limit Act</w:t>
      </w:r>
      <w:r>
        <w:rPr>
          <w:rFonts w:ascii="Arial" w:cs="Arial" w:eastAsia="Arial" w:hAnsi="Arial"/>
          <w:sz w:val="18"/>
          <w:szCs w:val="18"/>
          <w:color w:val="auto"/>
        </w:rPr>
        <w:t>, which imposes a 100 megaton annual limit on GHG emissions from oil sands sites. The CLP also targeted the phasing out of coal-generated electricity (or the emissions therefrom) by 2030.</w:t>
      </w:r>
    </w:p>
    <w:p>
      <w:pPr>
        <w:spacing w:after="0" w:line="189"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 xml:space="preserve">In addition, the previous government issued the </w:t>
      </w:r>
      <w:r>
        <w:rPr>
          <w:rFonts w:ascii="Arial" w:cs="Arial" w:eastAsia="Arial" w:hAnsi="Arial"/>
          <w:sz w:val="17"/>
          <w:szCs w:val="17"/>
          <w:i w:val="1"/>
          <w:iCs w:val="1"/>
          <w:color w:val="auto"/>
        </w:rPr>
        <w:t>Carbon Competitiveness Incentive Regulation</w:t>
      </w:r>
      <w:r>
        <w:rPr>
          <w:rFonts w:ascii="Arial" w:cs="Arial" w:eastAsia="Arial" w:hAnsi="Arial"/>
          <w:sz w:val="17"/>
          <w:szCs w:val="17"/>
          <w:color w:val="auto"/>
        </w:rPr>
        <w:t xml:space="preserve"> (CCIR) to replace the former </w:t>
      </w:r>
      <w:r>
        <w:rPr>
          <w:rFonts w:ascii="Arial" w:cs="Arial" w:eastAsia="Arial" w:hAnsi="Arial"/>
          <w:sz w:val="17"/>
          <w:szCs w:val="17"/>
          <w:i w:val="1"/>
          <w:iCs w:val="1"/>
          <w:color w:val="auto"/>
        </w:rPr>
        <w:t>Specified Gas Emitters</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w:t>
      </w:r>
      <w:r>
        <w:rPr>
          <w:rFonts w:ascii="Arial" w:cs="Arial" w:eastAsia="Arial" w:hAnsi="Arial"/>
          <w:sz w:val="17"/>
          <w:szCs w:val="17"/>
          <w:color w:val="auto"/>
        </w:rPr>
        <w:t>. Like its predecessor, the CCIR sought to incentivize emissions reductions through the use of emissions intensity targets. Under CCIR, a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could meet the applicable emissions limits by making emissions intensity improvements at regulated facilities, offsetting GHG emissions by purchasing offset credits or emission performance credits in the open market, or acquiring “fund credits” (akin to allowances) by making payments for each ton of GHG emissions over the required reduction target to the Alberta Climate Change and Emissions Management Fund.</w:t>
      </w:r>
    </w:p>
    <w:p>
      <w:pPr>
        <w:spacing w:after="0" w:line="17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 xml:space="preserve">In April 2019, the previous Alberta government was replaced with a new conservative government following a general election. Consistent with its campaign promises, the new government repealed the </w:t>
      </w:r>
      <w:r>
        <w:rPr>
          <w:rFonts w:ascii="Arial" w:cs="Arial" w:eastAsia="Arial" w:hAnsi="Arial"/>
          <w:sz w:val="18"/>
          <w:szCs w:val="18"/>
          <w:i w:val="1"/>
          <w:iCs w:val="1"/>
          <w:color w:val="auto"/>
        </w:rPr>
        <w:t>Climate Leadership Act</w:t>
      </w:r>
      <w:r>
        <w:rPr>
          <w:rFonts w:ascii="Arial" w:cs="Arial" w:eastAsia="Arial" w:hAnsi="Arial"/>
          <w:sz w:val="18"/>
          <w:szCs w:val="18"/>
          <w:color w:val="auto"/>
        </w:rPr>
        <w:t>, thereby eliminating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the provincially-imposed levy on GHG emissions. The </w:t>
      </w:r>
      <w:r>
        <w:rPr>
          <w:rFonts w:ascii="Arial" w:cs="Arial" w:eastAsia="Arial" w:hAnsi="Arial"/>
          <w:sz w:val="17"/>
          <w:szCs w:val="17"/>
          <w:i w:val="1"/>
          <w:iCs w:val="1"/>
          <w:color w:val="auto"/>
        </w:rPr>
        <w:t>Oil Sands Emissions Limit Act</w:t>
      </w:r>
      <w:r>
        <w:rPr>
          <w:rFonts w:ascii="Arial" w:cs="Arial" w:eastAsia="Arial" w:hAnsi="Arial"/>
          <w:sz w:val="17"/>
          <w:szCs w:val="17"/>
          <w:color w:val="auto"/>
        </w:rPr>
        <w:t xml:space="preserve"> remains in force. As a result of those actions by the new Alberta government, features of the federal backstop took effect in Alberta in January 2020. Features of the backstop also took effect at various points in 2019 in Ontario, New Brunswick, Manitoba, Saskatchewan, Yukon, Nunavut and Prince Edward Island. Alberta, Saskatchewan and Ontario are challenging the federal backstop in court on the basis that the federal government lacks the constitutional ability to implement the measure. The outcome of this litigation is uncertain and could affect our customers’ compliance requirements in provinces subject to the backstop.</w:t>
      </w:r>
    </w:p>
    <w:p>
      <w:pPr>
        <w:spacing w:after="0" w:line="173"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 xml:space="preserve">While the new Alberta government eliminated the provincially-imposed economy-wide levy on GHG emissions, facilities that emit more than 100,000 tons of GHG emissions in a calendar year continue to be subject to regulations that impose costs on those emissions. In particular, the new government replaced the CCIR with a new </w:t>
      </w:r>
      <w:r>
        <w:rPr>
          <w:rFonts w:ascii="Arial" w:cs="Arial" w:eastAsia="Arial" w:hAnsi="Arial"/>
          <w:sz w:val="16"/>
          <w:szCs w:val="16"/>
          <w:i w:val="1"/>
          <w:iCs w:val="1"/>
          <w:color w:val="auto"/>
        </w:rPr>
        <w:t>Technology Innovation and Emissions Reduction Regulation</w:t>
      </w:r>
      <w:r>
        <w:rPr>
          <w:rFonts w:ascii="Arial" w:cs="Arial" w:eastAsia="Arial" w:hAnsi="Arial"/>
          <w:sz w:val="16"/>
          <w:szCs w:val="16"/>
          <w:color w:val="auto"/>
        </w:rPr>
        <w:t xml:space="preserve"> ("TIER Regulation"), which took effect on January 1, 2020. Under the TIER Regulation, emissions from each facility are compared to either an industry-wide benchmark or a facility-specific benchmark. Facilities with emissions that exceed the industry-wide benchmark or facility-specific benchmark, as applicable, must rely on one or more of the compliance options established by the TIER Regulation. The compliance options under the TIER Regulation are substantially the same as those which existed under the CCIR. Those facilities regulated under the CCIR were previously exempt from the Alberta-wide levy. Similarly, the federal government announced in December 2019 that those activities regulated under TIER would not be subject to the federal backstop. The direct and indirect costs of these regulatory changes may adversely affect our operations and financial results as well as those of our customers with whom we conduct business.</w:t>
      </w:r>
    </w:p>
    <w:p>
      <w:pPr>
        <w:spacing w:after="0" w:line="167"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The previous government’s CLP targeted a 45 percent reduction in methane emissions from oil and gas operations by 2025, consistent with the subsequently-issued Federal Methane Regulations described above. The AER was assigned the task of developing Alberta’s parallel regulatory framework. In December 2018, the AER released amended directives to require reporting of methane emissions on an annual basis, with annual recording of emissions beginning in the 2019 calendar year for a first report due to the AER on June 1, 2020, together with various facility-specific emissions limits. Meeting these regulatory requirements may result in additional costs or liabilities for our customers’ operations.</w:t>
      </w:r>
    </w:p>
    <w:p>
      <w:pPr>
        <w:spacing w:after="0" w:line="173"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Finally, it should be noted that some scientists have concluded that increasing concentrations of GHGs in the Earth’s atmosphere may produce climate changes that have significant physical effects, such as higher sea levels, increased frequency and severity of storms, droughts, floods and other climatic events. If any such effects were to occur, they could have an adverse effect on our operations and our financial condition.</w:t>
      </w:r>
    </w:p>
    <w:p>
      <w:pPr>
        <w:spacing w:after="0" w:line="16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 xml:space="preserve">The Canadian </w:t>
      </w:r>
      <w:r>
        <w:rPr>
          <w:rFonts w:ascii="Arial" w:cs="Arial" w:eastAsia="Arial" w:hAnsi="Arial"/>
          <w:sz w:val="18"/>
          <w:szCs w:val="18"/>
          <w:i w:val="1"/>
          <w:iCs w:val="1"/>
          <w:color w:val="auto"/>
        </w:rPr>
        <w:t>Species at Risk Act</w:t>
      </w:r>
      <w:r>
        <w:rPr>
          <w:rFonts w:ascii="Arial" w:cs="Arial" w:eastAsia="Arial" w:hAnsi="Arial"/>
          <w:sz w:val="18"/>
          <w:szCs w:val="18"/>
          <w:color w:val="auto"/>
        </w:rPr>
        <w:t xml:space="preserve"> is intended to prevent wildlife species in Canada from disappearing and to provide for the recovery of wildlife species that no longer exist in the wild in Canada, or that are endangered or threatened as a result of human activity, and to manage species of special concern to prevent them from becoming endangered or threatened. The designation of previously unprotected species as threatened or endangered in areas of Canada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services.</w:t>
      </w:r>
    </w:p>
    <w:p>
      <w:pPr>
        <w:spacing w:after="0" w:line="193" w:lineRule="exact"/>
        <w:rPr>
          <w:sz w:val="20"/>
          <w:szCs w:val="20"/>
          <w:color w:val="auto"/>
        </w:rPr>
      </w:pPr>
    </w:p>
    <w:p>
      <w:pPr>
        <w:jc w:val="both"/>
        <w:ind w:right="340" w:firstLine="486"/>
        <w:spacing w:after="0" w:line="312" w:lineRule="auto"/>
        <w:rPr>
          <w:sz w:val="20"/>
          <w:szCs w:val="20"/>
          <w:color w:val="auto"/>
        </w:rPr>
      </w:pPr>
      <w:r>
        <w:rPr>
          <w:rFonts w:ascii="Arial" w:cs="Arial" w:eastAsia="Arial" w:hAnsi="Arial"/>
          <w:sz w:val="16"/>
          <w:szCs w:val="16"/>
          <w:color w:val="auto"/>
        </w:rPr>
        <w:t>In 2019, certain Aboriginal groups and environmental organizations commenced litigation intended to force the federal minister of environment to recommend that the federal government implement certain protections for woodland caribou habitat. If that litigation is successful and the corresponding protections are, in fact, implemented, the protection could affect the business of our customers with operations near caribou habitat.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Alberta’s Electricity Market</w:t>
      </w:r>
    </w:p>
    <w:p>
      <w:pPr>
        <w:spacing w:after="0" w:line="225"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The previous government’s CLP set a target of 30 per cent of Alberta’s electricity generation coming from renewables by 2030. Toward attaining this goal, on November 3, 2016, Alberta released the details of its Renewable Electricity Program (REP), which included a procurement process for renewable generation. The first procurement process, REP Round 1, took place in 2017 and awarded long-term, indexed-price power contracts to approximately 596 MW of wind generation capacity. The second process, REP 2, took place in 2018 and awarded contracts to 363 MW of wind capacity in 2018, with eligible projects having a minimum of 25% Indigenous equity ownership. The third, REP 3, also in 2018, was structured similarly to REP 1 and awarded contracts to 400 MW of wind capacity. Three out of four REP 1 projects came into commercial operation in 2019, with the fourth project, REP 2 and REP 3-procured capacity expected to come online later, in 2021 or 2022. Funding for the REP was supposed to come from the Climate Change and Emissions Management Fund described above, backstopped by the government’s General Revenue Fund, rather than from direct electricity charges to our customers.</w:t>
      </w:r>
    </w:p>
    <w:p>
      <w:pPr>
        <w:spacing w:after="0" w:line="16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On June 10, 2019 the fourth REP round auction was canceled by the new conservative government. The Alberta Electric System Operator continues to honor the REP contracts from Rounds 1-3. Funding for these contracts will now rely solely upon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General Revenue Fund, after the Climate Change and Emissions Management Fund was folded into the General Revenue Fund in October 2019. The REP’s funding structure currently limits that program’s direct impact on electricity prices. However, the coming-online of REP-subsidized generation could negatively affect the performance of Alberta’s current electricity market.</w:t>
      </w:r>
    </w:p>
    <w:p>
      <w:pPr>
        <w:spacing w:after="0" w:line="181"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Alberta’s previous government further announced on November 23, 2016, that it would restructure the Alberta power market to include a parallel “capacity market” by 2021. The effect of this change would have been to create two revenue streams for power generators in Alberta, one for energy produced (with payments structured similarly to the existing market) and the other for the provision of generating capacity itself (with payments based on outcomes in the new capacity market). With the introduction of the capacity market, the previous Alberta government expected to achieve more stable power prices without sacrificing affordability to power consumers which would mitigate the effects of the REP subsidization. These reforms were canceled by the new Alberta government in July 2019.</w:t>
      </w:r>
    </w:p>
    <w:p>
      <w:pPr>
        <w:spacing w:after="0" w:line="193" w:lineRule="exact"/>
        <w:rPr>
          <w:sz w:val="20"/>
          <w:szCs w:val="20"/>
          <w:color w:val="auto"/>
        </w:rPr>
      </w:pPr>
    </w:p>
    <w:p>
      <w:pPr>
        <w:jc w:val="both"/>
        <w:ind w:right="200" w:firstLine="486"/>
        <w:spacing w:after="0" w:line="312" w:lineRule="auto"/>
        <w:rPr>
          <w:sz w:val="20"/>
          <w:szCs w:val="20"/>
          <w:color w:val="auto"/>
        </w:rPr>
      </w:pPr>
      <w:r>
        <w:rPr>
          <w:rFonts w:ascii="Arial" w:cs="Arial" w:eastAsia="Arial" w:hAnsi="Arial"/>
          <w:sz w:val="16"/>
          <w:szCs w:val="16"/>
          <w:color w:val="auto"/>
        </w:rPr>
        <w:t>At the government’s request the Alberta Electric System Operator submitted advice on electrical market power mitigation. There is still considerable uncertainty regarding the future of Alberta’s electricity market. The issues of market power, the phasing out of coal-generated electricity, and the impact of the first three rounds of REP coming online, all could potentially increase costs to our customers in the form of higher electricity prices.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Environmental Regulations</w:t>
      </w:r>
    </w:p>
    <w:p>
      <w:pPr>
        <w:spacing w:after="0" w:line="229" w:lineRule="exact"/>
        <w:rPr>
          <w:sz w:val="20"/>
          <w:szCs w:val="20"/>
          <w:color w:val="auto"/>
        </w:rPr>
      </w:pPr>
    </w:p>
    <w:p>
      <w:pPr>
        <w:ind w:right="160" w:firstLine="459"/>
        <w:spacing w:after="0" w:line="289" w:lineRule="auto"/>
        <w:rPr>
          <w:sz w:val="20"/>
          <w:szCs w:val="20"/>
          <w:color w:val="auto"/>
        </w:rPr>
      </w:pPr>
      <w:r>
        <w:rPr>
          <w:rFonts w:ascii="Arial" w:cs="Arial" w:eastAsia="Arial" w:hAnsi="Arial"/>
          <w:sz w:val="16"/>
          <w:szCs w:val="16"/>
          <w:color w:val="auto"/>
        </w:rPr>
        <w:t>Our Australian segment is regulated by general statutory environmental controls at both the state and federal level which may result in land use approval and compliance risk. These controls include: land use and urban design controls; the regulation of hard and liquid waste, including the requirement for tradewaste and/or wastewater permits or licenses; the regulation of water, noise, heat, and atmospheric gases emissions; the regulation of the production, transport and storage of dangerous and hazardous materials (including asbestos); and the regulation of pollution and site contamination. Some specified activities, for example, sewage treatment works, may require regulation at a state level by way of environmental protection licenses which also impose monitoring and reporting obligations on the holder. There is an increasing emphasis from state and federal regulators on sustainability and energy efficiency in business operations. Federal requirements are now in place for the mandatory disclosure of energy performance under building rating schemes. These schemes require the tracking of specific environmental performance factors. Carbon reporting requirements currently exist for corporations which meet a reporting threshold for greenhouse gases or energy use or production for a reporting (financial) year under national legislation.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Environmental Regulations</w:t>
      </w:r>
    </w:p>
    <w:p>
      <w:pPr>
        <w:spacing w:after="0" w:line="229"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Clean Water Act, as amended, and analogous state laws impose restrictions and strict controls regarding the discharge of pollutants into state waters or waters of the U.S. The discharge of pollutants into jurisdictional waters is prohibited unless the discharge is permitted by the U.S. Environmental Protection Agency (EPA) or authorized state agencies. The EPA published a final rule outlining its position on the federal jurisdictional reach over waters of the U.S. in June 2015, but in June 2017 proposed another rule that would initiate the first step in a two-step process intended to review and revise that definition of “waters of the United States.” Under the proposal, the first step would be to rescind the May 2015 final rule and put back into effect the narrower language defining “waters of the United States” under the Clean Water Act that existed prior to the 2015 rule. The second step would be a notice-and-comment rule-making in which the agencies will conduct a substantive reevaluation of the definition of “waters of the United States.” In September 2019, the EPA finalized the first step in this process. Litigation challenging the repeal of the August 2015 rule is pending. Many of our U.S. properties and operations require permits for discharges of wastewater and/or storm water, and we have developed a system for securing and maintaining these permits. The Clean Water Act and analogous state laws provide for administrative, civil and criminal penalties for unauthorized discharges and, together with the Oil Pollution Act of 1999, as amended, require the development and implementation of spill prevention and response plans and impose liability for the remedial costs and associated damages arising out of any unauthorized discharges.</w:t>
      </w:r>
    </w:p>
    <w:p>
      <w:pPr>
        <w:spacing w:after="0" w:line="18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 EPA has adopted rules requiring the monitoring and reporting of GHG emissions from specified large GHG emission sources in the U.S., including, offshore and onshore oil and natural gas production facilities, on an annual basis. In October 2015, the EPA finalized rules that added new sources to the scope of the GHG monitoring and reporting requirements. These new sources include gathering and boosting facilities as well as completions and workovers from hydraulically fractured oil wells. In addition, the EPA has finalized new regulations that would further restrict GHG emissions, such as new standards for methane and volatile organic compound (VOC) emissions from new and modified oil and gas sources, which the EPA published in June 2016. On September 11, 2018, the EPA proposed targeted improvements to the rule, including amendments to the rule’s fugitive emissions monitoring requirements, and is in the process of finalizing the amendments, which it originally expected to do in late 2019. Separately, on August 28, 2019, the EPA proposed amendments to the 2012 and 2016 NSPS for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Oil and Natural Gas Industry which would remove all sources in the transmission and storage segment of the oil and natural gas industry from regulation under the NSPS, both for ozone-forming VOCs, and for GHGs. The existing NSPS regulates GHGs through limitations on emissions of methane. The amendments also would rescind the methane requirements in the 2016 NSPS that apply to sources in the production and processing segments of the industry. As an alternative, EPA also is proposing to rescind the methane requirements that apply to all sources in the oil and natural gas industry, without removing any sources from the current source category. Additionally, in November 2016, the Bureau of Land Management (BLM) issued new regulations to reduce “waste” of natural gas-of which methane is a primary constituent-from venting, flaring and leaks during oil and natural gas production activities on onshore federal and Indian lands, but in 2018 announced a revised rule which scaled back the waste-prevention requirements of the 2016 rule. Environmental groups sued in federal district court a day later to challenge the legality of aspects of the revised rule, and the outcome of this litigation is currently uncertain. In October 2015, the EPA finalized the Clean Power Plan, which imposes additional obligations on the power generation sector to reduce GHG emissions. However, in August 2019, the EPA finalized the repeal of the 2015 regulations and replaced them with the Affordable Clean Energy rule (“ACE”), which designates heat rate improvement, or efficiency improvement, as the best system of emissions reduction for carbon dioxide from existing coal-fired electric utility generating units. Both the appropriateness of the repeal of the 2015 regulations and the adequacy of ACE are currently subject to litigation. While our operations are not directly affected by these actions, their impact on our oil and natural gas exploration and production customers could result in a decreased demand for the services that we provide.</w:t>
      </w:r>
    </w:p>
    <w:p>
      <w:pPr>
        <w:spacing w:after="0" w:line="18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While the U.S. Congress has from time to time considered legislation to reduce emissions of GHGs, there has not been significant activity in the form of adopted legislation to reduce GHG emissions at the federal level in recent years. In the absence of federal climate legislation in the U.S., a number of state and regional efforts have emerged that are aimed at tracking and/or reducing GHG emissions, including cap and trade programs that typically require major sources of GHG emissions, such as electric power plants, to acquire and surrender emission allowances in return for emitting those GHGs. The U.S. also participated in the creation of the Paris Agreement at COP 21 in December 2015 but has formally initiated the process of withdrawing from the agreement. Although it is not possible at this time to predict how legislation or new regulations that may be adopted to address GHG emissions would impact our business, any such future laws and regulations could require us or our customers to incur increased operating costs, such as costs to purchase and operate emissions control systems, to acquire emission allowances or comply with new regulatory or reporting requirements. Any such legislation or regulatory programs could also increase the cost of consuming, and thereby reduce demand for oil and natural gas, which could reduce our customers’ demand for our services. Consequently, legislation and regulatory programs to reduce GHG emissions could have an adverse effect on our business, financial condition and results of operations.</w:t>
      </w:r>
    </w:p>
    <w:p>
      <w:pPr>
        <w:spacing w:after="0" w:line="183"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Our operations as well as the operations of our customers are also subject to various laws and regulations addressing the management, disposal and releases of regulated substances. For example, in the U.S., the federal Resource Conservation and Recovery Act, as amended (RCRA) and comparable state statutes regulate the generation, storage, treatment, transportation, disposal and cleanup of hazardous and non-hazardous solid wastes. Under the auspices of the EPA, most states administer some or all of the provisions of RCRA, sometimes in conjunction with their own, more stringent requirements. Federal and state regulatory agencies can seek to impose administrative, civil and criminal penalties for alleged non-compliance with RCRA and analogous state requirements. In the course of our operations, we generate some amounts of ordinary industrial wastes, such as paint wastes, waste solvents and waste oils that may be regulated as hazardous wastes. Moreover, the federal Comprehensive Environmental Response, Compensation and Liability Act, as amended (CERCLA), also known as the Superfund law, and comparable state laws impose liability, without regard to fault or legality of conduct, on classes of persons considered to be responsible for the release of a “hazardous substance” into the environment. These persons include the current and past owner or operator of the site where the release occurred and anyone who transported, disposed or arranged for the transport or disposal of a hazardous substance released at the site. Under CERCLA, such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In addition, neighboring landowners and other third parties may file claims for personal injury and property damage allegedly caused by the hazardous substances released into the environment. We generate materials in the course of our operations that may qualify as hazardous substances. In the event of mismanagement or release of regulated substances upon properties where we conduct operations, we could become subject to liability and/or obligations under CERCLA, RCRA and/or analogous state laws. Under such laws, we could be required to undertake response or corrective measures, which could include removal of previously disposed substances and wastes, cleanup of contaminated property or performance of remedial operations to prevent future contamination.</w:t>
      </w:r>
    </w:p>
    <w:p>
      <w:pPr>
        <w:spacing w:after="0" w:line="170"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The federal Endangered Species Act, as amended (ESA), restricts activities in the U.S. that may affect endangered or threatened species or their habitats. If endangered species are located in areas of the U.S. where our oil and natural gas exploration and production customers operate, such operations could be prohibited or delayed or expensive mitigation may be</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25" w:right="3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required. The designation of previously unprotected species as threatened or endangered in areas of the U.S.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services.</w:t>
      </w:r>
    </w:p>
    <w:p>
      <w:pPr>
        <w:spacing w:after="0" w:line="274"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Hydraulic fracturing is a process sometimes used to stimulate production of hydrocarbons from tight formations. The process involves the injection of water, sand and chemicals under pressure into formations to fracture the surrounding rock and stimulate production. Hydraulic fracturing is typically regulated by state oil and natural gas regulators, but EPA has asserted federal regulatory authority pursuant to the Safe Drinking Water Act (SDWA) over, and issued permitting guidance in February 2014 for, certain hydraulic fracturing activities involving the use of diesel fuels. In May 2014, EPA issued an advance notice of proposed rulemaking seeking comment on the development of regulations under the Toxic Substances Control Act (TSCA) to require companies to disclose information regarding the chemicals used in hydraulic fracturing. In March 2015, BLM issued a final rule that imposes requirements on hydraulic fracturing activities on federal and Indian lands, including new requirements relating to public disclosure, wellbore integrity and handling of flowback water; similar final rules were published in November 2016 for hydraulic fracturing activities on National Park and National Wildlife Refuge System lands. In June 2016, the U.S. District Court for the District of Wyoming struck down the BLM final rule, finding that BLM lacked authority to promulgate the rule, but this ruling was vacated on appeal in September 2017. Regardless, BLM rescinded this rule in December 2017. In January 24, 2018, California and a coalition of environmental groups each filed lawsuits in the Northern District of California to challenge BLM’s rescission of the 2015 rule. This litigation is pending. In addition, Congress has from time to time considered legislation to provide for federal regulation of hydraulic fracturing under the SDWA and to require disclosure of chemicals used in the hydraulic fracturing process. Some states and local governments also have adopted or are considering adopting regulations to restrict or ban hydraulic fracturing in certain circumstances. Moreover, ongoing governmental reviews of the environmental impacts of hydraulic fracturing by EPA and other agencies could lead to further regulation of hydraulic fracturing. For example, in December 2016, the EPA released its final report on the potential impacts of hydraulic fracturing on drinking water resources. The final report concluded that hydraulic fracturing activities can impact drinking water under some circumstances, including large volume spills and inadequate mechanical integrity of wells. While our operations are not directly affected by these actions, their impact on our oil and natural gas exploration and production customers could result in a decreased demand for the services that we provide.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220" w:firstLine="486"/>
        <w:spacing w:after="0" w:line="302" w:lineRule="auto"/>
        <w:rPr>
          <w:sz w:val="20"/>
          <w:szCs w:val="20"/>
          <w:color w:val="auto"/>
        </w:rPr>
      </w:pPr>
      <w:r>
        <w:rPr>
          <w:rFonts w:ascii="Arial" w:cs="Arial" w:eastAsia="Arial" w:hAnsi="Arial"/>
          <w:sz w:val="16"/>
          <w:szCs w:val="16"/>
          <w:i w:val="1"/>
          <w:iCs w:val="1"/>
          <w:color w:val="auto"/>
        </w:rPr>
        <w:t>We are subject to various risks and hazards due to the nature of the business activities we conduct. The risks discussed below, any of which could materially and adversely affect our business, financial condition, cash flows and results of operations and the price of our shares,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Due to the cyclical nature of the natural resources industry, certain of our customers’ spending may be directly, and our business may be indirectly, affected by volatile or low oil, coal or natural gas prices or unsuccessful exploration results.</w:t>
      </w:r>
    </w:p>
    <w:p>
      <w:pPr>
        <w:spacing w:after="0" w:line="170"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Demand for our services is sensitive to the level of exploration, development and production activity of, and the corresponding capital spending by, oil and gas and mining companies. Our business typically supports projects that are capital intensive and require several years to generate first production. The economic analyses conducted by our customers in oil sands, Australian mining and LNG investment areas have historically assumed a relatively conservative longer-term price outlook for production from such projects to determine economic viability. The oil and gas and mining industries’ willingness to explore, develop and produce depends largely upon the availability of attractive resource prospects and the prevailing view of future commodity prices, and expenditures by our oil and gas and mining customers generally lag changes in commodity prices by nine to 12 months.</w:t>
      </w:r>
    </w:p>
    <w:p>
      <w:pPr>
        <w:spacing w:after="0" w:line="178" w:lineRule="exact"/>
        <w:rPr>
          <w:sz w:val="20"/>
          <w:szCs w:val="20"/>
          <w:color w:val="auto"/>
        </w:rPr>
      </w:pPr>
    </w:p>
    <w:p>
      <w:pPr>
        <w:ind w:right="360" w:firstLine="486"/>
        <w:spacing w:after="0" w:line="264" w:lineRule="auto"/>
        <w:rPr>
          <w:sz w:val="20"/>
          <w:szCs w:val="20"/>
          <w:color w:val="auto"/>
        </w:rPr>
      </w:pPr>
      <w:r>
        <w:rPr>
          <w:rFonts w:ascii="Arial" w:cs="Arial" w:eastAsia="Arial" w:hAnsi="Arial"/>
          <w:sz w:val="18"/>
          <w:szCs w:val="18"/>
          <w:color w:val="auto"/>
        </w:rPr>
        <w:t>For the past several years, commodity prices have remained relatively low since their high in 2014, and continue to be volatile. Prices for oil, metallurgical (met) coal, natural gas and other natural resources are subject to large fluctuations in response to changes in supply of and demand for these commodities and many other factors beyond our control, including:</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activity and developments in the Canadian oil sands;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global level of demand, particularly from China, for coal and other natural resources produced in Australia;</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economically attractive oil and natural gas field prospects, which may be affected by governmental actions or environmental activists which may restrict development;</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transportation infrastructure for oil, natural gas, LNG and coal, refining capacity and shifts in end customer preferences toward fuel efficiency and the use of natural gas;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weather conditions, natural disasters and global health concerns;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worldwide economic activity including growth in developing countries, such as China and India;</w:t>
      </w:r>
    </w:p>
    <w:p>
      <w:pPr>
        <w:spacing w:after="0" w:line="225"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national government political requirements, including the ability of the Organization of Petroleum Exporting Companies (OPEC) to set and maintain production levels and prices for oil and government policies which could nationalize or expropriate oil and natural gas exploration, production, refining or transportation assets;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oil and gas production by non-OPEC countries, particularly the U.S. and Russia;</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rapid technological change and the timing and extent of energy resource development, including hydraulic fracturing of horizontally drilled wells in shale discoveries and LNG;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and availability of alternative fuels;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and environmental regulation, including climate change legislation;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and foreign tax policies.</w:t>
      </w:r>
    </w:p>
    <w:p>
      <w:pPr>
        <w:spacing w:after="0" w:line="225"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Because of the recent volatile commodity price environment, our customers have reduced or deferred, and may continue to reduce or defer, major expenditures, particularly in Canada and Australia, given the long-term nature of many large scale development projects, adversely affecting our revenues and profitability.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On December 2, 2018, the Government of Alberta announced it would mandate temporary curtailments of the province’s oil production and has extended the curtailment through 2020. This curtailment resulted in a narrowing of the discount (WCS Differential) at which Western Canadian Select (WCS) trades relative to West Texas Intermediate (WTI) in December 2018, which ended the year at $15.75 per barrel, that continued throughout 2019. As of February 21, 2020, the WTI price was $53.30 and the WCS price was $36.64, resulting in a WCS Differential of $16.66. Should the price of WTI decline or the WCS discount to WTI widen further, our oil sands customers may delay or eliminate additional investments, further reduce their spending in the oil sands region or curtail or shut-down additional existing operations.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do business in Canada and Australia, whose political and regulatory environments and compliance regimes differ from those in the United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States.</w:t>
      </w:r>
    </w:p>
    <w:p>
      <w:pPr>
        <w:spacing w:after="0" w:line="211" w:lineRule="exact"/>
        <w:rPr>
          <w:sz w:val="20"/>
          <w:szCs w:val="20"/>
          <w:color w:val="auto"/>
        </w:rPr>
      </w:pPr>
    </w:p>
    <w:p>
      <w:pPr>
        <w:ind w:right="440" w:firstLine="486"/>
        <w:spacing w:after="0" w:line="342" w:lineRule="auto"/>
        <w:rPr>
          <w:sz w:val="20"/>
          <w:szCs w:val="20"/>
          <w:color w:val="auto"/>
        </w:rPr>
      </w:pPr>
      <w:r>
        <w:rPr>
          <w:rFonts w:ascii="Arial" w:cs="Arial" w:eastAsia="Arial" w:hAnsi="Arial"/>
          <w:sz w:val="16"/>
          <w:szCs w:val="16"/>
          <w:color w:val="auto"/>
        </w:rPr>
        <w:t>A significant portion of our revenue is attributable to operations in Canada and Australia. These activities accounted for 90% of our consolidated revenue in the year ended December 31, 2019. Risks associated with our operations in Canada and Australia include, but are not limited to:</w:t>
      </w:r>
    </w:p>
    <w:p>
      <w:pPr>
        <w:spacing w:after="0" w:line="12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currency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different taxing regimes;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political conditions at the federal, provincial or state level;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international and U.S. monetary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regional economic downturns;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expropriation, confiscation or nationalization of assets;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exchange limitations.</w:t>
      </w:r>
    </w:p>
    <w:p>
      <w:pPr>
        <w:spacing w:after="0" w:line="22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regulatory regimes in these countries are substantially different than those in the United States, and may be unfamiliar to U.S. investors. Violations of non-U.S. laws could result in monetary and criminal penalties against us or our subsidiaries and could damage our reputation and, therefore, our ability to do business.</w:t>
      </w:r>
    </w:p>
    <w:p>
      <w:pPr>
        <w:spacing w:after="0" w:line="18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b w:val="1"/>
          <w:bCs w:val="1"/>
          <w:i w:val="1"/>
          <w:iCs w:val="1"/>
          <w:color w:val="auto"/>
        </w:rPr>
        <w:t>Due to the significant concentration of our business in the oil sands region of Alberta, Canada and in the Bowen Basin coal region of Queensland, Australia, adverse events in these areas could negatively impact our business, and our geographic concentration could limit the number of customers seeking our services.</w:t>
      </w:r>
    </w:p>
    <w:p>
      <w:pPr>
        <w:spacing w:after="0" w:line="181"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Because of the concentration of our business in the oil sands region of Alberta, Canada and in the coal producing region of Queensland, Australia, two relatively small geographic areas, we have increased exposure to political, regulatory, environmental, labor, climate or natural disasters such as forest fires, events or developments that could disproportionately impact our operations and financial results. For example, in 2017, a cyclone threatened areas near our villages in Australia. Also in 2011 and 2016, forest fires in northern Alberta impacted areas near our Canadian oil sands lodges. Due to our geographic concentration, any adverse events or developments in our operating areas may disproportionately affect our financial results.</w:t>
      </w:r>
    </w:p>
    <w:p>
      <w:pPr>
        <w:spacing w:after="0" w:line="158"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In addition, a limited number of companies operate in the areas in which our business is concentrated, and occupancy at each of our lodges may be constrained by the radius which potential customers are willing to transport their workers. Our geographic concentration could limit the number of customers seeking our services, and as to any single lodge or village, we may have few potential customers. Therefore, we are subject to volatility in occupancy in any location based on the capital spending plans of a limited number of customers, based on their changing decisions as to whether to outsource or use their own company-owned accommodations and whether other potential customers move into that lodge’s radius.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Currency exchange rate fluctuations could adversely affect our U.S. dollar reported results of operations and financial position.</w:t>
      </w:r>
    </w:p>
    <w:p>
      <w:pPr>
        <w:spacing w:after="0" w:line="237"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Currency exchange rate fluctuations can create volatility in our consolidated financial position, results of operations and/or cash flows. Because our consolidated financial results are reported in U.S. dollars, if we generate net revenues or earnings in countries whose currency is not the U.S. dollar, the translation of such amounts into U.S. dollars can result in an increase or decrease in our reported revenues, net income, financial condition and cash flows depending upon exchange rate movements.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For the year ended December 31, 2019, 90% of our revenues originated from subsidiaries outside of the U.S. and were denominated in either the Canadian dollar or the Australian dollar. As a result, a material decrease in the value of these currencies relative to the U.S. dollar has had, and may have in the future, a negative impact on our reported revenues, net income, financial condition and cash flows. Any currency controls implemented by local monetary authorities in countries where we currently operate could also adversely affect our business, financial condition and results of operations.</w:t>
      </w:r>
    </w:p>
    <w:p>
      <w:pPr>
        <w:spacing w:after="0" w:line="154"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Our reporting currency is the U.S. dollar, and we are exposed to currency exchange risk primarily between the U.S. dollar and the Canadian and Australian dollars. We may attempt to limit the risks of currency fluctuation where possible by entering into financial instruments to protect against foreign currency exposure. Our efforts to limit exchange risks may be unsuccessful, thereby exposing us to foreign currency fluctuations that could cause our results of operations, financial condition and cash flows to deteriorate.</w:t>
      </w:r>
    </w:p>
    <w:p>
      <w:pPr>
        <w:spacing w:after="0" w:line="187"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All but three of our major Canadian lodges are located on land subject to leases. If we are unable to renew a lease or obtain permits necessary to operate on such leased land, we could be materially and adversely affected.</w:t>
      </w:r>
    </w:p>
    <w:p>
      <w:pPr>
        <w:spacing w:after="0" w:line="170"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All but three of our major Canadian lodges are located on land subject to leases. Accordingly, while we own the accommodations assets, we only own a leasehold in those properties. If we are found to be in breach of a lease, we could lose the right to use the property. In addition, our leases generally have an initial term of ten years and will expire between 2020 and 2028 unless extended. Unless we can extend the terms of these leases before their expiration, as to which no assurance can be given, we will lose our right to operate our facilities located on these properties upon expiration of the leases. In that event, we would be required to remove our accommodations assets and remediate the site.</w:t>
      </w:r>
    </w:p>
    <w:p>
      <w:pPr>
        <w:spacing w:after="0" w:line="173"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Also, in certain areas in which we operate, we are required to seek permits from local government agencies in order to build a new lodge or operate an existing lodge on leased land. A proposed regulation in a regional municipality of Alberta would require us to seek renewal of such permits every four years; however, this proposal was deferred in late 2019 and no update has been provided.</w:t>
      </w:r>
    </w:p>
    <w:p>
      <w:pPr>
        <w:spacing w:after="0" w:line="18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We depend on several significant customers. The loss of one or more such customers or the inability of one or more such customers to meet their obligations to us could adversely affect our results of operations.</w:t>
      </w:r>
    </w:p>
    <w:p>
      <w:pPr>
        <w:spacing w:after="0" w:line="170"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We depend on several significant customers. The majority of our customers operate in the energy or mining industries. For a more detailed explanation of our customers, see “Business” in Item 1 of this annual report. The loss of any one of our largest customers in any of our business segments or a sustained decrease in demand by any of such customers could result in a substantial loss of revenues and could have a material adverse effect on our results of operations. In addition, the concentration of customers in two industries may impact our overall exposure to credit risk, either positively or negatively, in that customers may be similarly affected by changes in economic and industry conditions.</w:t>
      </w:r>
    </w:p>
    <w:p>
      <w:pPr>
        <w:spacing w:after="0" w:line="17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As a result of our customer concentration, risks of nonpayment and nonperformance by our counterparties are a concern in our business. We are subject to risks of loss resulting from nonpayment or nonperformance by our customers. While we perform ongoing credit evaluations of our customers, we do not require collateral in support of our trade receivables consistent with industry practice. Many of our customers finance their activities through cash flow from operations, the incurrence of debt or the issuance of equity. Oil prices have remained relatively low since their high in 2014 and continue to be volatile, commodity prices generally have remained depressed since 2015, and the capital markets and availability of credit have been constrained relative to historical levels. Additionally, many of our customers’ equity values have declined and could decline further. The combination of lower cash flow due to commodity prices, a reduction in borrowing bases under reserve-based credit facilities and the lack of available debt or equity financing may continue to result in a significant reduction in our customers’ liquidity and could impair their ability to pay or otherwise perform on their obligations to us. Furthermore, some of our customers may be highly leveraged and subject to their own operating and regulatory risks, which increases the risk that they may default on their obligations to us. The inability or failure of our significant customers to meet their obligations to us or their insolvency or liquidation may adversely affect our financial results.</w:t>
      </w:r>
    </w:p>
    <w:p>
      <w:pPr>
        <w:spacing w:after="0" w:line="193"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b w:val="1"/>
          <w:bCs w:val="1"/>
          <w:i w:val="1"/>
          <w:iCs w:val="1"/>
          <w:color w:val="auto"/>
        </w:rPr>
        <w:t>Our failure to retain our current customers, renew our existing customer contracts and obtain new customer contracts, or the termination of existing contracts, could adversely affect our business.</w:t>
      </w:r>
    </w:p>
    <w:p>
      <w:pPr>
        <w:spacing w:after="0" w:line="170"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Our success depends on our ability to retain our current customers, renew or replace our existing customer contracts and obtain new business. Our ability to do so generally depends on a variety of factors, including overall customer expenditure levels and the quality, price and responsiveness of our services, as well as our ability to market these services effectively and differentiate ourselves from our competitors. We cannot assure you that we will be able to obtain new business, renew existing customer contracts at the same or higher levels of pricing, or at all, or that our current customers will not turn to competitors,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cease operations, elect to self-operate or terminate contracts with us. Because of the current volatile commodity price environment, our customers may not renew contracts on terms favorable to us or, in some cases, at all, and we may have difficulty obtaining new business. Additionally, several contracts have clauses that allow termination upon the payment of a termination fee. As a result, our customers may choose to terminate their contracts. The likelihood that a customer may seek to terminate a contract is increased during periods of market volatility like those we are currently experiencing. Further, certain of our customers may not reach positive final investment decisions on projects with respect to which we have been awarded contracts to provide related accommodation, which may cause those customers to terminate the contracts. Customer contract cancellations, the failure to renew a significant number of our existing contracts or the failure to obtain new business would have a material adverse effect on our business and results of operations. We can provide no assurances that we will be able to renew our leases or permits upon expiration on similar terms, or at all. If we are unable to renew our leases or permits on similar terms, it may have an adverse effect on our business and results of operations.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customers are exposed to a number of unique operating risks and challenges which could also adversely affect us.</w:t>
      </w:r>
    </w:p>
    <w:p>
      <w:pPr>
        <w:spacing w:after="0" w:line="225"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We could be materially adversely affected by disruptions to our customers’ operations caused by any one of or all of the following singularly or in combination:</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and international pricing and demand for the natural resource being produced at a given project (or proposed project);</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problems, higher costs and delays during the development, construction and project start-up which may delay the commencement of production;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and adverse geological, geotechnical, seismic and mining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availability of sufficient water or power to maintain their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availability or failure of the required infrastructure necessary to maintain or to expand their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breakdown or shortage of equipment and labor necessary to maintain their operations;</w:t>
      </w:r>
    </w:p>
    <w:p>
      <w:pPr>
        <w:spacing w:after="0" w:line="225" w:lineRule="exact"/>
        <w:rPr>
          <w:rFonts w:ascii="Arial" w:cs="Arial" w:eastAsia="Arial" w:hAnsi="Arial"/>
          <w:sz w:val="18"/>
          <w:szCs w:val="18"/>
          <w:color w:val="auto"/>
        </w:rPr>
      </w:pPr>
    </w:p>
    <w:p>
      <w:pPr>
        <w:ind w:left="660" w:right="220" w:hanging="328"/>
        <w:spacing w:after="0" w:line="31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risks associated with the natural resources industry being subject to various regulatory approvals. Such risks may include a government agency failing to grant an approval or failing to renew an existing approval, or the approval or renewal not being provided by the government agency in a timely manner or the government agency granting or renewing an approval subject to materially onerous conditions;</w:t>
      </w:r>
    </w:p>
    <w:p>
      <w:pPr>
        <w:spacing w:after="0" w:line="146"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to land titles, mining titles and use thereof as a result of native title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claims by persons living in close proximity to mining projects, which may have an impact on the consents granted;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interruptions to the operations of our customers caused by industrial accidents or disputes;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or failure to commission new infrastructure in timeframes so as not to disrupt customer operations.</w:t>
      </w:r>
    </w:p>
    <w:p>
      <w:pPr>
        <w:spacing w:after="0" w:line="225"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b w:val="1"/>
          <w:bCs w:val="1"/>
          <w:i w:val="1"/>
          <w:iCs w:val="1"/>
          <w:color w:val="auto"/>
        </w:rPr>
        <w:t>A failure to maintain food safety or comply with government regulations related to food and beverages or serving alcoholic beverages may subject us to liability.</w:t>
      </w:r>
    </w:p>
    <w:p>
      <w:pPr>
        <w:spacing w:after="0" w:line="17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Claims of illness or injury relating to food quality or food handling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sales. Future food product recalls and health concerns associated with food contamination may also increase our raw materials costs and, from time to time, disrupt our business.</w:t>
      </w:r>
    </w:p>
    <w:p>
      <w:pPr>
        <w:spacing w:after="0" w:line="193"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A variety of regulations at various governmental levels relating to the handling, preparation and serving of food (including, in some cases, requirements relating to the temperature of food), cleanliness of food production facilities and hygiene of food-handling personnel are enforced primarily at the local public health department level. We can give no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assurances that we are in full compliance with all applicable laws and regulations at all times or that we will be able to comply with any future laws and regulations. Furthermore, legislation and regulatory attention to food safety is very high. Additional or amended regulations in this area may significantly increase the cost of compliance or expose us to liabilities.</w:t>
      </w:r>
    </w:p>
    <w:p>
      <w:pPr>
        <w:spacing w:after="0" w:line="18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We serve alcoholic beverages at some of our facilities, and must comply with applicable licensing laws, as well as local service laws. These laws generally prohibit serving alcoholic beverages to certain persons such as a patron who is intoxicated or a minor. If we violate these laws, we may be liable to the patron and/or third parties for the acts of the patron. We cannot guarantee that intoxicated or minor patrons will not be served or that liability for their acts will not be imposed on us. There can be no assurance that additional regulation in this area would not limit our activities in the future or significantly increase the cost of regulatory compliance. We must also obtain and comply with the terms of licenses in order to sell alcoholic beverages in the jurisdictions in which we serve alcoholic beverages. If we are unable to maintain food safety or comply with government regulations related to food, beverages or alcoholic beverages, the effect could be materially adverse to our business and results of operations.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susceptible to seasonal earnings volatility due to adverse weather conditions in our regions of operations.</w:t>
      </w:r>
    </w:p>
    <w:p>
      <w:pPr>
        <w:spacing w:after="0" w:line="225"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Our operations are directly affected by seasonal differences in weather in the areas in which we operate, most notably in Canada and Australia, and, to a lesser extent, the Permian Basin. A portion of our Canadian operations is conducted during the winter months when the winter freeze in remote regions is required for exploration and production activity to occur. The spring thaw in these frontier regions restricts operations in the spring months and, as a result, adversely affects our operations and our ability to provide services in the second and, to a lesser extent, third quarters. During the Australian rainy season, generally between the months of November and April, our operations in Queensland and the northern parts of Western Australia can be affected by cyclones, monsoons and resultant flooding. Severe winter weather conditions in the Permian Basin of the United States can restrict access to work areas for our customers. Furthermore, the areas in which we operate are susceptible to forest fires, which could interrupt our operations and adversely impact our earnings.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be adversely affected if customers reduce their accommodations outsourcing.</w:t>
      </w:r>
    </w:p>
    <w:p>
      <w:pPr>
        <w:spacing w:after="0" w:line="225"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Our business and growth strategies depend in large part on customers outsourcing some or all of the services that we provide. Many oil and gas and mining companies in our core markets own their own accommodations facilities, while others outsource all or part of their accommodations requirements. Customers have largely built their own accommodations in the past but will outsource if they perceive that outsourcing may provide quality services at a lower overall cost or allow them to accelerate the timing of their projects. We cannot be certain that these customer preferences will continue or that customers that have previously outsourced accommodations will not decide to perform these functions themselves or only outsource accommodations during the development or construction phases of their projects. In addition, labor unions representing customer employees and contractors have, in the past, opposed outsourcing accommodations to the extent that the unions believe that third-party accommodations negatively impact union membership and recruiting. The reversal or reduction in customer outsourcing of accommodations could negatively impact our financial results and growth prospects.</w:t>
      </w:r>
    </w:p>
    <w:p>
      <w:pPr>
        <w:spacing w:after="0" w:line="166"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b w:val="1"/>
          <w:bCs w:val="1"/>
          <w:i w:val="1"/>
          <w:iCs w:val="1"/>
          <w:color w:val="auto"/>
        </w:rPr>
        <w:t>Development of permanent infrastructure in the Canadian oil sands region, the west coast of British Columbia, regions of Australia or various U.S. locations where we locate our assets could negatively impact our business.</w:t>
      </w:r>
    </w:p>
    <w:p>
      <w:pPr>
        <w:spacing w:after="0" w:line="170"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specialize in providing hospitality services for work forces in remote areas which often lack the infrastructure typically available in nearby towns and cities. If permanent towns, cities and municipal infrastructure develop, grow or otherwise become available in the oil sands region of northern Alberta, Canada, the west coast of British Columbia or regions of Australia where we locate villages, then demand for our hospitality services could decrease as customer employees move to the region and choose to utilize permanent housing and food services.</w:t>
      </w:r>
    </w:p>
    <w:p>
      <w:pPr>
        <w:spacing w:after="0" w:line="187"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b w:val="1"/>
          <w:bCs w:val="1"/>
          <w:i w:val="1"/>
          <w:iCs w:val="1"/>
          <w:color w:val="auto"/>
        </w:rPr>
        <w:t>Increased operating costs and obstacles to cost recovery due to the pricing and cancellation terms of our accommodation services contracts may constrain our ability to make a profit.</w:t>
      </w:r>
    </w:p>
    <w:p>
      <w:pPr>
        <w:spacing w:after="0" w:line="170"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Our profitability can be adversely affected to the extent we are faced with cost increases for food, wages and other labor related expenses, insurance, fuel and utilities, especially to the extent we are unable to recover such increased costs through increases in the prices for our services, due to one or more of general economic conditions, competitive conditions or contractual provisions in our customer contracts. Substantial increases in the cost of fuel and utilities have historically resulted in cost increases in our lodges and villages. From time to time we have experienced increases in our food costs. While we believe a portion of these increases were attributable to fuel prices, we believe the increases also resulted from rising global food demand. In addition, food prices can fluctuate as a result of foreign exchange rates and temporary changes in supply, including as a result of incidences of forest fires or severe weather such as droughts, heavy rains and late freezes. While our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multi-year contracts often provide for annual escalation in our room rates for food, labor and utility inflation, we may be unable to fully recover costs and such increases would negatively impact our profitability on contracts that do not contain such inflation protections.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business is contract intensive and may lead to customer disputes or delays in receipt of payments.</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business is contract intensive and we are party to many contracts with customers. We periodically review our compliance with contract terms and provisions. If customers were to dispute our contract determinations, the resolution of such disputes in a manner adverse to our interests could negatively affect sales and operating results. In the past, our customers have withheld payment due to contract or other disputes, which has delayed our receipt of payments. While we do not believe any reviews, audits, delayed payments or other such matters should result in material adjustments, if a large number of our customer arrangements were modified or payments withheld in response to any such matter, the effect could be materially adverse to our business and results of operations.</w:t>
      </w:r>
    </w:p>
    <w:p>
      <w:pPr>
        <w:spacing w:after="0" w:line="193"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b w:val="1"/>
          <w:bCs w:val="1"/>
          <w:i w:val="1"/>
          <w:iCs w:val="1"/>
          <w:color w:val="auto"/>
        </w:rPr>
        <w:t>We are subject to extensive and costly environmental laws and regulations that may require us to take actions that will adversely affect our results of operations.</w:t>
      </w:r>
    </w:p>
    <w:p>
      <w:pPr>
        <w:spacing w:after="0" w:line="170"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All of our operations are significantly affected by stringent and complex foreign, federal, provincial, state and local laws and regulations governing the discharge of substances into the environment or otherwise relating to environmental protection. We could be exposed to liabilities for cleanup costs, natural resource damages and other damages as a result of our conduct that was lawful at the time it occurred or the conduct of, or conditions caused by, prior operators or other third-parties. Environmental laws and regulations are subject to change in the future, possibly resulting in more stringent requirements. The implementation of new laws and regulations could result in materially increased costs, stricter standards and enforcement, larger fines and liability and increased capital expenditures and operating costs, particularly for our customers, and could have an adverse effect on our business or demand for our services. See Item 1. “Business - Government Regulation” of this annual report for a more detailed description of our risks associated with environmental laws and regulations. It should also be noted that some scientists have concluded that increasing concentrations of GHGs in the earth’s atmosphere may produce climate changes that have significant physical effects, such as increased frequency and severity of storms, droughts, and floods and other climatic events.</w:t>
      </w:r>
    </w:p>
    <w:p>
      <w:pPr>
        <w:spacing w:after="0" w:line="195"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Any failure by us to comply with applicable environmental laws and regulations may result in governmental authorities taking actions against our business that could adversely impact our business and results of operations, including the:</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 of administrative, civil and criminal penalties;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denial or revocation of permits or other authorizations;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 or cessation of operations;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of site investigatory, remedial or other corrective actions.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be exposed to certain regulatory and financial risks related to climate change.</w:t>
      </w:r>
    </w:p>
    <w:p>
      <w:pPr>
        <w:spacing w:after="0" w:line="22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Climate change is receiving increasing attention from the media, scientists and legislators alike. The debate is ongoing as to the extent to which our climate is changing, the potential causes of any change and its potential impacts. Some attribute climate change to increased levels of greenhouse gases, including carbon dioxide, which has led to significant legislative and regulatory efforts to limit greenhouse gas emissions. Significant focus is being made on companies that are active producers of fossil fuels.</w:t>
      </w:r>
    </w:p>
    <w:p>
      <w:pPr>
        <w:spacing w:after="0" w:line="187"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Efforts have been made and continue to be made in the international community toward the adoption of international treaties or protocols that would address global climate change issues and impose reductions of hydrocarbon-based fuels, including plans developed in connection with the Paris climate conference in December 2015 and the Katowice climate conference in December 2018. There are a number of legislative and regulatory proposals to address greenhouse gas emissions, including increased fuel efficiency standards, carbon taxes or cap and trade systems, restrictive permitting, and incentives for renewable energy, which are in various phases of discussion or implementation. The outcome of Canadian, Australian and U.S. federal, regional, provincial and state actions to address global climate change could result in a variety of regulatory programs including potential new regulations, additional charges to fund energy efficiency activities, or other regulatory actions. These actions could: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 in the cessation of our customers operations and therefore the demand for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 in increased costs associated with our operations and our customers’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other costs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demand for carbon-based fuels;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demand for our services.</w:t>
      </w:r>
    </w:p>
    <w:p>
      <w:pPr>
        <w:spacing w:after="0" w:line="225"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Any adoption of these or similar proposals by Canadian, Australian, U.S. federal, regional, provincial or state governments mandating a substantial reduction in greenhouse gas emissions could have far-reaching and significant impacts on the energy industry, including negatively impacting the price of oil relative to other energy sources, reducing demand for hydrocarbons and other minerals or limiting drilling or mining in the areas in which we operate. Although it is not possible at this time to predict how legislation or new regulations that may be adopted to address greenhouse gas emissions would impact our business, any such future laws and regulations could result in increased compliance costs or additional operating restrictions, and could have a material adverse effect on our business or demand for our services. 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See Item 1. “Business-Government Regulation” of this annual report for a more detailed description of our climate-change related risks.</w:t>
      </w:r>
    </w:p>
    <w:p>
      <w:pPr>
        <w:spacing w:after="0" w:line="169"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b w:val="1"/>
          <w:bCs w:val="1"/>
          <w:i w:val="1"/>
          <w:iCs w:val="1"/>
          <w:color w:val="auto"/>
        </w:rPr>
        <w:t>The cyclical nature of our business and a severe prolonged downturn has and could in the future negatively affect the value of our goodwill and long-lived assets.</w:t>
      </w:r>
    </w:p>
    <w:p>
      <w:pPr>
        <w:spacing w:after="0" w:line="170"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As of December 31, 2019, goodwill at our Canadian reporting unit represented 11% of total assets, or $102.2 million, and goodwill at our Australian reporting unit represented 1% of total assets, or $7.9 million. We have recorded goodwill because we paid more for two of our businesses that we acquired than the fair market value of the tangible and separately measurable intangible net assets of those businesses. We evaluate goodwill for impairment annually and when an event occurs or circumstances change to suggest that the carrying amount may not be recoverable. With the extended period and depth of the current downturn, we have impaired our goodwill and long-term assets in the past. We may recognize impairment losses on our current goodwill value in the future if, among other factors:</w:t>
      </w:r>
    </w:p>
    <w:p>
      <w:pPr>
        <w:spacing w:after="0" w:line="193" w:lineRule="exact"/>
        <w:rPr>
          <w:sz w:val="20"/>
          <w:szCs w:val="20"/>
          <w:color w:val="auto"/>
        </w:rPr>
      </w:pPr>
    </w:p>
    <w:p>
      <w:pPr>
        <w:ind w:left="660" w:right="1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global economic conditions remain depressed or further deteriorate, including a further decrease in the price of or demand for oil, coal, natural gas, iron ore and other minerals;</w:t>
      </w:r>
    </w:p>
    <w:p>
      <w:pPr>
        <w:spacing w:after="0" w:line="170" w:lineRule="exact"/>
        <w:rPr>
          <w:rFonts w:ascii="Arial" w:cs="Arial" w:eastAsia="Arial" w:hAnsi="Arial"/>
          <w:sz w:val="18"/>
          <w:szCs w:val="18"/>
          <w:color w:val="auto"/>
        </w:rPr>
      </w:pPr>
    </w:p>
    <w:p>
      <w:pPr>
        <w:ind w:left="660" w:right="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outlook for future profits and cash flow for our Canadian and Australian reporting units deteriorates as the result of many possible factors, including, but not limited to, increased or unanticipated competition, technology becoming obsolete, need to satisfy changes in customers’ accommodations requirements, further reductions in customer capital spending plans, loss of key personnel, adverse legal or regulatory judgment(s), future operating losses at a reporting unit, downward forecast revisions or restructuring plans or if certain of our customers do not reach positive final investment decisions on projects with respect to which we have been awarded contracts to provide related accommodation, which may cause those customers to terminate the contracts;</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equity or debt capital increase;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valuations for comparable public companies or comparable acquisition valuations deteriorate.</w:t>
      </w:r>
    </w:p>
    <w:p>
      <w:pPr>
        <w:spacing w:after="0" w:line="225"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In addition, we recorded impairments of our long-lived assets of $6.2 million, $28.7 million and $31.6 million in 2019, 2018 and 2017, respectively. We also recorded goodwill impairments of $19.9 million in 2019. Extended periods of limited or no activity by our customers at our lodges or villages could require us to record further impairment charges equal to the excess of the carrying value of the lodges or villages over fair value or could result in an impairment to our goodwill balance.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Our inability to control the inherent risks of identifying, acquiring and integrating businesses that we may acquire, including any related increases in debt or issuances of equity securities, could adversely affect our operations.</w:t>
      </w:r>
    </w:p>
    <w:p>
      <w:pPr>
        <w:spacing w:after="0" w:line="170"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Acquisitions have been, and our management believes acquisitions will continue to be, a key element of our growth strategy. We may not be able to identify and acquire acceptable acquisition candidates on favorable terms in the future. We may be required to incur substantial indebtedness to finance future acquisitions and also may issue equity securities in connection with such acquisitions. Such additional debt service requirements could impose a significant burden on our results of operations and financial condition. The issuance of additional equity securities could result in significant dilution to shareholders. In addition, overpayment of an acquisition could cause potential impairments which could affect our results of operations.</w:t>
      </w:r>
    </w:p>
    <w:p>
      <w:pPr>
        <w:spacing w:after="0" w:line="17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expect to gain certain business, financial and strategic advantages as a result of business combinations we undertake, including synergies and operating efficiencies. Our forward-looking statements assume that we will successfully integrate our business acquisitions and realize these intended benefits. The success of any acquisitions we make depends, in large part, on our ability to realize the anticipated benefits, including operating synergies from combining our businesses, which were previously operated independently, and retaining and integrating key employees, vendors and customers from the acquired businesses. An inability to realize expected strategic advantages as a result of the acquisition would negatively affect the anticipated benefits of the acquisition.</w:t>
      </w:r>
    </w:p>
    <w:p>
      <w:pPr>
        <w:spacing w:after="0" w:line="193"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Additionally, an acquisition may bring us into businesses we have not previously conducted and expose us to additional business risks that are different from those we have previously experienced. Our future success depends, in part, upon our ability to manage this expanded business, which will pose substantial challenges for our management, including challenges related to the management and monitoring of new operations and associated increased costs and complexity. If we fail to manage any of these risks successfully, our business could be harmed. Our capitalization and results of operations may change significantly following an acquisition, and our shareholders may not have the opportunity to evaluate the economic, financial and other relevant information that we will consider in evaluating future acquisitions.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Failure to maintain positive relationships with the indigenous people in the areas where we operate could adversely affect our business.</w:t>
      </w:r>
    </w:p>
    <w:p>
      <w:pPr>
        <w:spacing w:after="0" w:line="24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A component of our business strategy is based on developing and maintaining positive relationships with the indigenous people and communities in the areas where we operate. These relationships are important to our operations and customers who desire to work on traditional aboriginal lands. The inability to develop and maintain relationships and to be in compliance with local requirements could have an adverse effect on our business and results of operations.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operate in a highly competitive industry, and if we fail to compete effectively, our business will suffer.</w:t>
      </w:r>
    </w:p>
    <w:p>
      <w:pPr>
        <w:spacing w:after="0" w:line="225"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 workforce accommodation and hospitality industry in which we operate is highly competitive. To be successful, we must provide hospitality services that meet the specific needs of our customers at competitive prices. The principal competitive factors in the markets in which we operate are service quality and availability, price, technical knowledge and experience and reputation for safety. We compete with international and regional competitors, several of which are significantly larger than us. These competitors offer similar services in the geographic regions in which we operate. Many oil and gas and mining companies in our core markets own their own accommodations facilities, while others outsource all or part of their accommodations requirements. As a result of competition, we may be unable to continue to provide our present services, to provide such services at historical operating margins or to acquire additional business opportunities, which could have a material adverse effect on our business, financial condition, results of operations and cash flows. Reduced levels of activity in the workforce accommodation industry can intensify competition and result in lower revenue to us.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Construction risks exist which may adversely affect our results of operations.</w:t>
      </w:r>
    </w:p>
    <w:p>
      <w:pPr>
        <w:spacing w:after="0" w:line="225"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There are a number of general risks that might impinge on companies involved in the development, construction and installation of facilities as a prerequisite to the management of those assets in an operational sense. We might be exposed to these risks from time to time by relying on these corporations and/or other third parties which could include any and/or all of the following:</w:t>
      </w:r>
    </w:p>
    <w:p>
      <w:pPr>
        <w:spacing w:after="0" w:line="181" w:lineRule="exact"/>
        <w:rPr>
          <w:sz w:val="20"/>
          <w:szCs w:val="20"/>
          <w:color w:val="auto"/>
        </w:rPr>
      </w:pPr>
    </w:p>
    <w:p>
      <w:pPr>
        <w:jc w:val="center"/>
        <w:ind w:left="5620" w:right="140" w:hanging="5288"/>
        <w:spacing w:after="0" w:line="778"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construction activities of our accommodations are partially dependent on the supply of appropriate construction and development opportunities; 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 approvals, slow decision making by counterparties, complex construction specifications, changes to design briefs, legal issues and other documentation changes may give rise to delays in completion, loss of revenue and cost over-runs which may, in turn, result in termination of accommodation supply contracts;</w:t>
      </w:r>
    </w:p>
    <w:p>
      <w:pPr>
        <w:spacing w:after="0" w:line="181"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time delays that may arise in relation to construction and development include supply of labor, scarcity of construction materials, lower than expected productivity levels, inclement weather conditions, land contamination, cultural heritage claims, difficult site access or industrial relations issues;</w:t>
      </w:r>
    </w:p>
    <w:p>
      <w:pPr>
        <w:spacing w:after="0" w:line="181"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objections to our activities or those of our customers aired by aboriginal or community interests, environment and/or neighborhood groups which may cause delays in the granting or approvals and/or the overall progress of a project;</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where we assume design responsibility, there is a risk that design problems or defects may result in rectification and/or costs or liabilities which we cannot readily recover; and</w:t>
      </w:r>
    </w:p>
    <w:p>
      <w:pPr>
        <w:spacing w:after="0" w:line="170"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is a risk that we may fail to fulfill our statutory and contractual obligations in relation to the quality of our materials and workmanship, including warranties and defect liability obligations.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An accidental release of pollutants into the environment may cause us to incur significant costs and liabilities.</w:t>
      </w:r>
    </w:p>
    <w:p>
      <w:pPr>
        <w:spacing w:after="0" w:line="225"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There is inherent risk of environmental costs and liabilities in our business as a result of (1) our handling of petroleum hydrocarbons, (2) air emissions and waste water discharges related to our operations, and (3) historical industry operations and waste disposal practices. Certain environmental statutes impose joint and several strict liability for these costs. For example, an accidental release by us in the performance of services at one of our or our customers’ sites could subject us to substantial liabilities arising from environmental cleanup, restoration costs and natural resource damages, claims made by neighboring landowners and other third parties for personal injury and property damage and fines or penalties for related violations of environmental laws or regulations. We may not be able to recover some or any of these costs from insurance.</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indebtedness could restrict our operations and make us more vulnerable to adverse economic conditions.</w:t>
      </w:r>
    </w:p>
    <w:p>
      <w:pPr>
        <w:spacing w:after="0" w:line="225"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We currently have a substantial amount of indebtedness. As of December 31, 2019, we had approximately $225.0 million outstanding under the term loan portion of our credit agreement (as amended from time to time, the Credit Agreement), $134.1 million outstanding under the revolving portion of the Credit Agreement, $2.0 million of outstanding letters of credit and capacity to borrow an additional $120.8 million under the revolving portion of the Credit Agreement. As of December 31, 2019, $6.6 million of our borrowing capacity under the Credit Agreement could not be utilized in order to maintain compliance with the maximum leverage ratio financial covenant in the Credit Agreement.</w:t>
      </w:r>
    </w:p>
    <w:p>
      <w:pPr>
        <w:spacing w:after="0" w:line="188"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Credit Agreement contains, and any future indebtedness we incur may contain, a number of restrictive covenants that will impose significant operating and financial restrictions on us. Specifically, we must maintain an interest coverage ratio, defined as the ratio of consolidated EBITDA (as defined in the Credit Agreement) to consolidated interest expense, of at least 3.0 to 1.0 and our maximum leverage ratio, defined as the ratio of total debt to consolidated EBITDA, of no greater than 4.00 to 1.0 (as of December 31, 2019). Each of the factors considered in the calculations of these ratios are defined in the Credit Agreement. EBITDA and consolidated interest, as defined, exclude goodwill and asset impairments, debt discount amortization and other non-cash charges. Borrowings outstanding under the Credit Agreement mature in November 2021, except for two non-extending lenders whose borrowings outstanding mature in November 2020. If market or other economic conditions remain depressed or further deteriorate, our borrowing capacity may be further reduced.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permitted level of the maximum leverage ratio changes over time, as illustrated in the table below.</w:t>
      </w:r>
    </w:p>
    <w:p>
      <w:pPr>
        <w:spacing w:after="0" w:line="154"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Period Ended</w:t>
            </w:r>
          </w:p>
        </w:tc>
        <w:tc>
          <w:tcPr>
            <w:tcW w:w="4200" w:type="dxa"/>
            <w:vAlign w:val="bottom"/>
            <w:gridSpan w:val="3"/>
          </w:tcPr>
          <w:p>
            <w:pPr>
              <w:jc w:val="center"/>
              <w:ind w:left="1730"/>
              <w:spacing w:after="0"/>
              <w:rPr>
                <w:sz w:val="20"/>
                <w:szCs w:val="20"/>
                <w:color w:val="auto"/>
              </w:rPr>
            </w:pPr>
            <w:r>
              <w:rPr>
                <w:rFonts w:ascii="Arial" w:cs="Arial" w:eastAsia="Arial" w:hAnsi="Arial"/>
                <w:sz w:val="18"/>
                <w:szCs w:val="18"/>
                <w:b w:val="1"/>
                <w:bCs w:val="1"/>
                <w:color w:val="auto"/>
                <w:w w:val="93"/>
              </w:rPr>
              <w:t>Maximum Leverage Ratio</w:t>
            </w:r>
          </w:p>
        </w:tc>
      </w:tr>
      <w:tr>
        <w:trPr>
          <w:trHeight w:val="48"/>
        </w:trPr>
        <w:tc>
          <w:tcPr>
            <w:tcW w:w="10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r>
      <w:tr>
        <w:trPr>
          <w:trHeight w:val="250"/>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December 31,</w:t>
            </w:r>
          </w:p>
        </w:tc>
        <w:tc>
          <w:tcPr>
            <w:tcW w:w="1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gridSpan w:val="2"/>
            <w:shd w:val="clear" w:color="auto" w:fill="CCEEFF"/>
          </w:tcPr>
          <w:p>
            <w:pPr>
              <w:jc w:val="center"/>
              <w:ind w:left="1930"/>
              <w:spacing w:after="0"/>
              <w:rPr>
                <w:sz w:val="20"/>
                <w:szCs w:val="20"/>
                <w:color w:val="auto"/>
              </w:rPr>
            </w:pPr>
            <w:r>
              <w:rPr>
                <w:rFonts w:ascii="Arial" w:cs="Arial" w:eastAsia="Arial" w:hAnsi="Arial"/>
                <w:sz w:val="18"/>
                <w:szCs w:val="18"/>
                <w:color w:val="auto"/>
                <w:w w:val="89"/>
              </w:rPr>
              <w:t>4.00 : 1.00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gridSpan w:val="4"/>
          </w:tcPr>
          <w:p>
            <w:pPr>
              <w:ind w:left="40"/>
              <w:spacing w:after="0"/>
              <w:rPr>
                <w:sz w:val="20"/>
                <w:szCs w:val="20"/>
                <w:color w:val="auto"/>
              </w:rPr>
            </w:pPr>
            <w:r>
              <w:rPr>
                <w:rFonts w:ascii="Arial" w:cs="Arial" w:eastAsia="Arial" w:hAnsi="Arial"/>
                <w:sz w:val="18"/>
                <w:szCs w:val="18"/>
                <w:color w:val="auto"/>
                <w:w w:val="90"/>
              </w:rPr>
              <w:t>March 31, 2020, June 30, 2020 &amp; September 30, 2020</w:t>
            </w:r>
          </w:p>
        </w:tc>
        <w:tc>
          <w:tcPr>
            <w:tcW w:w="4020" w:type="dxa"/>
            <w:vAlign w:val="bottom"/>
            <w:gridSpan w:val="2"/>
          </w:tcPr>
          <w:p>
            <w:pPr>
              <w:jc w:val="center"/>
              <w:ind w:left="1930"/>
              <w:spacing w:after="0"/>
              <w:rPr>
                <w:sz w:val="20"/>
                <w:szCs w:val="20"/>
                <w:color w:val="auto"/>
              </w:rPr>
            </w:pPr>
            <w:r>
              <w:rPr>
                <w:rFonts w:ascii="Arial" w:cs="Arial" w:eastAsia="Arial" w:hAnsi="Arial"/>
                <w:sz w:val="18"/>
                <w:szCs w:val="18"/>
                <w:color w:val="auto"/>
                <w:w w:val="89"/>
              </w:rPr>
              <w:t>3.75 : 1:00</w:t>
            </w:r>
          </w:p>
        </w:tc>
        <w:tc>
          <w:tcPr>
            <w:tcW w:w="180" w:type="dxa"/>
            <w:vAlign w:val="bottom"/>
          </w:tcPr>
          <w:p>
            <w:pPr>
              <w:spacing w:after="0"/>
              <w:rPr>
                <w:sz w:val="21"/>
                <w:szCs w:val="21"/>
                <w:color w:val="auto"/>
              </w:rPr>
            </w:pPr>
          </w:p>
        </w:tc>
      </w:tr>
      <w:tr>
        <w:trPr>
          <w:trHeight w:val="27"/>
        </w:trPr>
        <w:tc>
          <w:tcPr>
            <w:tcW w:w="1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December 31,</w:t>
            </w:r>
          </w:p>
        </w:tc>
        <w:tc>
          <w:tcPr>
            <w:tcW w:w="2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2020 &amp; thereafter</w:t>
            </w:r>
          </w:p>
        </w:tc>
        <w:tc>
          <w:tcPr>
            <w:tcW w:w="4020" w:type="dxa"/>
            <w:vAlign w:val="bottom"/>
            <w:tcBorders>
              <w:bottom w:val="single" w:sz="8" w:color="CCEEFF"/>
            </w:tcBorders>
            <w:gridSpan w:val="2"/>
            <w:shd w:val="clear" w:color="auto" w:fill="CCEEFF"/>
          </w:tcPr>
          <w:p>
            <w:pPr>
              <w:jc w:val="center"/>
              <w:ind w:left="1930"/>
              <w:spacing w:after="0"/>
              <w:rPr>
                <w:sz w:val="20"/>
                <w:szCs w:val="20"/>
                <w:color w:val="auto"/>
              </w:rPr>
            </w:pPr>
            <w:r>
              <w:rPr>
                <w:rFonts w:ascii="Arial" w:cs="Arial" w:eastAsia="Arial" w:hAnsi="Arial"/>
                <w:sz w:val="18"/>
                <w:szCs w:val="18"/>
                <w:color w:val="auto"/>
                <w:w w:val="89"/>
              </w:rPr>
              <w:t>3.50 : 1.00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648"/>
        </w:trPr>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jc w:val="right"/>
              <w:ind w:right="1710"/>
              <w:spacing w:after="0"/>
              <w:rPr>
                <w:sz w:val="20"/>
                <w:szCs w:val="20"/>
                <w:color w:val="auto"/>
              </w:rPr>
            </w:pPr>
            <w:r>
              <w:rPr>
                <w:rFonts w:ascii="Arial" w:cs="Arial" w:eastAsia="Arial" w:hAnsi="Arial"/>
                <w:sz w:val="18"/>
                <w:szCs w:val="18"/>
                <w:color w:val="auto"/>
                <w:w w:val="89"/>
              </w:rPr>
              <w:t>32</w:t>
            </w: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486"/>
        <w:spacing w:after="0" w:line="308" w:lineRule="auto"/>
        <w:rPr>
          <w:sz w:val="20"/>
          <w:szCs w:val="20"/>
          <w:color w:val="auto"/>
        </w:rPr>
      </w:pPr>
      <w:r>
        <w:rPr>
          <w:rFonts w:ascii="Arial" w:cs="Arial" w:eastAsia="Arial" w:hAnsi="Arial"/>
          <w:sz w:val="17"/>
          <w:szCs w:val="17"/>
          <w:color w:val="auto"/>
        </w:rPr>
        <w:t>Our level of indebtedness may adversely affect our operations and limit our growth, and we may have difficulty making debt service payments on our indebtedness as such payments become due. Our level of indebtedness may affect our operations in several ways, including the following:</w:t>
      </w:r>
    </w:p>
    <w:p>
      <w:pPr>
        <w:spacing w:after="0" w:line="14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indebtedness may increase our vulnerability to general adverse economic and industry conditions;</w:t>
      </w:r>
    </w:p>
    <w:p>
      <w:pPr>
        <w:spacing w:after="0" w:line="225" w:lineRule="exact"/>
        <w:rPr>
          <w:rFonts w:ascii="Arial" w:cs="Arial" w:eastAsia="Arial" w:hAnsi="Arial"/>
          <w:sz w:val="18"/>
          <w:szCs w:val="18"/>
          <w:color w:val="auto"/>
        </w:rPr>
      </w:pPr>
    </w:p>
    <w:p>
      <w:pPr>
        <w:ind w:left="980" w:right="8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covenants contained in the Credit Agreement limit our ability to borrow funds, dispose of assets, pay dividends and make certain investments;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debt covenants also affect our flexibility in planning for, and reacting to, changes in the economy and in its industry; and</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indebtedness could impair our ability to obtain additional financing in the future for working capital, capital expenditures, acquisitions or other general corporate purposes.</w:t>
      </w:r>
    </w:p>
    <w:p>
      <w:pPr>
        <w:spacing w:after="0" w:line="170"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Our ability to service our debt, including repaying outstanding borrowings under our Credit Agreement at maturity, will depend upon, among other things, our future financial and operating performance, which will be affected by prevailing economic conditions and financial, business, regulatory and other factors, some of which are beyond our control. If our business does not generate sufficient cash flows from operations to enable us to meet our obligations under our indebtedness, we will be forced to take actions such as reducing or delaying business activities, acquisitions, investments and/or capital expenditures, selling assets, restructuring or refinancing our indebtedness or seeking additional equity capital. We may not be able to effect any of these remedies on satisfactory terms or at all, which could have a material adverse effect on our business, financial condition, results of operations and cash flows.</w:t>
      </w:r>
    </w:p>
    <w:p>
      <w:pPr>
        <w:spacing w:after="0" w:line="16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Additionally, our ability to comply with some of the covenants, ratios or tests contained in the Credit Agreement may be affected by events beyond our control and, as a result, we may be unable to meet these ratios and financial condition tests. These financial ratio restrictions and financial condition tests could limit our ability to obtain future financings, make needed capital expenditures, withstand a continued downturn in our business or a downturn in the economy in general or otherwise conduct necessary corporate activities. Declines in commodity prices, or a prolonged period of commodity prices at depressed levels, could eventually result in our failing to meet one or more of the financial covenants under the Credit Agreement, which could require us to refinance or amend such obligations resulting in the payment of consent fees or higher interest rates, or require us to raise additional capital at an inopportune time or on terms not favorable to us.</w:t>
      </w:r>
    </w:p>
    <w:p>
      <w:pPr>
        <w:spacing w:after="0" w:line="189"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may not be able to reduce our indebtedness to comply with these covenants. A failure to comply with these covenants, ratios or tests could result in an event of default. A default under the Credit Agreement, if not cured or waived, could result in acceleration of all indebtedness outstanding thereunder. The accelerated debt would become immediately due and payable. If that should occur, we may be unable to pay all such debt or to borrow sufficient funds to refinance it. Even if new financing were then available, it may not be on terms that are acceptable to us. In addition, in the event of an event of default under the Credit Agreement, the lenders could foreclose on the collateral securing the credit facility and require repayment of all borrowings outstanding. If the amounts outstanding under the credit facility or any of our other indebtedness were to be accelerated, our assets may not be sufficient to repay in full the money owed to the lenders or to our other debt holders. Moreover, any new indebtedness we incur may impose financial restrictions and other covenants on us that may be more restrictive than our existing debt agreements.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have adequate insurance for potential liabilities and insurance may not cover certain liabilities, including litigation.</w:t>
      </w:r>
    </w:p>
    <w:p>
      <w:pPr>
        <w:spacing w:after="0" w:line="225" w:lineRule="exact"/>
        <w:rPr>
          <w:sz w:val="20"/>
          <w:szCs w:val="20"/>
          <w:color w:val="auto"/>
        </w:rPr>
      </w:pPr>
    </w:p>
    <w:p>
      <w:pPr>
        <w:ind w:right="120" w:firstLine="486"/>
        <w:spacing w:after="0" w:line="288" w:lineRule="auto"/>
        <w:rPr>
          <w:sz w:val="20"/>
          <w:szCs w:val="20"/>
          <w:color w:val="auto"/>
        </w:rPr>
      </w:pPr>
      <w:r>
        <w:rPr>
          <w:rFonts w:ascii="Arial" w:cs="Arial" w:eastAsia="Arial" w:hAnsi="Arial"/>
          <w:sz w:val="16"/>
          <w:szCs w:val="16"/>
          <w:color w:val="auto"/>
        </w:rPr>
        <w:t>Our operations are subject to many hazards. In the ordinary course of business, we become the subject of various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the activities of businesses that we have acquired, even though these activities may have occurred prior to our acquisition of such businesses. We maintain insurance to cover many of our potential losses, and we are subject to various self-retentions and deductibles under our insurance policies. It is possible, however, that a judgment could be rendered against us in cases in which we could be uninsured and beyond the amounts that we currently have reserved or anticipate incurring for such matters. Even a partially uninsured or underinsured claim, if successful and of significant size, could have a material adverse effect on our results of operations or consolidated financial position. In addition, we are insured under the insurance policies of Oil States International, Inc. (Oil States) for occurrences prior to the completion of our spin-off from Oil States in May 2014 (the Spin-Off). The specifications and insured limits under those policies, however, may be insufficient for such claims. We also face the following other risks related to our insurance coverage:</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continue to obtain insurance on commercially reasonable terms;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counterparties to our insurance contracts may pose credit risks;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incur losses from interruption of our business that exceed our insurance coverage.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Employee and customer labor problems could adversely affect us.</w:t>
      </w:r>
    </w:p>
    <w:p>
      <w:pPr>
        <w:spacing w:after="0" w:line="225"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As of December 31, 2019, we were party to collective bargaining agreements covering approximately 1,200 employees in Canada and 550 employees in Australia. Efforts have been made from time to time to unionize other portions of our workforce. In addition, our facilities serving oil sands development work in Northern Alberta, Canada and mining operations in Australia house both union and non-union customer employees. We have not experienced strikes, work stoppages or other slowdowns in the past, but we cannot guarantee that we will not experience such events in the future. A prolonged strike, work stoppage or other slowdown by our employees or by the employees of our customers could cause us to experience a disruption of our operations, which could adversely affect our business and results of operations. Additional unionization efforts and new collective bargaining agreements also could materially increase our costs, reduce our revenues or limit our flexibility. Collective bargaining agreements in our Canadian operations have individual expiration dates, extending in some cases to 2023. Enterprise bargaining agreements in our Australian operations cover certain employees working at our villages in Queensland, New South Wales and Western Australia, as well as certain employees working at Action's customer sites in Western Australia. These agreements have individual expiration dates, extending in some cases to 2022.</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operations may suffer due to increased industry-wide capacity of certain types of assets.</w:t>
      </w:r>
    </w:p>
    <w:p>
      <w:pPr>
        <w:spacing w:after="0" w:line="225"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The demand for and/or pricing of rooms and accommodation services is subject to the overall availability of rooms in the marketplace. If demand for our assets were to decrease, or to the extent that we and our competitors increase our capacity in excess of current demand, we may encounter decreased pricing for or utilization of our assets and services, which could adversely impact our operations and profits. Due to the sustained low commodity prices throughout 2016 and 2017 and into 2018, customer demand for accommodations in those areas has decreased significantly, and we have experienced a corresponding significant decrease in our occupancy and profitability.</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land banking activities may not be successful.</w:t>
      </w:r>
    </w:p>
    <w:p>
      <w:pPr>
        <w:spacing w:after="0" w:line="225"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Our land banking activities are focused on investing early in land in order to gain a strategic, early mover advantage in an emerging region or resource play. However, we cannot assure you that all land that we purchase or lease will be in a region in which our customers require our services in the future. We also cannot assure you that the property acquired by us will be profitably developed. Our land banking activities involve significant risks that could adversely affect our financial condition, results of operations, cash flow and the market price of our securities, which include the following risks:</w:t>
      </w:r>
    </w:p>
    <w:p>
      <w:pPr>
        <w:spacing w:after="0" w:line="154" w:lineRule="exact"/>
        <w:rPr>
          <w:sz w:val="20"/>
          <w:szCs w:val="20"/>
          <w:color w:val="auto"/>
        </w:rPr>
      </w:pPr>
    </w:p>
    <w:p>
      <w:pPr>
        <w:ind w:left="660" w:right="8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incur costs to acquire land and/or construct assets without securing a customer contract or prior to finalization of an accommodations contract with a customer and, if the contract is not obtained or delayed, the resulting impact could result in an impairment of the related investment;</w:t>
      </w:r>
    </w:p>
    <w:p>
      <w:pPr>
        <w:spacing w:after="0" w:line="123" w:lineRule="exact"/>
        <w:rPr>
          <w:rFonts w:ascii="Arial" w:cs="Arial" w:eastAsia="Arial" w:hAnsi="Arial"/>
          <w:sz w:val="16"/>
          <w:szCs w:val="16"/>
          <w:color w:val="auto"/>
        </w:rPr>
      </w:pPr>
    </w:p>
    <w:p>
      <w:pPr>
        <w:ind w:left="660" w:right="5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the time between acquisition and use, and depending on adjacent uses of the land, the property may become unusable or require costly remediation efforts due to environmental damage;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obtain financing for development projects on favorable terms or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obtain, or may experience delays in obtaining governmental permits and authorizations;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 opportunities that we explore may be abandoned and the related investment impaired;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experience delays (temporary or permanent) if there is public, government or aboriginal opposition to our activities.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business could be negatively impacted by security threats, including cybersecurity threats and other disruptions.</w:t>
      </w:r>
    </w:p>
    <w:p>
      <w:pPr>
        <w:spacing w:after="0" w:line="225"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We face various security threats, including cybersecurity threats to gain unauthorized access to sensitive information or to render data or systems unusable or hold them for ransom; threats to the safety of our employees; threats to the security of our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facilities and infrastructure or third-party facilities and infrastructure; and threats from terrorist acts. In the past, we experienced a data security breach resulting from unauthorized access to our systems, which to date has not had a material impact on our operations; however, there is no assurance that such impacts will not be material in the future. Although we utilize various procedures and controls to monitor these threats and mitigate our exposure to such threats, there can be no assurance that these procedures and controls will be sufficient in preventing security threats from materializing. If any of these events were to materialize, they could lead to losses of sensitive information, critical infrastructure, personnel or capabilities essential to our operations and could have a material adverse effect on our reputation, financial position, results of operations or cash flows. Cybersecurity attacks in particular are evolving and include, but are not limited to, malicious software, attempts to gain unauthorized access to data and other electronic security breaches that could lead to disruptions in critical systems, unauthorized release of confidential or otherwise protected information and corruption of data.</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Loss of key members of our management could adversely affect our business.</w:t>
      </w:r>
    </w:p>
    <w:p>
      <w:pPr>
        <w:spacing w:after="0" w:line="225"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We depend on the continued employment and performance of key members of our management. If any of our key managers resign or become unable to continue in their present roles and are not adequately replaced, our business operations could be materially adversely affected. We do not maintain “key man” life insurance for any of our officers.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enforcement of civil liabilities against Civeo may be more difficult.</w:t>
      </w:r>
    </w:p>
    <w:p>
      <w:pPr>
        <w:spacing w:after="0" w:line="225"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Civeo is a British Columbia company and a substantial portion of our assets are located outside the U.S. As a result, investors could experience more difficulty enforcing judgments obtained against us in U.S. courts than would be the case for U.S. judgments obtained against a U.S. company. In addition, some claims may be more difficult to bring against Civeo in Canadian courts than it would be to bring similar claims against a U.S. company in a U.S. court.</w:t>
      </w:r>
    </w:p>
    <w:p>
      <w:pPr>
        <w:spacing w:after="0" w:line="147"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b w:val="1"/>
          <w:bCs w:val="1"/>
          <w:i w:val="1"/>
          <w:iCs w:val="1"/>
          <w:color w:val="auto"/>
        </w:rPr>
        <w:t>We may increase our debt or issue equity in the future, which could affect our financial condition, may decrease our profitability or could dilute our shareholders.</w:t>
      </w:r>
    </w:p>
    <w:p>
      <w:pPr>
        <w:spacing w:after="0" w:line="17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may increase our debt or issue equity in the future, subject to restrictions in our debt agreements and our ability to access the capital markets. If our cash flow from operations is less than we anticipate, or if our cash requirements are more than we expect, we may require more financing. However, debt or equity financing may not be available to us on terms acceptable to us, if at all. If we incur additional debt or raise equity through the issuance of our preferred shares, the terms of the debt or our preferred shares issued may give the holders rights, preferences and privileges senior to those of holders of our common shares, particularly in the event of liquidation. The terms of the debt may also impose additional and more stringent restrictions on our operations than we currently have. If we raise funds through the issuance of additional equity, holders of our common shares would be diluted. If we are unable to raise additional capital when needed, it could affect our financial health.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Shares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market price and trading volume of our common shares may be volatile.</w:t>
      </w:r>
    </w:p>
    <w:p>
      <w:pPr>
        <w:spacing w:after="0" w:line="225"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The market price of our common shares has historically experienced and may continue to experience volatility. For example, during 2018, the market price of our common shares ranged from a low of $1.12 per share to a high of $4.64 per share, and during 2019, the market price of our common shares ranged from a low of $0.75 per share to a high of $2.85 per share. From January 1, 2020 to February 21, 2020, the market price of our common shares has ranged between a low of $1.15 per share to a high of $1.54 per share. The market price of our common shares may be influenced by many factors, some of which are beyond our control, including those described above and the following:</w:t>
      </w:r>
    </w:p>
    <w:p>
      <w:pPr>
        <w:spacing w:after="0" w:line="17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financial estimates by analysts and our inability to meet those financial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joint marketing relationships, joint ventures or capital commitments;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variations in our quarterly operating results and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stock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our business and our industry, including those discussed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conditions or trends in our industry, markets 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sales of our common shares or other securities by us, members of our management team or our existing shareholders;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investor perceptions of the investment opportunity associated with our common shares relative to other investment alternatives.</w:t>
      </w:r>
    </w:p>
    <w:p>
      <w:pPr>
        <w:spacing w:after="0" w:line="225"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These broad market and industry factors may materially reduce the market price of our common shares, regardless of our operating performance. In addition, price volatility may be greater if the public float and trading volume of our common shares is low.</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financial position, cash flows, results of operations and share price could be materially adversely affected if</w:t>
      </w:r>
    </w:p>
    <w:p>
      <w:pPr>
        <w:spacing w:after="0" w:line="2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commodity prices do not improve or decline further. In addition, in recent years the stock market has experienced substantial price and volume fluctuations. This volatility has had a significant effect on the market prices of securities issued by many companies for reasons potentially unrelated to their operating performance. Our share price may experience substantial volatility due to uncertainty regarding commodity prices. These market fluctuations, regardless of the cause, may materially and adversely affect our share price, regardless of our operating results.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If we cannot meet the NYSE continued listing requirements, the NYSE may delist our common shares.</w:t>
      </w:r>
    </w:p>
    <w:p>
      <w:pPr>
        <w:spacing w:after="0" w:line="22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common shares are currently listed on the NYSE, and the continued listing of our common shares is subject to our compliance with a number of listing standards. To maintain compliance with these continued listing standards, we are required to maintain an average closing price of $1.00 or more over a consecutive 30 trading-day period. On November 27, 2019, we received a notice from the NYSE that the average closing price of our common shares over a 30 consecutive trading day period was below $1.00 per share, and, as a result, the price per share of the common shares was below the minimum average closing price required to maintain listing on the NYSE. On January 6, 2020, we were notified by the NYSE that we regained compliance with the NYSE continued listing standards after our average closing price for the 30 trading days ended December 31, 2019 and our closing price on December 31, 2019 both exceeded $1.00 per share.</w:t>
      </w:r>
    </w:p>
    <w:p>
      <w:pPr>
        <w:spacing w:after="0" w:line="189" w:lineRule="exact"/>
        <w:rPr>
          <w:sz w:val="20"/>
          <w:szCs w:val="20"/>
          <w:color w:val="auto"/>
        </w:rPr>
      </w:pPr>
    </w:p>
    <w:p>
      <w:pPr>
        <w:ind w:right="440" w:firstLine="486"/>
        <w:spacing w:after="0" w:line="342" w:lineRule="auto"/>
        <w:rPr>
          <w:sz w:val="20"/>
          <w:szCs w:val="20"/>
          <w:color w:val="auto"/>
        </w:rPr>
      </w:pPr>
      <w:r>
        <w:rPr>
          <w:rFonts w:ascii="Arial" w:cs="Arial" w:eastAsia="Arial" w:hAnsi="Arial"/>
          <w:sz w:val="16"/>
          <w:szCs w:val="16"/>
          <w:color w:val="auto"/>
        </w:rPr>
        <w:t>If we receive further notices from the NYSE that we have failed to maintain compliance of an NYSE continued listing standard, and fail to regain compliance of such standard during the applicable cure period, the NYSE may initiate procedures to suspend and delist our common shares.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delisting of our common shares could negatively impact us by, among other things:</w:t>
      </w:r>
    </w:p>
    <w:p>
      <w:pPr>
        <w:spacing w:after="0" w:line="22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reducing the liquidity and market price of our common shares;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reducing the number of investors, including institutional investors, willing to hold or acquire our common shares, which could negatively impact our ability to raise equity;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decreasing the amount of news and analyst coverage of us;</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our ability to issue additional securities, obtain additional financing or pursue strategic restructuring, refinancing or other transactions;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impacting our reputation and, as a consequence, our ability to attract new business.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rights of holders of our common shares are subordinate to the rights of the holders of our preferred shares.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holders of the preferred shares issued in the Noralta Acquisition have rights and preferences superior to those of the holders of our common shares.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rights include, among others:</w:t>
      </w:r>
    </w:p>
    <w:p>
      <w:pPr>
        <w:spacing w:after="0" w:line="211" w:lineRule="exact"/>
        <w:rPr>
          <w:sz w:val="20"/>
          <w:szCs w:val="20"/>
          <w:color w:val="auto"/>
        </w:rPr>
      </w:pPr>
    </w:p>
    <w:p>
      <w:pPr>
        <w:ind w:left="5620" w:right="1900" w:hanging="4964"/>
        <w:spacing w:after="0" w:line="778" w:lineRule="auto"/>
        <w:tabs>
          <w:tab w:leader="none" w:pos="9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 to receive a liquidation preference prior to any distribution of our assets to the holders of our common shares; 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 to receive a 2% annual dividend, paid quarterly in cash or, at our option, by increasing the preferred shares’ liquidation preference, or any combination thereof; and</w:t>
      </w:r>
    </w:p>
    <w:p>
      <w:pPr>
        <w:spacing w:after="0" w:line="170" w:lineRule="exact"/>
        <w:rPr>
          <w:rFonts w:ascii="Arial" w:cs="Arial" w:eastAsia="Arial" w:hAnsi="Arial"/>
          <w:sz w:val="18"/>
          <w:szCs w:val="18"/>
          <w:color w:val="auto"/>
        </w:rPr>
      </w:pPr>
    </w:p>
    <w:p>
      <w:pPr>
        <w:ind w:left="980" w:right="140" w:hanging="324"/>
        <w:spacing w:after="0" w:line="308"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right to convert the preferred shares into common shares after two years from the closing of the Noralta Acquisition at an initial conversion price of $3.30 per common share, which may not be the fair market value of such shares at the time of conversion.</w:t>
      </w:r>
    </w:p>
    <w:p>
      <w:pPr>
        <w:spacing w:after="0" w:line="147"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if they adversely change their recommendations regarding our common shares or if our operating results do not meet their expectations, our share price could decline.</w:t>
      </w:r>
    </w:p>
    <w:p>
      <w:pPr>
        <w:spacing w:after="0" w:line="147" w:lineRule="exact"/>
        <w:rPr>
          <w:sz w:val="20"/>
          <w:szCs w:val="20"/>
          <w:color w:val="auto"/>
        </w:rPr>
      </w:pPr>
    </w:p>
    <w:p>
      <w:pPr>
        <w:ind w:right="340" w:firstLine="486"/>
        <w:spacing w:after="0" w:line="264" w:lineRule="auto"/>
        <w:rPr>
          <w:sz w:val="20"/>
          <w:szCs w:val="20"/>
          <w:color w:val="auto"/>
        </w:rPr>
      </w:pPr>
      <w:r>
        <w:rPr>
          <w:rFonts w:ascii="Arial" w:cs="Arial" w:eastAsia="Arial" w:hAnsi="Arial"/>
          <w:sz w:val="18"/>
          <w:szCs w:val="18"/>
          <w:color w:val="auto"/>
        </w:rPr>
        <w:t>The trading market for our common shares is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share price or trading volume to decline.</w:t>
      </w:r>
    </w:p>
    <w:p>
      <w:pPr>
        <w:spacing w:after="0" w:line="18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We are governed by the corporate laws in British Columbia, Canada which in some cases have a different effect on shareholders than the corporate laws in Delaware, United States.</w:t>
      </w:r>
    </w:p>
    <w:p>
      <w:pPr>
        <w:spacing w:after="0" w:line="170"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 xml:space="preserve">There are material differences between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(British Columbia) (BCBCA) as compared to the Delaware General Corporation Law (DGCL). For example, some of these material differences include the following: (a) for material corporate transactions (such as amalgamations, arrangements, the sale of all or substantially all of our undertaking, and other extraordinary corporate transactions) the BCBCA, subject to the provisions of our Articles, generally requires two-thirds majority vote by shareholders, whereas DGCL generally only requires a majority vote of shareholders for similar material corporate transactions; and (b) under the BCBCA a holder of 5% or more of our common shares can requisition a general meeting of shareholders for the purpose of transacting any business that may be transacted at a general meeting, whereas the DGCL does not give this right. We cannot predict if investors will find our common shares less attractive because of these material differences. If some investors find our common shares less attractive as a result, there may be a less active trading market for our common shares and our share price may be more volatile.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cannot assure you that we will pay dividends in the future, and our indebtedness could limit our ability to pay dividends on our common shares.</w:t>
      </w:r>
    </w:p>
    <w:p>
      <w:pPr>
        <w:spacing w:after="0" w:line="260"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We currently do not pay dividends.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on our common shares is limited by covenants in the Credit Agreement. Future agreements may also limit our ability to pay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See “Management’s Discussion and Analysis of Financial Condition and Results of Operations” in Item 7 of this annual report. There can be no assurance that we will pay a dividend in the future.</w:t>
      </w:r>
    </w:p>
    <w:p>
      <w:pPr>
        <w:spacing w:after="0" w:line="179"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b w:val="1"/>
          <w:bCs w:val="1"/>
          <w:i w:val="1"/>
          <w:iCs w:val="1"/>
          <w:color w:val="auto"/>
        </w:rPr>
        <w:t>Provisions contained in our articles and applicable Canadian and British Columbia laws could discourage a take-over attempt, which may reduce or eliminate the likelihood of a change of control transaction and, therefore, the ability of our shareholders to sell their shares for a premium.</w:t>
      </w:r>
    </w:p>
    <w:p>
      <w:pPr>
        <w:spacing w:after="0" w:line="124"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 xml:space="preserve">Provisions contained in our articles provide for a classified board of directors, limitations on the removal of directors, limitations on shareholder proposals at meetings of shareholders and limitations on shareholder action by written consent, which could make it more difficult for a third-party to acquire control of us. Our articles, subject to the corporate law of British Columbia, also authorize our board of directors to issue series of preferred shares without shareholder approval. If our board of directors elects to issue preferred shares, it could increase the difficulty for a third-party to acquire us, which may reduce or eliminate our shareholders’ ability to sell their common shares at a premium. In addition, in Canada, we may become subject to applicable securities laws, including National Instrument 62-104 </w:t>
      </w:r>
      <w:r>
        <w:rPr>
          <w:rFonts w:ascii="Arial" w:cs="Arial" w:eastAsia="Arial" w:hAnsi="Arial"/>
          <w:sz w:val="18"/>
          <w:szCs w:val="18"/>
          <w:i w:val="1"/>
          <w:iCs w:val="1"/>
          <w:color w:val="auto"/>
        </w:rPr>
        <w:t>Take-Over Bids and Issuer Bids</w:t>
      </w:r>
      <w:r>
        <w:rPr>
          <w:rFonts w:ascii="Arial" w:cs="Arial" w:eastAsia="Arial" w:hAnsi="Arial"/>
          <w:sz w:val="18"/>
          <w:szCs w:val="18"/>
          <w:color w:val="auto"/>
        </w:rPr>
        <w:t xml:space="preserve"> of the Canadian Securities Administrators, which provide a heightened threshold for shareholder acceptance of third-party acquisition offers and could discourage take-over attempts that could result in a premium over the market price for our common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firstLine="486"/>
        <w:spacing w:after="0" w:line="286" w:lineRule="auto"/>
        <w:rPr>
          <w:sz w:val="20"/>
          <w:szCs w:val="20"/>
          <w:color w:val="auto"/>
        </w:rPr>
      </w:pPr>
      <w:r>
        <w:rPr>
          <w:rFonts w:ascii="Arial" w:cs="Arial" w:eastAsia="Arial" w:hAnsi="Arial"/>
          <w:sz w:val="17"/>
          <w:szCs w:val="17"/>
          <w:color w:val="auto"/>
        </w:rPr>
        <w:t>As a British Columbia company, we may be subject to additional Canadian laws and regulations. The application of additional Canadian laws and regulations could make it more difficult for third parties to acquire control of us. For example, such laws and regulations may, depending on the circumstances, result in regulatory reviews of and may require regulatory approval for any proposed take-over attempts.</w:t>
      </w:r>
    </w:p>
    <w:p>
      <w:pPr>
        <w:spacing w:after="0" w:line="166"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Any of the foregoing could prevent or delay a change of control and may deprive or limit strategic opportunities for our shareholders to sell their common shares and/or affect the market price of our common shares.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the actions of activist shareholders.</w:t>
      </w:r>
    </w:p>
    <w:p>
      <w:pPr>
        <w:spacing w:after="0" w:line="225"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Publicly traded companies have increasingly become subject to campaigns by investors seeking to increase shareholder value by advocating corporate actions such as financial restructuring, increased borrowing, special dividends, share repurchases or even sales of assets or the entire company. It is possible activist shareholders may attempt to effect such changes or acquire control over us. Responding to proxy contests and other actions by such activist shareholders or others in the future would be costly and time-consuming, disrupt our operations and divert the attention of our board of directors and senior management from the pursuit of business strategies, which could adversely affect our results of operations and financial condition. Additionally, perceived uncertainties as to our future direction as a result of shareholder activism or changes to the composition of the board of directors may lead to the perception of a change in the direction of the business, instability or lack of continuity which may be exploited by our competitors, cause concern to our current or potential customers, and make it more difficult to attract and retain qualified personnel. If customers choose to delay, defer or reduce transactions with us or transact with our competitors instead of us because of any such issues, then our revenue, earnings and operating cash flows could be adversely affected.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Structure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subject to various Canadian and other taxes.</w:t>
      </w:r>
    </w:p>
    <w:p>
      <w:pPr>
        <w:spacing w:after="0" w:line="22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Our effective tax rates (including our Canadian tax rate) are dependent on a variety of factors, many of which are beyond our ability to control, such as changes in the rate of economic growth in Canada, the financial performance of our business in various jurisdictions, currency exchange rate fluctuations (especially between Canadian and U.S. dollars), and significant changes in trade, monetary or fiscal policies of Canada, including changes in interest rates, withholding taxes, tax treaties and federal and provincial tax rates generally. The impact of these factors, individually and in the aggregate, is difficult to predict, in part because the occurrence of the events or circumstances described in such factors may be (and, in fact, often seem to be) interrelated, and the impact to us of the occurrence of any one of these events or circumstances could be compounded or, alternatively, reduced, offset, or more than offset, by the occurrence of one or more of the other events or circumstances described in such factors.</w:t>
      </w:r>
    </w:p>
    <w:p>
      <w:pPr>
        <w:spacing w:after="0" w:line="178"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 xml:space="preserve">Canada’s tax rules under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(the Canadian Tax Act) allow for favorable tax treatment insofar as the repatriation of certain dividends from foreign affiliates. These tax rules are complicated and could change over time. Any such changes could have a material impact on our overall tax rate.</w:t>
      </w:r>
    </w:p>
    <w:p>
      <w:pPr>
        <w:spacing w:after="0" w:line="181"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Canada has also introduced tax rules governing “foreign affiliate dumping” in the Canadian Tax Act that can have adverse tax consequences for Canadian corporations that are controlled by non-Canadian corporations in respect of non-Canadian business activities and investments. These rules would have a negative impact on us to the extent that we became controlled by a non-Canadian resident corporation.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remain subject to changes in tax law (in various jurisdictions) and other factors that could impact our effective tax rate.</w:t>
      </w:r>
    </w:p>
    <w:p>
      <w:pPr>
        <w:spacing w:after="0" w:line="225"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The tax laws of Canada, Australia and the U.S. could change in the future, and such changes could cause a material change in our effective corporate tax rate. As a result, our actual effective tax rate may be materially different from our expectation. Our provision for income taxes will be based on certain estimates and assumptions made by management in consultation with our tax and other advisors. Our consolidated income tax rate will be affected by the amount of net income earned in Canada and our other operating jurisdictions, the availability of future taxable income, the availability of benefits under tax treaties, and the rates of taxes payable in respect of that income. We will enter into many transactions and arrangements in the ordinary course of business in respect of which the tax treatment is not entirely certain. We will therefore make estimates and judgments based on our knowledge and understanding of applicable tax laws and tax treaties, and the application of those tax laws and tax treaties to our business, in determining our consolidated tax provision. The final outcome of any audits by taxation authorities may differ from the estimates and assumptions we may use in determining our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consolidated tax provisions and accruals. This could result in a material adverse effect on our consolidated income tax provision, financial condition and the net income for the period in which such determinations are made.</w:t>
      </w:r>
    </w:p>
    <w:p>
      <w:pPr>
        <w:spacing w:after="0" w:line="170"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b w:val="1"/>
          <w:bCs w:val="1"/>
          <w:i w:val="1"/>
          <w:iCs w:val="1"/>
          <w:color w:val="auto"/>
        </w:rPr>
        <w:t>The Canada Revenue Agency (CRA) may disagree with our conclusions on tax treatment and the CRA has not provided (and we have not requested) a ruling on the Canadian tax aspects of our redomestication.</w:t>
      </w:r>
    </w:p>
    <w:p>
      <w:pPr>
        <w:spacing w:after="0" w:line="170"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We completed our redomestication from Delaware to British Columbia, Canada in 2015 (the Redomicile Transaction). We do not believe that the Redomicile Transaction resulted in any material Canadian federal income tax liability to us; however, the CRA did not provide (and we did not request) a ruling on the Canadian tax aspects of the Redomicile Transaction, and there can be no assurance that the CRA will agree with our interpretation of the tax aspects of the Redomicile Transaction or any related matters associated therewith. If the CRA were to disagree with our views about the tax implications of the Redomicile Transaction, it could take the position that material Canadian federal income tax liabilities or amounts on account thereof are payable by us as a result of the Redomicile Transaction, in which case, we expect that we would contest such assessment. To contest such assessment, we would be required to remit cash equal to half of the amount in dispute, or provide security acceptable to the CRA, to prevent the CRA from seeking enforcement actions pending the dispute of such assessment. If we were unsuccessful in disputing the assessment, the implications could be materially adverse to us. The CRA has not provided (and we have not requested) a ruling on the Canadian tax aspects of the Redomicile Transaction. There can be no assurance that the CRA will agree with our interpretation of the tax aspects of the Redomicile Transaction or any related matters associated therewith.</w:t>
      </w:r>
    </w:p>
    <w:p>
      <w:pPr>
        <w:spacing w:after="0" w:line="169"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b w:val="1"/>
          <w:bCs w:val="1"/>
          <w:i w:val="1"/>
          <w:iCs w:val="1"/>
          <w:color w:val="auto"/>
        </w:rPr>
        <w:t>The Internal Revenue Service (IRS) may not agree with the conclusion that we should be treated as a foreign corporation for U.S. federal tax purposes, and no ruling has been sought from the IRS.</w:t>
      </w:r>
    </w:p>
    <w:p>
      <w:pPr>
        <w:spacing w:after="0" w:line="170"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For U.S. federal income tax purposes, a corporation generally is considered a tax resident in the jurisdiction of its organization or incorporation. Because we are a British Columbia incorporated entity following the Redomicile Transaction, we generally will be classified as a foreign corporation (and, therefore, a non-U.S. tax resident) under U.S. federal income tax law, and we believe that we are properly classified as a foreign corporation (that is a non-U.S. tax resident) for purposes of U.S. federal income tax law. Even so, the IRS may assert that we should be treated as a U.S. corporation (and, therefore, a U.S. tax resident) for U.S. federal income tax purposes pursuant to Section 7874 of the Internal Revenue Code. If it were determined that we should be taxed as a U.S. corporation for U.S. federal income tax purposes, we could be liable for substantial additional U.S. federal income taxes.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Future potential changes to U.S. tax laws could result in Civeo being treated as a U.S. corporation for U.S. federal income tax purposes.</w:t>
      </w:r>
    </w:p>
    <w:p>
      <w:pPr>
        <w:spacing w:after="0" w:line="248"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Although, as noted above, we believe that we are treated as a foreign corporation for U.S. federal income tax purposes, changes to Section 7874 of the Internal Revenue Code or the U.S. Treasury regulations promulgated thereunder or official interpretations thereof, could adversely affect Civeo’s status as a foreign corporation for U.S. federal income tax purposes. For example, members of Congress from time to time have proposed changes to the Internal Revenue Code, and the U.S. Treasury has taken and may continue to take regulatory action, in connection with so-called inversion transactions. The timing and substance of any such change in law or regulatory action is uncertain. Any such change of law or regulatory action could adversely impact the treatment of Civeo as a foreign corporation for U.S. federal income tax purposes and could adversely impact its tax position and financial position and results in a material manner. The precise scope and application of any legislative or regulatory proposals will not be clear until they are actually issued, and, accordingly, until such legislation or regulations are issued and fully understood, we cannot be certain as to their potential impact. Any such changes could apply retroactively to a date prior to the date of the Redomicile Transaction. If Civeo were to be treated as a U.S. corporation for U.S. federal income tax purposes, it could be subject to substantially greater U.S. federal income tax liability.</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Our tax position may be adversely affected by changes in tax law relating to multinational corporations, or increased scrutiny by tax authorities.</w:t>
      </w:r>
    </w:p>
    <w:p>
      <w:pPr>
        <w:spacing w:after="0" w:line="260" w:lineRule="exact"/>
        <w:rPr>
          <w:sz w:val="20"/>
          <w:szCs w:val="20"/>
          <w:color w:val="auto"/>
        </w:rPr>
      </w:pPr>
    </w:p>
    <w:p>
      <w:pPr>
        <w:jc w:val="both"/>
        <w:ind w:right="60" w:firstLine="486"/>
        <w:spacing w:after="0" w:line="276" w:lineRule="auto"/>
        <w:rPr>
          <w:sz w:val="20"/>
          <w:szCs w:val="20"/>
          <w:color w:val="auto"/>
        </w:rPr>
      </w:pPr>
      <w:r>
        <w:rPr>
          <w:rFonts w:ascii="Arial" w:cs="Arial" w:eastAsia="Arial" w:hAnsi="Arial"/>
          <w:sz w:val="17"/>
          <w:szCs w:val="17"/>
          <w:color w:val="auto"/>
        </w:rPr>
        <w:t>The U.S. Congress, government agencies in non-U.S. jurisdictions where we and our affiliates do business, and the Organization for Economic Co-operation and Development have recently focused on issues related to the taxation of multinational corporations. One example is found in the area of “base erosion and profit shifting”, where profits are claimed to be earned for tax purposes in low-tax jurisdictions, or payments are made between affiliates from a jurisdiction with high tax rates to a jurisdiction with lower tax rates. As a result, the tax laws in the U.S. and other countries in which we and our affiliates do business could change on a prospective or retroactive basis, and any such changes could materially adversely affect us.</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Moreover, U.S. and international tax authorities may carefully scrutinize companies that have redomiciled, such as our company, which may lead such authorities to assert that we owe additional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Spin-Off from Oil States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tax sharing agreement with Oil States may require us to indemnify Oil States for significant tax liabilities.</w:t>
      </w:r>
    </w:p>
    <w:p>
      <w:pPr>
        <w:spacing w:after="0" w:line="22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In connection with the Spin-Off, we entered into a tax sharing agreement. Under the tax sharing agreement, we are required to indemnify Oil States against certain tax-related liabilities incurred by Oil States (including any of its subsidiaries) relating to the Spin-Off, to the extent caused by our breach of any representations or covenants made in the tax sharing agreement or the separation and distribution agreement, or made in connection with the private letter ruling or the tax opinion obtained with respect to the Spin-Off. These liabilities include the substantial tax-related liability (calculated without regard to any net operating loss or other tax attribute of Oil States) that would result if the Spin-Off of our stock to Oil States stockholders failed to qualify as a tax-free transaction. In addition, we have agreed to pay 50% of any taxes arising from the Spin-Off to the extent that the tax is not attributable to the fault of either party.</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could have significant tax liabilities for periods during which our subsidiaries and operations were those of Oil States.</w:t>
      </w:r>
    </w:p>
    <w:p>
      <w:pPr>
        <w:spacing w:after="0" w:line="225"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For any tax periods (or portion thereof) in which Oil States owned at least 80% of the total voting power and value of Civeo U.S.’s common stock, our U.S. subsidiaries will be included in Oil States’ consolidated group for U.S. federal income tax purposes. In addition, one or more of our U.S. subsidiaries may be included in the combined, consolidated or unitary tax returns of Oil States or one or more of its subsidiaries for U.S. state or local income tax purposes. In addition, by virtue of Oil States’ controlling ownership and the tax sharing agreement, Oil States will effectively control all of our U.S. tax decisions in connection with any consolidated, combined or unitary income tax returns in which any of our subsidiaries are included. The tax sharing agreement provides that Oil States will have sole authority to respond to and conduct all tax proceedings (including tax audits) relating to us, to prepare and file all consolidated, combined or unitary income tax returns in which we are included on our behalf (including the making of any tax elections), and to determine the reimbursement amounts in connection with any pro forma tax returns. This arrangement may result in conflicts of interest between Oil States and us. For example, under the tax sharing agreement, Oil States will be able to choose to contest, compromise or settle any adjustment or deficiency proposed by the relevant taxing authority in a manner that may be beneficial to Oil States and detrimental to us; provided, however, that Oil States may not make any settlement that would materially increase our tax liability without our consent.</w:t>
      </w:r>
    </w:p>
    <w:p>
      <w:pPr>
        <w:spacing w:after="0" w:line="183" w:lineRule="exact"/>
        <w:rPr>
          <w:sz w:val="20"/>
          <w:szCs w:val="20"/>
          <w:color w:val="auto"/>
        </w:rPr>
      </w:pPr>
    </w:p>
    <w:p>
      <w:pPr>
        <w:ind w:right="260" w:firstLine="486"/>
        <w:spacing w:after="0" w:line="276" w:lineRule="auto"/>
        <w:rPr>
          <w:sz w:val="20"/>
          <w:szCs w:val="20"/>
          <w:color w:val="auto"/>
        </w:rPr>
      </w:pPr>
      <w:r>
        <w:rPr>
          <w:rFonts w:ascii="Arial" w:cs="Arial" w:eastAsia="Arial" w:hAnsi="Arial"/>
          <w:sz w:val="17"/>
          <w:szCs w:val="17"/>
          <w:color w:val="auto"/>
        </w:rPr>
        <w:t>Moreover, notwithstanding the tax sharing agreement, U.S. federal law provides that each member of a consolidated group is liable for the group’s entire tax obligation. Thus, to the extent Oil States or other members of Oil States’ consolidated group fail to make any U.S. federal income tax payments required by law, one or more of our U.S. subsidiaries could be liable for the shortfall with respect to periods in which such subsidiary was a member of Oil States’ consolidated group. Similar principles may apply for foreign, state or local income tax purposes where we file combined, consolidated or unitary returns with Oil States or its subsidiaries for federal, foreign, state or local income tax purposes.</w:t>
      </w:r>
    </w:p>
    <w:p>
      <w:pPr>
        <w:spacing w:after="0" w:line="17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If there is a determination that the Spin-Off is taxable for U.S. federal income tax purposes because the facts, assumptions, representations, or undertakings underlying the tax opinion are incorrect or for any other reason, then Oil States and its stockholders could incur significant income tax liabilities, and we could incur significant liabilities.</w:t>
      </w:r>
    </w:p>
    <w:p>
      <w:pPr>
        <w:spacing w:after="0" w:line="18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Oil States received a private letter ruling from the IRS and an opinion of its outside counsel regarding certain aspects of the Spin-Off transaction. The private letter ruling and the opinion rely on certain facts, assumptions, representations and undertakings from Oil States and us regarding the past and future conduct of the companies’ respective businesses and other matters. If any of these facts, assumptions, representations, or undertakings are, or become, incorrect or not otherwise satisfied, Oil States and its stockholders may not be able to rely on the private letter ruling or the opinion of its tax advisor and could be subject to significant tax liabilities. In addition, an opinion of counsel is not binding upon the IRS, so, notwithstanding the opinion of Oil States’ tax advisor, the IRS could conclude upon audit that the Spin-Off is taxable in full or in part if it disagrees with the conclusions in the opinion, or for other reasons, including as a result of certain significant changes in the stock ownership of Oil States or us. If the Spin-Off is determined to be taxable for U.S. federal income tax purposes for any reason, Oil States and/or its stockholders could incur significant income tax liabilities, and we could incur significant liabilities.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Third parties may seek to hold us responsible for liabilities of Oil States that we did not assume in our agreements.</w:t>
      </w:r>
    </w:p>
    <w:p>
      <w:pPr>
        <w:spacing w:after="0" w:line="22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Third parties may seek to hold us responsible for retained liabilities of Oil States. Under our agreements with Oil States, Oil States agreed to indemnify us for claims and losses relating to these retained liabilities. However, if those liabilities 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significant and we are ultimately held liable for them, we cannot assure you that we will be able to recover the full amount of our losses from Oil States.</w:t>
      </w:r>
    </w:p>
    <w:p>
      <w:pPr>
        <w:spacing w:after="0" w:line="248" w:lineRule="exact"/>
        <w:rPr>
          <w:sz w:val="20"/>
          <w:szCs w:val="20"/>
          <w:color w:val="auto"/>
        </w:rPr>
      </w:pPr>
    </w:p>
    <w:p>
      <w:pPr>
        <w:ind w:right="900" w:firstLine="486"/>
        <w:spacing w:after="0" w:line="277" w:lineRule="auto"/>
        <w:rPr>
          <w:sz w:val="20"/>
          <w:szCs w:val="20"/>
          <w:color w:val="auto"/>
        </w:rPr>
      </w:pPr>
      <w:r>
        <w:rPr>
          <w:rFonts w:ascii="Arial" w:cs="Arial" w:eastAsia="Arial" w:hAnsi="Arial"/>
          <w:sz w:val="18"/>
          <w:szCs w:val="18"/>
          <w:b w:val="1"/>
          <w:bCs w:val="1"/>
          <w:i w:val="1"/>
          <w:iCs w:val="1"/>
          <w:color w:val="auto"/>
        </w:rPr>
        <w:t>The Spin-Off may have exposed us to potential liabilities arising out of state and federal fraudulent conveyance laws and legal dividend requirements.</w:t>
      </w:r>
    </w:p>
    <w:p>
      <w:pPr>
        <w:spacing w:after="0" w:line="170"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The Spin-Off is subject to review under various state and federal fraudulent conveyance laws. Under these laws, if a court in a lawsuit by an unpaid creditor or an entity vested with the power of such creditor (including without limitation a trustee or debtor-in-possession in a bankruptcy by us or Oil States or any of our respective subsidiaries) were to determine that Oil States or any of its subsidiaries did not receive fair consideration or reasonably equivalent value for distributing shares of our common stock or taking other action as part of the Spin-Off, or that we or any of our subsidiaries did not receive fair consideration or reasonably equivalent value for incurring indebtedness, including the debt incurred by us in connection with the Spin-Off, transferring assets or taking other action as part of the Spin-Off and, at the time of such action, we, Oil States or any of our respective subsidiaries (i) was insolvent or would be rendered insolvent, (ii) had reasonably small capital with which to carry on its business and all business in which it intended to engage or (iii) intended to incur, or believed it would incur, debts beyond its ability to repay such debts as they would mature, then such court could void the Spin-Off as a constructive fraudulent transfer. If such court made this determination, the court could impose a number of different remedies, including without limitation, voiding our liens and claims against Oil States, or providing Oil States with a claim for money damages against us in an amount equal to the difference between the consideration received by Oil States and the fair market value of our company at the time of the Spin-Off.</w:t>
      </w:r>
    </w:p>
    <w:p>
      <w:pPr>
        <w:spacing w:after="0" w:line="173"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The measure of insolvency for purposes of the fraudulent conveyance laws will vary depending on which jurisdiction’s law is applied. Generally, however, an entity would be considered insolvent if the present fair saleable value of its assets is less than (i) the amount of its liabilities (including contingent liabilities) or (ii) the amount that will be required to pay its probable liabilities on its existing debts as they become absolute and mature. No assurance can be given as to what standard a court would apply to determine insolvency or that a court would determine that we, Oil States or any of our respective subsidiaries were solvent at the time of or after giving effect to the Spin-Off, including the distribution of shares of our common stock.</w:t>
      </w:r>
    </w:p>
    <w:p>
      <w:pPr>
        <w:spacing w:after="0" w:line="17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Under the separation and distribution agreement, Oil States is and we are responsible for the debts, liabilities and other obligations related to the business or businesses which Oil States and we, respectively, own and operate following the Spin-Off. Although we do not expect to be liable for any such obligations not expressly assumed by us pursuant to the separation and distribution agreement, it is possible that a court would disregard the allocation agreed to between the parties, and require that we assume responsibility for obligations allocated to Oil States, particularly if Oil States were to refuse or were unable to pay or perform the subject allocated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following table presents information about our principal properties and facilities as of December 31, 2019. Except as indicated below, we own all of the properties or facilities listed below. Each of the properties is encumbered by our secured credit facilities. See “Management’s Discussion and Analysis of Financial Condition and Results of Operations” in Item 7 and Note 12 – Debt to the notes to consolidated financial statements included in Item 8 of this annual report for additional information concerning our credit facilities. For a discussion about how each of our business segments utilizes its respective properties, please see Item 1, “Business” of this annual report.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566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90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812"/>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380" w:type="dxa"/>
            <w:vAlign w:val="bottom"/>
          </w:tcPr>
          <w:p>
            <w:pPr>
              <w:spacing w:after="0"/>
              <w:rPr>
                <w:sz w:val="24"/>
                <w:szCs w:val="24"/>
                <w:color w:val="auto"/>
              </w:rPr>
            </w:pPr>
          </w:p>
        </w:tc>
        <w:tc>
          <w:tcPr>
            <w:tcW w:w="190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Approximate</w:t>
            </w:r>
          </w:p>
        </w:tc>
        <w:tc>
          <w:tcPr>
            <w:tcW w:w="386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00" w:type="dxa"/>
            <w:vAlign w:val="bottom"/>
          </w:tcPr>
          <w:p>
            <w:pPr>
              <w:jc w:val="center"/>
              <w:ind w:left="290"/>
              <w:spacing w:after="0"/>
              <w:rPr>
                <w:sz w:val="20"/>
                <w:szCs w:val="20"/>
                <w:color w:val="auto"/>
              </w:rPr>
            </w:pPr>
            <w:r>
              <w:rPr>
                <w:rFonts w:ascii="Arial" w:cs="Arial" w:eastAsia="Arial" w:hAnsi="Arial"/>
                <w:sz w:val="18"/>
                <w:szCs w:val="18"/>
                <w:b w:val="1"/>
                <w:bCs w:val="1"/>
                <w:color w:val="auto"/>
                <w:w w:val="91"/>
              </w:rPr>
              <w:t>Square</w:t>
            </w:r>
          </w:p>
        </w:tc>
        <w:tc>
          <w:tcPr>
            <w:tcW w:w="386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ind w:left="1420"/>
              <w:spacing w:after="0"/>
              <w:rPr>
                <w:sz w:val="20"/>
                <w:szCs w:val="20"/>
                <w:color w:val="auto"/>
              </w:rPr>
            </w:pPr>
            <w:r>
              <w:rPr>
                <w:rFonts w:ascii="Arial" w:cs="Arial" w:eastAsia="Arial" w:hAnsi="Arial"/>
                <w:sz w:val="18"/>
                <w:szCs w:val="18"/>
                <w:b w:val="1"/>
                <w:bCs w:val="1"/>
                <w:color w:val="auto"/>
              </w:rPr>
              <w:t>Location</w:t>
            </w:r>
          </w:p>
        </w:tc>
        <w:tc>
          <w:tcPr>
            <w:tcW w:w="1900" w:type="dxa"/>
            <w:vAlign w:val="bottom"/>
          </w:tcPr>
          <w:p>
            <w:pPr>
              <w:jc w:val="center"/>
              <w:ind w:left="290"/>
              <w:spacing w:after="0"/>
              <w:rPr>
                <w:sz w:val="20"/>
                <w:szCs w:val="20"/>
                <w:color w:val="auto"/>
              </w:rPr>
            </w:pPr>
            <w:r>
              <w:rPr>
                <w:rFonts w:ascii="Arial" w:cs="Arial" w:eastAsia="Arial" w:hAnsi="Arial"/>
                <w:sz w:val="18"/>
                <w:szCs w:val="18"/>
                <w:b w:val="1"/>
                <w:bCs w:val="1"/>
                <w:color w:val="auto"/>
                <w:w w:val="87"/>
              </w:rPr>
              <w:t>Footage/Acreage</w:t>
            </w:r>
          </w:p>
        </w:tc>
        <w:tc>
          <w:tcPr>
            <w:tcW w:w="3860" w:type="dxa"/>
            <w:vAlign w:val="bottom"/>
          </w:tcPr>
          <w:p>
            <w:pPr>
              <w:ind w:left="15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2"/>
              </w:rPr>
              <w:t>Canada:</w:t>
            </w:r>
          </w:p>
        </w:tc>
        <w:tc>
          <w:tcPr>
            <w:tcW w:w="4900" w:type="dxa"/>
            <w:vAlign w:val="bottom"/>
            <w:tcBorders>
              <w:bottom w:val="single" w:sz="8" w:color="CCEEFF"/>
            </w:tcBorders>
            <w:gridSpan w:val="4"/>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5480" w:type="dxa"/>
            <w:vAlign w:val="bottom"/>
            <w:gridSpan w:val="5"/>
          </w:tcPr>
          <w:p>
            <w:pPr>
              <w:ind w:left="420"/>
              <w:spacing w:after="0"/>
              <w:rPr>
                <w:sz w:val="20"/>
                <w:szCs w:val="20"/>
                <w:color w:val="auto"/>
              </w:rPr>
            </w:pPr>
            <w:r>
              <w:rPr>
                <w:rFonts w:ascii="Arial" w:cs="Arial" w:eastAsia="Arial" w:hAnsi="Arial"/>
                <w:sz w:val="18"/>
                <w:szCs w:val="18"/>
                <w:color w:val="auto"/>
              </w:rPr>
              <w:t>Fort McMurray, Alberta (leased land)</w:t>
            </w:r>
          </w:p>
        </w:tc>
        <w:tc>
          <w:tcPr>
            <w:tcW w:w="1900" w:type="dxa"/>
            <w:vAlign w:val="bottom"/>
          </w:tcPr>
          <w:p>
            <w:pPr>
              <w:jc w:val="center"/>
              <w:ind w:left="290"/>
              <w:spacing w:after="0"/>
              <w:rPr>
                <w:sz w:val="20"/>
                <w:szCs w:val="20"/>
                <w:color w:val="auto"/>
              </w:rPr>
            </w:pPr>
            <w:r>
              <w:rPr>
                <w:rFonts w:ascii="Arial" w:cs="Arial" w:eastAsia="Arial" w:hAnsi="Arial"/>
                <w:sz w:val="18"/>
                <w:szCs w:val="18"/>
                <w:color w:val="auto"/>
                <w:w w:val="85"/>
              </w:rPr>
              <w:t>240 acres</w:t>
            </w:r>
          </w:p>
        </w:tc>
        <w:tc>
          <w:tcPr>
            <w:tcW w:w="3860" w:type="dxa"/>
            <w:vAlign w:val="bottom"/>
          </w:tcPr>
          <w:p>
            <w:pPr>
              <w:ind w:left="140"/>
              <w:spacing w:after="0"/>
              <w:rPr>
                <w:sz w:val="20"/>
                <w:szCs w:val="20"/>
                <w:color w:val="auto"/>
              </w:rPr>
            </w:pPr>
            <w:r>
              <w:rPr>
                <w:rFonts w:ascii="Arial" w:cs="Arial" w:eastAsia="Arial" w:hAnsi="Arial"/>
                <w:sz w:val="18"/>
                <w:szCs w:val="18"/>
                <w:color w:val="auto"/>
              </w:rPr>
              <w:t>Wapasu Creek and Henday Lodges</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Fort McMurray, Alberta (leased land)</w:t>
            </w:r>
          </w:p>
        </w:tc>
        <w:tc>
          <w:tcPr>
            <w:tcW w:w="1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5"/>
              </w:rPr>
              <w:t>138 acres</w:t>
            </w: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Fort McMurray Village</w:t>
            </w:r>
          </w:p>
        </w:tc>
      </w:tr>
      <w:tr>
        <w:trPr>
          <w:trHeight w:val="243"/>
        </w:trPr>
        <w:tc>
          <w:tcPr>
            <w:tcW w:w="180" w:type="dxa"/>
            <w:vAlign w:val="bottom"/>
          </w:tcPr>
          <w:p>
            <w:pPr>
              <w:spacing w:after="0"/>
              <w:rPr>
                <w:sz w:val="21"/>
                <w:szCs w:val="21"/>
                <w:color w:val="auto"/>
              </w:rPr>
            </w:pPr>
          </w:p>
        </w:tc>
        <w:tc>
          <w:tcPr>
            <w:tcW w:w="5480" w:type="dxa"/>
            <w:vAlign w:val="bottom"/>
            <w:gridSpan w:val="5"/>
          </w:tcPr>
          <w:p>
            <w:pPr>
              <w:ind w:left="420"/>
              <w:spacing w:after="0"/>
              <w:rPr>
                <w:sz w:val="20"/>
                <w:szCs w:val="20"/>
                <w:color w:val="auto"/>
              </w:rPr>
            </w:pPr>
            <w:r>
              <w:rPr>
                <w:rFonts w:ascii="Arial" w:cs="Arial" w:eastAsia="Arial" w:hAnsi="Arial"/>
                <w:sz w:val="18"/>
                <w:szCs w:val="18"/>
                <w:color w:val="auto"/>
              </w:rPr>
              <w:t>Fort McMurray, Alberta (leased land)</w:t>
            </w:r>
          </w:p>
        </w:tc>
        <w:tc>
          <w:tcPr>
            <w:tcW w:w="1900" w:type="dxa"/>
            <w:vAlign w:val="bottom"/>
          </w:tcPr>
          <w:p>
            <w:pPr>
              <w:jc w:val="center"/>
              <w:ind w:left="290"/>
              <w:spacing w:after="0"/>
              <w:rPr>
                <w:sz w:val="20"/>
                <w:szCs w:val="20"/>
                <w:color w:val="auto"/>
              </w:rPr>
            </w:pPr>
            <w:r>
              <w:rPr>
                <w:rFonts w:ascii="Arial" w:cs="Arial" w:eastAsia="Arial" w:hAnsi="Arial"/>
                <w:sz w:val="18"/>
                <w:szCs w:val="18"/>
                <w:color w:val="auto"/>
                <w:w w:val="85"/>
              </w:rPr>
              <w:t>135 acres</w:t>
            </w:r>
          </w:p>
        </w:tc>
        <w:tc>
          <w:tcPr>
            <w:tcW w:w="3860" w:type="dxa"/>
            <w:vAlign w:val="bottom"/>
          </w:tcPr>
          <w:p>
            <w:pPr>
              <w:ind w:left="140"/>
              <w:spacing w:after="0"/>
              <w:rPr>
                <w:sz w:val="20"/>
                <w:szCs w:val="20"/>
                <w:color w:val="auto"/>
              </w:rPr>
            </w:pPr>
            <w:r>
              <w:rPr>
                <w:rFonts w:ascii="Arial" w:cs="Arial" w:eastAsia="Arial" w:hAnsi="Arial"/>
                <w:sz w:val="18"/>
                <w:szCs w:val="18"/>
                <w:color w:val="auto"/>
              </w:rPr>
              <w:t>Conklin Lodge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Fort McMurray, Alberta (leased land)</w:t>
            </w:r>
          </w:p>
        </w:tc>
        <w:tc>
          <w:tcPr>
            <w:tcW w:w="1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5"/>
              </w:rPr>
              <w:t>128 acres</w:t>
            </w: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Beaver River and Athabasca Lodges</w:t>
            </w:r>
          </w:p>
        </w:tc>
      </w:tr>
      <w:tr>
        <w:trPr>
          <w:trHeight w:val="243"/>
        </w:trPr>
        <w:tc>
          <w:tcPr>
            <w:tcW w:w="180" w:type="dxa"/>
            <w:vAlign w:val="bottom"/>
          </w:tcPr>
          <w:p>
            <w:pPr>
              <w:spacing w:after="0"/>
              <w:rPr>
                <w:sz w:val="21"/>
                <w:szCs w:val="21"/>
                <w:color w:val="auto"/>
              </w:rPr>
            </w:pPr>
          </w:p>
        </w:tc>
        <w:tc>
          <w:tcPr>
            <w:tcW w:w="5480" w:type="dxa"/>
            <w:vAlign w:val="bottom"/>
            <w:gridSpan w:val="5"/>
          </w:tcPr>
          <w:p>
            <w:pPr>
              <w:ind w:left="420"/>
              <w:spacing w:after="0"/>
              <w:rPr>
                <w:sz w:val="20"/>
                <w:szCs w:val="20"/>
                <w:color w:val="auto"/>
              </w:rPr>
            </w:pPr>
            <w:r>
              <w:rPr>
                <w:rFonts w:ascii="Arial" w:cs="Arial" w:eastAsia="Arial" w:hAnsi="Arial"/>
                <w:sz w:val="18"/>
                <w:szCs w:val="18"/>
                <w:color w:val="auto"/>
              </w:rPr>
              <w:t>Fort McMurray, Alberta (leased land)</w:t>
            </w:r>
          </w:p>
        </w:tc>
        <w:tc>
          <w:tcPr>
            <w:tcW w:w="1900" w:type="dxa"/>
            <w:vAlign w:val="bottom"/>
          </w:tcPr>
          <w:p>
            <w:pPr>
              <w:jc w:val="center"/>
              <w:ind w:left="290"/>
              <w:spacing w:after="0"/>
              <w:rPr>
                <w:sz w:val="20"/>
                <w:szCs w:val="20"/>
                <w:color w:val="auto"/>
              </w:rPr>
            </w:pPr>
            <w:r>
              <w:rPr>
                <w:rFonts w:ascii="Arial" w:cs="Arial" w:eastAsia="Arial" w:hAnsi="Arial"/>
                <w:sz w:val="18"/>
                <w:szCs w:val="18"/>
                <w:color w:val="auto"/>
                <w:w w:val="86"/>
              </w:rPr>
              <w:t>78 acres</w:t>
            </w:r>
          </w:p>
        </w:tc>
        <w:tc>
          <w:tcPr>
            <w:tcW w:w="3860" w:type="dxa"/>
            <w:vAlign w:val="bottom"/>
          </w:tcPr>
          <w:p>
            <w:pPr>
              <w:ind w:left="140"/>
              <w:spacing w:after="0"/>
              <w:rPr>
                <w:sz w:val="20"/>
                <w:szCs w:val="20"/>
                <w:color w:val="auto"/>
              </w:rPr>
            </w:pPr>
            <w:r>
              <w:rPr>
                <w:rFonts w:ascii="Arial" w:cs="Arial" w:eastAsia="Arial" w:hAnsi="Arial"/>
                <w:sz w:val="18"/>
                <w:szCs w:val="18"/>
                <w:color w:val="auto"/>
              </w:rPr>
              <w:t>McClelland Lake Lodge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Kitimat, British Columbia</w:t>
            </w:r>
          </w:p>
        </w:tc>
        <w:tc>
          <w:tcPr>
            <w:tcW w:w="1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6"/>
              </w:rPr>
              <w:t>59 acres</w:t>
            </w: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Sitka Lodge</w:t>
            </w:r>
          </w:p>
        </w:tc>
      </w:tr>
      <w:tr>
        <w:trPr>
          <w:trHeight w:val="243"/>
        </w:trPr>
        <w:tc>
          <w:tcPr>
            <w:tcW w:w="180" w:type="dxa"/>
            <w:vAlign w:val="bottom"/>
          </w:tcPr>
          <w:p>
            <w:pPr>
              <w:spacing w:after="0"/>
              <w:rPr>
                <w:sz w:val="21"/>
                <w:szCs w:val="21"/>
                <w:color w:val="auto"/>
              </w:rPr>
            </w:pPr>
          </w:p>
        </w:tc>
        <w:tc>
          <w:tcPr>
            <w:tcW w:w="5480" w:type="dxa"/>
            <w:vAlign w:val="bottom"/>
            <w:gridSpan w:val="5"/>
          </w:tcPr>
          <w:p>
            <w:pPr>
              <w:ind w:left="420"/>
              <w:spacing w:after="0"/>
              <w:rPr>
                <w:sz w:val="20"/>
                <w:szCs w:val="20"/>
                <w:color w:val="auto"/>
              </w:rPr>
            </w:pPr>
            <w:r>
              <w:rPr>
                <w:rFonts w:ascii="Arial" w:cs="Arial" w:eastAsia="Arial" w:hAnsi="Arial"/>
                <w:sz w:val="18"/>
                <w:szCs w:val="18"/>
                <w:color w:val="auto"/>
              </w:rPr>
              <w:t>Fort McMurray, Alberta (leased land and lodges)</w:t>
            </w:r>
          </w:p>
        </w:tc>
        <w:tc>
          <w:tcPr>
            <w:tcW w:w="1900" w:type="dxa"/>
            <w:vAlign w:val="bottom"/>
          </w:tcPr>
          <w:p>
            <w:pPr>
              <w:jc w:val="center"/>
              <w:ind w:left="290"/>
              <w:spacing w:after="0"/>
              <w:rPr>
                <w:sz w:val="20"/>
                <w:szCs w:val="20"/>
                <w:color w:val="auto"/>
              </w:rPr>
            </w:pPr>
            <w:r>
              <w:rPr>
                <w:rFonts w:ascii="Arial" w:cs="Arial" w:eastAsia="Arial" w:hAnsi="Arial"/>
                <w:sz w:val="18"/>
                <w:szCs w:val="18"/>
                <w:color w:val="auto"/>
                <w:w w:val="86"/>
              </w:rPr>
              <w:t>58 acres</w:t>
            </w:r>
          </w:p>
        </w:tc>
        <w:tc>
          <w:tcPr>
            <w:tcW w:w="3860" w:type="dxa"/>
            <w:vAlign w:val="bottom"/>
          </w:tcPr>
          <w:p>
            <w:pPr>
              <w:ind w:left="140"/>
              <w:spacing w:after="0"/>
              <w:rPr>
                <w:sz w:val="20"/>
                <w:szCs w:val="20"/>
                <w:color w:val="auto"/>
              </w:rPr>
            </w:pPr>
            <w:r>
              <w:rPr>
                <w:rFonts w:ascii="Arial" w:cs="Arial" w:eastAsia="Arial" w:hAnsi="Arial"/>
                <w:sz w:val="18"/>
                <w:szCs w:val="18"/>
                <w:color w:val="auto"/>
              </w:rPr>
              <w:t>Hudson and Borealis Lodges</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Acheson, Alberta (lease)</w:t>
            </w:r>
          </w:p>
        </w:tc>
        <w:tc>
          <w:tcPr>
            <w:tcW w:w="1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6"/>
              </w:rPr>
              <w:t>40 acres</w:t>
            </w: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Office and warehouse</w:t>
            </w:r>
          </w:p>
        </w:tc>
      </w:tr>
      <w:tr>
        <w:trPr>
          <w:trHeight w:val="243"/>
        </w:trPr>
        <w:tc>
          <w:tcPr>
            <w:tcW w:w="180" w:type="dxa"/>
            <w:vAlign w:val="bottom"/>
          </w:tcPr>
          <w:p>
            <w:pPr>
              <w:spacing w:after="0"/>
              <w:rPr>
                <w:sz w:val="21"/>
                <w:szCs w:val="21"/>
                <w:color w:val="auto"/>
              </w:rPr>
            </w:pPr>
          </w:p>
        </w:tc>
        <w:tc>
          <w:tcPr>
            <w:tcW w:w="5480" w:type="dxa"/>
            <w:vAlign w:val="bottom"/>
            <w:gridSpan w:val="5"/>
          </w:tcPr>
          <w:p>
            <w:pPr>
              <w:ind w:left="420"/>
              <w:spacing w:after="0"/>
              <w:rPr>
                <w:sz w:val="20"/>
                <w:szCs w:val="20"/>
                <w:color w:val="auto"/>
              </w:rPr>
            </w:pPr>
            <w:r>
              <w:rPr>
                <w:rFonts w:ascii="Arial" w:cs="Arial" w:eastAsia="Arial" w:hAnsi="Arial"/>
                <w:sz w:val="18"/>
                <w:szCs w:val="18"/>
                <w:color w:val="auto"/>
              </w:rPr>
              <w:t>Edmonton, Alberta</w:t>
            </w:r>
          </w:p>
        </w:tc>
        <w:tc>
          <w:tcPr>
            <w:tcW w:w="1900" w:type="dxa"/>
            <w:vAlign w:val="bottom"/>
          </w:tcPr>
          <w:p>
            <w:pPr>
              <w:jc w:val="center"/>
              <w:ind w:left="290"/>
              <w:spacing w:after="0"/>
              <w:rPr>
                <w:sz w:val="20"/>
                <w:szCs w:val="20"/>
                <w:color w:val="auto"/>
              </w:rPr>
            </w:pPr>
            <w:r>
              <w:rPr>
                <w:rFonts w:ascii="Arial" w:cs="Arial" w:eastAsia="Arial" w:hAnsi="Arial"/>
                <w:sz w:val="18"/>
                <w:szCs w:val="18"/>
                <w:color w:val="auto"/>
                <w:w w:val="86"/>
              </w:rPr>
              <w:t>33 acres</w:t>
            </w:r>
          </w:p>
        </w:tc>
        <w:tc>
          <w:tcPr>
            <w:tcW w:w="3860" w:type="dxa"/>
            <w:vAlign w:val="bottom"/>
          </w:tcPr>
          <w:p>
            <w:pPr>
              <w:ind w:left="140"/>
              <w:spacing w:after="0"/>
              <w:rPr>
                <w:sz w:val="20"/>
                <w:szCs w:val="20"/>
                <w:color w:val="auto"/>
              </w:rPr>
            </w:pPr>
            <w:r>
              <w:rPr>
                <w:rFonts w:ascii="Arial" w:cs="Arial" w:eastAsia="Arial" w:hAnsi="Arial"/>
                <w:sz w:val="18"/>
                <w:szCs w:val="18"/>
                <w:color w:val="auto"/>
              </w:rPr>
              <w:t>Manufacturing facility</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Fort McMurray, Alberta (leased land)</w:t>
            </w:r>
          </w:p>
        </w:tc>
        <w:tc>
          <w:tcPr>
            <w:tcW w:w="1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6"/>
              </w:rPr>
              <w:t>30 acres</w:t>
            </w: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Greywolf Lodge</w:t>
            </w:r>
          </w:p>
        </w:tc>
      </w:tr>
      <w:tr>
        <w:trPr>
          <w:trHeight w:val="243"/>
        </w:trPr>
        <w:tc>
          <w:tcPr>
            <w:tcW w:w="180" w:type="dxa"/>
            <w:vAlign w:val="bottom"/>
          </w:tcPr>
          <w:p>
            <w:pPr>
              <w:spacing w:after="0"/>
              <w:rPr>
                <w:sz w:val="21"/>
                <w:szCs w:val="21"/>
                <w:color w:val="auto"/>
              </w:rPr>
            </w:pPr>
          </w:p>
        </w:tc>
        <w:tc>
          <w:tcPr>
            <w:tcW w:w="5480" w:type="dxa"/>
            <w:vAlign w:val="bottom"/>
            <w:gridSpan w:val="5"/>
          </w:tcPr>
          <w:p>
            <w:pPr>
              <w:ind w:left="420"/>
              <w:spacing w:after="0"/>
              <w:rPr>
                <w:sz w:val="20"/>
                <w:szCs w:val="20"/>
                <w:color w:val="auto"/>
              </w:rPr>
            </w:pPr>
            <w:r>
              <w:rPr>
                <w:rFonts w:ascii="Arial" w:cs="Arial" w:eastAsia="Arial" w:hAnsi="Arial"/>
                <w:sz w:val="18"/>
                <w:szCs w:val="18"/>
                <w:color w:val="auto"/>
              </w:rPr>
              <w:t>Grimshaw, Alberta (lease)</w:t>
            </w:r>
          </w:p>
        </w:tc>
        <w:tc>
          <w:tcPr>
            <w:tcW w:w="1900" w:type="dxa"/>
            <w:vAlign w:val="bottom"/>
          </w:tcPr>
          <w:p>
            <w:pPr>
              <w:jc w:val="center"/>
              <w:ind w:left="290"/>
              <w:spacing w:after="0"/>
              <w:rPr>
                <w:sz w:val="20"/>
                <w:szCs w:val="20"/>
                <w:color w:val="auto"/>
              </w:rPr>
            </w:pPr>
            <w:r>
              <w:rPr>
                <w:rFonts w:ascii="Arial" w:cs="Arial" w:eastAsia="Arial" w:hAnsi="Arial"/>
                <w:sz w:val="18"/>
                <w:szCs w:val="18"/>
                <w:color w:val="auto"/>
                <w:w w:val="86"/>
              </w:rPr>
              <w:t>20 acres</w:t>
            </w:r>
          </w:p>
        </w:tc>
        <w:tc>
          <w:tcPr>
            <w:tcW w:w="3860" w:type="dxa"/>
            <w:vAlign w:val="bottom"/>
          </w:tcPr>
          <w:p>
            <w:pPr>
              <w:ind w:left="140"/>
              <w:spacing w:after="0"/>
              <w:rPr>
                <w:sz w:val="20"/>
                <w:szCs w:val="20"/>
                <w:color w:val="auto"/>
              </w:rPr>
            </w:pPr>
            <w:r>
              <w:rPr>
                <w:rFonts w:ascii="Arial" w:cs="Arial" w:eastAsia="Arial" w:hAnsi="Arial"/>
                <w:sz w:val="18"/>
                <w:szCs w:val="18"/>
                <w:color w:val="auto"/>
              </w:rPr>
              <w:t>Equipment yard</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Fort McMurray, Alberta (leased land)</w:t>
            </w:r>
          </w:p>
        </w:tc>
        <w:tc>
          <w:tcPr>
            <w:tcW w:w="1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6"/>
              </w:rPr>
              <w:t>18 acres</w:t>
            </w: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Anzac Lodge</w:t>
            </w:r>
          </w:p>
        </w:tc>
      </w:tr>
      <w:tr>
        <w:trPr>
          <w:trHeight w:val="243"/>
        </w:trPr>
        <w:tc>
          <w:tcPr>
            <w:tcW w:w="180" w:type="dxa"/>
            <w:vAlign w:val="bottom"/>
          </w:tcPr>
          <w:p>
            <w:pPr>
              <w:spacing w:after="0"/>
              <w:rPr>
                <w:sz w:val="21"/>
                <w:szCs w:val="21"/>
                <w:color w:val="auto"/>
              </w:rPr>
            </w:pPr>
          </w:p>
        </w:tc>
        <w:tc>
          <w:tcPr>
            <w:tcW w:w="5480" w:type="dxa"/>
            <w:vAlign w:val="bottom"/>
            <w:gridSpan w:val="5"/>
          </w:tcPr>
          <w:p>
            <w:pPr>
              <w:ind w:left="420"/>
              <w:spacing w:after="0"/>
              <w:rPr>
                <w:sz w:val="20"/>
                <w:szCs w:val="20"/>
                <w:color w:val="auto"/>
              </w:rPr>
            </w:pPr>
            <w:r>
              <w:rPr>
                <w:rFonts w:ascii="Arial" w:cs="Arial" w:eastAsia="Arial" w:hAnsi="Arial"/>
                <w:sz w:val="18"/>
                <w:szCs w:val="18"/>
                <w:color w:val="auto"/>
              </w:rPr>
              <w:t>Edmonton, Alberta (lease)</w:t>
            </w:r>
          </w:p>
        </w:tc>
        <w:tc>
          <w:tcPr>
            <w:tcW w:w="1900" w:type="dxa"/>
            <w:vAlign w:val="bottom"/>
          </w:tcPr>
          <w:p>
            <w:pPr>
              <w:jc w:val="center"/>
              <w:ind w:left="310"/>
              <w:spacing w:after="0"/>
              <w:rPr>
                <w:sz w:val="20"/>
                <w:szCs w:val="20"/>
                <w:color w:val="auto"/>
              </w:rPr>
            </w:pPr>
            <w:r>
              <w:rPr>
                <w:rFonts w:ascii="Arial" w:cs="Arial" w:eastAsia="Arial" w:hAnsi="Arial"/>
                <w:sz w:val="18"/>
                <w:szCs w:val="18"/>
                <w:color w:val="auto"/>
                <w:w w:val="88"/>
              </w:rPr>
              <w:t>86,376 sq. feet</w:t>
            </w:r>
          </w:p>
        </w:tc>
        <w:tc>
          <w:tcPr>
            <w:tcW w:w="3860" w:type="dxa"/>
            <w:vAlign w:val="bottom"/>
          </w:tcPr>
          <w:p>
            <w:pPr>
              <w:ind w:left="140"/>
              <w:spacing w:after="0"/>
              <w:rPr>
                <w:sz w:val="20"/>
                <w:szCs w:val="20"/>
                <w:color w:val="auto"/>
              </w:rPr>
            </w:pPr>
            <w:r>
              <w:rPr>
                <w:rFonts w:ascii="Arial" w:cs="Arial" w:eastAsia="Arial" w:hAnsi="Arial"/>
                <w:sz w:val="18"/>
                <w:szCs w:val="18"/>
                <w:color w:val="auto"/>
              </w:rPr>
              <w:t>Office and warehouse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Calgary, Alberta (lease)</w:t>
            </w:r>
          </w:p>
        </w:tc>
        <w:tc>
          <w:tcPr>
            <w:tcW w:w="1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7"/>
              </w:rPr>
              <w:t>7,000 sq. feet</w:t>
            </w: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Office</w:t>
            </w:r>
          </w:p>
        </w:tc>
      </w:tr>
      <w:tr>
        <w:trPr>
          <w:trHeight w:val="203"/>
        </w:trPr>
        <w:tc>
          <w:tcPr>
            <w:tcW w:w="180" w:type="dxa"/>
            <w:vAlign w:val="bottom"/>
          </w:tcPr>
          <w:p>
            <w:pPr>
              <w:spacing w:after="0"/>
              <w:rPr>
                <w:sz w:val="17"/>
                <w:szCs w:val="17"/>
                <w:color w:val="auto"/>
              </w:rPr>
            </w:pPr>
          </w:p>
        </w:tc>
        <w:tc>
          <w:tcPr>
            <w:tcW w:w="5480" w:type="dxa"/>
            <w:vAlign w:val="bottom"/>
            <w:gridSpan w:val="5"/>
          </w:tcPr>
          <w:p>
            <w:pPr>
              <w:spacing w:after="0" w:line="202" w:lineRule="exact"/>
              <w:rPr>
                <w:sz w:val="20"/>
                <w:szCs w:val="20"/>
                <w:color w:val="auto"/>
              </w:rPr>
            </w:pPr>
            <w:r>
              <w:rPr>
                <w:rFonts w:ascii="Arial" w:cs="Arial" w:eastAsia="Arial" w:hAnsi="Arial"/>
                <w:sz w:val="18"/>
                <w:szCs w:val="18"/>
                <w:color w:val="auto"/>
              </w:rPr>
              <w:t>Australia:</w:t>
            </w:r>
          </w:p>
        </w:tc>
        <w:tc>
          <w:tcPr>
            <w:tcW w:w="190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48"/>
        </w:trPr>
        <w:tc>
          <w:tcPr>
            <w:tcW w:w="1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3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3860" w:type="dxa"/>
            <w:vAlign w:val="bottom"/>
          </w:tcPr>
          <w:p>
            <w:pPr>
              <w:spacing w:after="0"/>
              <w:rPr>
                <w:sz w:val="4"/>
                <w:szCs w:val="4"/>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Coppabella, Queensland, Australia</w:t>
            </w:r>
          </w:p>
        </w:tc>
        <w:tc>
          <w:tcPr>
            <w:tcW w:w="1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5"/>
              </w:rPr>
              <w:t>192 acres</w:t>
            </w: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Coppabella Village</w:t>
            </w:r>
          </w:p>
        </w:tc>
      </w:tr>
      <w:tr>
        <w:trPr>
          <w:trHeight w:val="243"/>
        </w:trPr>
        <w:tc>
          <w:tcPr>
            <w:tcW w:w="180" w:type="dxa"/>
            <w:vAlign w:val="bottom"/>
          </w:tcPr>
          <w:p>
            <w:pPr>
              <w:spacing w:after="0"/>
              <w:rPr>
                <w:sz w:val="21"/>
                <w:szCs w:val="21"/>
                <w:color w:val="auto"/>
              </w:rPr>
            </w:pPr>
          </w:p>
        </w:tc>
        <w:tc>
          <w:tcPr>
            <w:tcW w:w="5480" w:type="dxa"/>
            <w:vAlign w:val="bottom"/>
            <w:gridSpan w:val="5"/>
          </w:tcPr>
          <w:p>
            <w:pPr>
              <w:ind w:left="420"/>
              <w:spacing w:after="0"/>
              <w:rPr>
                <w:sz w:val="20"/>
                <w:szCs w:val="20"/>
                <w:color w:val="auto"/>
              </w:rPr>
            </w:pPr>
            <w:r>
              <w:rPr>
                <w:rFonts w:ascii="Arial" w:cs="Arial" w:eastAsia="Arial" w:hAnsi="Arial"/>
                <w:sz w:val="18"/>
                <w:szCs w:val="18"/>
                <w:color w:val="auto"/>
              </w:rPr>
              <w:t>Narrabri, New South Wales, Australia</w:t>
            </w:r>
          </w:p>
        </w:tc>
        <w:tc>
          <w:tcPr>
            <w:tcW w:w="1900" w:type="dxa"/>
            <w:vAlign w:val="bottom"/>
          </w:tcPr>
          <w:p>
            <w:pPr>
              <w:jc w:val="center"/>
              <w:ind w:left="290"/>
              <w:spacing w:after="0"/>
              <w:rPr>
                <w:sz w:val="20"/>
                <w:szCs w:val="20"/>
                <w:color w:val="auto"/>
              </w:rPr>
            </w:pPr>
            <w:r>
              <w:rPr>
                <w:rFonts w:ascii="Arial" w:cs="Arial" w:eastAsia="Arial" w:hAnsi="Arial"/>
                <w:sz w:val="18"/>
                <w:szCs w:val="18"/>
                <w:color w:val="auto"/>
                <w:w w:val="86"/>
              </w:rPr>
              <w:t>82 acres</w:t>
            </w:r>
          </w:p>
        </w:tc>
        <w:tc>
          <w:tcPr>
            <w:tcW w:w="3860" w:type="dxa"/>
            <w:vAlign w:val="bottom"/>
          </w:tcPr>
          <w:p>
            <w:pPr>
              <w:ind w:left="140"/>
              <w:spacing w:after="0"/>
              <w:rPr>
                <w:sz w:val="20"/>
                <w:szCs w:val="20"/>
                <w:color w:val="auto"/>
              </w:rPr>
            </w:pPr>
            <w:r>
              <w:rPr>
                <w:rFonts w:ascii="Arial" w:cs="Arial" w:eastAsia="Arial" w:hAnsi="Arial"/>
                <w:sz w:val="18"/>
                <w:szCs w:val="18"/>
                <w:color w:val="auto"/>
              </w:rPr>
              <w:t>Narrabri Village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Boggabri, New South Wales, Australia</w:t>
            </w:r>
          </w:p>
        </w:tc>
        <w:tc>
          <w:tcPr>
            <w:tcW w:w="1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6"/>
              </w:rPr>
              <w:t>52 acres</w:t>
            </w: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Boggabri Village</w:t>
            </w:r>
          </w:p>
        </w:tc>
      </w:tr>
      <w:tr>
        <w:trPr>
          <w:trHeight w:val="243"/>
        </w:trPr>
        <w:tc>
          <w:tcPr>
            <w:tcW w:w="180" w:type="dxa"/>
            <w:vAlign w:val="bottom"/>
          </w:tcPr>
          <w:p>
            <w:pPr>
              <w:spacing w:after="0"/>
              <w:rPr>
                <w:sz w:val="21"/>
                <w:szCs w:val="21"/>
                <w:color w:val="auto"/>
              </w:rPr>
            </w:pPr>
          </w:p>
        </w:tc>
        <w:tc>
          <w:tcPr>
            <w:tcW w:w="5480" w:type="dxa"/>
            <w:vAlign w:val="bottom"/>
            <w:gridSpan w:val="5"/>
          </w:tcPr>
          <w:p>
            <w:pPr>
              <w:ind w:left="420"/>
              <w:spacing w:after="0"/>
              <w:rPr>
                <w:sz w:val="20"/>
                <w:szCs w:val="20"/>
                <w:color w:val="auto"/>
              </w:rPr>
            </w:pPr>
            <w:r>
              <w:rPr>
                <w:rFonts w:ascii="Arial" w:cs="Arial" w:eastAsia="Arial" w:hAnsi="Arial"/>
                <w:sz w:val="18"/>
                <w:szCs w:val="18"/>
                <w:color w:val="auto"/>
              </w:rPr>
              <w:t>Dysart, Queensland, Australia</w:t>
            </w:r>
          </w:p>
        </w:tc>
        <w:tc>
          <w:tcPr>
            <w:tcW w:w="1900" w:type="dxa"/>
            <w:vAlign w:val="bottom"/>
          </w:tcPr>
          <w:p>
            <w:pPr>
              <w:jc w:val="center"/>
              <w:ind w:left="290"/>
              <w:spacing w:after="0"/>
              <w:rPr>
                <w:sz w:val="20"/>
                <w:szCs w:val="20"/>
                <w:color w:val="auto"/>
              </w:rPr>
            </w:pPr>
            <w:r>
              <w:rPr>
                <w:rFonts w:ascii="Arial" w:cs="Arial" w:eastAsia="Arial" w:hAnsi="Arial"/>
                <w:sz w:val="18"/>
                <w:szCs w:val="18"/>
                <w:color w:val="auto"/>
                <w:w w:val="86"/>
              </w:rPr>
              <w:t>50 acres</w:t>
            </w:r>
          </w:p>
        </w:tc>
        <w:tc>
          <w:tcPr>
            <w:tcW w:w="3860" w:type="dxa"/>
            <w:vAlign w:val="bottom"/>
          </w:tcPr>
          <w:p>
            <w:pPr>
              <w:ind w:left="140"/>
              <w:spacing w:after="0"/>
              <w:rPr>
                <w:sz w:val="20"/>
                <w:szCs w:val="20"/>
                <w:color w:val="auto"/>
              </w:rPr>
            </w:pPr>
            <w:r>
              <w:rPr>
                <w:rFonts w:ascii="Arial" w:cs="Arial" w:eastAsia="Arial" w:hAnsi="Arial"/>
                <w:sz w:val="18"/>
                <w:szCs w:val="18"/>
                <w:color w:val="auto"/>
              </w:rPr>
              <w:t>Dysart Village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Middlemount, Queensland, Australia</w:t>
            </w:r>
          </w:p>
        </w:tc>
        <w:tc>
          <w:tcPr>
            <w:tcW w:w="1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6"/>
              </w:rPr>
              <w:t>37 acres</w:t>
            </w: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Middlemount Village</w:t>
            </w:r>
          </w:p>
        </w:tc>
      </w:tr>
      <w:tr>
        <w:trPr>
          <w:trHeight w:val="243"/>
        </w:trPr>
        <w:tc>
          <w:tcPr>
            <w:tcW w:w="180" w:type="dxa"/>
            <w:vAlign w:val="bottom"/>
          </w:tcPr>
          <w:p>
            <w:pPr>
              <w:spacing w:after="0"/>
              <w:rPr>
                <w:sz w:val="21"/>
                <w:szCs w:val="21"/>
                <w:color w:val="auto"/>
              </w:rPr>
            </w:pPr>
          </w:p>
        </w:tc>
        <w:tc>
          <w:tcPr>
            <w:tcW w:w="5480" w:type="dxa"/>
            <w:vAlign w:val="bottom"/>
            <w:gridSpan w:val="5"/>
          </w:tcPr>
          <w:p>
            <w:pPr>
              <w:ind w:left="420"/>
              <w:spacing w:after="0"/>
              <w:rPr>
                <w:sz w:val="20"/>
                <w:szCs w:val="20"/>
                <w:color w:val="auto"/>
              </w:rPr>
            </w:pPr>
            <w:r>
              <w:rPr>
                <w:rFonts w:ascii="Arial" w:cs="Arial" w:eastAsia="Arial" w:hAnsi="Arial"/>
                <w:sz w:val="18"/>
                <w:szCs w:val="18"/>
                <w:color w:val="auto"/>
              </w:rPr>
              <w:t>Karratha, Western Australia, Australia (owned and leased land)</w:t>
            </w:r>
          </w:p>
        </w:tc>
        <w:tc>
          <w:tcPr>
            <w:tcW w:w="1900" w:type="dxa"/>
            <w:vAlign w:val="bottom"/>
          </w:tcPr>
          <w:p>
            <w:pPr>
              <w:jc w:val="center"/>
              <w:ind w:left="290"/>
              <w:spacing w:after="0"/>
              <w:rPr>
                <w:sz w:val="20"/>
                <w:szCs w:val="20"/>
                <w:color w:val="auto"/>
              </w:rPr>
            </w:pPr>
            <w:r>
              <w:rPr>
                <w:rFonts w:ascii="Arial" w:cs="Arial" w:eastAsia="Arial" w:hAnsi="Arial"/>
                <w:sz w:val="18"/>
                <w:szCs w:val="18"/>
                <w:color w:val="auto"/>
                <w:w w:val="86"/>
              </w:rPr>
              <w:t>34 acres</w:t>
            </w:r>
          </w:p>
        </w:tc>
        <w:tc>
          <w:tcPr>
            <w:tcW w:w="3860" w:type="dxa"/>
            <w:vAlign w:val="bottom"/>
          </w:tcPr>
          <w:p>
            <w:pPr>
              <w:ind w:left="140"/>
              <w:spacing w:after="0"/>
              <w:rPr>
                <w:sz w:val="20"/>
                <w:szCs w:val="20"/>
                <w:color w:val="auto"/>
              </w:rPr>
            </w:pPr>
            <w:r>
              <w:rPr>
                <w:rFonts w:ascii="Arial" w:cs="Arial" w:eastAsia="Arial" w:hAnsi="Arial"/>
                <w:sz w:val="18"/>
                <w:szCs w:val="18"/>
                <w:color w:val="auto"/>
              </w:rPr>
              <w:t>Karratha Village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Kambalda, Western Australia, Australia</w:t>
            </w:r>
          </w:p>
        </w:tc>
        <w:tc>
          <w:tcPr>
            <w:tcW w:w="1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6"/>
              </w:rPr>
              <w:t>27 acres</w:t>
            </w: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Kambalda Village</w:t>
            </w:r>
          </w:p>
        </w:tc>
      </w:tr>
      <w:tr>
        <w:trPr>
          <w:trHeight w:val="243"/>
        </w:trPr>
        <w:tc>
          <w:tcPr>
            <w:tcW w:w="180" w:type="dxa"/>
            <w:vAlign w:val="bottom"/>
          </w:tcPr>
          <w:p>
            <w:pPr>
              <w:spacing w:after="0"/>
              <w:rPr>
                <w:sz w:val="21"/>
                <w:szCs w:val="21"/>
                <w:color w:val="auto"/>
              </w:rPr>
            </w:pPr>
          </w:p>
        </w:tc>
        <w:tc>
          <w:tcPr>
            <w:tcW w:w="5480" w:type="dxa"/>
            <w:vAlign w:val="bottom"/>
            <w:gridSpan w:val="5"/>
          </w:tcPr>
          <w:p>
            <w:pPr>
              <w:ind w:left="420"/>
              <w:spacing w:after="0"/>
              <w:rPr>
                <w:sz w:val="20"/>
                <w:szCs w:val="20"/>
                <w:color w:val="auto"/>
              </w:rPr>
            </w:pPr>
            <w:r>
              <w:rPr>
                <w:rFonts w:ascii="Arial" w:cs="Arial" w:eastAsia="Arial" w:hAnsi="Arial"/>
                <w:sz w:val="18"/>
                <w:szCs w:val="18"/>
                <w:color w:val="auto"/>
              </w:rPr>
              <w:t>Nebo, Queensland, Australia</w:t>
            </w:r>
          </w:p>
        </w:tc>
        <w:tc>
          <w:tcPr>
            <w:tcW w:w="1900" w:type="dxa"/>
            <w:vAlign w:val="bottom"/>
          </w:tcPr>
          <w:p>
            <w:pPr>
              <w:jc w:val="center"/>
              <w:ind w:left="290"/>
              <w:spacing w:after="0"/>
              <w:rPr>
                <w:sz w:val="20"/>
                <w:szCs w:val="20"/>
                <w:color w:val="auto"/>
              </w:rPr>
            </w:pPr>
            <w:r>
              <w:rPr>
                <w:rFonts w:ascii="Arial" w:cs="Arial" w:eastAsia="Arial" w:hAnsi="Arial"/>
                <w:sz w:val="18"/>
                <w:szCs w:val="18"/>
                <w:color w:val="auto"/>
                <w:w w:val="86"/>
              </w:rPr>
              <w:t>26 acres</w:t>
            </w:r>
          </w:p>
        </w:tc>
        <w:tc>
          <w:tcPr>
            <w:tcW w:w="3860" w:type="dxa"/>
            <w:vAlign w:val="bottom"/>
          </w:tcPr>
          <w:p>
            <w:pPr>
              <w:ind w:left="140"/>
              <w:spacing w:after="0"/>
              <w:rPr>
                <w:sz w:val="20"/>
                <w:szCs w:val="20"/>
                <w:color w:val="auto"/>
              </w:rPr>
            </w:pPr>
            <w:r>
              <w:rPr>
                <w:rFonts w:ascii="Arial" w:cs="Arial" w:eastAsia="Arial" w:hAnsi="Arial"/>
                <w:sz w:val="18"/>
                <w:szCs w:val="18"/>
                <w:color w:val="auto"/>
              </w:rPr>
              <w:t>Nebo Village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Moranbah, Queensland, Australia</w:t>
            </w:r>
          </w:p>
        </w:tc>
        <w:tc>
          <w:tcPr>
            <w:tcW w:w="1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6"/>
              </w:rPr>
              <w:t>17 acres</w:t>
            </w: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Moranbah Village</w:t>
            </w:r>
          </w:p>
        </w:tc>
      </w:tr>
      <w:tr>
        <w:trPr>
          <w:trHeight w:val="243"/>
        </w:trPr>
        <w:tc>
          <w:tcPr>
            <w:tcW w:w="180" w:type="dxa"/>
            <w:vAlign w:val="bottom"/>
          </w:tcPr>
          <w:p>
            <w:pPr>
              <w:spacing w:after="0"/>
              <w:rPr>
                <w:sz w:val="21"/>
                <w:szCs w:val="21"/>
                <w:color w:val="auto"/>
              </w:rPr>
            </w:pPr>
          </w:p>
        </w:tc>
        <w:tc>
          <w:tcPr>
            <w:tcW w:w="5480" w:type="dxa"/>
            <w:vAlign w:val="bottom"/>
            <w:gridSpan w:val="5"/>
          </w:tcPr>
          <w:p>
            <w:pPr>
              <w:ind w:left="420"/>
              <w:spacing w:after="0"/>
              <w:rPr>
                <w:sz w:val="20"/>
                <w:szCs w:val="20"/>
                <w:color w:val="auto"/>
              </w:rPr>
            </w:pPr>
            <w:r>
              <w:rPr>
                <w:rFonts w:ascii="Arial" w:cs="Arial" w:eastAsia="Arial" w:hAnsi="Arial"/>
                <w:sz w:val="18"/>
                <w:szCs w:val="18"/>
                <w:color w:val="auto"/>
              </w:rPr>
              <w:t>Sydney, New South Wales, Australia (lease)</w:t>
            </w:r>
          </w:p>
        </w:tc>
        <w:tc>
          <w:tcPr>
            <w:tcW w:w="1900" w:type="dxa"/>
            <w:vAlign w:val="bottom"/>
          </w:tcPr>
          <w:p>
            <w:pPr>
              <w:jc w:val="center"/>
              <w:ind w:left="290"/>
              <w:spacing w:after="0"/>
              <w:rPr>
                <w:sz w:val="20"/>
                <w:szCs w:val="20"/>
                <w:color w:val="auto"/>
              </w:rPr>
            </w:pPr>
            <w:r>
              <w:rPr>
                <w:rFonts w:ascii="Arial" w:cs="Arial" w:eastAsia="Arial" w:hAnsi="Arial"/>
                <w:sz w:val="18"/>
                <w:szCs w:val="18"/>
                <w:color w:val="auto"/>
                <w:w w:val="87"/>
              </w:rPr>
              <w:t>11,518 sq. feet</w:t>
            </w:r>
          </w:p>
        </w:tc>
        <w:tc>
          <w:tcPr>
            <w:tcW w:w="3860" w:type="dxa"/>
            <w:vAlign w:val="bottom"/>
          </w:tcPr>
          <w:p>
            <w:pPr>
              <w:ind w:left="140"/>
              <w:spacing w:after="0"/>
              <w:rPr>
                <w:sz w:val="20"/>
                <w:szCs w:val="20"/>
                <w:color w:val="auto"/>
              </w:rPr>
            </w:pPr>
            <w:r>
              <w:rPr>
                <w:rFonts w:ascii="Arial" w:cs="Arial" w:eastAsia="Arial" w:hAnsi="Arial"/>
                <w:sz w:val="18"/>
                <w:szCs w:val="18"/>
                <w:color w:val="auto"/>
              </w:rPr>
              <w:t>Office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Perth, Western Australia, Australia (lease)</w:t>
            </w:r>
          </w:p>
        </w:tc>
        <w:tc>
          <w:tcPr>
            <w:tcW w:w="1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7"/>
              </w:rPr>
              <w:t>7,535 sq. feet</w:t>
            </w: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Office</w:t>
            </w:r>
          </w:p>
        </w:tc>
      </w:tr>
      <w:tr>
        <w:trPr>
          <w:trHeight w:val="243"/>
        </w:trPr>
        <w:tc>
          <w:tcPr>
            <w:tcW w:w="180" w:type="dxa"/>
            <w:vAlign w:val="bottom"/>
          </w:tcPr>
          <w:p>
            <w:pPr>
              <w:spacing w:after="0"/>
              <w:rPr>
                <w:sz w:val="21"/>
                <w:szCs w:val="21"/>
                <w:color w:val="auto"/>
              </w:rPr>
            </w:pPr>
          </w:p>
        </w:tc>
        <w:tc>
          <w:tcPr>
            <w:tcW w:w="5480" w:type="dxa"/>
            <w:vAlign w:val="bottom"/>
            <w:gridSpan w:val="5"/>
          </w:tcPr>
          <w:p>
            <w:pPr>
              <w:ind w:left="420"/>
              <w:spacing w:after="0"/>
              <w:rPr>
                <w:sz w:val="20"/>
                <w:szCs w:val="20"/>
                <w:color w:val="auto"/>
              </w:rPr>
            </w:pPr>
            <w:r>
              <w:rPr>
                <w:rFonts w:ascii="Arial" w:cs="Arial" w:eastAsia="Arial" w:hAnsi="Arial"/>
                <w:sz w:val="18"/>
                <w:szCs w:val="18"/>
                <w:color w:val="auto"/>
              </w:rPr>
              <w:t>Brisbane, Queensland, Australia (lease)</w:t>
            </w:r>
          </w:p>
        </w:tc>
        <w:tc>
          <w:tcPr>
            <w:tcW w:w="1900" w:type="dxa"/>
            <w:vAlign w:val="bottom"/>
          </w:tcPr>
          <w:p>
            <w:pPr>
              <w:jc w:val="center"/>
              <w:ind w:left="290"/>
              <w:spacing w:after="0"/>
              <w:rPr>
                <w:sz w:val="20"/>
                <w:szCs w:val="20"/>
                <w:color w:val="auto"/>
              </w:rPr>
            </w:pPr>
            <w:r>
              <w:rPr>
                <w:rFonts w:ascii="Arial" w:cs="Arial" w:eastAsia="Arial" w:hAnsi="Arial"/>
                <w:sz w:val="18"/>
                <w:szCs w:val="18"/>
                <w:color w:val="auto"/>
                <w:w w:val="87"/>
              </w:rPr>
              <w:t>5,543 sq. feet</w:t>
            </w:r>
          </w:p>
        </w:tc>
        <w:tc>
          <w:tcPr>
            <w:tcW w:w="3860" w:type="dxa"/>
            <w:vAlign w:val="bottom"/>
          </w:tcPr>
          <w:p>
            <w:pPr>
              <w:ind w:left="140"/>
              <w:spacing w:after="0"/>
              <w:rPr>
                <w:sz w:val="20"/>
                <w:szCs w:val="20"/>
                <w:color w:val="auto"/>
              </w:rPr>
            </w:pPr>
            <w:r>
              <w:rPr>
                <w:rFonts w:ascii="Arial" w:cs="Arial" w:eastAsia="Arial" w:hAnsi="Arial"/>
                <w:sz w:val="18"/>
                <w:szCs w:val="18"/>
                <w:color w:val="auto"/>
              </w:rPr>
              <w:t>Office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03"/>
        </w:trPr>
        <w:tc>
          <w:tcPr>
            <w:tcW w:w="180" w:type="dxa"/>
            <w:vAlign w:val="bottom"/>
            <w:shd w:val="clear" w:color="auto" w:fill="CCEEFF"/>
          </w:tcPr>
          <w:p>
            <w:pPr>
              <w:spacing w:after="0"/>
              <w:rPr>
                <w:sz w:val="17"/>
                <w:szCs w:val="17"/>
                <w:color w:val="auto"/>
              </w:rPr>
            </w:pPr>
          </w:p>
        </w:tc>
        <w:tc>
          <w:tcPr>
            <w:tcW w:w="548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90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38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3860" w:type="dxa"/>
            <w:vAlign w:val="bottom"/>
            <w:tcBorders>
              <w:top w:val="single" w:sz="8" w:color="CCEEFF"/>
            </w:tcBorders>
            <w:shd w:val="clear" w:color="auto" w:fill="CCEEFF"/>
          </w:tcPr>
          <w:p>
            <w:pPr>
              <w:spacing w:after="0"/>
              <w:rPr>
                <w:sz w:val="4"/>
                <w:szCs w:val="4"/>
                <w:color w:val="auto"/>
              </w:rPr>
            </w:pPr>
          </w:p>
        </w:tc>
      </w:tr>
      <w:tr>
        <w:trPr>
          <w:trHeight w:val="243"/>
        </w:trPr>
        <w:tc>
          <w:tcPr>
            <w:tcW w:w="180" w:type="dxa"/>
            <w:vAlign w:val="bottom"/>
          </w:tcPr>
          <w:p>
            <w:pPr>
              <w:spacing w:after="0"/>
              <w:rPr>
                <w:sz w:val="21"/>
                <w:szCs w:val="21"/>
                <w:color w:val="auto"/>
              </w:rPr>
            </w:pPr>
          </w:p>
        </w:tc>
        <w:tc>
          <w:tcPr>
            <w:tcW w:w="5480" w:type="dxa"/>
            <w:vAlign w:val="bottom"/>
            <w:gridSpan w:val="5"/>
          </w:tcPr>
          <w:p>
            <w:pPr>
              <w:ind w:left="420"/>
              <w:spacing w:after="0"/>
              <w:rPr>
                <w:sz w:val="20"/>
                <w:szCs w:val="20"/>
                <w:color w:val="auto"/>
              </w:rPr>
            </w:pPr>
            <w:r>
              <w:rPr>
                <w:rFonts w:ascii="Arial" w:cs="Arial" w:eastAsia="Arial" w:hAnsi="Arial"/>
                <w:sz w:val="18"/>
                <w:szCs w:val="18"/>
                <w:color w:val="auto"/>
              </w:rPr>
              <w:t>Houston, Texas (lease)</w:t>
            </w:r>
          </w:p>
        </w:tc>
        <w:tc>
          <w:tcPr>
            <w:tcW w:w="1900" w:type="dxa"/>
            <w:vAlign w:val="bottom"/>
          </w:tcPr>
          <w:p>
            <w:pPr>
              <w:jc w:val="center"/>
              <w:ind w:left="290"/>
              <w:spacing w:after="0"/>
              <w:rPr>
                <w:sz w:val="20"/>
                <w:szCs w:val="20"/>
                <w:color w:val="auto"/>
              </w:rPr>
            </w:pPr>
            <w:r>
              <w:rPr>
                <w:rFonts w:ascii="Arial" w:cs="Arial" w:eastAsia="Arial" w:hAnsi="Arial"/>
                <w:sz w:val="18"/>
                <w:szCs w:val="18"/>
                <w:color w:val="auto"/>
                <w:w w:val="87"/>
              </w:rPr>
              <w:t>8,900 sq. feet</w:t>
            </w:r>
          </w:p>
        </w:tc>
        <w:tc>
          <w:tcPr>
            <w:tcW w:w="3860" w:type="dxa"/>
            <w:vAlign w:val="bottom"/>
          </w:tcPr>
          <w:p>
            <w:pPr>
              <w:ind w:left="140"/>
              <w:spacing w:after="0"/>
              <w:rPr>
                <w:sz w:val="20"/>
                <w:szCs w:val="20"/>
                <w:color w:val="auto"/>
              </w:rPr>
            </w:pPr>
            <w:r>
              <w:rPr>
                <w:rFonts w:ascii="Arial" w:cs="Arial" w:eastAsia="Arial" w:hAnsi="Arial"/>
                <w:sz w:val="18"/>
                <w:szCs w:val="18"/>
                <w:color w:val="auto"/>
              </w:rPr>
              <w:t>Principal executive offices</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Sulphur, Louisiana</w:t>
            </w:r>
          </w:p>
        </w:tc>
        <w:tc>
          <w:tcPr>
            <w:tcW w:w="1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6"/>
              </w:rPr>
              <w:t>44 acres</w:t>
            </w: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Acadian Acres Lodge and yard</w:t>
            </w:r>
          </w:p>
        </w:tc>
      </w:tr>
      <w:tr>
        <w:trPr>
          <w:trHeight w:val="243"/>
        </w:trPr>
        <w:tc>
          <w:tcPr>
            <w:tcW w:w="180" w:type="dxa"/>
            <w:vAlign w:val="bottom"/>
          </w:tcPr>
          <w:p>
            <w:pPr>
              <w:spacing w:after="0"/>
              <w:rPr>
                <w:sz w:val="21"/>
                <w:szCs w:val="21"/>
                <w:color w:val="auto"/>
              </w:rPr>
            </w:pPr>
          </w:p>
        </w:tc>
        <w:tc>
          <w:tcPr>
            <w:tcW w:w="5480" w:type="dxa"/>
            <w:vAlign w:val="bottom"/>
            <w:gridSpan w:val="5"/>
          </w:tcPr>
          <w:p>
            <w:pPr>
              <w:ind w:left="420"/>
              <w:spacing w:after="0"/>
              <w:rPr>
                <w:sz w:val="20"/>
                <w:szCs w:val="20"/>
                <w:color w:val="auto"/>
              </w:rPr>
            </w:pPr>
            <w:r>
              <w:rPr>
                <w:rFonts w:ascii="Arial" w:cs="Arial" w:eastAsia="Arial" w:hAnsi="Arial"/>
                <w:sz w:val="18"/>
                <w:szCs w:val="18"/>
                <w:color w:val="auto"/>
              </w:rPr>
              <w:t>Killdeer, North Dakota</w:t>
            </w:r>
          </w:p>
        </w:tc>
        <w:tc>
          <w:tcPr>
            <w:tcW w:w="1900" w:type="dxa"/>
            <w:vAlign w:val="bottom"/>
          </w:tcPr>
          <w:p>
            <w:pPr>
              <w:jc w:val="center"/>
              <w:ind w:left="290"/>
              <w:spacing w:after="0"/>
              <w:rPr>
                <w:sz w:val="20"/>
                <w:szCs w:val="20"/>
                <w:color w:val="auto"/>
              </w:rPr>
            </w:pPr>
            <w:r>
              <w:rPr>
                <w:rFonts w:ascii="Arial" w:cs="Arial" w:eastAsia="Arial" w:hAnsi="Arial"/>
                <w:sz w:val="18"/>
                <w:szCs w:val="18"/>
                <w:color w:val="auto"/>
                <w:w w:val="86"/>
              </w:rPr>
              <w:t>39 acres</w:t>
            </w:r>
          </w:p>
        </w:tc>
        <w:tc>
          <w:tcPr>
            <w:tcW w:w="3860" w:type="dxa"/>
            <w:vAlign w:val="bottom"/>
          </w:tcPr>
          <w:p>
            <w:pPr>
              <w:ind w:left="140"/>
              <w:spacing w:after="0"/>
              <w:rPr>
                <w:sz w:val="20"/>
                <w:szCs w:val="20"/>
                <w:color w:val="auto"/>
              </w:rPr>
            </w:pPr>
            <w:r>
              <w:rPr>
                <w:rFonts w:ascii="Arial" w:cs="Arial" w:eastAsia="Arial" w:hAnsi="Arial"/>
                <w:sz w:val="18"/>
                <w:szCs w:val="18"/>
                <w:color w:val="auto"/>
              </w:rPr>
              <w:t>Killdeer Lodge</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Pecos, Texas (leased land)</w:t>
            </w:r>
          </w:p>
        </w:tc>
        <w:tc>
          <w:tcPr>
            <w:tcW w:w="1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6"/>
              </w:rPr>
              <w:t>35 acres</w:t>
            </w: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West Permian Lodge</w:t>
            </w:r>
          </w:p>
        </w:tc>
      </w:tr>
      <w:tr>
        <w:trPr>
          <w:trHeight w:val="243"/>
        </w:trPr>
        <w:tc>
          <w:tcPr>
            <w:tcW w:w="180" w:type="dxa"/>
            <w:vAlign w:val="bottom"/>
          </w:tcPr>
          <w:p>
            <w:pPr>
              <w:spacing w:after="0"/>
              <w:rPr>
                <w:sz w:val="21"/>
                <w:szCs w:val="21"/>
                <w:color w:val="auto"/>
              </w:rPr>
            </w:pPr>
          </w:p>
        </w:tc>
        <w:tc>
          <w:tcPr>
            <w:tcW w:w="5480" w:type="dxa"/>
            <w:vAlign w:val="bottom"/>
            <w:gridSpan w:val="5"/>
          </w:tcPr>
          <w:p>
            <w:pPr>
              <w:ind w:left="420"/>
              <w:spacing w:after="0"/>
              <w:rPr>
                <w:sz w:val="20"/>
                <w:szCs w:val="20"/>
                <w:color w:val="auto"/>
              </w:rPr>
            </w:pPr>
            <w:r>
              <w:rPr>
                <w:rFonts w:ascii="Arial" w:cs="Arial" w:eastAsia="Arial" w:hAnsi="Arial"/>
                <w:sz w:val="18"/>
                <w:szCs w:val="18"/>
                <w:color w:val="auto"/>
              </w:rPr>
              <w:t>Dickinson, North Dakota (lease)</w:t>
            </w:r>
          </w:p>
        </w:tc>
        <w:tc>
          <w:tcPr>
            <w:tcW w:w="1900" w:type="dxa"/>
            <w:vAlign w:val="bottom"/>
          </w:tcPr>
          <w:p>
            <w:pPr>
              <w:jc w:val="center"/>
              <w:ind w:left="290"/>
              <w:spacing w:after="0"/>
              <w:rPr>
                <w:sz w:val="20"/>
                <w:szCs w:val="20"/>
                <w:color w:val="auto"/>
              </w:rPr>
            </w:pPr>
            <w:r>
              <w:rPr>
                <w:rFonts w:ascii="Arial" w:cs="Arial" w:eastAsia="Arial" w:hAnsi="Arial"/>
                <w:sz w:val="18"/>
                <w:szCs w:val="18"/>
                <w:color w:val="auto"/>
                <w:w w:val="86"/>
              </w:rPr>
              <w:t>26 acres</w:t>
            </w:r>
          </w:p>
        </w:tc>
        <w:tc>
          <w:tcPr>
            <w:tcW w:w="3860" w:type="dxa"/>
            <w:vAlign w:val="bottom"/>
          </w:tcPr>
          <w:p>
            <w:pPr>
              <w:ind w:left="140"/>
              <w:spacing w:after="0"/>
              <w:rPr>
                <w:sz w:val="20"/>
                <w:szCs w:val="20"/>
                <w:color w:val="auto"/>
              </w:rPr>
            </w:pPr>
            <w:r>
              <w:rPr>
                <w:rFonts w:ascii="Arial" w:cs="Arial" w:eastAsia="Arial" w:hAnsi="Arial"/>
                <w:sz w:val="18"/>
                <w:szCs w:val="18"/>
                <w:color w:val="auto"/>
              </w:rPr>
              <w:t>Mobile asset facility and yard</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Vernal, Utah (lease)</w:t>
            </w:r>
          </w:p>
        </w:tc>
        <w:tc>
          <w:tcPr>
            <w:tcW w:w="1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6"/>
              </w:rPr>
              <w:t>21 acres</w:t>
            </w: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Mobile asset facility and yard</w:t>
            </w:r>
          </w:p>
        </w:tc>
      </w:tr>
      <w:tr>
        <w:trPr>
          <w:trHeight w:val="243"/>
        </w:trPr>
        <w:tc>
          <w:tcPr>
            <w:tcW w:w="180" w:type="dxa"/>
            <w:vAlign w:val="bottom"/>
          </w:tcPr>
          <w:p>
            <w:pPr>
              <w:spacing w:after="0"/>
              <w:rPr>
                <w:sz w:val="21"/>
                <w:szCs w:val="21"/>
                <w:color w:val="auto"/>
              </w:rPr>
            </w:pPr>
          </w:p>
        </w:tc>
        <w:tc>
          <w:tcPr>
            <w:tcW w:w="5480" w:type="dxa"/>
            <w:vAlign w:val="bottom"/>
            <w:gridSpan w:val="5"/>
          </w:tcPr>
          <w:p>
            <w:pPr>
              <w:ind w:left="420"/>
              <w:spacing w:after="0"/>
              <w:rPr>
                <w:sz w:val="20"/>
                <w:szCs w:val="20"/>
                <w:color w:val="auto"/>
              </w:rPr>
            </w:pPr>
            <w:r>
              <w:rPr>
                <w:rFonts w:ascii="Arial" w:cs="Arial" w:eastAsia="Arial" w:hAnsi="Arial"/>
                <w:sz w:val="18"/>
                <w:szCs w:val="18"/>
                <w:color w:val="auto"/>
              </w:rPr>
              <w:t>Yukon, Oklahoma (lease)</w:t>
            </w:r>
          </w:p>
        </w:tc>
        <w:tc>
          <w:tcPr>
            <w:tcW w:w="1900" w:type="dxa"/>
            <w:vAlign w:val="bottom"/>
          </w:tcPr>
          <w:p>
            <w:pPr>
              <w:jc w:val="center"/>
              <w:ind w:left="290"/>
              <w:spacing w:after="0"/>
              <w:rPr>
                <w:sz w:val="20"/>
                <w:szCs w:val="20"/>
                <w:color w:val="auto"/>
              </w:rPr>
            </w:pPr>
            <w:r>
              <w:rPr>
                <w:rFonts w:ascii="Arial" w:cs="Arial" w:eastAsia="Arial" w:hAnsi="Arial"/>
                <w:sz w:val="18"/>
                <w:szCs w:val="18"/>
                <w:color w:val="auto"/>
                <w:w w:val="86"/>
              </w:rPr>
              <w:t>12 acres</w:t>
            </w:r>
          </w:p>
        </w:tc>
        <w:tc>
          <w:tcPr>
            <w:tcW w:w="3860" w:type="dxa"/>
            <w:vAlign w:val="bottom"/>
          </w:tcPr>
          <w:p>
            <w:pPr>
              <w:ind w:left="140"/>
              <w:spacing w:after="0"/>
              <w:rPr>
                <w:sz w:val="20"/>
                <w:szCs w:val="20"/>
                <w:color w:val="auto"/>
              </w:rPr>
            </w:pPr>
            <w:r>
              <w:rPr>
                <w:rFonts w:ascii="Arial" w:cs="Arial" w:eastAsia="Arial" w:hAnsi="Arial"/>
                <w:sz w:val="18"/>
                <w:szCs w:val="18"/>
                <w:color w:val="auto"/>
              </w:rPr>
              <w:t>Mobile asset facility and yard</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Belle Chasse, Louisiana</w:t>
            </w:r>
          </w:p>
        </w:tc>
        <w:tc>
          <w:tcPr>
            <w:tcW w:w="1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6"/>
              </w:rPr>
              <w:t>10 acres</w:t>
            </w: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Manufacturing facility and yard</w:t>
            </w:r>
          </w:p>
        </w:tc>
      </w:tr>
      <w:tr>
        <w:trPr>
          <w:trHeight w:val="243"/>
        </w:trPr>
        <w:tc>
          <w:tcPr>
            <w:tcW w:w="180" w:type="dxa"/>
            <w:vAlign w:val="bottom"/>
          </w:tcPr>
          <w:p>
            <w:pPr>
              <w:spacing w:after="0"/>
              <w:rPr>
                <w:sz w:val="21"/>
                <w:szCs w:val="21"/>
                <w:color w:val="auto"/>
              </w:rPr>
            </w:pPr>
          </w:p>
        </w:tc>
        <w:tc>
          <w:tcPr>
            <w:tcW w:w="5480" w:type="dxa"/>
            <w:vAlign w:val="bottom"/>
            <w:gridSpan w:val="5"/>
          </w:tcPr>
          <w:p>
            <w:pPr>
              <w:ind w:left="420"/>
              <w:spacing w:after="0"/>
              <w:rPr>
                <w:sz w:val="20"/>
                <w:szCs w:val="20"/>
                <w:color w:val="auto"/>
              </w:rPr>
            </w:pPr>
            <w:r>
              <w:rPr>
                <w:rFonts w:ascii="Arial" w:cs="Arial" w:eastAsia="Arial" w:hAnsi="Arial"/>
                <w:sz w:val="18"/>
                <w:szCs w:val="18"/>
                <w:color w:val="auto"/>
              </w:rPr>
              <w:t>Big Piney, Wyoming (lease)</w:t>
            </w:r>
          </w:p>
        </w:tc>
        <w:tc>
          <w:tcPr>
            <w:tcW w:w="1900" w:type="dxa"/>
            <w:vAlign w:val="bottom"/>
          </w:tcPr>
          <w:p>
            <w:pPr>
              <w:jc w:val="center"/>
              <w:ind w:left="290"/>
              <w:spacing w:after="0"/>
              <w:rPr>
                <w:sz w:val="20"/>
                <w:szCs w:val="20"/>
                <w:color w:val="auto"/>
              </w:rPr>
            </w:pPr>
            <w:r>
              <w:rPr>
                <w:rFonts w:ascii="Arial" w:cs="Arial" w:eastAsia="Arial" w:hAnsi="Arial"/>
                <w:sz w:val="18"/>
                <w:szCs w:val="18"/>
                <w:color w:val="auto"/>
                <w:w w:val="88"/>
              </w:rPr>
              <w:t>7 acres</w:t>
            </w:r>
          </w:p>
        </w:tc>
        <w:tc>
          <w:tcPr>
            <w:tcW w:w="3860" w:type="dxa"/>
            <w:vAlign w:val="bottom"/>
          </w:tcPr>
          <w:p>
            <w:pPr>
              <w:ind w:left="140"/>
              <w:spacing w:after="0"/>
              <w:rPr>
                <w:sz w:val="20"/>
                <w:szCs w:val="20"/>
                <w:color w:val="auto"/>
              </w:rPr>
            </w:pPr>
            <w:r>
              <w:rPr>
                <w:rFonts w:ascii="Arial" w:cs="Arial" w:eastAsia="Arial" w:hAnsi="Arial"/>
                <w:sz w:val="18"/>
                <w:szCs w:val="18"/>
                <w:color w:val="auto"/>
              </w:rPr>
              <w:t>Mobile asset facility and yard</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LaSalle, Colorado (lease)</w:t>
            </w:r>
          </w:p>
        </w:tc>
        <w:tc>
          <w:tcPr>
            <w:tcW w:w="1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8"/>
              </w:rPr>
              <w:t>6 acres</w:t>
            </w: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Mobile asset facility and yard</w:t>
            </w:r>
          </w:p>
        </w:tc>
      </w:tr>
      <w:tr>
        <w:trPr>
          <w:trHeight w:val="243"/>
        </w:trPr>
        <w:tc>
          <w:tcPr>
            <w:tcW w:w="180" w:type="dxa"/>
            <w:vAlign w:val="bottom"/>
          </w:tcPr>
          <w:p>
            <w:pPr>
              <w:spacing w:after="0"/>
              <w:rPr>
                <w:sz w:val="21"/>
                <w:szCs w:val="21"/>
                <w:color w:val="auto"/>
              </w:rPr>
            </w:pPr>
          </w:p>
        </w:tc>
        <w:tc>
          <w:tcPr>
            <w:tcW w:w="5480" w:type="dxa"/>
            <w:vAlign w:val="bottom"/>
            <w:gridSpan w:val="5"/>
          </w:tcPr>
          <w:p>
            <w:pPr>
              <w:ind w:left="420"/>
              <w:spacing w:after="0"/>
              <w:rPr>
                <w:sz w:val="20"/>
                <w:szCs w:val="20"/>
                <w:color w:val="auto"/>
              </w:rPr>
            </w:pPr>
            <w:r>
              <w:rPr>
                <w:rFonts w:ascii="Arial" w:cs="Arial" w:eastAsia="Arial" w:hAnsi="Arial"/>
                <w:sz w:val="18"/>
                <w:szCs w:val="18"/>
                <w:color w:val="auto"/>
              </w:rPr>
              <w:t>Pecos, Texas (lease)</w:t>
            </w:r>
          </w:p>
        </w:tc>
        <w:tc>
          <w:tcPr>
            <w:tcW w:w="1900" w:type="dxa"/>
            <w:vAlign w:val="bottom"/>
          </w:tcPr>
          <w:p>
            <w:pPr>
              <w:jc w:val="center"/>
              <w:ind w:left="290"/>
              <w:spacing w:after="0"/>
              <w:rPr>
                <w:sz w:val="20"/>
                <w:szCs w:val="20"/>
                <w:color w:val="auto"/>
              </w:rPr>
            </w:pPr>
            <w:r>
              <w:rPr>
                <w:rFonts w:ascii="Arial" w:cs="Arial" w:eastAsia="Arial" w:hAnsi="Arial"/>
                <w:sz w:val="18"/>
                <w:szCs w:val="18"/>
                <w:color w:val="auto"/>
                <w:w w:val="88"/>
              </w:rPr>
              <w:t>5 acres</w:t>
            </w:r>
          </w:p>
        </w:tc>
        <w:tc>
          <w:tcPr>
            <w:tcW w:w="3860" w:type="dxa"/>
            <w:vAlign w:val="bottom"/>
          </w:tcPr>
          <w:p>
            <w:pPr>
              <w:ind w:left="140"/>
              <w:spacing w:after="0"/>
              <w:rPr>
                <w:sz w:val="20"/>
                <w:szCs w:val="20"/>
                <w:color w:val="auto"/>
              </w:rPr>
            </w:pPr>
            <w:r>
              <w:rPr>
                <w:rFonts w:ascii="Arial" w:cs="Arial" w:eastAsia="Arial" w:hAnsi="Arial"/>
                <w:sz w:val="18"/>
                <w:szCs w:val="18"/>
                <w:color w:val="auto"/>
              </w:rPr>
              <w:t>Mobile asset facility and yard</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rPr>
              <w:t>Wright, Wyoming (lease)</w:t>
            </w:r>
          </w:p>
        </w:tc>
        <w:tc>
          <w:tcPr>
            <w:tcW w:w="1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8"/>
              </w:rPr>
              <w:t>5 acres</w:t>
            </w:r>
          </w:p>
        </w:tc>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Mobile asset facility and yard</w:t>
            </w:r>
          </w:p>
        </w:tc>
      </w:tr>
      <w:tr>
        <w:trPr>
          <w:trHeight w:val="243"/>
        </w:trPr>
        <w:tc>
          <w:tcPr>
            <w:tcW w:w="180" w:type="dxa"/>
            <w:vAlign w:val="bottom"/>
          </w:tcPr>
          <w:p>
            <w:pPr>
              <w:spacing w:after="0"/>
              <w:rPr>
                <w:sz w:val="21"/>
                <w:szCs w:val="21"/>
                <w:color w:val="auto"/>
              </w:rPr>
            </w:pPr>
          </w:p>
        </w:tc>
        <w:tc>
          <w:tcPr>
            <w:tcW w:w="5480" w:type="dxa"/>
            <w:vAlign w:val="bottom"/>
            <w:gridSpan w:val="5"/>
          </w:tcPr>
          <w:p>
            <w:pPr>
              <w:ind w:left="420"/>
              <w:spacing w:after="0"/>
              <w:rPr>
                <w:sz w:val="20"/>
                <w:szCs w:val="20"/>
                <w:color w:val="auto"/>
              </w:rPr>
            </w:pPr>
            <w:r>
              <w:rPr>
                <w:rFonts w:ascii="Arial" w:cs="Arial" w:eastAsia="Arial" w:hAnsi="Arial"/>
                <w:sz w:val="18"/>
                <w:szCs w:val="18"/>
                <w:color w:val="auto"/>
              </w:rPr>
              <w:t>Longmont, Colorado (lease)</w:t>
            </w:r>
          </w:p>
        </w:tc>
        <w:tc>
          <w:tcPr>
            <w:tcW w:w="1900" w:type="dxa"/>
            <w:vAlign w:val="bottom"/>
          </w:tcPr>
          <w:p>
            <w:pPr>
              <w:jc w:val="center"/>
              <w:ind w:left="290"/>
              <w:spacing w:after="0"/>
              <w:rPr>
                <w:sz w:val="20"/>
                <w:szCs w:val="20"/>
                <w:color w:val="auto"/>
              </w:rPr>
            </w:pPr>
            <w:r>
              <w:rPr>
                <w:rFonts w:ascii="Arial" w:cs="Arial" w:eastAsia="Arial" w:hAnsi="Arial"/>
                <w:sz w:val="18"/>
                <w:szCs w:val="18"/>
                <w:color w:val="auto"/>
                <w:w w:val="87"/>
              </w:rPr>
              <w:t>4,377 sq. feet</w:t>
            </w:r>
          </w:p>
        </w:tc>
        <w:tc>
          <w:tcPr>
            <w:tcW w:w="3860" w:type="dxa"/>
            <w:vAlign w:val="bottom"/>
          </w:tcPr>
          <w:p>
            <w:pPr>
              <w:ind w:left="140"/>
              <w:spacing w:after="0"/>
              <w:rPr>
                <w:sz w:val="20"/>
                <w:szCs w:val="20"/>
                <w:color w:val="auto"/>
              </w:rPr>
            </w:pPr>
            <w:r>
              <w:rPr>
                <w:rFonts w:ascii="Arial" w:cs="Arial" w:eastAsia="Arial" w:hAnsi="Arial"/>
                <w:sz w:val="18"/>
                <w:szCs w:val="18"/>
                <w:color w:val="auto"/>
              </w:rPr>
              <w:t>Office</w:t>
            </w:r>
          </w:p>
        </w:tc>
      </w:tr>
    </w:tbl>
    <w:p>
      <w:pPr>
        <w:spacing w:after="0" w:line="229" w:lineRule="exact"/>
        <w:rPr>
          <w:sz w:val="20"/>
          <w:szCs w:val="20"/>
          <w:color w:val="auto"/>
        </w:rPr>
      </w:pPr>
    </w:p>
    <w:p>
      <w:pPr>
        <w:jc w:val="both"/>
        <w:ind w:right="20" w:firstLine="459"/>
        <w:spacing w:after="0" w:line="264" w:lineRule="auto"/>
        <w:rPr>
          <w:sz w:val="20"/>
          <w:szCs w:val="20"/>
          <w:color w:val="auto"/>
        </w:rPr>
      </w:pPr>
      <w:r>
        <w:rPr>
          <w:rFonts w:ascii="Arial" w:cs="Arial" w:eastAsia="Arial" w:hAnsi="Arial"/>
          <w:sz w:val="18"/>
          <w:szCs w:val="18"/>
          <w:color w:val="auto"/>
        </w:rPr>
        <w:t>We own various undeveloped properties in British Columbia. We also have various offices supporting our business segments which are both owned and leased. We believe that our leases are at competitive or market rates and do not anticipate any difficulty in leasing additional suitable space upon expiration of our current lease terms.</w:t>
      </w:r>
    </w:p>
    <w:p>
      <w:pPr>
        <w:sectPr>
          <w:pgSz w:w="11900" w:h="16838" w:orient="portrait"/>
          <w:cols w:equalWidth="0" w:num="1">
            <w:col w:w="11420"/>
          </w:cols>
          <w:pgMar w:left="240" w:top="108"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08"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59"/>
        <w:spacing w:after="0" w:line="342" w:lineRule="auto"/>
        <w:rPr>
          <w:sz w:val="20"/>
          <w:szCs w:val="20"/>
          <w:color w:val="auto"/>
        </w:rPr>
      </w:pPr>
      <w:r>
        <w:rPr>
          <w:rFonts w:ascii="Arial" w:cs="Arial" w:eastAsia="Arial" w:hAnsi="Arial"/>
          <w:sz w:val="16"/>
          <w:szCs w:val="16"/>
          <w:color w:val="auto"/>
        </w:rPr>
        <w:t>Leased land for our lodge properties in Canada refers to land leased from the Alberta government. We also lease land for our Karratha Village from the provincial government in Australia. Generally, our leases have an initial term of ten years and are scheduled to expire between 2020 and 2028.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125" w:right="3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Shareholder Matters and Issuer Purchases of Equity Securities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Market for Our Common Shares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trade on the NYSE under the trading symbol “CVEO”.</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21, 2020, there were 21 holders of record of Civeo common shares.</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Dividend Information</w:t>
      </w:r>
    </w:p>
    <w:p>
      <w:pPr>
        <w:spacing w:after="0" w:line="229" w:lineRule="exact"/>
        <w:rPr>
          <w:sz w:val="20"/>
          <w:szCs w:val="20"/>
          <w:color w:val="auto"/>
        </w:rPr>
      </w:pPr>
    </w:p>
    <w:p>
      <w:pPr>
        <w:ind w:firstLine="459"/>
        <w:spacing w:after="0" w:line="279" w:lineRule="auto"/>
        <w:rPr>
          <w:sz w:val="20"/>
          <w:szCs w:val="20"/>
          <w:color w:val="auto"/>
        </w:rPr>
      </w:pPr>
      <w:r>
        <w:rPr>
          <w:rFonts w:ascii="Arial" w:cs="Arial" w:eastAsia="Arial" w:hAnsi="Arial"/>
          <w:sz w:val="17"/>
          <w:szCs w:val="17"/>
          <w:color w:val="auto"/>
        </w:rPr>
        <w:t>We do not currently pay any cash dividends on our common shares.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We can give no assurances that we will pay a dividend in the future.</w:t>
      </w:r>
    </w:p>
    <w:p>
      <w:pPr>
        <w:spacing w:after="0" w:line="171" w:lineRule="exact"/>
        <w:rPr>
          <w:sz w:val="20"/>
          <w:szCs w:val="20"/>
          <w:color w:val="auto"/>
        </w:rPr>
      </w:pPr>
    </w:p>
    <w:p>
      <w:pPr>
        <w:ind w:right="60" w:firstLine="459"/>
        <w:spacing w:after="0" w:line="255" w:lineRule="auto"/>
        <w:rPr>
          <w:sz w:val="20"/>
          <w:szCs w:val="20"/>
          <w:color w:val="auto"/>
        </w:rPr>
      </w:pPr>
      <w:r>
        <w:rPr>
          <w:rFonts w:ascii="Arial" w:cs="Arial" w:eastAsia="Arial" w:hAnsi="Arial"/>
          <w:sz w:val="18"/>
          <w:szCs w:val="18"/>
          <w:color w:val="auto"/>
        </w:rPr>
        <w:t>The preferred shares we issued in the Noralta Acquisition are entitled to receive a 2% annual dividend on the liquidation preference (initially $10,000 per share), paid quarterly in cash or, at our option, by increasing the preferred shares’ liquidation preference, or any combination thereof. Quarterly dividends were paid in-kind on March 31, June 30, September 30, and December 31, 2019, thereby increasing the liquidation preference to $10,355 per share as of December 31, 2019. We currently expect to pay dividends on the preferred shares for the foreseeable future through an increase in liquidation preference rather than cash. For further information, see Note 20 - Preferred Shares to the notes to the consolidated financial statements included in Item 8 of this annual report.</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120" w:firstLine="459"/>
        <w:spacing w:after="0" w:line="308" w:lineRule="auto"/>
        <w:rPr>
          <w:sz w:val="20"/>
          <w:szCs w:val="20"/>
          <w:color w:val="auto"/>
        </w:rPr>
      </w:pPr>
      <w:r>
        <w:rPr>
          <w:rFonts w:ascii="Arial" w:cs="Arial" w:eastAsia="Arial" w:hAnsi="Arial"/>
          <w:sz w:val="17"/>
          <w:szCs w:val="17"/>
          <w:color w:val="auto"/>
        </w:rPr>
        <w:t>The share price performance shown on the graph is not necessarily indicative of future price performance. Information used in the graph was obtained from Research Data Group, Inc., a source believed to be reliable, but we are not responsible for any errors or omissions in such information.</w:t>
      </w:r>
    </w:p>
    <w:p>
      <w:pPr>
        <w:spacing w:after="0" w:line="147" w:lineRule="exact"/>
        <w:rPr>
          <w:sz w:val="20"/>
          <w:szCs w:val="20"/>
          <w:color w:val="auto"/>
        </w:rPr>
      </w:pPr>
    </w:p>
    <w:p>
      <w:pPr>
        <w:ind w:right="180" w:firstLine="459"/>
        <w:spacing w:after="0" w:line="259" w:lineRule="auto"/>
        <w:rPr>
          <w:sz w:val="20"/>
          <w:szCs w:val="20"/>
          <w:color w:val="auto"/>
        </w:rPr>
      </w:pPr>
      <w:r>
        <w:rPr>
          <w:rFonts w:ascii="Arial" w:cs="Arial" w:eastAsia="Arial" w:hAnsi="Arial"/>
          <w:sz w:val="18"/>
          <w:szCs w:val="18"/>
          <w:color w:val="auto"/>
        </w:rPr>
        <w:t>The following performance graph and chart compare the cumulative total return to holders of our common shares with the cumulative total returns of the Standard &amp; Poor's 500 Stock Index, Philadelphia OSX and with that of our current and prior peer groups, for the period from December 31, 2014 to December 31, 2019. The graph and chart show the value, at the dates indicated, of $100 invested at December 31, 2014 and assume the reinvestment of all dividends, as applicable.</w:t>
      </w:r>
    </w:p>
    <w:p>
      <w:pPr>
        <w:spacing w:after="0" w:line="187" w:lineRule="exact"/>
        <w:rPr>
          <w:sz w:val="20"/>
          <w:szCs w:val="20"/>
          <w:color w:val="auto"/>
        </w:rPr>
      </w:pPr>
    </w:p>
    <w:p>
      <w:pPr>
        <w:ind w:right="180" w:firstLine="459"/>
        <w:spacing w:after="0" w:line="254" w:lineRule="auto"/>
        <w:rPr>
          <w:sz w:val="20"/>
          <w:szCs w:val="20"/>
          <w:color w:val="auto"/>
        </w:rPr>
      </w:pPr>
      <w:r>
        <w:rPr>
          <w:rFonts w:ascii="Arial" w:cs="Arial" w:eastAsia="Arial" w:hAnsi="Arial"/>
          <w:sz w:val="18"/>
          <w:szCs w:val="18"/>
          <w:color w:val="auto"/>
        </w:rPr>
        <w:t>In 2019, we revised our peer group to ensure the companies continue to provide appropriate comparability to us. Prior to the revision, our peer group consisted of Basic Energy Services, Inc., Black Diamond Group Limited, Exterran Corporation, Forum Energy Technologies, Inc., Horizon North Logistics Inc., Matrix Service Company, Newpark Resources, Inc., Oil States International, Inc., Parker Drilling Company, Pioneer Energy Service Corporation, Precision Drilling Corporation, Source Energy Services Ltd., Step Energy Services Ltd., Tetra Tech, Inc. and Unit Corporation. Our current peer group consists of Basic Energy Services, Inc., Black Diamond Group Limited, Exterran Corporation, Forum Energy Technologies, Inc., Horizon North Logistics Inc., Matrix Service Company, Newpark Resources, Inc., Nine Energy Service Inc., Oil States International, Inc., Pioneer Energy Services Corporation, Precision Drilling Corporation, Select Energy Services Inc., Source Energy Services Ltd., Step Energy Services Ltd., Tetra Tech Inc., Total Energy Services Inc. and Unit Corporation.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152400</wp:posOffset>
            </wp:positionV>
            <wp:extent cx="4322445" cy="3919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22445" cy="391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12/31/14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12/31/15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12/31/16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12/31/17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12/31/18</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12/31/19</w:t>
            </w:r>
          </w:p>
        </w:tc>
      </w:tr>
      <w:tr>
        <w:trPr>
          <w:trHeight w:val="27"/>
        </w:trPr>
        <w:tc>
          <w:tcPr>
            <w:tcW w:w="3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Civeo Corporation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34.79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31.39</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S&amp;P 500</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100.00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101.38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113.51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138.29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132.23</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173.86</w:t>
            </w: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PHLX Oil Service Sector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41.35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41.12</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Prior Peer Group</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100.00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62.27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95.64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79.39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51.14</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53.72</w:t>
            </w: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Current Peer Group</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95.73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80.69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49.95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50.44</w:t>
            </w:r>
          </w:p>
        </w:tc>
      </w:tr>
      <w:tr>
        <w:trPr>
          <w:trHeight w:val="27"/>
        </w:trPr>
        <w:tc>
          <w:tcPr>
            <w:tcW w:w="3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40" w:firstLine="459"/>
        <w:spacing w:after="0" w:line="277" w:lineRule="auto"/>
        <w:rPr>
          <w:sz w:val="20"/>
          <w:szCs w:val="20"/>
          <w:color w:val="auto"/>
        </w:rPr>
      </w:pPr>
      <w:r>
        <w:rPr>
          <w:rFonts w:ascii="Arial" w:cs="Arial" w:eastAsia="Arial" w:hAnsi="Arial"/>
          <w:sz w:val="18"/>
          <w:szCs w:val="18"/>
          <w:color w:val="auto"/>
        </w:rPr>
        <w:t>The performance graph above is furnished and not filed for purposes of the Securities Act and the Exchange Act. The performance graph is not soliciting material subject to Regulation 14A.</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Repurchases of Equity Securities by Registrant or its Affiliates in the Fourth Quarter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following tables present the selected financial data derived from our consolidated financial statements. The financial information presented below should be read in conjunction with our consolidated financial statements and accompanying notes in Item 8 and "Management's Discussion and Analysis of Financial Condition and Results of Operations" in Item 7 of this annual report. The financial information may not be indicative of our future performance</w:t>
      </w: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125" w:right="4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15"/>
        </w:trPr>
        <w:tc>
          <w:tcPr>
            <w:tcW w:w="1280" w:type="dxa"/>
            <w:vAlign w:val="bottom"/>
            <w:tcBorders>
              <w:top w:val="single" w:sz="8" w:color="0000EE"/>
            </w:tcBorders>
          </w:tcPr>
          <w:p>
            <w:pPr>
              <w:spacing w:after="0"/>
              <w:rPr>
                <w:sz w:val="24"/>
                <w:szCs w:val="24"/>
                <w:color w:val="auto"/>
              </w:rPr>
            </w:pPr>
          </w:p>
        </w:tc>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89"/>
              </w:rPr>
              <w:t>For the year ended December 31,</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10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6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89"/>
              </w:rPr>
              <w:t>(In thousands, except per share data)</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527,555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466,692</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382,276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397,230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517,963</w:t>
            </w: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(49,051)</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(88,055)</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(97,971)</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(95,760)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(145,003)</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loss attributable to Civeo</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(60,340)</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(131,832)</w:t>
            </w:r>
          </w:p>
        </w:tc>
        <w:tc>
          <w:tcPr>
            <w:tcW w:w="4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(105,713)</w:t>
            </w: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(96,388)</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(131,759)</w:t>
            </w: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loss per share attributable to Civeo</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(0.82)</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594"/>
        </w:trPr>
        <w:tc>
          <w:tcPr>
            <w:tcW w:w="1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As of December 31,</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10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969,912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1,001,677</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853,912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910,446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1,066,529</w:t>
            </w: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321,792</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342,908</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277,990</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337,800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379,416</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Civeo shareholders’ equity</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490,143</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535,424</w:t>
            </w:r>
          </w:p>
        </w:tc>
        <w:tc>
          <w:tcPr>
            <w:tcW w:w="4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476,250</w:t>
            </w:r>
          </w:p>
        </w:tc>
        <w:tc>
          <w:tcPr>
            <w:tcW w:w="2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475,467</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563,245</w:t>
            </w:r>
          </w:p>
        </w:tc>
      </w:tr>
      <w:tr>
        <w:trPr>
          <w:trHeight w:val="891"/>
        </w:trPr>
        <w:tc>
          <w:tcPr>
            <w:tcW w:w="1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color w:val="auto"/>
        </w:rPr>
        <w:t>“Management’s Discussion and Analysis of Financial Condition and Results of Operations” contains “forward-looking statements” within the meaning of Section 27A of the Securities Act and Section 21E of the Exchange Act that are based on management’s current expectations, estimates and projections about our business operations. Please read “Cautionary Statement Regarding Forward Looking Statements.” Our actual results may differ materially from those currently anticipated and expressed in such forward-looking statements as a result of numerous factors, including the known material factors set forth in Item 1A. “Risk Factors” of this annual report. You should read the following discussion and analysis together with our consolidated financial statements and the notes to those statements in Item 8 of this annual report.</w:t>
      </w:r>
    </w:p>
    <w:p>
      <w:pPr>
        <w:spacing w:after="0" w:line="193" w:lineRule="exact"/>
        <w:rPr>
          <w:sz w:val="20"/>
          <w:szCs w:val="20"/>
          <w:color w:val="auto"/>
        </w:rPr>
      </w:pPr>
    </w:p>
    <w:p>
      <w:pPr>
        <w:ind w:right="140" w:firstLine="459"/>
        <w:spacing w:after="0" w:line="259" w:lineRule="auto"/>
        <w:rPr>
          <w:sz w:val="20"/>
          <w:szCs w:val="20"/>
          <w:color w:val="auto"/>
        </w:rPr>
      </w:pPr>
      <w:r>
        <w:rPr>
          <w:rFonts w:ascii="Arial" w:cs="Arial" w:eastAsia="Arial" w:hAnsi="Arial"/>
          <w:sz w:val="18"/>
          <w:szCs w:val="18"/>
          <w:color w:val="auto"/>
        </w:rPr>
        <w:t>This section of this annual report generally discusses key operating and financial data as of and for the years ended 2019 and 2018 and provides year-over-year comparisons for such periods. For a similar discussion and year-over-year comparisons to our 2017 results, please refer to "Management’s Discussion and Analysis of Financial Condition and Results of Operations" in Part II, Item 7 of our Annual Report on Form 10-K for the year ended December 31, 2018, filed with the SEC on February 27,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right="40" w:firstLine="459"/>
        <w:spacing w:after="0" w:line="271" w:lineRule="auto"/>
        <w:rPr>
          <w:sz w:val="20"/>
          <w:szCs w:val="20"/>
          <w:color w:val="auto"/>
        </w:rPr>
      </w:pPr>
      <w:r>
        <w:rPr>
          <w:rFonts w:ascii="Arial" w:cs="Arial" w:eastAsia="Arial" w:hAnsi="Arial"/>
          <w:sz w:val="17"/>
          <w:szCs w:val="17"/>
          <w:color w:val="auto"/>
        </w:rPr>
        <w:t>We are a hospitality company servicing the natural resources industry in Canada, Australia and the U.S. We provide a full suite of hospitality services for our guests, including lodging, food service, housekeeping and maintenance at accommodation facilities that we or our customers own. In many cases, we provide services that support the day-to-day operations of accommodation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and iron ore producing regions, and our customers include major and independent oil companies, mining companies, engineering companies and oilfield and mining service companies. We operate in three principal reporting business segments – Canada, Australia and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Acquisition</w:t>
      </w:r>
    </w:p>
    <w:p>
      <w:pPr>
        <w:spacing w:after="0" w:line="225" w:lineRule="exact"/>
        <w:rPr>
          <w:sz w:val="20"/>
          <w:szCs w:val="20"/>
          <w:color w:val="auto"/>
        </w:rPr>
      </w:pPr>
    </w:p>
    <w:p>
      <w:pPr>
        <w:ind w:right="20" w:firstLine="459"/>
        <w:spacing w:after="0" w:line="272" w:lineRule="auto"/>
        <w:rPr>
          <w:sz w:val="20"/>
          <w:szCs w:val="20"/>
          <w:color w:val="auto"/>
        </w:rPr>
      </w:pPr>
      <w:r>
        <w:rPr>
          <w:rFonts w:ascii="Arial" w:cs="Arial" w:eastAsia="Arial" w:hAnsi="Arial"/>
          <w:sz w:val="17"/>
          <w:szCs w:val="17"/>
          <w:color w:val="auto"/>
        </w:rPr>
        <w:t>On July 1, 2019, we acquired Action Industrial Catering (Action), a provider of catering and managed services to the mining industry in Western Australia. We funded the purchase price of $16.9 million in cash through a combination of cash on hand and borrowings under our revolving credit facility. The acquisition expands our business by providing an entry point into the growing integrated services opportunities in the Western Australian mining market. Action's operations are reported as part of our Australia reporting business segment beginning on July 1, 2019, the date of acquisition. Action revenue and cost of sales and services are included in Food service and other services revenues and Food service and other services cost, respectively, in the Segment results of operations - Australia segment table in Results of operations. Please see Note 7 – Acquisitions to the notes to the consolidated financial statements included in Item 8 of this annual report for further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20" w:firstLine="459"/>
        <w:spacing w:after="0" w:line="308"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annual report to “dollars” or “$” are to U.S. dollars.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43" w:lineRule="exact"/>
        <w:rPr>
          <w:sz w:val="20"/>
          <w:szCs w:val="20"/>
          <w:color w:val="auto"/>
        </w:rPr>
      </w:pPr>
    </w:p>
    <w:p>
      <w:pPr>
        <w:ind w:firstLine="459"/>
        <w:spacing w:after="0" w:line="309" w:lineRule="auto"/>
        <w:rPr>
          <w:sz w:val="20"/>
          <w:szCs w:val="20"/>
          <w:color w:val="auto"/>
        </w:rPr>
      </w:pPr>
      <w:r>
        <w:rPr>
          <w:rFonts w:ascii="Arial" w:cs="Arial" w:eastAsia="Arial" w:hAnsi="Arial"/>
          <w:sz w:val="16"/>
          <w:szCs w:val="16"/>
          <w:color w:val="auto"/>
        </w:rPr>
        <w:t>We provide hospitality services to the natural resources industry in Canada, Australia and the U.S. Demand for our services can be attributed to two phases of our customers’ projects: (1) the development or construction phase; and (2) the operations or production phase. Historically, initial demand for our hospitality services has been driven by our customers’ capital spending programs related to the construction and development of oil sands and coal mines and associated infrastructure, as well as the exploration for oil and natural gas. Long-term demand for our services has been driven by continued development and expansion of natural resource production and operation of oil sands and mining facilities. In general, industry capital spending programs are based on the outlook for commodity prices, economic growth, global commodity supply/demand dynamics and estimates of resource production. As a result, demand for our hospitality services is largely sensitive to expected commodity prices, principally related to oil, met coal and iron ore.</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In Canada, WCS crude is the benchmark price for our oil sands customers. Pricing for WCS is driven by several factors, including the underlying price for WTI crude, the availability of transportation infrastructure (consisting of pipelines and crude by railcar) and recent actions by the Alberta provincial government to limit oil production from the province. Historically, WCS has traded at a discount to WTI, creating a “WCS Differential,” due to transportation costs and limited capacity to move Canadian heavy oil production to refineries, primarily along the U.S. Gulf Coast. The WCS Differential has varied depending on the extent of transportation capacity availability.</w:t>
      </w:r>
    </w:p>
    <w:p>
      <w:pPr>
        <w:spacing w:after="0" w:line="188" w:lineRule="exact"/>
        <w:rPr>
          <w:sz w:val="20"/>
          <w:szCs w:val="20"/>
          <w:color w:val="auto"/>
        </w:rPr>
      </w:pPr>
    </w:p>
    <w:p>
      <w:pPr>
        <w:ind w:right="80" w:firstLine="459"/>
        <w:spacing w:after="0" w:line="270" w:lineRule="auto"/>
        <w:rPr>
          <w:sz w:val="20"/>
          <w:szCs w:val="20"/>
          <w:color w:val="auto"/>
        </w:rPr>
      </w:pPr>
      <w:r>
        <w:rPr>
          <w:rFonts w:ascii="Arial" w:cs="Arial" w:eastAsia="Arial" w:hAnsi="Arial"/>
          <w:sz w:val="17"/>
          <w:szCs w:val="17"/>
          <w:color w:val="auto"/>
        </w:rPr>
        <w:t>During the first quarter of 2016, global oil prices dropped to their lowest levels in over ten years due to concerns over global oil demand, global crude inventory levels, worldwide economic growth and price cutting by major oil producing countries, such as Saudi Arabia. Increasing global supply, including increased U.S. shale oil production, also negatively impacted pricing. Although prices began to increase in 2016 and continued to increase through the third quarter of 2018 due to global oil production cuts rebalancing supply/demand dynamics, oil prices decreased again during the fourth quarter of 2018 as OPEC oil production ramped up once again despite more concerns of decreasing global oil demand. In the first half of 2019, positive oil price trends are primarily related to OPEC oil production falling faster than the markets expected, leading to a more positive oil environment throughout the first half of the year. Oil prices have fallen since early summer due to continued demand growth volatility and fear of a global economic slowdown. In addition, global health concerns, including the outbreak of pandemic or contagious disease, such as the recent coronavirus, have recently reduced prices for oil, as well as met coal and iron ore, because of reduced global and national economic demand.</w:t>
      </w:r>
    </w:p>
    <w:p>
      <w:pPr>
        <w:spacing w:after="0" w:line="182" w:lineRule="exact"/>
        <w:rPr>
          <w:sz w:val="20"/>
          <w:szCs w:val="20"/>
          <w:color w:val="auto"/>
        </w:rPr>
      </w:pPr>
    </w:p>
    <w:p>
      <w:pPr>
        <w:ind w:right="20" w:firstLine="459"/>
        <w:spacing w:after="0" w:line="255" w:lineRule="auto"/>
        <w:rPr>
          <w:sz w:val="20"/>
          <w:szCs w:val="20"/>
          <w:color w:val="auto"/>
        </w:rPr>
      </w:pPr>
      <w:r>
        <w:rPr>
          <w:rFonts w:ascii="Arial" w:cs="Arial" w:eastAsia="Arial" w:hAnsi="Arial"/>
          <w:sz w:val="18"/>
          <w:szCs w:val="18"/>
          <w:color w:val="auto"/>
        </w:rPr>
        <w:t>WCS prices in the fourth quarter of 2019 averaged $37.94 per barrel compared to a low of $20.26 in the first quarter of 2016 and a high of $49.93 in the second quarter of 2018. The WCS Differential increased from $15.75 per barrel at the end of the fourth quarter of 2018 to $22.49 at the end of the fourth quarter 2019. On December 2, 2018, the Government of Alberta announced it would mandate temporary curtailments of the province’s oil production and has extended the curtailment through 2020. This curtailment initially resulted in a narrowing WCS Differential in December 2018, which increased in 2019 before narrowing again in the first quarter of 2020. As of February 21, 2020, the WTI price was $53.30 and the WCS price was $36.64, resulting in a WCS Differential of $16.66.</w:t>
      </w:r>
    </w:p>
    <w:p>
      <w:pPr>
        <w:spacing w:after="0" w:line="193" w:lineRule="exact"/>
        <w:rPr>
          <w:sz w:val="20"/>
          <w:szCs w:val="20"/>
          <w:color w:val="auto"/>
        </w:rPr>
      </w:pPr>
    </w:p>
    <w:p>
      <w:pPr>
        <w:ind w:firstLine="459"/>
        <w:spacing w:after="0" w:line="290" w:lineRule="auto"/>
        <w:rPr>
          <w:sz w:val="20"/>
          <w:szCs w:val="20"/>
          <w:color w:val="auto"/>
        </w:rPr>
      </w:pPr>
      <w:r>
        <w:rPr>
          <w:rFonts w:ascii="Arial" w:cs="Arial" w:eastAsia="Arial" w:hAnsi="Arial"/>
          <w:sz w:val="16"/>
          <w:szCs w:val="16"/>
          <w:color w:val="auto"/>
        </w:rPr>
        <w:t>There remains a risk that prices for Canadian oil sands crude oil related products could deteriorate for an extended period of time, and the discount between WCS crude prices and WTI crude prices could continue to widen. The depressed price levels through the first quarter of 2016 negatively impacted exploration, development, maintenance and production spending and activity by Canadian operators and, therefore, demand for our hospitality services. Although we have seen an increase in oil prices since late 2016 and through 2019, we are not expecting significant improvement in customer activity in the near-term, partially due to the volatility in the WCS Differential discussed above. The current outlook for expansionary projects in Canada is primarily related to proposed pipeline and in-situ oil sands projects. However, continued uncertainty and commodity price volatility and regulatory complications could cause our Canadian oil sands and pipeline customers to delay expansionary and maintenance spending and defer additional investments in their oil sands assets. Additionally, if oil prices decline, the resulting impact could negatively affect the value of our long-lived assets, including goodwill.</w:t>
      </w:r>
    </w:p>
    <w:p>
      <w:pPr>
        <w:spacing w:after="0" w:line="166" w:lineRule="exact"/>
        <w:rPr>
          <w:sz w:val="20"/>
          <w:szCs w:val="20"/>
          <w:color w:val="auto"/>
        </w:rPr>
      </w:pPr>
    </w:p>
    <w:p>
      <w:pPr>
        <w:ind w:right="60" w:firstLine="459"/>
        <w:spacing w:after="0" w:line="257" w:lineRule="auto"/>
        <w:rPr>
          <w:sz w:val="20"/>
          <w:szCs w:val="20"/>
          <w:color w:val="auto"/>
        </w:rPr>
      </w:pPr>
      <w:r>
        <w:rPr>
          <w:rFonts w:ascii="Arial" w:cs="Arial" w:eastAsia="Arial" w:hAnsi="Arial"/>
          <w:sz w:val="18"/>
          <w:szCs w:val="18"/>
          <w:color w:val="auto"/>
        </w:rPr>
        <w:t>Our Sitka Lodge supports the British Columbia LNG market and related pipeline projects. From a macroeconomic standpoint, global LNG imports set a record in 2018, reaching 308 million tonnes per annum, up from 284 million tonnes per annum in 2017, reinforcing the need for the global LNG industry to expand access to natural gas. Evolving government energy policies around the world have amplified support for cleaner energy supply, creating more opportunities for natural gas and LNG. Accordingly, the current view is additional investment in LNG supply will be needed to meet the expected long-term LNG demand growth.</w:t>
      </w:r>
    </w:p>
    <w:p>
      <w:pPr>
        <w:spacing w:after="0" w:line="188" w:lineRule="exact"/>
        <w:rPr>
          <w:sz w:val="20"/>
          <w:szCs w:val="20"/>
          <w:color w:val="auto"/>
        </w:rPr>
      </w:pPr>
    </w:p>
    <w:p>
      <w:pPr>
        <w:ind w:right="20" w:firstLine="459"/>
        <w:spacing w:after="0" w:line="255" w:lineRule="auto"/>
        <w:rPr>
          <w:sz w:val="20"/>
          <w:szCs w:val="20"/>
          <w:color w:val="auto"/>
        </w:rPr>
      </w:pPr>
      <w:r>
        <w:rPr>
          <w:rFonts w:ascii="Arial" w:cs="Arial" w:eastAsia="Arial" w:hAnsi="Arial"/>
          <w:sz w:val="18"/>
          <w:szCs w:val="18"/>
          <w:color w:val="auto"/>
        </w:rPr>
        <w:t>Currently, Western Canada does not have any operational LNG export facilities. On October 1, 2018, LNG Canada (LNGC), a large LNG export project proposed by a joint venture between Shell Canada Energy, an affiliate of Royal Dutch Shell plc (40 percent), and affiliates of PETRONAS, through its wholly-owned entity, North Montney LNG Limited Partnership (25 percent), PetroChina (15 percent), Mitsubishi Corporation (15 percent) and Korea Gas Corporation (5 percent), announced that a positive final investment decision (FID) had been reached on the proposed Kitimat liquefaction and export facility in Kitimat, British Columbia (Kitimat LNG Facility). With the project moving forward, British Columbia LNG activity and related pipeline projects have become a material driver of activity for our Sitka Lodge, as well as for our mobile fleet assets, which are contracted to serve several portions of the related pipeline construction activity.</w:t>
      </w:r>
    </w:p>
    <w:p>
      <w:pPr>
        <w:spacing w:after="0" w:line="189" w:lineRule="exact"/>
        <w:rPr>
          <w:sz w:val="20"/>
          <w:szCs w:val="20"/>
          <w:color w:val="auto"/>
        </w:rPr>
      </w:pPr>
    </w:p>
    <w:p>
      <w:pPr>
        <w:ind w:right="20" w:firstLine="459"/>
        <w:spacing w:after="0" w:line="257" w:lineRule="auto"/>
        <w:rPr>
          <w:sz w:val="20"/>
          <w:szCs w:val="20"/>
          <w:color w:val="auto"/>
        </w:rPr>
      </w:pPr>
      <w:r>
        <w:rPr>
          <w:rFonts w:ascii="Arial" w:cs="Arial" w:eastAsia="Arial" w:hAnsi="Arial"/>
          <w:sz w:val="18"/>
          <w:szCs w:val="18"/>
          <w:color w:val="auto"/>
        </w:rPr>
        <w:t>In Australia, approximately 80% of our rooms are located in the Bowen Basin and primarily serve met coal mines in that region. Met coal pricing and production growth in the Bowen Basin region is predominantly influenced by the levels of global steel production, which increased by 3.4% during 2019 compared to 2018. As of February 21, 2020, met coal spot prices were $159.45 per metric tonne. Current met coal pricing levels have not led our customers to approve many significant new projects. We expect that customers will look for a period of sustained higher prices before the volume of new projects being approved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increases. Long-term demand for steel is expected to be driven by increased steel consumption per capita in developing economies, such as China and India, whose current consumption per capita is a fraction of developed countries.</w:t>
      </w:r>
    </w:p>
    <w:p>
      <w:pPr>
        <w:spacing w:after="0" w:line="170" w:lineRule="exact"/>
        <w:rPr>
          <w:sz w:val="20"/>
          <w:szCs w:val="20"/>
          <w:color w:val="auto"/>
        </w:rPr>
      </w:pPr>
    </w:p>
    <w:p>
      <w:pPr>
        <w:ind w:right="40" w:firstLine="459"/>
        <w:spacing w:after="0" w:line="277" w:lineRule="auto"/>
        <w:rPr>
          <w:sz w:val="20"/>
          <w:szCs w:val="20"/>
          <w:color w:val="auto"/>
        </w:rPr>
      </w:pPr>
      <w:r>
        <w:rPr>
          <w:rFonts w:ascii="Arial" w:cs="Arial" w:eastAsia="Arial" w:hAnsi="Arial"/>
          <w:sz w:val="18"/>
          <w:szCs w:val="18"/>
          <w:color w:val="auto"/>
        </w:rPr>
        <w:t>Activity in Western Australia is driven primarily by iron ore production, which is a key steelmaking ingredient. As of February 21, 2020, iron ore spot prices were $84.83 per metric tonne.</w:t>
      </w:r>
    </w:p>
    <w:p>
      <w:pPr>
        <w:spacing w:after="0" w:line="170"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Our U.S. business supports oil shale drilling and completion activity and is primarily tied to WTI oil prices in the U.S. shale formations in the Permian Basin, the Mid-Continent, the Bakken and the Rockies. After a recovery in the U.S. rig count from 2017 to 2018, the U.S. oil rig count and associated completion activity drifted lower in 2019 due to the oil price decline in late 2018 and early 2019 coupled with other market dynamics negatively impacting E&amp;P spending, finishing the year at 677 rigs. The Permian Basin remains the most active U.S. unconventional play, representing 60% of the rigs in the U.S. market at the end of 2019. Despite the lower rig count and decline in oil prices, improvements in rig efficiency coupled with production lagging oil price movement resulted in increased U.S. oil production from an average of 11.0 million barrels per day in 2018 to an average of 12.2 million barrels per day in 2019. As of February 21, 2020, there were 679 active oil rigs in the U.S. (as measured by Bakerhughes.com). U.S. oil shale drilling and completion activity will continue to be dependent on sustained higher WTI oil prices, pipeline capacity and sufficient capital to support E&amp;P drilling and completion plans.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Recent WTI crude, WCS crude and met coal pricing trends are as follows:</w:t>
      </w:r>
    </w:p>
    <w:p>
      <w:pPr>
        <w:spacing w:after="0" w:line="357" w:lineRule="exact"/>
        <w:rPr>
          <w:sz w:val="20"/>
          <w:szCs w:val="20"/>
          <w:color w:val="auto"/>
        </w:rPr>
      </w:pPr>
    </w:p>
    <w:tbl>
      <w:tblPr>
        <w:tblLayout w:type="fixed"/>
        <w:tblInd w:w="1720" w:type="dxa"/>
        <w:tblCellMar>
          <w:top w:w="0" w:type="dxa"/>
          <w:left w:w="0" w:type="dxa"/>
          <w:bottom w:w="0" w:type="dxa"/>
          <w:right w:w="0" w:type="dxa"/>
        </w:tblCellMar>
      </w:tblPr>
      <w:tr>
        <w:trPr>
          <w:trHeight w:val="287"/>
        </w:trPr>
        <w:tc>
          <w:tcPr>
            <w:tcW w:w="3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86"/>
              </w:rPr>
              <w:t xml:space="preserve">Average Price </w:t>
            </w:r>
            <w:r>
              <w:rPr>
                <w:rFonts w:ascii="Arial" w:cs="Arial" w:eastAsia="Arial" w:hAnsi="Arial"/>
                <w:sz w:val="25"/>
                <w:szCs w:val="25"/>
                <w:b w:val="1"/>
                <w:bCs w:val="1"/>
                <w:color w:val="auto"/>
                <w:w w:val="86"/>
                <w:vertAlign w:val="superscript"/>
              </w:rPr>
              <w:t>(1)</w:t>
            </w:r>
          </w:p>
        </w:tc>
        <w:tc>
          <w:tcPr>
            <w:tcW w:w="1400" w:type="dxa"/>
            <w:vAlign w:val="bottom"/>
            <w:tcBorders>
              <w:bottom w:val="single" w:sz="8" w:color="auto"/>
            </w:tcBorders>
          </w:tcPr>
          <w:p>
            <w:pPr>
              <w:spacing w:after="0"/>
              <w:rPr>
                <w:sz w:val="24"/>
                <w:szCs w:val="24"/>
                <w:color w:val="auto"/>
              </w:rPr>
            </w:pPr>
          </w:p>
        </w:tc>
      </w:tr>
      <w:tr>
        <w:trPr>
          <w:trHeight w:val="237"/>
        </w:trPr>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Hard</w:t>
            </w:r>
          </w:p>
        </w:tc>
      </w:tr>
      <w:tr>
        <w:trPr>
          <w:trHeight w:val="252"/>
        </w:trPr>
        <w:tc>
          <w:tcPr>
            <w:tcW w:w="3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WTI Crude</w:t>
            </w:r>
          </w:p>
        </w:tc>
        <w:tc>
          <w:tcPr>
            <w:tcW w:w="18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WCS Crude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Coking Coal</w:t>
            </w:r>
          </w:p>
        </w:tc>
      </w:tr>
      <w:tr>
        <w:trPr>
          <w:trHeight w:val="234"/>
        </w:trPr>
        <w:tc>
          <w:tcPr>
            <w:tcW w:w="3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Quarter</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4"/>
              </w:rPr>
              <w:t>(Met Coal)</w:t>
            </w:r>
          </w:p>
        </w:tc>
      </w:tr>
      <w:tr>
        <w:trPr>
          <w:trHeight w:val="270"/>
        </w:trPr>
        <w:tc>
          <w:tcPr>
            <w:tcW w:w="3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ended</w:t>
            </w:r>
          </w:p>
        </w:tc>
        <w:tc>
          <w:tcPr>
            <w:tcW w:w="200" w:type="dxa"/>
            <w:vAlign w:val="bottom"/>
          </w:tcPr>
          <w:p>
            <w:pPr>
              <w:spacing w:after="0"/>
              <w:rPr>
                <w:sz w:val="23"/>
                <w:szCs w:val="2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(per bbl)</w:t>
            </w:r>
          </w:p>
        </w:tc>
        <w:tc>
          <w:tcPr>
            <w:tcW w:w="180" w:type="dxa"/>
            <w:vAlign w:val="bottom"/>
          </w:tcPr>
          <w:p>
            <w:pPr>
              <w:spacing w:after="0"/>
              <w:rPr>
                <w:sz w:val="23"/>
                <w:szCs w:val="23"/>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(per bbl)</w:t>
            </w: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(per tonne)</w:t>
            </w:r>
          </w:p>
        </w:tc>
      </w:tr>
      <w:tr>
        <w:trPr>
          <w:trHeight w:val="27"/>
        </w:trPr>
        <w:tc>
          <w:tcPr>
            <w:tcW w:w="3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First Quarter through 2/21/2020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141.00</w:t>
            </w:r>
          </w:p>
        </w:tc>
      </w:tr>
      <w:tr>
        <w:trPr>
          <w:trHeight w:val="243"/>
        </w:trPr>
        <w:tc>
          <w:tcPr>
            <w:tcW w:w="3380" w:type="dxa"/>
            <w:vAlign w:val="bottom"/>
          </w:tcPr>
          <w:p>
            <w:pPr>
              <w:jc w:val="center"/>
              <w:spacing w:after="0"/>
              <w:rPr>
                <w:sz w:val="20"/>
                <w:szCs w:val="20"/>
                <w:color w:val="auto"/>
              </w:rPr>
            </w:pPr>
            <w:r>
              <w:rPr>
                <w:rFonts w:ascii="Arial" w:cs="Arial" w:eastAsia="Arial" w:hAnsi="Arial"/>
                <w:sz w:val="18"/>
                <w:szCs w:val="18"/>
                <w:color w:val="auto"/>
                <w:w w:val="90"/>
              </w:rPr>
              <w:t>12/31/2019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37.94</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141.00</w:t>
            </w:r>
          </w:p>
        </w:tc>
      </w:tr>
      <w:tr>
        <w:trPr>
          <w:trHeight w:val="27"/>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9/30/2019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178.00</w:t>
            </w:r>
          </w:p>
        </w:tc>
      </w:tr>
      <w:tr>
        <w:trPr>
          <w:trHeight w:val="243"/>
        </w:trPr>
        <w:tc>
          <w:tcPr>
            <w:tcW w:w="3380" w:type="dxa"/>
            <w:vAlign w:val="bottom"/>
          </w:tcPr>
          <w:p>
            <w:pPr>
              <w:jc w:val="center"/>
              <w:spacing w:after="0"/>
              <w:rPr>
                <w:sz w:val="20"/>
                <w:szCs w:val="20"/>
                <w:color w:val="auto"/>
              </w:rPr>
            </w:pPr>
            <w:r>
              <w:rPr>
                <w:rFonts w:ascii="Arial" w:cs="Arial" w:eastAsia="Arial" w:hAnsi="Arial"/>
                <w:sz w:val="18"/>
                <w:szCs w:val="18"/>
                <w:color w:val="auto"/>
                <w:w w:val="89"/>
              </w:rPr>
              <w:t>6/30/2019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47.39</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207.00</w:t>
            </w:r>
          </w:p>
        </w:tc>
      </w:tr>
      <w:tr>
        <w:trPr>
          <w:trHeight w:val="27"/>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3/31/2019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r>
      <w:tr>
        <w:trPr>
          <w:trHeight w:val="243"/>
        </w:trPr>
        <w:tc>
          <w:tcPr>
            <w:tcW w:w="3380" w:type="dxa"/>
            <w:vAlign w:val="bottom"/>
          </w:tcPr>
          <w:p>
            <w:pPr>
              <w:jc w:val="center"/>
              <w:spacing w:after="0"/>
              <w:rPr>
                <w:sz w:val="20"/>
                <w:szCs w:val="20"/>
                <w:color w:val="auto"/>
              </w:rPr>
            </w:pPr>
            <w:r>
              <w:rPr>
                <w:rFonts w:ascii="Arial" w:cs="Arial" w:eastAsia="Arial" w:hAnsi="Arial"/>
                <w:sz w:val="18"/>
                <w:szCs w:val="18"/>
                <w:color w:val="auto"/>
                <w:w w:val="90"/>
              </w:rPr>
              <w:t>12/31/2018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25.66</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187.00</w:t>
            </w:r>
          </w:p>
        </w:tc>
      </w:tr>
      <w:tr>
        <w:trPr>
          <w:trHeight w:val="27"/>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9/30/2018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196.00</w:t>
            </w:r>
          </w:p>
        </w:tc>
      </w:tr>
      <w:tr>
        <w:trPr>
          <w:trHeight w:val="243"/>
        </w:trPr>
        <w:tc>
          <w:tcPr>
            <w:tcW w:w="3380" w:type="dxa"/>
            <w:vAlign w:val="bottom"/>
          </w:tcPr>
          <w:p>
            <w:pPr>
              <w:jc w:val="center"/>
              <w:spacing w:after="0"/>
              <w:rPr>
                <w:sz w:val="20"/>
                <w:szCs w:val="20"/>
                <w:color w:val="auto"/>
              </w:rPr>
            </w:pPr>
            <w:r>
              <w:rPr>
                <w:rFonts w:ascii="Arial" w:cs="Arial" w:eastAsia="Arial" w:hAnsi="Arial"/>
                <w:sz w:val="18"/>
                <w:szCs w:val="18"/>
                <w:color w:val="auto"/>
                <w:w w:val="89"/>
              </w:rPr>
              <w:t>6/30/2018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49.93</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196.00</w:t>
            </w:r>
          </w:p>
        </w:tc>
      </w:tr>
      <w:tr>
        <w:trPr>
          <w:trHeight w:val="27"/>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3/31/2018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235.00</w:t>
            </w:r>
          </w:p>
        </w:tc>
      </w:tr>
      <w:tr>
        <w:trPr>
          <w:trHeight w:val="243"/>
        </w:trPr>
        <w:tc>
          <w:tcPr>
            <w:tcW w:w="3380" w:type="dxa"/>
            <w:vAlign w:val="bottom"/>
          </w:tcPr>
          <w:p>
            <w:pPr>
              <w:jc w:val="center"/>
              <w:spacing w:after="0"/>
              <w:rPr>
                <w:sz w:val="20"/>
                <w:szCs w:val="20"/>
                <w:color w:val="auto"/>
              </w:rPr>
            </w:pPr>
            <w:r>
              <w:rPr>
                <w:rFonts w:ascii="Arial" w:cs="Arial" w:eastAsia="Arial" w:hAnsi="Arial"/>
                <w:sz w:val="18"/>
                <w:szCs w:val="18"/>
                <w:color w:val="auto"/>
                <w:w w:val="90"/>
              </w:rPr>
              <w:t>12/31/2017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38.65</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192.00</w:t>
            </w:r>
          </w:p>
        </w:tc>
      </w:tr>
      <w:tr>
        <w:trPr>
          <w:trHeight w:val="27"/>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9/30/2017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w:t>
            </w:r>
          </w:p>
        </w:tc>
      </w:tr>
      <w:tr>
        <w:trPr>
          <w:trHeight w:val="243"/>
        </w:trPr>
        <w:tc>
          <w:tcPr>
            <w:tcW w:w="3380" w:type="dxa"/>
            <w:vAlign w:val="bottom"/>
          </w:tcPr>
          <w:p>
            <w:pPr>
              <w:jc w:val="center"/>
              <w:spacing w:after="0"/>
              <w:rPr>
                <w:sz w:val="20"/>
                <w:szCs w:val="20"/>
                <w:color w:val="auto"/>
              </w:rPr>
            </w:pPr>
            <w:r>
              <w:rPr>
                <w:rFonts w:ascii="Arial" w:cs="Arial" w:eastAsia="Arial" w:hAnsi="Arial"/>
                <w:sz w:val="18"/>
                <w:szCs w:val="18"/>
                <w:color w:val="auto"/>
                <w:w w:val="89"/>
              </w:rPr>
              <w:t>6/30/2017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38.20</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193.50</w:t>
            </w:r>
          </w:p>
        </w:tc>
      </w:tr>
      <w:tr>
        <w:trPr>
          <w:trHeight w:val="27"/>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3/31/2017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285.00</w:t>
            </w:r>
          </w:p>
        </w:tc>
      </w:tr>
      <w:tr>
        <w:trPr>
          <w:trHeight w:val="243"/>
        </w:trPr>
        <w:tc>
          <w:tcPr>
            <w:tcW w:w="3380" w:type="dxa"/>
            <w:vAlign w:val="bottom"/>
          </w:tcPr>
          <w:p>
            <w:pPr>
              <w:jc w:val="center"/>
              <w:spacing w:after="0"/>
              <w:rPr>
                <w:sz w:val="20"/>
                <w:szCs w:val="20"/>
                <w:color w:val="auto"/>
              </w:rPr>
            </w:pPr>
            <w:r>
              <w:rPr>
                <w:rFonts w:ascii="Arial" w:cs="Arial" w:eastAsia="Arial" w:hAnsi="Arial"/>
                <w:sz w:val="18"/>
                <w:szCs w:val="18"/>
                <w:color w:val="auto"/>
                <w:w w:val="90"/>
              </w:rPr>
              <w:t>12/31/2016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34.34</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200.00</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3" w:lineRule="exact"/>
        <w:rPr>
          <w:sz w:val="20"/>
          <w:szCs w:val="20"/>
          <w:color w:val="auto"/>
        </w:rPr>
      </w:pPr>
    </w:p>
    <w:p>
      <w:pPr>
        <w:ind w:left="840" w:hanging="332"/>
        <w:spacing w:after="0" w:line="261"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WTI crude prices are from U.S. Energy Information Administration (EIA), and WCS crude prices and Seaborne hard coking coal contract prices are from Bloomberg.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459"/>
        <w:spacing w:after="0" w:line="342" w:lineRule="auto"/>
        <w:rPr>
          <w:sz w:val="20"/>
          <w:szCs w:val="20"/>
          <w:color w:val="auto"/>
        </w:rPr>
      </w:pPr>
      <w:r>
        <w:rPr>
          <w:rFonts w:ascii="Arial" w:cs="Arial" w:eastAsia="Arial" w:hAnsi="Arial"/>
          <w:sz w:val="16"/>
          <w:szCs w:val="16"/>
          <w:color w:val="auto"/>
        </w:rPr>
        <w:t>As noted above, demand for our hospitality services is primarily tied to the outlook for crude oil and met coal prices. Other factors that can affect our business and financial results include the general global economic environment and regulatory changes in Canada, Australia, the U.S. and other markets.</w:t>
      </w:r>
    </w:p>
    <w:p>
      <w:pPr>
        <w:spacing w:after="0" w:line="124" w:lineRule="exact"/>
        <w:rPr>
          <w:sz w:val="20"/>
          <w:szCs w:val="20"/>
          <w:color w:val="auto"/>
        </w:rPr>
      </w:pPr>
    </w:p>
    <w:p>
      <w:pPr>
        <w:ind w:right="160" w:firstLine="459"/>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natural resource companies who are developing and producing oil sands and met coal resources and, to a lesser extent, other hydrocarbon and mineral resources. Approximately 80% of our revenue is generated by our lodges and villages. Where traditional accommodations and infrastructure are insufficient, inaccessible or cost ineffective, our lodge and village facilities provide comprehensive hospitality services similar to those found in an urban hotel. We typically contract our facilities to our customers on a fee-per-day basis that covers lodging and meals and is based on the duration of customer needs, which can range from several weeks to several years.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5"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459"/>
        <w:spacing w:after="0" w:line="342" w:lineRule="auto"/>
        <w:rPr>
          <w:sz w:val="20"/>
          <w:szCs w:val="20"/>
          <w:color w:val="auto"/>
        </w:rPr>
      </w:pPr>
      <w:r>
        <w:rPr>
          <w:rFonts w:ascii="Arial" w:cs="Arial" w:eastAsia="Arial" w:hAnsi="Arial"/>
          <w:sz w:val="16"/>
          <w:szCs w:val="16"/>
          <w:color w:val="auto"/>
        </w:rPr>
        <w:t>Generally, our customers are making multi-billion dollar investments to develop their prospects, which have estimated reserve lives ranging from ten years to in excess of 30 years. Consequently, these investments are dependent on those customers’ long-term views of commodity demand and prices.</w:t>
      </w:r>
    </w:p>
    <w:p>
      <w:pPr>
        <w:spacing w:after="0" w:line="124" w:lineRule="exact"/>
        <w:rPr>
          <w:sz w:val="20"/>
          <w:szCs w:val="20"/>
          <w:color w:val="auto"/>
        </w:rPr>
      </w:pPr>
    </w:p>
    <w:p>
      <w:pPr>
        <w:ind w:right="20" w:firstLine="459"/>
        <w:spacing w:after="0" w:line="264" w:lineRule="auto"/>
        <w:rPr>
          <w:sz w:val="20"/>
          <w:szCs w:val="20"/>
          <w:color w:val="auto"/>
        </w:rPr>
      </w:pPr>
      <w:r>
        <w:rPr>
          <w:rFonts w:ascii="Arial" w:cs="Arial" w:eastAsia="Arial" w:hAnsi="Arial"/>
          <w:sz w:val="18"/>
          <w:szCs w:val="18"/>
          <w:color w:val="auto"/>
        </w:rPr>
        <w:t>During the period of low crude oil prices that extended through the first quarter of 2016, many of our customers in Canada curtailed their operations and spending, and most major oil sands mining operators began reducing their costs and limiting capital spending, thereby limiting the demand for hospitality services of the kind we provide.</w:t>
      </w:r>
    </w:p>
    <w:p>
      <w:pPr>
        <w:spacing w:after="0" w:line="181" w:lineRule="exact"/>
        <w:rPr>
          <w:sz w:val="20"/>
          <w:szCs w:val="20"/>
          <w:color w:val="auto"/>
        </w:rPr>
      </w:pPr>
    </w:p>
    <w:p>
      <w:pPr>
        <w:ind w:firstLine="459"/>
        <w:spacing w:after="0" w:line="286" w:lineRule="auto"/>
        <w:rPr>
          <w:sz w:val="20"/>
          <w:szCs w:val="20"/>
          <w:color w:val="auto"/>
        </w:rPr>
      </w:pPr>
      <w:r>
        <w:rPr>
          <w:rFonts w:ascii="Arial" w:cs="Arial" w:eastAsia="Arial" w:hAnsi="Arial"/>
          <w:sz w:val="16"/>
          <w:szCs w:val="16"/>
          <w:color w:val="auto"/>
        </w:rPr>
        <w:t>In the last several years, however, several catalysts have emerged that we believe could have favorable intermediate to long-term implications for our core end markets. Since the announcement by OPEC in late November 2016 to cut production quotas and the subsequent rise in spot oil prices and future oil price expectations, certain operators with steam-assisted gravity drainage operations in the Canadian oil sands increased capital spending in 2017. Despite construction at the Fort Hill Energy LP project ending in early 2018, Canadian oil sands capital spending in 2018 has been relatively flat, in the aggregate. OPEC announced additional production cuts in late 2018 in an effort to further support global oil prices. Also, on December 2, 2018, the Government of Alberta announced it would mandate temporary curtailments of the province’s oil production, which has helped increase WCS prices. Recent regulatory approvals of several major pipeline projects have the potential to both drive incremental demand for mobile accommodations assets and to improve take-away capacity for Canadian oil sands producers over the longer term. However, these projects have been delayed due to the lack of agreement between the Canadian federal government, which supports the pipeline projects, and the British Columbia provincial government. The Canadian federal government acquired Kinder Morgan’s Trans Mountain Pipeline, emphasizing their support for this particular project. Despite some resistance, the federal government approved the expansion of the Trans Mountain Pipeline project on June 18, 2019 and is currently working through the construction timeline. Additionally, we believe that the Keystone XL pipeline in the U.S., if constructed, would be a positive catalyst for Canadian oil sands producers, as it would bolster confidence in future take-away capacity from the region to U.S. Gulf Coast refineries.</w:t>
      </w:r>
    </w:p>
    <w:p>
      <w:pPr>
        <w:spacing w:after="0" w:line="175" w:lineRule="exact"/>
        <w:rPr>
          <w:sz w:val="20"/>
          <w:szCs w:val="20"/>
          <w:color w:val="auto"/>
        </w:rPr>
      </w:pPr>
    </w:p>
    <w:p>
      <w:pPr>
        <w:ind w:right="140" w:firstLine="459"/>
        <w:spacing w:after="0" w:line="257" w:lineRule="auto"/>
        <w:rPr>
          <w:sz w:val="20"/>
          <w:szCs w:val="20"/>
          <w:color w:val="auto"/>
        </w:rPr>
      </w:pPr>
      <w:r>
        <w:rPr>
          <w:rFonts w:ascii="Arial" w:cs="Arial" w:eastAsia="Arial" w:hAnsi="Arial"/>
          <w:sz w:val="18"/>
          <w:szCs w:val="18"/>
          <w:color w:val="auto"/>
        </w:rPr>
        <w:t>In Australia, approximately 80% of our owned rooms are located in the Bowen Basin and primarily serve met coal mines in that region, where our customers continue to implement operational efficiency measures, in order to drive down their cost base. On July 1, 2019, we acquired Action, a provider of catering and managed services to the mining industry in Western Australia. Accordingly, we also have contracts in place for customer-owned villages in Western Australia which service iron ore, gold, lithium and nickel mines. We believe prices are currently at a level that may contribute to increased activity over the long term if our customers view these price levels as sustainable.</w:t>
      </w:r>
    </w:p>
    <w:p>
      <w:pPr>
        <w:spacing w:after="0" w:line="188" w:lineRule="exact"/>
        <w:rPr>
          <w:sz w:val="20"/>
          <w:szCs w:val="20"/>
          <w:color w:val="auto"/>
        </w:rPr>
      </w:pPr>
    </w:p>
    <w:p>
      <w:pPr>
        <w:ind w:right="240" w:firstLine="459"/>
        <w:spacing w:after="0" w:line="259" w:lineRule="auto"/>
        <w:rPr>
          <w:sz w:val="20"/>
          <w:szCs w:val="20"/>
          <w:color w:val="auto"/>
        </w:rPr>
      </w:pPr>
      <w:r>
        <w:rPr>
          <w:rFonts w:ascii="Arial" w:cs="Arial" w:eastAsia="Arial" w:hAnsi="Arial"/>
          <w:sz w:val="18"/>
          <w:szCs w:val="18"/>
          <w:color w:val="auto"/>
        </w:rPr>
        <w:t>While we believe that these macroeconomic developments are positive for our customers and for the underlying demand for our hospitality services, we do not expect an immediate improvement in our business. Accordingly, we plan to continue focusing on enhancing the quality of our operations, maintaining financial discipline, proactively managing our business as market conditions continue to evolve and integrating Noralta and Action into our business.</w:t>
      </w:r>
    </w:p>
    <w:p>
      <w:pPr>
        <w:spacing w:after="0" w:line="187" w:lineRule="exact"/>
        <w:rPr>
          <w:sz w:val="20"/>
          <w:szCs w:val="20"/>
          <w:color w:val="auto"/>
        </w:rPr>
      </w:pPr>
    </w:p>
    <w:p>
      <w:pPr>
        <w:ind w:right="200" w:firstLine="459"/>
        <w:spacing w:after="0" w:line="259" w:lineRule="auto"/>
        <w:rPr>
          <w:sz w:val="20"/>
          <w:szCs w:val="20"/>
          <w:color w:val="auto"/>
        </w:rPr>
      </w:pPr>
      <w:r>
        <w:rPr>
          <w:rFonts w:ascii="Arial" w:cs="Arial" w:eastAsia="Arial" w:hAnsi="Arial"/>
          <w:sz w:val="18"/>
          <w:szCs w:val="18"/>
          <w:color w:val="auto"/>
        </w:rPr>
        <w:t>We began the expansion of our room count in Kitimat, British Columbia during the second half of 2015 to support LNG projects on the west coast of British Columbia. We developed a new accommodations facility, Sitka Lodge, which includes private washrooms, recreational facilities, a pub and other amenities. The lodge had 774 rooms as of the end of 2018. Expansion of the lodge was completed in the third quarter of 2019, which resulted in 1,186 total available rooms.</w:t>
      </w:r>
    </w:p>
    <w:p>
      <w:pPr>
        <w:spacing w:after="0" w:line="187" w:lineRule="exact"/>
        <w:rPr>
          <w:sz w:val="20"/>
          <w:szCs w:val="20"/>
          <w:color w:val="auto"/>
        </w:rPr>
      </w:pPr>
    </w:p>
    <w:p>
      <w:pPr>
        <w:ind w:right="80" w:firstLine="459"/>
        <w:spacing w:after="0" w:line="255" w:lineRule="auto"/>
        <w:rPr>
          <w:sz w:val="20"/>
          <w:szCs w:val="20"/>
          <w:color w:val="auto"/>
        </w:rPr>
      </w:pPr>
      <w:r>
        <w:rPr>
          <w:rFonts w:ascii="Arial" w:cs="Arial" w:eastAsia="Arial" w:hAnsi="Arial"/>
          <w:sz w:val="18"/>
          <w:szCs w:val="18"/>
          <w:color w:val="auto"/>
        </w:rPr>
        <w:t>As previously discussed, on October 1, 2018, LNGC's participants announced a positive FID on the Kitimat LNG Facility. With the project moving forward, British Columbia LNG activity and related pipeline projects have become a material driver of activity for our Sitka Lodge, as well as for our mobile camp assets, which are contracted to serve several portions of the related pipeline construction activity. We previously announced contract awards for locations along the CGL pipeline project and room commitments for our Sitka Lodge. The actual timing of when revenue is realized from the CGL pipeline and Sitka Lodge contracts could be impacted by any delays in the construction of the Kitimat LNG Facility or the pipeline, including recent blockades that aim to delay construction.</w:t>
      </w:r>
    </w:p>
    <w:p>
      <w:pPr>
        <w:spacing w:after="0" w:line="193" w:lineRule="exact"/>
        <w:rPr>
          <w:sz w:val="20"/>
          <w:szCs w:val="20"/>
          <w:color w:val="auto"/>
        </w:rPr>
      </w:pPr>
    </w:p>
    <w:p>
      <w:pPr>
        <w:jc w:val="both"/>
        <w:ind w:right="200" w:firstLine="459"/>
        <w:spacing w:after="0" w:line="259" w:lineRule="auto"/>
        <w:rPr>
          <w:sz w:val="20"/>
          <w:szCs w:val="20"/>
          <w:color w:val="auto"/>
        </w:rPr>
      </w:pPr>
      <w:r>
        <w:rPr>
          <w:rFonts w:ascii="Arial" w:cs="Arial" w:eastAsia="Arial" w:hAnsi="Arial"/>
          <w:sz w:val="18"/>
          <w:szCs w:val="18"/>
          <w:color w:val="auto"/>
        </w:rPr>
        <w:t>Exchange rates between the U.S. dollar and each of the Canadian dollar and the Australian dollar influence our U.S. dollar reported financial results. Our business has historically derived the vast majority of its revenues and operating income in Canada and Australia. These revenues and profits/losses are translated into U.S. dollars for U.S. GAAP financial reporting purposes. The following tables summarize the fluctuations in the exchange rates between the U.S. dollar and each of the Canadian dollar and the Australian dollar: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482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615"/>
        </w:trPr>
        <w:tc>
          <w:tcPr>
            <w:tcW w:w="9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6"/>
          </w:tcPr>
          <w:p>
            <w:pPr>
              <w:ind w:left="380"/>
              <w:spacing w:after="0"/>
              <w:rPr>
                <w:sz w:val="20"/>
                <w:szCs w:val="20"/>
                <w:color w:val="auto"/>
              </w:rPr>
            </w:pPr>
            <w:r>
              <w:rPr>
                <w:rFonts w:ascii="Arial" w:cs="Arial" w:eastAsia="Arial" w:hAnsi="Arial"/>
                <w:sz w:val="18"/>
                <w:szCs w:val="18"/>
                <w:b w:val="1"/>
                <w:bCs w:val="1"/>
                <w:color w:val="auto"/>
                <w:w w:val="96"/>
              </w:rPr>
              <w:t>Year Ended December 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
        </w:trPr>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44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Percentage</w:t>
            </w:r>
          </w:p>
        </w:tc>
      </w:tr>
      <w:tr>
        <w:trPr>
          <w:trHeight w:val="27"/>
        </w:trPr>
        <w:tc>
          <w:tcPr>
            <w:tcW w:w="940" w:type="dxa"/>
            <w:vAlign w:val="bottom"/>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44"/>
        </w:trPr>
        <w:tc>
          <w:tcPr>
            <w:tcW w:w="940" w:type="dxa"/>
            <w:vAlign w:val="bottom"/>
          </w:tcPr>
          <w:p>
            <w:pPr>
              <w:spacing w:after="0"/>
              <w:rPr>
                <w:sz w:val="21"/>
                <w:szCs w:val="21"/>
                <w:color w:val="auto"/>
              </w:rPr>
            </w:pPr>
          </w:p>
        </w:tc>
        <w:tc>
          <w:tcPr>
            <w:tcW w:w="38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Average Canadian dollar to U.S. dollar</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$0.75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$0.77</w:t>
            </w:r>
          </w:p>
        </w:tc>
        <w:tc>
          <w:tcPr>
            <w:tcW w:w="1020" w:type="dxa"/>
            <w:vAlign w:val="bottom"/>
            <w:tcBorders>
              <w:bottom w:val="single" w:sz="8" w:color="CCEEFF"/>
            </w:tcBorders>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3"/>
              </w:rPr>
              <w:t>(0.02)</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center"/>
              <w:ind w:left="610"/>
              <w:spacing w:after="0"/>
              <w:rPr>
                <w:sz w:val="20"/>
                <w:szCs w:val="20"/>
                <w:color w:val="auto"/>
              </w:rPr>
            </w:pPr>
            <w:r>
              <w:rPr>
                <w:rFonts w:ascii="Arial" w:cs="Arial" w:eastAsia="Arial" w:hAnsi="Arial"/>
                <w:sz w:val="18"/>
                <w:szCs w:val="18"/>
                <w:color w:val="auto"/>
                <w:w w:val="94"/>
              </w:rPr>
              <w:t>(2.3)%</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43"/>
        </w:trPr>
        <w:tc>
          <w:tcPr>
            <w:tcW w:w="940" w:type="dxa"/>
            <w:vAlign w:val="bottom"/>
          </w:tcPr>
          <w:p>
            <w:pPr>
              <w:spacing w:after="0"/>
              <w:rPr>
                <w:sz w:val="21"/>
                <w:szCs w:val="21"/>
                <w:color w:val="auto"/>
              </w:rPr>
            </w:pPr>
          </w:p>
        </w:tc>
        <w:tc>
          <w:tcPr>
            <w:tcW w:w="3880" w:type="dxa"/>
            <w:vAlign w:val="bottom"/>
            <w:gridSpan w:val="4"/>
          </w:tcPr>
          <w:p>
            <w:pPr>
              <w:ind w:left="20"/>
              <w:spacing w:after="0"/>
              <w:rPr>
                <w:sz w:val="20"/>
                <w:szCs w:val="20"/>
                <w:color w:val="auto"/>
              </w:rPr>
            </w:pPr>
            <w:r>
              <w:rPr>
                <w:rFonts w:ascii="Arial" w:cs="Arial" w:eastAsia="Arial" w:hAnsi="Arial"/>
                <w:sz w:val="18"/>
                <w:szCs w:val="18"/>
                <w:color w:val="auto"/>
              </w:rPr>
              <w:t>Average Australian dollar to U.S. dollar</w:t>
            </w:r>
          </w:p>
        </w:tc>
        <w:tc>
          <w:tcPr>
            <w:tcW w:w="88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$0.70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$0.75</w:t>
            </w:r>
          </w:p>
        </w:tc>
        <w:tc>
          <w:tcPr>
            <w:tcW w:w="1020" w:type="dxa"/>
            <w:vAlign w:val="bottom"/>
            <w:gridSpan w:val="2"/>
          </w:tcPr>
          <w:p>
            <w:pPr>
              <w:jc w:val="center"/>
              <w:ind w:left="410"/>
              <w:spacing w:after="0"/>
              <w:rPr>
                <w:sz w:val="20"/>
                <w:szCs w:val="20"/>
                <w:color w:val="auto"/>
              </w:rPr>
            </w:pPr>
            <w:r>
              <w:rPr>
                <w:rFonts w:ascii="Arial" w:cs="Arial" w:eastAsia="Arial" w:hAnsi="Arial"/>
                <w:sz w:val="18"/>
                <w:szCs w:val="18"/>
                <w:color w:val="auto"/>
                <w:w w:val="93"/>
              </w:rPr>
              <w:t>(0.05)</w:t>
            </w:r>
          </w:p>
        </w:tc>
        <w:tc>
          <w:tcPr>
            <w:tcW w:w="180" w:type="dxa"/>
            <w:vAlign w:val="bottom"/>
          </w:tcPr>
          <w:p>
            <w:pPr>
              <w:spacing w:after="0"/>
              <w:rPr>
                <w:sz w:val="21"/>
                <w:szCs w:val="21"/>
                <w:color w:val="auto"/>
              </w:rPr>
            </w:pPr>
          </w:p>
        </w:tc>
        <w:tc>
          <w:tcPr>
            <w:tcW w:w="1320" w:type="dxa"/>
            <w:vAlign w:val="bottom"/>
            <w:gridSpan w:val="3"/>
          </w:tcPr>
          <w:p>
            <w:pPr>
              <w:jc w:val="center"/>
              <w:ind w:left="610"/>
              <w:spacing w:after="0"/>
              <w:rPr>
                <w:sz w:val="20"/>
                <w:szCs w:val="20"/>
                <w:color w:val="auto"/>
              </w:rPr>
            </w:pPr>
            <w:r>
              <w:rPr>
                <w:rFonts w:ascii="Arial" w:cs="Arial" w:eastAsia="Arial" w:hAnsi="Arial"/>
                <w:sz w:val="18"/>
                <w:szCs w:val="18"/>
                <w:color w:val="auto"/>
                <w:w w:val="94"/>
              </w:rPr>
              <w:t>(7.1)%</w:t>
            </w:r>
          </w:p>
        </w:tc>
        <w:tc>
          <w:tcPr>
            <w:tcW w:w="360" w:type="dxa"/>
            <w:vAlign w:val="bottom"/>
          </w:tcPr>
          <w:p>
            <w:pPr>
              <w:spacing w:after="0"/>
              <w:rPr>
                <w:sz w:val="21"/>
                <w:szCs w:val="21"/>
                <w:color w:val="auto"/>
              </w:rPr>
            </w:pPr>
          </w:p>
        </w:tc>
      </w:tr>
      <w:tr>
        <w:trPr>
          <w:trHeight w:val="621"/>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6"/>
          </w:tcPr>
          <w:p>
            <w:pPr>
              <w:ind w:left="240"/>
              <w:spacing w:after="0"/>
              <w:rPr>
                <w:sz w:val="20"/>
                <w:szCs w:val="20"/>
                <w:color w:val="auto"/>
              </w:rPr>
            </w:pPr>
            <w:r>
              <w:rPr>
                <w:rFonts w:ascii="Arial" w:cs="Arial" w:eastAsia="Arial" w:hAnsi="Arial"/>
                <w:sz w:val="18"/>
                <w:szCs w:val="18"/>
                <w:b w:val="1"/>
                <w:bCs w:val="1"/>
                <w:color w:val="auto"/>
              </w:rPr>
              <w:t>As of December 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
        </w:trPr>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w w:val="94"/>
              </w:rPr>
              <w:t>2019</w:t>
            </w:r>
          </w:p>
        </w:tc>
        <w:tc>
          <w:tcPr>
            <w:tcW w:w="14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Change</w:t>
            </w:r>
          </w:p>
        </w:tc>
        <w:tc>
          <w:tcPr>
            <w:tcW w:w="1680" w:type="dxa"/>
            <w:vAlign w:val="bottom"/>
            <w:gridSpan w:val="4"/>
          </w:tcPr>
          <w:p>
            <w:pPr>
              <w:ind w:left="240"/>
              <w:spacing w:after="0"/>
              <w:rPr>
                <w:sz w:val="20"/>
                <w:szCs w:val="20"/>
                <w:color w:val="auto"/>
              </w:rPr>
            </w:pPr>
            <w:r>
              <w:rPr>
                <w:rFonts w:ascii="Arial" w:cs="Arial" w:eastAsia="Arial" w:hAnsi="Arial"/>
                <w:sz w:val="18"/>
                <w:szCs w:val="18"/>
                <w:b w:val="1"/>
                <w:bCs w:val="1"/>
                <w:color w:val="auto"/>
              </w:rPr>
              <w:t>Percentage</w:t>
            </w:r>
          </w:p>
        </w:tc>
      </w:tr>
      <w:tr>
        <w:trPr>
          <w:trHeight w:val="27"/>
        </w:trPr>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360" w:type="dxa"/>
            <w:vAlign w:val="bottom"/>
          </w:tcPr>
          <w:p>
            <w:pPr>
              <w:spacing w:after="0"/>
              <w:rPr>
                <w:sz w:val="2"/>
                <w:szCs w:val="2"/>
                <w:color w:val="auto"/>
              </w:rPr>
            </w:pPr>
          </w:p>
        </w:tc>
      </w:tr>
      <w:tr>
        <w:trPr>
          <w:trHeight w:val="244"/>
        </w:trPr>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Canadian dollar to U.S. dollar</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4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0.04</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21"/>
                <w:szCs w:val="21"/>
                <w:color w:val="auto"/>
              </w:rPr>
            </w:pPr>
          </w:p>
        </w:tc>
      </w:tr>
      <w:tr>
        <w:trPr>
          <w:trHeight w:val="243"/>
        </w:trPr>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Australian dollar to U.S. dollar</w:t>
            </w:r>
          </w:p>
        </w:tc>
        <w:tc>
          <w:tcPr>
            <w:tcW w:w="880" w:type="dxa"/>
            <w:vAlign w:val="bottom"/>
          </w:tcPr>
          <w:p>
            <w:pPr>
              <w:jc w:val="right"/>
              <w:spacing w:after="0"/>
              <w:rPr>
                <w:sz w:val="20"/>
                <w:szCs w:val="20"/>
                <w:color w:val="auto"/>
              </w:rPr>
            </w:pPr>
            <w:r>
              <w:rPr>
                <w:rFonts w:ascii="Arial" w:cs="Arial" w:eastAsia="Arial" w:hAnsi="Arial"/>
                <w:sz w:val="18"/>
                <w:szCs w:val="18"/>
                <w:color w:val="auto"/>
              </w:rPr>
              <w:t>$0.70</w:t>
            </w: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$0.70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700"/>
              <w:spacing w:after="0"/>
              <w:rPr>
                <w:sz w:val="20"/>
                <w:szCs w:val="20"/>
                <w:color w:val="auto"/>
              </w:rPr>
            </w:pPr>
            <w:r>
              <w:rPr>
                <w:rFonts w:ascii="Arial" w:cs="Arial" w:eastAsia="Arial" w:hAnsi="Arial"/>
                <w:sz w:val="18"/>
                <w:szCs w:val="18"/>
                <w:color w:val="auto"/>
                <w:w w:val="93"/>
              </w:rPr>
              <w:t>—%</w:t>
            </w:r>
          </w:p>
        </w:tc>
      </w:tr>
    </w:tbl>
    <w:p>
      <w:pPr>
        <w:spacing w:after="0" w:line="229" w:lineRule="exact"/>
        <w:rPr>
          <w:sz w:val="20"/>
          <w:szCs w:val="20"/>
          <w:color w:val="auto"/>
        </w:rPr>
      </w:pPr>
    </w:p>
    <w:p>
      <w:pPr>
        <w:ind w:right="200" w:firstLine="459"/>
        <w:spacing w:after="0" w:line="277" w:lineRule="auto"/>
        <w:rPr>
          <w:sz w:val="20"/>
          <w:szCs w:val="20"/>
          <w:color w:val="auto"/>
        </w:rPr>
      </w:pPr>
      <w:r>
        <w:rPr>
          <w:rFonts w:ascii="Arial" w:cs="Arial" w:eastAsia="Arial" w:hAnsi="Arial"/>
          <w:sz w:val="18"/>
          <w:szCs w:val="18"/>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170"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color w:val="auto"/>
        </w:rPr>
        <w:t>We continue to monitor the global economy, the demand for crude oil, met coal and iron ore and the resultant impact on the capital spending plans of our customers in order to plan our business activities. We currently expect that our 2020 capital expenditures, exclusive of any business acquisitions, will total approximately $18.0 million to $22.0 million, compared to 2019 capital expenditures of $29.8 million. Please see “Liquidity and Capital Resources</w:t>
      </w:r>
      <w:r>
        <w:rPr>
          <w:rFonts w:ascii="Arial" w:cs="Arial" w:eastAsia="Arial" w:hAnsi="Arial"/>
          <w:sz w:val="18"/>
          <w:szCs w:val="18"/>
          <w:i w:val="1"/>
          <w:iCs w:val="1"/>
          <w:color w:val="auto"/>
        </w:rPr>
        <w:t>”</w:t>
      </w:r>
      <w:r>
        <w:rPr>
          <w:rFonts w:ascii="Arial" w:cs="Arial" w:eastAsia="Arial" w:hAnsi="Arial"/>
          <w:sz w:val="18"/>
          <w:szCs w:val="18"/>
          <w:color w:val="auto"/>
        </w:rPr>
        <w:t xml:space="preserve"> below for further discussion of 2020 and 2019 capital expenditures.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08"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Unless otherwise indicated, discussion of results for the year ended December 31, 2019 is based on a comparison with the corresponding period of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Year Ended December 31, 2019 Compared to Year Ended December 31, 2018</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Year Ended</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0"/>
        </w:trPr>
        <w:tc>
          <w:tcPr>
            <w:tcW w:w="5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8"/>
        </w:trPr>
        <w:tc>
          <w:tcPr>
            <w:tcW w:w="50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46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312"/>
        </w:trPr>
        <w:tc>
          <w:tcPr>
            <w:tcW w:w="5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6"/>
        </w:trPr>
        <w:tc>
          <w:tcPr>
            <w:tcW w:w="5040" w:type="dxa"/>
            <w:vAlign w:val="bottom"/>
          </w:tcPr>
          <w:p>
            <w:pPr>
              <w:ind w:left="40"/>
              <w:spacing w:after="0"/>
              <w:rPr>
                <w:sz w:val="20"/>
                <w:szCs w:val="20"/>
                <w:color w:val="auto"/>
              </w:rPr>
            </w:pPr>
            <w:r>
              <w:rPr>
                <w:rFonts w:ascii="Arial" w:cs="Arial" w:eastAsia="Arial" w:hAnsi="Arial"/>
                <w:sz w:val="14"/>
                <w:szCs w:val="14"/>
                <w:color w:val="auto"/>
              </w:rPr>
              <w:t>Revenues</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Canada</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325,651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296,012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29,639</w:t>
            </w: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Australia</w:t>
            </w:r>
          </w:p>
        </w:tc>
        <w:tc>
          <w:tcPr>
            <w:tcW w:w="4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156,093</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119,238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36,855</w:t>
            </w: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United States and other</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45,811</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51,442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(5,631)</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44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527,555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466,692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60,863</w:t>
            </w: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 and expenses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Cost of sales and services</w:t>
            </w:r>
          </w:p>
        </w:tc>
        <w:tc>
          <w:tcPr>
            <w:tcW w:w="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Canada</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239,624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227,257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12,367</w:t>
            </w:r>
          </w:p>
        </w:tc>
      </w:tr>
      <w:tr>
        <w:trPr>
          <w:trHeight w:val="264"/>
        </w:trPr>
        <w:tc>
          <w:tcPr>
            <w:tcW w:w="5040" w:type="dxa"/>
            <w:vAlign w:val="bottom"/>
          </w:tcPr>
          <w:p>
            <w:pPr>
              <w:ind w:left="380"/>
              <w:spacing w:after="0"/>
              <w:rPr>
                <w:sz w:val="20"/>
                <w:szCs w:val="20"/>
                <w:color w:val="auto"/>
              </w:rPr>
            </w:pPr>
            <w:r>
              <w:rPr>
                <w:rFonts w:ascii="Arial" w:cs="Arial" w:eastAsia="Arial" w:hAnsi="Arial"/>
                <w:sz w:val="14"/>
                <w:szCs w:val="14"/>
                <w:color w:val="auto"/>
              </w:rPr>
              <w:t>Australia</w:t>
            </w:r>
          </w:p>
        </w:tc>
        <w:tc>
          <w:tcPr>
            <w:tcW w:w="4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89,090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61,068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28,022</w:t>
            </w:r>
          </w:p>
        </w:tc>
      </w:tr>
      <w:tr>
        <w:trPr>
          <w:trHeight w:val="27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United States and other</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38,100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44,089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(5,989)</w:t>
            </w:r>
          </w:p>
        </w:tc>
      </w:tr>
      <w:tr>
        <w:trPr>
          <w:trHeight w:val="250"/>
        </w:trPr>
        <w:tc>
          <w:tcPr>
            <w:tcW w:w="5040" w:type="dxa"/>
            <w:vAlign w:val="bottom"/>
          </w:tcPr>
          <w:p>
            <w:pPr>
              <w:ind w:left="500"/>
              <w:spacing w:after="0"/>
              <w:rPr>
                <w:sz w:val="20"/>
                <w:szCs w:val="20"/>
                <w:color w:val="auto"/>
              </w:rPr>
            </w:pPr>
            <w:r>
              <w:rPr>
                <w:rFonts w:ascii="Arial" w:cs="Arial" w:eastAsia="Arial" w:hAnsi="Arial"/>
                <w:sz w:val="14"/>
                <w:szCs w:val="14"/>
                <w:color w:val="auto"/>
              </w:rPr>
              <w:t>Total cost of sales and services</w:t>
            </w:r>
          </w:p>
        </w:tc>
        <w:tc>
          <w:tcPr>
            <w:tcW w:w="44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366,814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332,414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34,400</w:t>
            </w: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 expenses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59,586</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67,036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Depreciation and amortization expense</w:t>
            </w:r>
          </w:p>
        </w:tc>
        <w:tc>
          <w:tcPr>
            <w:tcW w:w="4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123,768</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125,846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(2,078)</w:t>
            </w: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expense</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26,148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(2,513)</w:t>
            </w: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operating expense</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r>
      <w:tr>
        <w:trPr>
          <w:trHeight w:val="25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costs and expenses</w:t>
            </w:r>
          </w:p>
        </w:tc>
        <w:tc>
          <w:tcPr>
            <w:tcW w:w="4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576,606</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554,747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21,859</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Operating loss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(49,051)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(88,055)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39,004</w:t>
            </w:r>
          </w:p>
        </w:tc>
      </w:tr>
      <w:tr>
        <w:trPr>
          <w:trHeight w:val="276"/>
        </w:trPr>
        <w:tc>
          <w:tcPr>
            <w:tcW w:w="50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Interest expense and income, net</w:t>
            </w: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(27,305)</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(26,780)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(525)</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7,281</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5,658</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Loss before income taxes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(69,075)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(113,212)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44,137</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10,741</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31,365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(20,624)</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Net loss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(58,334)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(81,847)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23,513</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attributable to noncontrolling interest</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Net loss attributable to Civeo Corporation</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(58,491)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(82,243)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23,752</w:t>
            </w:r>
          </w:p>
        </w:tc>
      </w:tr>
      <w:tr>
        <w:trPr>
          <w:trHeight w:val="27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Less: Dividends attributable to Class A preferred shares</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1,849</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49,589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(47,740)</w:t>
            </w:r>
          </w:p>
        </w:tc>
      </w:tr>
      <w:tr>
        <w:trPr>
          <w:trHeight w:val="243"/>
        </w:trPr>
        <w:tc>
          <w:tcPr>
            <w:tcW w:w="5040" w:type="dxa"/>
            <w:vAlign w:val="bottom"/>
          </w:tcPr>
          <w:p>
            <w:pPr>
              <w:ind w:left="40"/>
              <w:spacing w:after="0"/>
              <w:rPr>
                <w:sz w:val="20"/>
                <w:szCs w:val="20"/>
                <w:color w:val="auto"/>
              </w:rPr>
            </w:pPr>
            <w:r>
              <w:rPr>
                <w:rFonts w:ascii="Arial" w:cs="Arial" w:eastAsia="Arial" w:hAnsi="Arial"/>
                <w:sz w:val="14"/>
                <w:szCs w:val="14"/>
                <w:color w:val="auto"/>
              </w:rPr>
              <w:t>Net loss attributable to Civeo common shareholders</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(60,340)</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(131,832)</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71,492</w:t>
            </w:r>
          </w:p>
        </w:tc>
      </w:tr>
      <w:tr>
        <w:trPr>
          <w:trHeight w:val="20"/>
        </w:trPr>
        <w:tc>
          <w:tcPr>
            <w:tcW w:w="5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59"/>
        <w:spacing w:after="0" w:line="276" w:lineRule="auto"/>
        <w:rPr>
          <w:sz w:val="20"/>
          <w:szCs w:val="20"/>
          <w:color w:val="auto"/>
        </w:rPr>
      </w:pPr>
      <w:r>
        <w:rPr>
          <w:rFonts w:ascii="Arial" w:cs="Arial" w:eastAsia="Arial" w:hAnsi="Arial"/>
          <w:sz w:val="17"/>
          <w:szCs w:val="17"/>
          <w:color w:val="auto"/>
        </w:rPr>
        <w:t>We reported net loss attributable to Civeo for 2019 of $60.3 million, or $0.36 per diluted share. As further discussed below, net loss included (i) a $19.9 million pre-tax loss ($19.9 million after-tax, or $0.12 per diluted share) resulting from the impairment of goodwill in our Canadian reporting unit included in Impairment expense, (ii) a $6.2 million pre-tax loss ($6.1 million after-tax, or $0.04 per diluted share) resulting from the impairment of fixed assets included in Impairment expense, and (iii) a $0.2 million (after tax, or $0.0 per diluted share) gain on sale of assets related to the sale of a village in Australia and related $2.2 million release of an asset retirement obligation (ARO) liability assumed by the buyer.</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reported net loss attributable to Civeo for 2018 of $131.8 million, or $0.84 per diluted share. As further discussed below, net loss included (i)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$28.7 million pre-tax loss ($20.9 million after-tax, or $0.13 per diluted share) resulting from the impairment of fixed assets included in Impairment expense,</w:t>
      </w:r>
    </w:p>
    <w:p>
      <w:pPr>
        <w:spacing w:after="0" w:line="32" w:lineRule="exact"/>
        <w:rPr>
          <w:sz w:val="20"/>
          <w:szCs w:val="20"/>
          <w:color w:val="auto"/>
        </w:rPr>
      </w:pPr>
    </w:p>
    <w:p>
      <w:pPr>
        <w:ind w:right="20" w:firstLine="8"/>
        <w:spacing w:after="0" w:line="255" w:lineRule="auto"/>
        <w:tabs>
          <w:tab w:leader="none" w:pos="2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totaling $9.1 million ($8.0 million after-tax, or $0.05 per diluted share) incurred in connection with the Noralta Acquisition, and included in Costs of sales and services ($1.0 million), Selling, general and administrative (SG&amp;A) expense ($7.2 million) and Other income ($0.9 million) below, and (iii) $49.6 million of dividends attributable to the preferred shares issued in the Noralta Acquisition.</w:t>
      </w:r>
    </w:p>
    <w:p>
      <w:pPr>
        <w:spacing w:after="0" w:line="186" w:lineRule="exact"/>
        <w:rPr>
          <w:sz w:val="20"/>
          <w:szCs w:val="20"/>
          <w:color w:val="auto"/>
        </w:rPr>
      </w:pPr>
    </w:p>
    <w:p>
      <w:pPr>
        <w:ind w:firstLine="459"/>
        <w:spacing w:after="0" w:line="303"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Consolidated revenues increased $60.9 million, or 13%, in 2019 compared to 2018. This increase was primarily due to increases in Canada</w:t>
      </w:r>
      <w:r>
        <w:rPr>
          <w:rFonts w:ascii="Arial" w:cs="Arial" w:eastAsia="Arial" w:hAnsi="Arial"/>
          <w:sz w:val="16"/>
          <w:szCs w:val="16"/>
          <w:b w:val="1"/>
          <w:bCs w:val="1"/>
          <w:color w:val="auto"/>
        </w:rPr>
        <w:t xml:space="preserve"> </w:t>
      </w:r>
      <w:r>
        <w:rPr>
          <w:rFonts w:ascii="Arial" w:cs="Arial" w:eastAsia="Arial" w:hAnsi="Arial"/>
          <w:sz w:val="16"/>
          <w:szCs w:val="16"/>
          <w:color w:val="auto"/>
        </w:rPr>
        <w:t>due to increased food service and other services revenue and the Noralta Acquisition and higher room demand at our Sitka Lodge related to an LNG project, partially offset by lower room demand in the Canadian oil sands related to the continued impact of provincially imposed oil production curtailments. In addition, increased revenues in Australia were due to the Action acquisition completed on July 1, 2019 and higher activity levels at our Bowen Basin villages.</w:t>
      </w:r>
    </w:p>
    <w:p>
      <w:pPr>
        <w:sectPr>
          <w:pgSz w:w="11900" w:h="16838" w:orient="portrait"/>
          <w:cols w:equalWidth="0" w:num="1">
            <w:col w:w="11400"/>
          </w:cols>
          <w:pgMar w:left="240" w:top="125" w:right="259" w:bottom="1440" w:gutter="0" w:footer="0" w:header="0"/>
        </w:sectPr>
      </w:pP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125" w:right="25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These items were partially offset by lower activity levels in certain markets in the U.S. Additionally, weaker Canadian and Australian dollars relative to the U.S. dollar in 2019 compared to 2018 contributed to decreased revenues. Please see the discussion of segment results of operations below for further information.</w:t>
      </w:r>
    </w:p>
    <w:p>
      <w:pPr>
        <w:spacing w:after="0" w:line="177" w:lineRule="exact"/>
        <w:rPr>
          <w:sz w:val="20"/>
          <w:szCs w:val="20"/>
          <w:color w:val="auto"/>
        </w:rPr>
      </w:pPr>
    </w:p>
    <w:p>
      <w:pPr>
        <w:jc w:val="both"/>
        <w:ind w:right="240" w:firstLine="459"/>
        <w:spacing w:after="0" w:line="289" w:lineRule="auto"/>
        <w:rPr>
          <w:sz w:val="20"/>
          <w:szCs w:val="20"/>
          <w:color w:val="auto"/>
        </w:rPr>
      </w:pPr>
      <w:r>
        <w:rPr>
          <w:rFonts w:ascii="Arial" w:cs="Arial" w:eastAsia="Arial" w:hAnsi="Arial"/>
          <w:sz w:val="16"/>
          <w:szCs w:val="16"/>
          <w:b w:val="1"/>
          <w:bCs w:val="1"/>
          <w:color w:val="auto"/>
        </w:rPr>
        <w:t xml:space="preserve">Cost of Sales and Services. </w:t>
      </w:r>
      <w:r>
        <w:rPr>
          <w:rFonts w:ascii="Arial" w:cs="Arial" w:eastAsia="Arial" w:hAnsi="Arial"/>
          <w:sz w:val="16"/>
          <w:szCs w:val="16"/>
          <w:color w:val="auto"/>
        </w:rPr>
        <w:t>Our consolidated cost of sales increased $34.4 million, or 10%, in 2019 compared to 2018, primarily due to the Action</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and higher activity levels at our Bowen Basin villages. In addition, increased cost of sales and services in Canada was driven by increased food services activity and the Noralta Acquisition in the second quarter of 2018. This was partially offset by lower activity levels in certain markets in the U.S.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Additionally, weaker Canadian and Australian dollars relative to the U.S. dollar in 2019 compared to 2018 contributed to decreased cost of sales and services.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Please see the discussion of segment results of operations below for further information.</w:t>
      </w:r>
    </w:p>
    <w:p>
      <w:pPr>
        <w:spacing w:after="0" w:line="207" w:lineRule="exact"/>
        <w:rPr>
          <w:sz w:val="20"/>
          <w:szCs w:val="20"/>
          <w:color w:val="auto"/>
        </w:rPr>
      </w:pPr>
    </w:p>
    <w:p>
      <w:pPr>
        <w:ind w:right="140" w:firstLine="459"/>
        <w:spacing w:after="0" w:line="26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SG&amp;A expense decreased $7.5 million, or 11%, in 2019 compared to 2018. This decrease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lower costs incurred in connection with the Noralta Acquisition of $7.2 million and lower share-based compensation expense. The decrease in share-based compensation was largely due to a reduction in the amount of phantom share awards outstanding during 2019. These items were partially offset by higher incentive compensation costs.</w:t>
      </w:r>
    </w:p>
    <w:p>
      <w:pPr>
        <w:spacing w:after="0" w:line="180" w:lineRule="exact"/>
        <w:rPr>
          <w:sz w:val="20"/>
          <w:szCs w:val="20"/>
          <w:color w:val="auto"/>
        </w:rPr>
      </w:pPr>
    </w:p>
    <w:p>
      <w:pPr>
        <w:ind w:right="100" w:firstLine="459"/>
        <w:spacing w:after="0" w:line="281" w:lineRule="auto"/>
        <w:rPr>
          <w:sz w:val="20"/>
          <w:szCs w:val="20"/>
          <w:color w:val="auto"/>
        </w:rPr>
      </w:pPr>
      <w:r>
        <w:rPr>
          <w:rFonts w:ascii="Arial" w:cs="Arial" w:eastAsia="Arial" w:hAnsi="Arial"/>
          <w:sz w:val="17"/>
          <w:szCs w:val="17"/>
          <w:b w:val="1"/>
          <w:bCs w:val="1"/>
          <w:color w:val="auto"/>
        </w:rPr>
        <w:t xml:space="preserve">Depreciation and Amortization Expense. </w:t>
      </w:r>
      <w:r>
        <w:rPr>
          <w:rFonts w:ascii="Arial" w:cs="Arial" w:eastAsia="Arial" w:hAnsi="Arial"/>
          <w:sz w:val="17"/>
          <w:szCs w:val="17"/>
          <w:color w:val="auto"/>
        </w:rPr>
        <w:t>Depreciation and amortization expense decreased $2.1 million, or 2%, in 2019 compared to 2018.</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Decreases are due to (1) certain assets and intangibles becoming fully depreciated during 2018, (2) reduced depreciation expense resulting from impairments recorded in 2018 and (3) weaker Canadian and Australian dollars relative to the U.S. dollar in 2019 compared to 2018. These items were partially offset by additional depreciation and intangible amortization expense related to acquisitions in 2018 and 2019.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Impairment expense of $26.1 million in 2019 included the following items:</w:t>
      </w:r>
    </w:p>
    <w:p>
      <w:pPr>
        <w:spacing w:after="0" w:line="229" w:lineRule="exact"/>
        <w:rPr>
          <w:sz w:val="20"/>
          <w:szCs w:val="20"/>
          <w:color w:val="auto"/>
        </w:rPr>
      </w:pPr>
    </w:p>
    <w:p>
      <w:pPr>
        <w:ind w:left="820" w:hanging="326"/>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Pre-tax impairment expense of $19.9 million in the fourth quarter of 2019 related to the impairment of goodwill in our Canadian reporting unit.</w:t>
      </w:r>
    </w:p>
    <w:p>
      <w:pPr>
        <w:spacing w:after="0" w:line="34" w:lineRule="exact"/>
        <w:rPr>
          <w:rFonts w:ascii="Arial" w:cs="Arial" w:eastAsia="Arial" w:hAnsi="Arial"/>
          <w:sz w:val="17"/>
          <w:szCs w:val="17"/>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Pre-tax impairment expense of $0.7 million in the fourth quarter of 2019 associated with long-lived assets in our Canadian segment.</w:t>
      </w:r>
    </w:p>
    <w:p>
      <w:pPr>
        <w:spacing w:after="0" w:line="9" w:lineRule="exact"/>
        <w:rPr>
          <w:rFonts w:ascii="Arial" w:cs="Arial" w:eastAsia="Arial" w:hAnsi="Arial"/>
          <w:sz w:val="18"/>
          <w:szCs w:val="18"/>
          <w:color w:val="auto"/>
        </w:rPr>
      </w:pPr>
    </w:p>
    <w:p>
      <w:pPr>
        <w:ind w:left="820" w:right="40" w:hanging="326"/>
        <w:spacing w:after="0" w:line="287" w:lineRule="auto"/>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Pre-tax impairment expense of $5.5 million in the second quarter of 2019 associated with long-lived assets in our Australian segment. This includes $1.0 million of impairment expense related to an error corrected in the second quarter 2019. We identified a liability related to an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 Specifically, we recorded the following amounts in our second quarter 2019 unaudited consolidated statements of operations related to prior periods: (1) additional accretion expense related to the ARO of $0.9 million, (2) additional depreciation and amortization expense of $0.5 million related to amortization of the asset retirement cost and (3) additional impairment expense related to the impairment of the asset retirement cost of $1.0 million offset by recognition of an ARO liability totaling $2.3 million as of June 30, 2019.</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recorded pre-tax impairment expense of $28.7 million in the first quarter of 2018 associated with long-lived assets in our Canadian segment.</w:t>
      </w:r>
    </w:p>
    <w:p>
      <w:pPr>
        <w:spacing w:after="0" w:line="237" w:lineRule="exact"/>
        <w:rPr>
          <w:sz w:val="20"/>
          <w:szCs w:val="20"/>
          <w:color w:val="auto"/>
        </w:rPr>
      </w:pPr>
    </w:p>
    <w:p>
      <w:pPr>
        <w:ind w:right="640" w:firstLine="459"/>
        <w:spacing w:after="0" w:line="277" w:lineRule="auto"/>
        <w:rPr>
          <w:sz w:val="20"/>
          <w:szCs w:val="20"/>
          <w:color w:val="auto"/>
        </w:rPr>
      </w:pPr>
      <w:r>
        <w:rPr>
          <w:rFonts w:ascii="Arial" w:cs="Arial" w:eastAsia="Arial" w:hAnsi="Arial"/>
          <w:sz w:val="18"/>
          <w:szCs w:val="18"/>
          <w:color w:val="auto"/>
        </w:rPr>
        <w:t>Please see Note 4 - Impairment Charges to the notes to the consolidated financial statements included in Item 8 of this annual report for further discussion.</w:t>
      </w:r>
    </w:p>
    <w:p>
      <w:pPr>
        <w:spacing w:after="0" w:line="166" w:lineRule="exact"/>
        <w:rPr>
          <w:sz w:val="20"/>
          <w:szCs w:val="20"/>
          <w:color w:val="auto"/>
        </w:rPr>
      </w:pPr>
    </w:p>
    <w:p>
      <w:pPr>
        <w:ind w:right="560" w:firstLine="459"/>
        <w:spacing w:after="0" w:line="282"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Operating loss decreased $39.0 million, or 44%, in 2019 compared to 2018 primarily due to increased activity levels in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Canadian and Australian markets and lower impairment, SG&amp;A and depreciation and amortization expenses.</w:t>
      </w:r>
    </w:p>
    <w:p>
      <w:pPr>
        <w:spacing w:after="0" w:line="162" w:lineRule="exact"/>
        <w:rPr>
          <w:sz w:val="20"/>
          <w:szCs w:val="20"/>
          <w:color w:val="auto"/>
        </w:rPr>
      </w:pPr>
    </w:p>
    <w:p>
      <w:pPr>
        <w:jc w:val="both"/>
        <w:ind w:firstLine="459"/>
        <w:spacing w:after="0" w:line="266" w:lineRule="auto"/>
        <w:rPr>
          <w:sz w:val="20"/>
          <w:szCs w:val="20"/>
          <w:color w:val="auto"/>
        </w:rPr>
      </w:pPr>
      <w:r>
        <w:rPr>
          <w:rFonts w:ascii="Arial" w:cs="Arial" w:eastAsia="Arial" w:hAnsi="Arial"/>
          <w:sz w:val="18"/>
          <w:szCs w:val="18"/>
          <w:b w:val="1"/>
          <w:bCs w:val="1"/>
          <w:color w:val="auto"/>
        </w:rPr>
        <w:t xml:space="preserve">Interest Expense and Income, net. </w:t>
      </w:r>
      <w:r>
        <w:rPr>
          <w:rFonts w:ascii="Arial" w:cs="Arial" w:eastAsia="Arial" w:hAnsi="Arial"/>
          <w:sz w:val="18"/>
          <w:szCs w:val="18"/>
          <w:color w:val="auto"/>
        </w:rPr>
        <w:t>Net interest expense increased $0.5 million, or 2%, in 2019 compared to 2018, primarily related to higher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debt levels and higher interest rates on term loan and revolving credit facility borrowings during 2019 compared to 2018, partially offset by the 2018 write-off of $0.7 million of debt issuance costs associated with our Credit Agreement.</w:t>
      </w:r>
    </w:p>
    <w:p>
      <w:pPr>
        <w:spacing w:after="0" w:line="176" w:lineRule="exact"/>
        <w:rPr>
          <w:sz w:val="20"/>
          <w:szCs w:val="20"/>
          <w:color w:val="auto"/>
        </w:rPr>
      </w:pPr>
    </w:p>
    <w:p>
      <w:pPr>
        <w:ind w:right="160" w:firstLine="459"/>
        <w:spacing w:after="0" w:line="266" w:lineRule="auto"/>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Other income increased $5.7 million, or 349%, in 2019 compared to 2018, primarily due to $2.6 million of other income for proceeds</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in 2019 from a property damage and business interruption insurance claim related to the closure of a lodge in 2018 for maintenance-related operational issues. In addition, a higher gain on sale of assets in 2019</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compared to 2018 was related to the sale of a village in Australia and related $2.2 million release of an ARO liability assumed by the buyer in 2019.</w:t>
      </w:r>
    </w:p>
    <w:p>
      <w:pPr>
        <w:spacing w:after="0" w:line="233" w:lineRule="exact"/>
        <w:rPr>
          <w:sz w:val="20"/>
          <w:szCs w:val="20"/>
          <w:color w:val="auto"/>
        </w:rPr>
      </w:pPr>
    </w:p>
    <w:p>
      <w:pPr>
        <w:ind w:firstLine="459"/>
        <w:spacing w:after="0" w:line="277" w:lineRule="auto"/>
        <w:rPr>
          <w:sz w:val="20"/>
          <w:szCs w:val="20"/>
          <w:color w:val="auto"/>
        </w:rPr>
      </w:pPr>
      <w:r>
        <w:rPr>
          <w:rFonts w:ascii="Arial" w:cs="Arial" w:eastAsia="Arial" w:hAnsi="Arial"/>
          <w:sz w:val="17"/>
          <w:szCs w:val="17"/>
          <w:b w:val="1"/>
          <w:bCs w:val="1"/>
          <w:color w:val="auto"/>
        </w:rPr>
        <w:t xml:space="preserve">Income Tax Benefit. </w:t>
      </w:r>
      <w:r>
        <w:rPr>
          <w:rFonts w:ascii="Arial" w:cs="Arial" w:eastAsia="Arial" w:hAnsi="Arial"/>
          <w:sz w:val="17"/>
          <w:szCs w:val="17"/>
          <w:color w:val="auto"/>
        </w:rPr>
        <w:t>Our income tax benefit for 2019 totaled $10.7 million, or 15.5% of pretax loss, compared to a benefit of $31.4 million, or 27.7%</w:t>
      </w:r>
      <w:r>
        <w:rPr>
          <w:rFonts w:ascii="Arial" w:cs="Arial" w:eastAsia="Arial" w:hAnsi="Arial"/>
          <w:sz w:val="17"/>
          <w:szCs w:val="17"/>
          <w:b w:val="1"/>
          <w:bCs w:val="1"/>
          <w:color w:val="auto"/>
        </w:rPr>
        <w:t xml:space="preserve"> </w:t>
      </w:r>
      <w:r>
        <w:rPr>
          <w:rFonts w:ascii="Arial" w:cs="Arial" w:eastAsia="Arial" w:hAnsi="Arial"/>
          <w:sz w:val="17"/>
          <w:szCs w:val="17"/>
          <w:color w:val="auto"/>
        </w:rPr>
        <w:t>of pretax loss for 2018. Our effective tax rate for 2019 was lower than the Canadian combined federal and provincial statutory rate of 26.5%, primarily due to the Canadian goodwill impairment of $19.9 million and a release of a valuation allowance of $2.3 million against the net deferred tax assets in Australia due to the Action acquisition. This was partially offset by pre-tax losses in Australia and the U.S. for which no tax benefit was recorded. As a result, a valuation allowance of $3.2 million was established against net deferred tax assets in the U.S. and Australia.</w:t>
      </w:r>
    </w:p>
    <w:p>
      <w:pPr>
        <w:spacing w:after="0" w:line="172" w:lineRule="exact"/>
        <w:rPr>
          <w:sz w:val="20"/>
          <w:szCs w:val="20"/>
          <w:color w:val="auto"/>
        </w:rPr>
      </w:pPr>
    </w:p>
    <w:p>
      <w:pPr>
        <w:ind w:right="160" w:firstLine="459"/>
        <w:spacing w:after="0" w:line="259" w:lineRule="auto"/>
        <w:rPr>
          <w:sz w:val="20"/>
          <w:szCs w:val="20"/>
          <w:color w:val="auto"/>
        </w:rPr>
      </w:pPr>
      <w:r>
        <w:rPr>
          <w:rFonts w:ascii="Arial" w:cs="Arial" w:eastAsia="Arial" w:hAnsi="Arial"/>
          <w:sz w:val="18"/>
          <w:szCs w:val="18"/>
          <w:color w:val="auto"/>
        </w:rPr>
        <w:t>Our effective tax rate for 2018 was higher than the Canadian (combined federal and provincial) statutory rate of 27%, primarily due to the release of a valuation allowance of $4.9 million against the net deferred tax assets in Canada due to Canada no longer being considered a loss jurisdiction. This was partially offset by pre-tax losses in Australia and the U.S. for which no tax benefit was recorded. As a result, a valuation allowance of $4.6 million was established against net deferred tax assets in the U.S. and Australia.</w:t>
      </w:r>
    </w:p>
    <w:p>
      <w:pPr>
        <w:spacing w:after="0" w:line="183" w:lineRule="exact"/>
        <w:rPr>
          <w:sz w:val="20"/>
          <w:szCs w:val="20"/>
          <w:color w:val="auto"/>
        </w:rPr>
      </w:pPr>
    </w:p>
    <w:p>
      <w:pPr>
        <w:jc w:val="both"/>
        <w:ind w:firstLine="459"/>
        <w:spacing w:after="0" w:line="266" w:lineRule="auto"/>
        <w:rPr>
          <w:sz w:val="20"/>
          <w:szCs w:val="20"/>
          <w:color w:val="auto"/>
        </w:rPr>
      </w:pPr>
      <w:r>
        <w:rPr>
          <w:rFonts w:ascii="Arial" w:cs="Arial" w:eastAsia="Arial" w:hAnsi="Arial"/>
          <w:sz w:val="18"/>
          <w:szCs w:val="18"/>
          <w:b w:val="1"/>
          <w:bCs w:val="1"/>
          <w:color w:val="auto"/>
        </w:rPr>
        <w:t xml:space="preserve">Dividends Attributable to Preferred Shares. </w:t>
      </w:r>
      <w:r>
        <w:rPr>
          <w:rFonts w:ascii="Arial" w:cs="Arial" w:eastAsia="Arial" w:hAnsi="Arial"/>
          <w:sz w:val="18"/>
          <w:szCs w:val="18"/>
          <w:color w:val="auto"/>
        </w:rPr>
        <w:t>We recorded dividends attributable to preferred shares of $49.6 million in 2018 primarily resulting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a beneficial conversion factor associated with the preferred shares issued as part of the Noralta Acquisition. Please see Note 20 – Preferred Shares to the notes to the consolidated financial statements included in Item 8 of this annual report for further discussion.</w:t>
      </w:r>
    </w:p>
    <w:p>
      <w:pPr>
        <w:spacing w:after="0" w:line="176" w:lineRule="exact"/>
        <w:rPr>
          <w:sz w:val="20"/>
          <w:szCs w:val="20"/>
          <w:color w:val="auto"/>
        </w:rPr>
      </w:pPr>
    </w:p>
    <w:p>
      <w:pPr>
        <w:ind w:right="100" w:firstLine="459"/>
        <w:spacing w:after="0" w:line="261"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income increased $51.1 million in 2019 compared to 2018 primarily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currency translation adjustments due to changes in the Canadian and Australian dollar exchange rates compared to the U.S. dollar. The Canadian dollar exchange rate compared to the U.S. dollar increased 5% in 2019 compared to a 9% decrease in 2018. The Australian dollar exchange rate compared to the U.S. dollar was flat in 2019 compared to an 10% decrease in 2018.</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49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0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4"/>
        </w:trPr>
        <w:tc>
          <w:tcPr>
            <w:tcW w:w="4920" w:type="dxa"/>
            <w:vAlign w:val="bottom"/>
          </w:tcPr>
          <w:p>
            <w:pPr>
              <w:ind w:left="180"/>
              <w:spacing w:after="0"/>
              <w:rPr>
                <w:sz w:val="20"/>
                <w:szCs w:val="20"/>
                <w:color w:val="auto"/>
              </w:rPr>
            </w:pPr>
            <w:r>
              <w:rPr>
                <w:rFonts w:ascii="Arial" w:cs="Arial" w:eastAsia="Arial" w:hAnsi="Arial"/>
                <w:sz w:val="14"/>
                <w:szCs w:val="14"/>
                <w:color w:val="auto"/>
              </w:rPr>
              <w:t>Accommodation revenue (1)</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281,577</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266,899</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14,678</w:t>
            </w:r>
          </w:p>
        </w:tc>
      </w:tr>
      <w:tr>
        <w:trPr>
          <w:trHeight w:val="276"/>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Mobile facility rental revenue (2)</w:t>
            </w:r>
          </w:p>
        </w:tc>
        <w:tc>
          <w:tcPr>
            <w:tcW w:w="10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9,575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9,316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259</w:t>
            </w:r>
          </w:p>
        </w:tc>
      </w:tr>
      <w:tr>
        <w:trPr>
          <w:trHeight w:val="264"/>
        </w:trPr>
        <w:tc>
          <w:tcPr>
            <w:tcW w:w="4920" w:type="dxa"/>
            <w:vAlign w:val="bottom"/>
          </w:tcPr>
          <w:p>
            <w:pPr>
              <w:ind w:left="180"/>
              <w:spacing w:after="0"/>
              <w:rPr>
                <w:sz w:val="20"/>
                <w:szCs w:val="20"/>
                <w:color w:val="auto"/>
              </w:rPr>
            </w:pPr>
            <w:r>
              <w:rPr>
                <w:rFonts w:ascii="Arial" w:cs="Arial" w:eastAsia="Arial" w:hAnsi="Arial"/>
                <w:sz w:val="14"/>
                <w:szCs w:val="14"/>
                <w:color w:val="auto"/>
              </w:rPr>
              <w:t>Food service and other services revenue (3)</w:t>
            </w:r>
          </w:p>
        </w:tc>
        <w:tc>
          <w:tcPr>
            <w:tcW w:w="108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33,485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15,601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17,884</w:t>
            </w: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Manufacturing revenue (4)</w:t>
            </w:r>
          </w:p>
        </w:tc>
        <w:tc>
          <w:tcPr>
            <w:tcW w:w="10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1,014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4,196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(3,182)</w:t>
            </w:r>
          </w:p>
        </w:tc>
      </w:tr>
      <w:tr>
        <w:trPr>
          <w:trHeight w:val="250"/>
        </w:trPr>
        <w:tc>
          <w:tcPr>
            <w:tcW w:w="492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325,651</w:t>
            </w:r>
          </w:p>
        </w:tc>
        <w:tc>
          <w:tcPr>
            <w:tcW w:w="12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296,012</w:t>
            </w:r>
          </w:p>
        </w:tc>
        <w:tc>
          <w:tcPr>
            <w:tcW w:w="10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29,639</w:t>
            </w:r>
          </w:p>
        </w:tc>
      </w:tr>
      <w:tr>
        <w:trPr>
          <w:trHeight w:val="276"/>
        </w:trPr>
        <w:tc>
          <w:tcPr>
            <w:tcW w:w="49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Cost of sales and services ($ in thousands)</w:t>
            </w: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Accommodation cost</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187,679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182,387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5,292</w:t>
            </w:r>
          </w:p>
        </w:tc>
      </w:tr>
      <w:tr>
        <w:trPr>
          <w:trHeight w:val="264"/>
        </w:trPr>
        <w:tc>
          <w:tcPr>
            <w:tcW w:w="4920" w:type="dxa"/>
            <w:vAlign w:val="bottom"/>
          </w:tcPr>
          <w:p>
            <w:pPr>
              <w:ind w:left="180"/>
              <w:spacing w:after="0"/>
              <w:rPr>
                <w:sz w:val="20"/>
                <w:szCs w:val="20"/>
                <w:color w:val="auto"/>
              </w:rPr>
            </w:pPr>
            <w:r>
              <w:rPr>
                <w:rFonts w:ascii="Arial" w:cs="Arial" w:eastAsia="Arial" w:hAnsi="Arial"/>
                <w:sz w:val="14"/>
                <w:szCs w:val="14"/>
                <w:color w:val="auto"/>
              </w:rPr>
              <w:t>Mobile facility rental cost</w:t>
            </w:r>
          </w:p>
        </w:tc>
        <w:tc>
          <w:tcPr>
            <w:tcW w:w="108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7,493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9,985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(2,492)</w:t>
            </w:r>
          </w:p>
        </w:tc>
      </w:tr>
      <w:tr>
        <w:trPr>
          <w:trHeight w:val="276"/>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Food service and other services cost</w:t>
            </w:r>
          </w:p>
        </w:tc>
        <w:tc>
          <w:tcPr>
            <w:tcW w:w="10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30,595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14,756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15,839</w:t>
            </w:r>
          </w:p>
        </w:tc>
      </w:tr>
      <w:tr>
        <w:trPr>
          <w:trHeight w:val="264"/>
        </w:trPr>
        <w:tc>
          <w:tcPr>
            <w:tcW w:w="4920" w:type="dxa"/>
            <w:vAlign w:val="bottom"/>
          </w:tcPr>
          <w:p>
            <w:pPr>
              <w:ind w:left="180"/>
              <w:spacing w:after="0"/>
              <w:rPr>
                <w:sz w:val="20"/>
                <w:szCs w:val="20"/>
                <w:color w:val="auto"/>
              </w:rPr>
            </w:pPr>
            <w:r>
              <w:rPr>
                <w:rFonts w:ascii="Arial" w:cs="Arial" w:eastAsia="Arial" w:hAnsi="Arial"/>
                <w:sz w:val="14"/>
                <w:szCs w:val="14"/>
                <w:color w:val="auto"/>
              </w:rPr>
              <w:t>Manufacturing cost</w:t>
            </w:r>
          </w:p>
        </w:tc>
        <w:tc>
          <w:tcPr>
            <w:tcW w:w="108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1,025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4,995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(3,970)</w:t>
            </w: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other cost</w:t>
            </w:r>
          </w:p>
        </w:tc>
        <w:tc>
          <w:tcPr>
            <w:tcW w:w="10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12,832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15,134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(2,302)</w:t>
            </w:r>
          </w:p>
        </w:tc>
      </w:tr>
      <w:tr>
        <w:trPr>
          <w:trHeight w:val="250"/>
        </w:trPr>
        <w:tc>
          <w:tcPr>
            <w:tcW w:w="4920" w:type="dxa"/>
            <w:vAlign w:val="bottom"/>
          </w:tcPr>
          <w:p>
            <w:pPr>
              <w:ind w:left="380"/>
              <w:spacing w:after="0"/>
              <w:rPr>
                <w:sz w:val="20"/>
                <w:szCs w:val="20"/>
                <w:color w:val="auto"/>
              </w:rPr>
            </w:pPr>
            <w:r>
              <w:rPr>
                <w:rFonts w:ascii="Arial" w:cs="Arial" w:eastAsia="Arial" w:hAnsi="Arial"/>
                <w:sz w:val="14"/>
                <w:szCs w:val="14"/>
                <w:color w:val="auto"/>
              </w:rPr>
              <w:t>Total cost of sales and services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239,624</w:t>
            </w:r>
          </w:p>
        </w:tc>
        <w:tc>
          <w:tcPr>
            <w:tcW w:w="12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227,257</w:t>
            </w:r>
          </w:p>
        </w:tc>
        <w:tc>
          <w:tcPr>
            <w:tcW w:w="10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12,367</w:t>
            </w:r>
          </w:p>
        </w:tc>
      </w:tr>
      <w:tr>
        <w:trPr>
          <w:trHeight w:val="276"/>
        </w:trPr>
        <w:tc>
          <w:tcPr>
            <w:tcW w:w="49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Gross margin as a % of revenues</w:t>
            </w:r>
          </w:p>
        </w:tc>
        <w:tc>
          <w:tcPr>
            <w:tcW w:w="10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76"/>
        </w:trPr>
        <w:tc>
          <w:tcPr>
            <w:tcW w:w="49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Average daily rate for lodges (5)</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w:t>
            </w:r>
          </w:p>
        </w:tc>
      </w:tr>
      <w:tr>
        <w:trPr>
          <w:trHeight w:val="276"/>
        </w:trPr>
        <w:tc>
          <w:tcPr>
            <w:tcW w:w="49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Total billed rooms for lodges (6)</w:t>
            </w:r>
          </w:p>
        </w:tc>
        <w:tc>
          <w:tcPr>
            <w:tcW w:w="108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w w:val="93"/>
              </w:rPr>
              <w:t>3,078,727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3,007,229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71,498</w:t>
            </w:r>
          </w:p>
        </w:tc>
      </w:tr>
      <w:tr>
        <w:trPr>
          <w:trHeight w:val="276"/>
        </w:trPr>
        <w:tc>
          <w:tcPr>
            <w:tcW w:w="49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Average Canadian dollar to U.S. dollar</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0.754</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0.772</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(0.018)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revenues related to lodge rooms and hospitality services for owned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revenues related to mobile camps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revenues related to food service, laundry and water and wastewater treatment services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revenues related to modular construction and manufacturing services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ind w:right="60" w:firstLine="459"/>
        <w:spacing w:after="0" w:line="272" w:lineRule="auto"/>
        <w:rPr>
          <w:sz w:val="20"/>
          <w:szCs w:val="20"/>
          <w:color w:val="auto"/>
        </w:rPr>
      </w:pPr>
      <w:r>
        <w:rPr>
          <w:rFonts w:ascii="Arial" w:cs="Arial" w:eastAsia="Arial" w:hAnsi="Arial"/>
          <w:sz w:val="17"/>
          <w:szCs w:val="17"/>
          <w:color w:val="auto"/>
        </w:rPr>
        <w:t>Our Canadian segment reported revenues in 2019 that were $29.6 million, or 10%, higher than 2018. The weakening of the average exchange rates for the Canadian dollar relative to the U.S. dollar by 2% in 2019 compared to 2018 resulted in a $7.4 million period-over-period decrease in revenues. Excluding the impact of the weaker Canadian exchange rates, the segment experienced a 13% increase in revenues. This increase was driven by higher room demand at our Sitka Lodge related to a LNG project and the Noralta Acquisition in the second quarter of 2018, partially offset by lower room demand during 2019 from major customers in our core oil sands lodges. This lower room demand was related to a reduced impact of large customer turnaround projects and the continued impact of provincially imposed oil production curtailments. Additionally, revenue was favorably impacted by increased food service and other services activity due to a new contract with an oil sands customer.</w:t>
      </w:r>
    </w:p>
    <w:p>
      <w:pPr>
        <w:spacing w:after="0" w:line="178"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color w:val="auto"/>
        </w:rPr>
        <w:t>Our Canadian segment cost of sales and services increased $12.4 million, or 5%, in 2019 compared to 2018. The weakening of the average exchange rates for the Canadian dollar relative to the U.S. dollar by 2% in 2019 compared to 2018 resulted in a $5.6 million period-over-period decrease in cost of sales and services. Excluding the impact of the weaker Canadian exchange rates, the increased cost of sales and services was driven by increased food services and accommodation activity, partially offset by (1) reduced manufacturing cost as two projects from 2018 did not occur in 2019, (2) reduced mobile facility rental cost as a similar level of activity in 2019 was executed more efficiently and (3) reduced indirect other cost from a continued focus on cost containment and operation efficiencies.</w:t>
      </w:r>
    </w:p>
    <w:p>
      <w:pPr>
        <w:spacing w:after="0" w:line="193" w:lineRule="exact"/>
        <w:rPr>
          <w:sz w:val="20"/>
          <w:szCs w:val="20"/>
          <w:color w:val="auto"/>
        </w:rPr>
      </w:pPr>
    </w:p>
    <w:p>
      <w:pPr>
        <w:ind w:right="300" w:firstLine="459"/>
        <w:spacing w:after="0" w:line="277" w:lineRule="auto"/>
        <w:rPr>
          <w:sz w:val="20"/>
          <w:szCs w:val="20"/>
          <w:color w:val="auto"/>
        </w:rPr>
      </w:pPr>
      <w:r>
        <w:rPr>
          <w:rFonts w:ascii="Arial" w:cs="Arial" w:eastAsia="Arial" w:hAnsi="Arial"/>
          <w:sz w:val="18"/>
          <w:szCs w:val="18"/>
          <w:color w:val="auto"/>
        </w:rPr>
        <w:t>Our Canadian segment gross margin as a percentage of revenues increased from 23% in 2018 to 26% in 2019 primarily driven by an increase to the average daily rate due to an increase in billed rooms at our Sitka Lodge, which are billed at a higher daily rate.</w:t>
      </w:r>
    </w:p>
    <w:p>
      <w:pPr>
        <w:sectPr>
          <w:pgSz w:w="11900" w:h="16838" w:orient="portrait"/>
          <w:cols w:equalWidth="0" w:num="1">
            <w:col w:w="11400"/>
          </w:cols>
          <w:pgMar w:left="240" w:top="125" w:right="25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00"/>
          </w:cols>
          <w:pgMar w:left="240" w:top="125" w:right="25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2"/>
        </w:trPr>
        <w:tc>
          <w:tcPr>
            <w:tcW w:w="49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Change</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4"/>
        </w:trPr>
        <w:tc>
          <w:tcPr>
            <w:tcW w:w="4920" w:type="dxa"/>
            <w:vAlign w:val="bottom"/>
          </w:tcPr>
          <w:p>
            <w:pPr>
              <w:ind w:left="180"/>
              <w:spacing w:after="0"/>
              <w:rPr>
                <w:sz w:val="20"/>
                <w:szCs w:val="20"/>
                <w:color w:val="auto"/>
              </w:rPr>
            </w:pPr>
            <w:r>
              <w:rPr>
                <w:rFonts w:ascii="Arial" w:cs="Arial" w:eastAsia="Arial" w:hAnsi="Arial"/>
                <w:sz w:val="14"/>
                <w:szCs w:val="14"/>
                <w:color w:val="auto"/>
              </w:rPr>
              <w:t>Accommodation revenue (1)</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126,047</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117,896</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8,151</w:t>
            </w: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Food service and other services revenue (2)</w:t>
            </w:r>
          </w:p>
        </w:tc>
        <w:tc>
          <w:tcPr>
            <w:tcW w:w="11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30,046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1,342</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28,704</w:t>
            </w:r>
          </w:p>
        </w:tc>
      </w:tr>
      <w:tr>
        <w:trPr>
          <w:trHeight w:val="250"/>
        </w:trPr>
        <w:tc>
          <w:tcPr>
            <w:tcW w:w="492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156,093</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119,238</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36,855</w:t>
            </w:r>
          </w:p>
        </w:tc>
      </w:tr>
      <w:tr>
        <w:trPr>
          <w:trHeight w:val="276"/>
        </w:trPr>
        <w:tc>
          <w:tcPr>
            <w:tcW w:w="49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Cost of sales ($ in thousands)</w:t>
            </w:r>
          </w:p>
        </w:tc>
        <w:tc>
          <w:tcPr>
            <w:tcW w:w="1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6"/>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Accommodation cost</w:t>
            </w: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60,045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57,366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2,679</w:t>
            </w:r>
          </w:p>
        </w:tc>
      </w:tr>
      <w:tr>
        <w:trPr>
          <w:trHeight w:val="264"/>
        </w:trPr>
        <w:tc>
          <w:tcPr>
            <w:tcW w:w="4920" w:type="dxa"/>
            <w:vAlign w:val="bottom"/>
          </w:tcPr>
          <w:p>
            <w:pPr>
              <w:ind w:left="180"/>
              <w:spacing w:after="0"/>
              <w:rPr>
                <w:sz w:val="20"/>
                <w:szCs w:val="20"/>
                <w:color w:val="auto"/>
              </w:rPr>
            </w:pPr>
            <w:r>
              <w:rPr>
                <w:rFonts w:ascii="Arial" w:cs="Arial" w:eastAsia="Arial" w:hAnsi="Arial"/>
                <w:sz w:val="14"/>
                <w:szCs w:val="14"/>
                <w:color w:val="auto"/>
              </w:rPr>
              <w:t>Food service and other services cost</w:t>
            </w:r>
          </w:p>
        </w:tc>
        <w:tc>
          <w:tcPr>
            <w:tcW w:w="110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26,073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1,150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24,923</w:t>
            </w: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other cost</w:t>
            </w:r>
          </w:p>
        </w:tc>
        <w:tc>
          <w:tcPr>
            <w:tcW w:w="11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2,972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2,552</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420</w:t>
            </w:r>
          </w:p>
        </w:tc>
      </w:tr>
      <w:tr>
        <w:trPr>
          <w:trHeight w:val="250"/>
        </w:trPr>
        <w:tc>
          <w:tcPr>
            <w:tcW w:w="4920" w:type="dxa"/>
            <w:vAlign w:val="bottom"/>
          </w:tcPr>
          <w:p>
            <w:pPr>
              <w:ind w:left="380"/>
              <w:spacing w:after="0"/>
              <w:rPr>
                <w:sz w:val="20"/>
                <w:szCs w:val="20"/>
                <w:color w:val="auto"/>
              </w:rPr>
            </w:pPr>
            <w:r>
              <w:rPr>
                <w:rFonts w:ascii="Arial" w:cs="Arial" w:eastAsia="Arial" w:hAnsi="Arial"/>
                <w:sz w:val="14"/>
                <w:szCs w:val="14"/>
                <w:color w:val="auto"/>
              </w:rPr>
              <w:t>Total cost of sales and services</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89,090</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61,068</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28,022</w:t>
            </w:r>
          </w:p>
        </w:tc>
      </w:tr>
      <w:tr>
        <w:trPr>
          <w:trHeight w:val="276"/>
        </w:trPr>
        <w:tc>
          <w:tcPr>
            <w:tcW w:w="49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Gross margin as a % of revenues</w:t>
            </w:r>
          </w:p>
        </w:tc>
        <w:tc>
          <w:tcPr>
            <w:tcW w:w="1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48.8%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76"/>
        </w:trPr>
        <w:tc>
          <w:tcPr>
            <w:tcW w:w="49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Average daily rate for villages (3)</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(5)</w:t>
            </w:r>
          </w:p>
        </w:tc>
      </w:tr>
      <w:tr>
        <w:trPr>
          <w:trHeight w:val="276"/>
        </w:trPr>
        <w:tc>
          <w:tcPr>
            <w:tcW w:w="49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Total billed rooms for villages (4)</w:t>
            </w:r>
          </w:p>
        </w:tc>
        <w:tc>
          <w:tcPr>
            <w:tcW w:w="110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w w:val="93"/>
              </w:rPr>
              <w:t>1,717,186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1,512,030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205,156</w:t>
            </w:r>
          </w:p>
        </w:tc>
      </w:tr>
      <w:tr>
        <w:trPr>
          <w:trHeight w:val="276"/>
        </w:trPr>
        <w:tc>
          <w:tcPr>
            <w:tcW w:w="49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Australian dollar to U.S. dollar</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0.695</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0.748</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(0.053)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revenues related to village rooms and hospitality services for owned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revenues related to food service and other services, including facilities management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Our Australian segment reported revenues in 2019 that were $36.9 million, or 31%, higher than 2018. The weakening of the average exchange rates for Australian dollars relative to the U.S. dollar by 7% in 2019 compared to 2018 resulted in a $9.3 million year-over-year decrease in revenues and a $5 reduction in the average daily rate. Excluding the impact of the weaker Australian exchange rates, the Australian segment experienced a 41% increase in revenues due to the Action acquisition and increased activity at our Bowen Basin villages, partially offset by decreased activity at our Gunnedah Basin villages.</w:t>
      </w:r>
    </w:p>
    <w:p>
      <w:pPr>
        <w:spacing w:after="0" w:line="188" w:lineRule="exact"/>
        <w:rPr>
          <w:sz w:val="20"/>
          <w:szCs w:val="20"/>
          <w:color w:val="auto"/>
        </w:rPr>
      </w:pPr>
    </w:p>
    <w:p>
      <w:pPr>
        <w:ind w:right="360" w:firstLine="459"/>
        <w:spacing w:after="0" w:line="264" w:lineRule="auto"/>
        <w:rPr>
          <w:sz w:val="20"/>
          <w:szCs w:val="20"/>
          <w:color w:val="auto"/>
        </w:rPr>
      </w:pPr>
      <w:r>
        <w:rPr>
          <w:rFonts w:ascii="Arial" w:cs="Arial" w:eastAsia="Arial" w:hAnsi="Arial"/>
          <w:sz w:val="18"/>
          <w:szCs w:val="18"/>
          <w:color w:val="auto"/>
        </w:rPr>
        <w:t>Our Australian segment cost of sales increased $28.0 million, or 46%, in 2019 compared to 2018. The increase was primarily driven by the Action acquisition, increased activity at our Bowen Basin villages and additional accretion expense related to an ARO we identified at one of our villages in Australia that should have been recorded in 2011, partially offset by the weakening of the Australian dollar.</w:t>
      </w:r>
    </w:p>
    <w:p>
      <w:pPr>
        <w:spacing w:after="0" w:line="181" w:lineRule="exact"/>
        <w:rPr>
          <w:sz w:val="20"/>
          <w:szCs w:val="20"/>
          <w:color w:val="auto"/>
        </w:rPr>
      </w:pPr>
    </w:p>
    <w:p>
      <w:pPr>
        <w:jc w:val="both"/>
        <w:ind w:right="160" w:firstLine="459"/>
        <w:spacing w:after="0" w:line="286" w:lineRule="auto"/>
        <w:rPr>
          <w:sz w:val="20"/>
          <w:szCs w:val="20"/>
          <w:color w:val="auto"/>
        </w:rPr>
      </w:pPr>
      <w:r>
        <w:rPr>
          <w:rFonts w:ascii="Arial" w:cs="Arial" w:eastAsia="Arial" w:hAnsi="Arial"/>
          <w:sz w:val="17"/>
          <w:szCs w:val="17"/>
          <w:color w:val="auto"/>
        </w:rPr>
        <w:t>Our Australian segment gross margin as a percentage of revenues decreased to 43% in 2019 from 49% in 2018. This was primarily driven by Action, which has a service-only business model and therefore results in lower overall gross margins than the accommodation business and the additional accretion expense noted above, partially offset by improved margins at our Bowen Basin villages as a result of increased occupancy.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U.S.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2"/>
        </w:trPr>
        <w:tc>
          <w:tcPr>
            <w:tcW w:w="49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498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227"/>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Change</w:t>
            </w:r>
          </w:p>
        </w:tc>
      </w:tr>
      <w:tr>
        <w:trPr>
          <w:trHeight w:val="256"/>
        </w:trPr>
        <w:tc>
          <w:tcPr>
            <w:tcW w:w="4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80" w:type="dxa"/>
            <w:vAlign w:val="bottom"/>
            <w:shd w:val="clear" w:color="auto" w:fill="CCEEFF"/>
          </w:tcPr>
          <w:p>
            <w:pPr>
              <w:jc w:val="right"/>
              <w:ind w:right="1005"/>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45,811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51,442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(5,631)</w:t>
            </w:r>
          </w:p>
        </w:tc>
      </w:tr>
      <w:tr>
        <w:trPr>
          <w:trHeight w:val="270"/>
        </w:trPr>
        <w:tc>
          <w:tcPr>
            <w:tcW w:w="49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4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 ($ in thousands)</w:t>
            </w:r>
          </w:p>
        </w:tc>
        <w:tc>
          <w:tcPr>
            <w:tcW w:w="1180" w:type="dxa"/>
            <w:vAlign w:val="bottom"/>
            <w:shd w:val="clear" w:color="auto" w:fill="CCEEFF"/>
          </w:tcPr>
          <w:p>
            <w:pPr>
              <w:jc w:val="right"/>
              <w:ind w:right="1005"/>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38,100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44,089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(5,989)</w:t>
            </w:r>
          </w:p>
        </w:tc>
      </w:tr>
      <w:tr>
        <w:trPr>
          <w:trHeight w:val="270"/>
        </w:trPr>
        <w:tc>
          <w:tcPr>
            <w:tcW w:w="49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4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margin as a % of revenues</w:t>
            </w:r>
          </w:p>
        </w:tc>
        <w:tc>
          <w:tcPr>
            <w:tcW w:w="1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bl>
    <w:p>
      <w:pPr>
        <w:spacing w:after="0" w:line="202" w:lineRule="exact"/>
        <w:rPr>
          <w:sz w:val="20"/>
          <w:szCs w:val="20"/>
          <w:color w:val="auto"/>
        </w:rPr>
      </w:pPr>
    </w:p>
    <w:p>
      <w:pPr>
        <w:ind w:right="220" w:firstLine="459"/>
        <w:spacing w:after="0" w:line="277" w:lineRule="auto"/>
        <w:rPr>
          <w:sz w:val="20"/>
          <w:szCs w:val="20"/>
          <w:color w:val="auto"/>
        </w:rPr>
      </w:pPr>
      <w:r>
        <w:rPr>
          <w:rFonts w:ascii="Arial" w:cs="Arial" w:eastAsia="Arial" w:hAnsi="Arial"/>
          <w:sz w:val="18"/>
          <w:szCs w:val="18"/>
          <w:color w:val="auto"/>
        </w:rPr>
        <w:t>Our U.S. segment reported revenues in 2019 that were $5.6 million, or 11%, lower than 2018. The decrease was primarily due to reduced activity at our West Permian and Acadian Acres lodges and lower revenues from our offshore</w:t>
      </w:r>
    </w:p>
    <w:p>
      <w:pPr>
        <w:sectPr>
          <w:pgSz w:w="11900" w:h="16838" w:orient="portrait"/>
          <w:cols w:equalWidth="0" w:num="1">
            <w:col w:w="11380"/>
          </w:cols>
          <w:pgMar w:left="240" w:top="125" w:right="279" w:bottom="144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380"/>
          </w:cols>
          <w:pgMar w:left="240" w:top="125" w:right="27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fabrication business resulting from lower project activity. These items were partially offset by greater U.S. drilling and completion activity in the Bakken, Rockies, Mid-Continent and Texas markets benefiting our wellsite business.</w:t>
      </w:r>
    </w:p>
    <w:p>
      <w:pPr>
        <w:spacing w:after="0" w:line="170"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Our U.S. segment cost of sales decreased $6.0 million, or 14%, in 2019 compared to 2018. The decrease was driven by reduced activity in our offshore business and at our West Permian lodge.</w:t>
      </w:r>
    </w:p>
    <w:p>
      <w:pPr>
        <w:spacing w:after="0" w:line="170" w:lineRule="exact"/>
        <w:rPr>
          <w:sz w:val="20"/>
          <w:szCs w:val="20"/>
          <w:color w:val="auto"/>
        </w:rPr>
      </w:pPr>
    </w:p>
    <w:p>
      <w:pPr>
        <w:ind w:right="120" w:firstLine="459"/>
        <w:spacing w:after="0" w:line="264" w:lineRule="auto"/>
        <w:rPr>
          <w:sz w:val="20"/>
          <w:szCs w:val="20"/>
          <w:color w:val="auto"/>
        </w:rPr>
      </w:pPr>
      <w:r>
        <w:rPr>
          <w:rFonts w:ascii="Arial" w:cs="Arial" w:eastAsia="Arial" w:hAnsi="Arial"/>
          <w:sz w:val="18"/>
          <w:szCs w:val="18"/>
          <w:color w:val="auto"/>
        </w:rPr>
        <w:t>Our U.S. segment gross margin as a percentage of revenues increased from 14% in 2018 to 17% in 2019, primarily due to greater U.S. drilling and completion activity in the Bakken, Rockies, the Mid-Continent and Texas markets benefiting our wellsite business, partially offset by reduced activity in our offshore business and at our West Permian lodge.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459"/>
        <w:spacing w:after="0" w:line="276" w:lineRule="auto"/>
        <w:rPr>
          <w:sz w:val="20"/>
          <w:szCs w:val="20"/>
          <w:color w:val="auto"/>
        </w:rPr>
      </w:pPr>
      <w:r>
        <w:rPr>
          <w:rFonts w:ascii="Arial" w:cs="Arial" w:eastAsia="Arial" w:hAnsi="Arial"/>
          <w:sz w:val="17"/>
          <w:szCs w:val="17"/>
          <w:color w:val="auto"/>
        </w:rPr>
        <w:t>Our primary liquidity needs are to fund capital expenditures, which in the past have included expanding and improving our hospitality services, developing new lodges and villages, purchasing or leasing land, and for general working capital needs. In addition, capital has been used to repay debt, fund strategic business acquisitions and pay dividends. Historically, our primary sources of funds have been available cash, cash flow from operations, borrowings under our credit agreement and proceeds from equity issuances. In the future, we may seek to access the debt and equity capital markets from time to time to raise additional capital, increase liquidity, fund acquisitions, refinance debt or retire preferred shares.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liquidity position as of December 31, 2019 and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256"/>
        </w:trPr>
        <w:tc>
          <w:tcPr>
            <w:tcW w:w="7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Lender commitments (1)</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263,500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239,500</w:t>
            </w:r>
          </w:p>
        </w:tc>
      </w:tr>
      <w:tr>
        <w:trPr>
          <w:trHeight w:val="264"/>
        </w:trPr>
        <w:tc>
          <w:tcPr>
            <w:tcW w:w="7300" w:type="dxa"/>
            <w:vAlign w:val="bottom"/>
          </w:tcPr>
          <w:p>
            <w:pPr>
              <w:ind w:left="180"/>
              <w:spacing w:after="0"/>
              <w:rPr>
                <w:sz w:val="20"/>
                <w:szCs w:val="20"/>
                <w:color w:val="auto"/>
              </w:rPr>
            </w:pPr>
            <w:r>
              <w:rPr>
                <w:rFonts w:ascii="Arial" w:cs="Arial" w:eastAsia="Arial" w:hAnsi="Arial"/>
                <w:sz w:val="14"/>
                <w:szCs w:val="14"/>
                <w:color w:val="auto"/>
              </w:rPr>
              <w:t>Reductions in availability (2)</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(6,591)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(14,469)</w:t>
            </w:r>
          </w:p>
        </w:tc>
      </w:tr>
      <w:tr>
        <w:trPr>
          <w:trHeight w:val="276"/>
        </w:trPr>
        <w:tc>
          <w:tcPr>
            <w:tcW w:w="7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against revolving credit capacity</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(134,117)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(131,266)</w:t>
            </w:r>
          </w:p>
        </w:tc>
      </w:tr>
      <w:tr>
        <w:trPr>
          <w:trHeight w:val="264"/>
        </w:trPr>
        <w:tc>
          <w:tcPr>
            <w:tcW w:w="73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Outstanding letters of credit</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(3,445)</w:t>
            </w:r>
          </w:p>
        </w:tc>
      </w:tr>
      <w:tr>
        <w:trPr>
          <w:trHeight w:val="256"/>
        </w:trPr>
        <w:tc>
          <w:tcPr>
            <w:tcW w:w="7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Unused availability</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120,761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90,320</w:t>
            </w:r>
          </w:p>
        </w:tc>
      </w:tr>
      <w:tr>
        <w:trPr>
          <w:trHeight w:val="264"/>
        </w:trPr>
        <w:tc>
          <w:tcPr>
            <w:tcW w:w="7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3,331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12,372</w:t>
            </w:r>
          </w:p>
        </w:tc>
      </w:tr>
      <w:tr>
        <w:trPr>
          <w:trHeight w:val="243"/>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available liquidity</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124,092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102,692</w:t>
            </w:r>
          </w:p>
        </w:tc>
      </w:tr>
      <w:tr>
        <w:trPr>
          <w:trHeight w:val="20"/>
        </w:trPr>
        <w:tc>
          <w:tcPr>
            <w:tcW w:w="7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43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182" w:lineRule="exact"/>
        <w:rPr>
          <w:sz w:val="20"/>
          <w:szCs w:val="20"/>
          <w:color w:val="auto"/>
        </w:rPr>
      </w:pPr>
    </w:p>
    <w:p>
      <w:pPr>
        <w:ind w:left="340" w:right="160" w:hanging="332"/>
        <w:spacing w:after="0" w:line="258"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also have a A$2.0 million bank guarantee facility. We had bank guarantees of A$0.7 million under this facility outstanding as of both December 31, 2019 and 2018, respectively.</w:t>
      </w:r>
    </w:p>
    <w:p>
      <w:pPr>
        <w:spacing w:after="0" w:line="1" w:lineRule="exact"/>
        <w:rPr>
          <w:rFonts w:ascii="Arial" w:cs="Arial" w:eastAsia="Arial" w:hAnsi="Arial"/>
          <w:sz w:val="18"/>
          <w:szCs w:val="18"/>
          <w:color w:val="auto"/>
        </w:rPr>
      </w:pPr>
    </w:p>
    <w:p>
      <w:pPr>
        <w:ind w:left="340" w:right="480" w:hanging="332"/>
        <w:spacing w:after="0" w:line="25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December 31, 2019, $6.6 million of our borrowing capacity under the Credit Agreement (as defined below) could not be utilized in order to maintain compliance with the maximum leverage ratio financial covenant in the Credit Agreement. As of December 31, 2018, $14.5 million of our borrowing capacity under the Credit Agreement could not be utilized in order to maintain compliance with the maximum leverage ratio financial covenant in the Credit Agreement.</w:t>
      </w:r>
    </w:p>
    <w:p>
      <w:pPr>
        <w:spacing w:after="0" w:line="190" w:lineRule="exact"/>
        <w:rPr>
          <w:sz w:val="20"/>
          <w:szCs w:val="20"/>
          <w:color w:val="auto"/>
        </w:rPr>
      </w:pPr>
    </w:p>
    <w:p>
      <w:pPr>
        <w:ind w:right="100" w:firstLine="459"/>
        <w:spacing w:after="0" w:line="257" w:lineRule="auto"/>
        <w:rPr>
          <w:sz w:val="20"/>
          <w:szCs w:val="20"/>
          <w:color w:val="auto"/>
        </w:rPr>
      </w:pPr>
      <w:r>
        <w:rPr>
          <w:rFonts w:ascii="Arial" w:cs="Arial" w:eastAsia="Arial" w:hAnsi="Arial"/>
          <w:sz w:val="18"/>
          <w:szCs w:val="18"/>
          <w:color w:val="auto"/>
        </w:rPr>
        <w:t>Cash totaling $74.5 million was provided by operations during 2019 compared to $54.4 million provided by operations during 2018. The increase in operating cash flow in 2019 compared to 2018 was primarily due to increased earnings in certain Canadian and Australian markets, partially offset by higher cash used by working capital. Net cash used by changes in operating assets and liabilities was $14.3 million during 2019 compared to $1.6 million during 2018. The increase in cash used in 2019 compared to 2018 was primarily the result of increased accounts receivable balances in Canada, offset by increased accounts payable.</w:t>
      </w:r>
    </w:p>
    <w:p>
      <w:pPr>
        <w:spacing w:after="0" w:line="188" w:lineRule="exact"/>
        <w:rPr>
          <w:sz w:val="20"/>
          <w:szCs w:val="20"/>
          <w:color w:val="auto"/>
        </w:rPr>
      </w:pPr>
    </w:p>
    <w:p>
      <w:pPr>
        <w:ind w:right="20" w:firstLine="459"/>
        <w:spacing w:after="0" w:line="276" w:lineRule="auto"/>
        <w:rPr>
          <w:sz w:val="20"/>
          <w:szCs w:val="20"/>
          <w:color w:val="auto"/>
        </w:rPr>
      </w:pPr>
      <w:r>
        <w:rPr>
          <w:rFonts w:ascii="Arial" w:cs="Arial" w:eastAsia="Arial" w:hAnsi="Arial"/>
          <w:sz w:val="17"/>
          <w:szCs w:val="17"/>
          <w:color w:val="auto"/>
        </w:rPr>
        <w:t>Cash was used in investing activities during 2019 and 2018 in the amounts of $38.6 million and $181.9 million, respectively. The decrease in cash used in investing activities in 2019 compared to 2018 was primarily due to $161.4 million to fund the Noralta Acquisition and $23.8 million to fund the Acadian Acres asset acquisition in 2018. This compares to $16.9 million to fund the Action acquisition in 2019. Capital expenditures totaled $29.8 million and $17.1 million during 2019 and 2018, respectively. The increase in capital expenditures in 2019 was related primarily to the expansion of the Sitka Lodge. Capital expenditures in 2018 consisted primarily of routine maintenance capital expenditures.</w:t>
      </w:r>
    </w:p>
    <w:p>
      <w:pPr>
        <w:spacing w:after="0" w:line="173" w:lineRule="exact"/>
        <w:rPr>
          <w:sz w:val="20"/>
          <w:szCs w:val="20"/>
          <w:color w:val="auto"/>
        </w:rPr>
      </w:pPr>
    </w:p>
    <w:p>
      <w:pPr>
        <w:ind w:right="180" w:firstLine="459"/>
        <w:spacing w:after="0" w:line="297" w:lineRule="auto"/>
        <w:rPr>
          <w:sz w:val="20"/>
          <w:szCs w:val="20"/>
          <w:color w:val="auto"/>
        </w:rPr>
      </w:pPr>
      <w:r>
        <w:rPr>
          <w:rFonts w:ascii="Arial" w:cs="Arial" w:eastAsia="Arial" w:hAnsi="Arial"/>
          <w:sz w:val="16"/>
          <w:szCs w:val="16"/>
          <w:color w:val="auto"/>
        </w:rPr>
        <w:t>We expect our capital expenditures for 2020, exclusive of any business acquisitions, to be in the range of $18.0 million to $22.0 million, which excludes any unannounced and uncommitted projects, the spending for which is contingent on obtaining customer contracts. Whether planned expenditures will actually be spent in 2020 depends on industry conditions, project approvals and schedules, customer room commitments and project and construction timing. We expect to fund these capital expenditures with available cash, cash flow from operations and revolving credit borrowings under our Credit Agreement. The foregoing capital expenditure forecast does not include any funds for strategic acquisitions, which we could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pursue depending on the economic environment in our industry and the availability of transactions at prices deemed to be attractive to us.</w:t>
      </w:r>
    </w:p>
    <w:p>
      <w:pPr>
        <w:spacing w:after="0" w:line="225" w:lineRule="exact"/>
        <w:rPr>
          <w:sz w:val="20"/>
          <w:szCs w:val="20"/>
          <w:color w:val="auto"/>
        </w:rPr>
      </w:pPr>
    </w:p>
    <w:p>
      <w:pPr>
        <w:ind w:right="140" w:firstLine="459"/>
        <w:spacing w:after="0" w:line="279" w:lineRule="auto"/>
        <w:rPr>
          <w:sz w:val="20"/>
          <w:szCs w:val="20"/>
          <w:color w:val="auto"/>
        </w:rPr>
      </w:pPr>
      <w:r>
        <w:rPr>
          <w:rFonts w:ascii="Arial" w:cs="Arial" w:eastAsia="Arial" w:hAnsi="Arial"/>
          <w:sz w:val="17"/>
          <w:szCs w:val="17"/>
          <w:color w:val="auto"/>
        </w:rPr>
        <w:t>The table below delineates historical capital expenditures split between expansionary and maintenance spending on our lodges and villages, mobile camp spending and other capital expenditures. We classify capital expenditures for the development of rooms and central facilities at our lodges and villages as expansion capital expenditures. Other capital expenditures in the table below relate to routine capital spending for support equipment, upgrades to infrastructure at our lodge and village properties and spending related to our manufacturing facilities, among other items.</w:t>
      </w:r>
    </w:p>
    <w:p>
      <w:pPr>
        <w:spacing w:after="0" w:line="171" w:lineRule="exact"/>
        <w:rPr>
          <w:sz w:val="20"/>
          <w:szCs w:val="20"/>
          <w:color w:val="auto"/>
        </w:rPr>
      </w:pPr>
    </w:p>
    <w:p>
      <w:pPr>
        <w:ind w:right="100" w:firstLine="459"/>
        <w:spacing w:after="0" w:line="277" w:lineRule="auto"/>
        <w:rPr>
          <w:sz w:val="20"/>
          <w:szCs w:val="20"/>
          <w:color w:val="auto"/>
        </w:rPr>
      </w:pPr>
      <w:r>
        <w:rPr>
          <w:rFonts w:ascii="Arial" w:cs="Arial" w:eastAsia="Arial" w:hAnsi="Arial"/>
          <w:sz w:val="18"/>
          <w:szCs w:val="18"/>
          <w:color w:val="auto"/>
        </w:rPr>
        <w:t>Based on management’s judgment of capital spending classifications, we believe the following table represents the components of capital expenditures for the years ended December 31, 2019 and 2018 (in millions):</w:t>
      </w:r>
    </w:p>
    <w:p>
      <w:pPr>
        <w:spacing w:after="0" w:line="333" w:lineRule="exact"/>
        <w:rPr>
          <w:sz w:val="20"/>
          <w:szCs w:val="20"/>
          <w:color w:val="auto"/>
        </w:rPr>
      </w:pPr>
    </w:p>
    <w:tbl>
      <w:tblPr>
        <w:tblLayout w:type="fixed"/>
        <w:tblInd w:w="1660" w:type="dxa"/>
        <w:tblCellMar>
          <w:top w:w="0" w:type="dxa"/>
          <w:left w:w="0" w:type="dxa"/>
          <w:bottom w:w="0" w:type="dxa"/>
          <w:right w:w="0" w:type="dxa"/>
        </w:tblCellMar>
      </w:tblPr>
      <w:tr>
        <w:trPr>
          <w:trHeight w:val="210"/>
        </w:trPr>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5"/>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1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5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3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1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8"/>
        </w:trPr>
        <w:tc>
          <w:tcPr>
            <w:tcW w:w="1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Expansion</w:t>
            </w:r>
          </w:p>
        </w:tc>
        <w:tc>
          <w:tcPr>
            <w:tcW w:w="180" w:type="dxa"/>
            <w:vAlign w:val="bottom"/>
          </w:tcPr>
          <w:p>
            <w:pPr>
              <w:spacing w:after="0"/>
              <w:rPr>
                <w:sz w:val="22"/>
                <w:szCs w:val="22"/>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Maint</w:t>
            </w:r>
          </w:p>
        </w:tc>
        <w:tc>
          <w:tcPr>
            <w:tcW w:w="120" w:type="dxa"/>
            <w:vAlign w:val="bottom"/>
          </w:tcPr>
          <w:p>
            <w:pPr>
              <w:spacing w:after="0"/>
              <w:rPr>
                <w:sz w:val="22"/>
                <w:szCs w:val="22"/>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Expansion</w:t>
            </w:r>
          </w:p>
        </w:tc>
        <w:tc>
          <w:tcPr>
            <w:tcW w:w="200" w:type="dxa"/>
            <w:vAlign w:val="bottom"/>
          </w:tcPr>
          <w:p>
            <w:pPr>
              <w:spacing w:after="0"/>
              <w:rPr>
                <w:sz w:val="22"/>
                <w:szCs w:val="22"/>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Maint</w:t>
            </w:r>
          </w:p>
        </w:tc>
        <w:tc>
          <w:tcPr>
            <w:tcW w:w="200" w:type="dxa"/>
            <w:vAlign w:val="bottom"/>
          </w:tcPr>
          <w:p>
            <w:pPr>
              <w:spacing w:after="0"/>
              <w:rPr>
                <w:sz w:val="22"/>
                <w:szCs w:val="22"/>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b w:val="1"/>
                <w:bCs w:val="1"/>
                <w:color w:val="auto"/>
              </w:rPr>
              <w:t>Total</w:t>
            </w:r>
          </w:p>
        </w:tc>
      </w:tr>
      <w:tr>
        <w:trPr>
          <w:trHeight w:val="250"/>
        </w:trPr>
        <w:tc>
          <w:tcPr>
            <w:tcW w:w="1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Lodge/village</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1740" w:type="dxa"/>
            <w:vAlign w:val="bottom"/>
          </w:tcPr>
          <w:p>
            <w:pPr>
              <w:ind w:left="20"/>
              <w:spacing w:after="0"/>
              <w:rPr>
                <w:sz w:val="20"/>
                <w:szCs w:val="20"/>
                <w:color w:val="auto"/>
              </w:rPr>
            </w:pPr>
            <w:r>
              <w:rPr>
                <w:rFonts w:ascii="Arial" w:cs="Arial" w:eastAsia="Arial" w:hAnsi="Arial"/>
                <w:sz w:val="16"/>
                <w:szCs w:val="16"/>
                <w:color w:val="auto"/>
              </w:rPr>
              <w:t>Mobile camp</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57"/>
        </w:trPr>
        <w:tc>
          <w:tcPr>
            <w:tcW w:w="1740" w:type="dxa"/>
            <w:vAlign w:val="bottom"/>
          </w:tcPr>
          <w:p>
            <w:pPr>
              <w:ind w:left="16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0"/>
        </w:trPr>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Expansion lodge and village spending in 2019 was primarily related to the expansion of our Sitka lodge in British Columbia.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Maintenance lodge and village spending in 2019 and 2018 was primarily related to routine maintenance projects at our major properties.</w:t>
      </w:r>
    </w:p>
    <w:p>
      <w:pPr>
        <w:spacing w:after="0" w:line="225" w:lineRule="exact"/>
        <w:rPr>
          <w:sz w:val="20"/>
          <w:szCs w:val="20"/>
          <w:color w:val="auto"/>
        </w:rPr>
      </w:pPr>
    </w:p>
    <w:p>
      <w:pPr>
        <w:ind w:right="20" w:firstLine="459"/>
        <w:spacing w:after="0" w:line="259" w:lineRule="auto"/>
        <w:rPr>
          <w:sz w:val="20"/>
          <w:szCs w:val="20"/>
          <w:color w:val="auto"/>
        </w:rPr>
      </w:pPr>
      <w:r>
        <w:rPr>
          <w:rFonts w:ascii="Arial" w:cs="Arial" w:eastAsia="Arial" w:hAnsi="Arial"/>
          <w:sz w:val="18"/>
          <w:szCs w:val="18"/>
          <w:color w:val="auto"/>
        </w:rPr>
        <w:t>Other maintenance spending in 2019 and 2018 was primarily related to miscellaneous equipment and supplies to support the day-to-day operations at our accommodation facilities. Other expansion spending in 2019 was primarily related to information technology infrastructure to support our business. Other expansion spending in 2018 was primarily related to the construction of a food production facility in Canada and information technology infrastructure to support our business.</w:t>
      </w:r>
    </w:p>
    <w:p>
      <w:pPr>
        <w:spacing w:after="0" w:line="187"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Net cash of $44.6 million was used in financing activities during 2019 primarily due to net repayments under our revolving credit facilities of $3.5 million, repayments of term loan borrowings of $34.9 million, $4.3 million used to settle tax obligations on vested shares under our share-based compensation plans and debt issuance costs of $2.0 million. Net cash of $109.5 million was provided by financing activities during 2018 primarily due to net borrowings under our revolving credit facilities of $141.0 million (primarily to fund the Noralta Acquisition), partially offset by repayments of term loan borrowings of $26.6 million and debt issuance costs of $4.0 million.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changes in debt outstanding during 2019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b w:val="1"/>
                <w:bCs w:val="1"/>
                <w:color w:val="auto"/>
              </w:rPr>
              <w:t>Canada</w:t>
            </w:r>
          </w:p>
        </w:tc>
        <w:tc>
          <w:tcPr>
            <w:tcW w:w="2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Australia</w:t>
            </w:r>
          </w:p>
        </w:tc>
        <w:tc>
          <w:tcPr>
            <w:tcW w:w="34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6"/>
                <w:szCs w:val="16"/>
                <w:b w:val="1"/>
                <w:bCs w:val="1"/>
                <w:color w:val="auto"/>
              </w:rPr>
              <w:t>U.S.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362,258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16,918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379,176</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Borrowings under revolving credit facilities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335,356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5,259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41,000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381,615</w:t>
            </w: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of borrowings under revolving credit facilities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(385,071)</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Repayments of term loans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(34,942)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(34,942)</w:t>
            </w: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18,302</w:t>
            </w: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color w:val="auto"/>
              </w:rPr>
              <w:t>Balance at December 31, 2019</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359,080</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359,080</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59"/>
        <w:spacing w:after="0" w:line="272" w:lineRule="auto"/>
        <w:rPr>
          <w:sz w:val="20"/>
          <w:szCs w:val="20"/>
          <w:color w:val="auto"/>
        </w:rPr>
      </w:pPr>
      <w:r>
        <w:rPr>
          <w:rFonts w:ascii="Arial" w:cs="Arial" w:eastAsia="Arial" w:hAnsi="Arial"/>
          <w:sz w:val="17"/>
          <w:szCs w:val="17"/>
          <w:color w:val="auto"/>
        </w:rPr>
        <w:t>We believe that cash on hand and cash flow from operations will be sufficient to meet our anticipated liquidity needs in the coming 12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 In some cases, we may incur costs to acquire land and/or construct assets without securing a customer contract or prior to finalization of an accommodations contract with a customer. If the contract is not obtained or the underlying investment decision is delayed, the resulting impact could result in an impairment of the related investment.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2018, our credit agreement, as then amended, provided for: (i) a $239.5 million revolving credit facility scheduled to mature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November 30, 2020, allocated as follows: (A) a $20.0 million senior secured revolving credit facility in favor of certain of our U.S. subsidiaries, as borrowers;</w:t>
      </w:r>
    </w:p>
    <w:p>
      <w:pPr>
        <w:spacing w:after="0" w:line="32" w:lineRule="exact"/>
        <w:rPr>
          <w:sz w:val="20"/>
          <w:szCs w:val="20"/>
          <w:color w:val="auto"/>
        </w:rPr>
      </w:pPr>
    </w:p>
    <w:p>
      <w:pPr>
        <w:ind w:right="100" w:firstLine="8"/>
        <w:spacing w:after="0" w:line="255" w:lineRule="auto"/>
        <w:tabs>
          <w:tab w:leader="none" w:pos="2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$159.5 million senior secured revolving credit facility in favor of Civeo and certain of our Canadian subsidiaries, as borrowers; and (C) a $60.0 million senior secured revolving credit facility in favor of one of our Australian subsidiaries, as borrower; and (ii) a $285.4 million term loan facility scheduled to mature on November 30, 2020 in favor of Civeo.</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30, 2019, we amended our credit agreement (as so amended, the Credit Agreement), which, among other things:</w:t>
      </w:r>
    </w:p>
    <w:p>
      <w:pPr>
        <w:spacing w:after="0" w:line="225" w:lineRule="exact"/>
        <w:rPr>
          <w:sz w:val="20"/>
          <w:szCs w:val="20"/>
          <w:color w:val="auto"/>
        </w:rPr>
      </w:pPr>
    </w:p>
    <w:p>
      <w:pPr>
        <w:jc w:val="both"/>
        <w:ind w:left="820" w:right="320" w:hanging="326"/>
        <w:spacing w:after="0" w:line="264"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the aggregate revolving loan commitments by $24.0 million under the Credit Agreement, to a maximum principal amount of $183.5 million under the Canadian revolving credit facility until November 30, 2020, which will be reduced thereafter to reflect the termination of the commitments of the non-extending lenders described below;</w:t>
      </w:r>
    </w:p>
    <w:p>
      <w:pPr>
        <w:spacing w:after="0" w:line="181" w:lineRule="exact"/>
        <w:rPr>
          <w:rFonts w:ascii="Arial" w:cs="Arial" w:eastAsia="Arial" w:hAnsi="Arial"/>
          <w:sz w:val="18"/>
          <w:szCs w:val="18"/>
          <w:color w:val="auto"/>
        </w:rPr>
      </w:pPr>
    </w:p>
    <w:p>
      <w:pPr>
        <w:ind w:left="820" w:hanging="326"/>
        <w:spacing w:after="0" w:line="257"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extended the maturity date of the commitments and loans of certain lenders to November 30, 2021. Two lenders did not extend the maturity date of their commitments and loans. At the date of the amendment, one non-extending lender has outstanding Canadian term loans of $6.9 million, a Canadian revolving commitment of $15.7 million and an Australian revolving commitment of $10.4 million that matures on November 30, 2020. The other non-extending lender has a U.S. revolving commitment of $7.4 million and a Canadian revolving commitment of $22.5 million that matures on November 30, 2020; and</w:t>
      </w:r>
    </w:p>
    <w:p>
      <w:pPr>
        <w:spacing w:after="0" w:line="188"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225" w:lineRule="exact"/>
        <w:rPr>
          <w:sz w:val="20"/>
          <w:szCs w:val="20"/>
          <w:color w:val="auto"/>
        </w:rPr>
      </w:pPr>
    </w:p>
    <w:p>
      <w:pPr>
        <w:ind w:right="300" w:firstLine="486"/>
        <w:spacing w:after="0" w:line="342" w:lineRule="auto"/>
        <w:rPr>
          <w:sz w:val="20"/>
          <w:szCs w:val="20"/>
          <w:color w:val="auto"/>
        </w:rPr>
      </w:pPr>
      <w:r>
        <w:rPr>
          <w:rFonts w:ascii="Arial" w:cs="Arial" w:eastAsia="Arial" w:hAnsi="Arial"/>
          <w:sz w:val="16"/>
          <w:szCs w:val="16"/>
          <w:color w:val="auto"/>
        </w:rPr>
        <w:t>If a qualified offering of indebtedness with gross proceeds in excess of $150.0 million has been consummated, a maximum leverage ratio of 4.00 to 1.00 and, if such qualified offering has not been consummated, a maximum leverage ratio not to exceed the ratios set forth in the following table:</w:t>
      </w:r>
    </w:p>
    <w:p>
      <w:pPr>
        <w:spacing w:after="0" w:line="286"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Leverage</w:t>
            </w:r>
          </w:p>
        </w:tc>
      </w:tr>
      <w:tr>
        <w:trPr>
          <w:trHeight w:val="176"/>
        </w:trPr>
        <w:tc>
          <w:tcPr>
            <w:tcW w:w="9980" w:type="dxa"/>
            <w:vAlign w:val="bottom"/>
            <w:gridSpan w:val="3"/>
          </w:tcPr>
          <w:p>
            <w:pPr>
              <w:ind w:left="4500"/>
              <w:spacing w:after="0" w:line="176" w:lineRule="exact"/>
              <w:rPr>
                <w:sz w:val="20"/>
                <w:szCs w:val="20"/>
                <w:color w:val="auto"/>
              </w:rPr>
            </w:pPr>
            <w:r>
              <w:rPr>
                <w:rFonts w:ascii="Arial" w:cs="Arial" w:eastAsia="Arial" w:hAnsi="Arial"/>
                <w:sz w:val="16"/>
                <w:szCs w:val="16"/>
                <w:b w:val="1"/>
                <w:bCs w:val="1"/>
                <w:color w:val="auto"/>
              </w:rPr>
              <w:t>Period Ended</w:t>
            </w: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Ratio</w:t>
            </w:r>
          </w:p>
        </w:tc>
      </w:tr>
      <w:tr>
        <w:trPr>
          <w:trHeight w:val="48"/>
        </w:trPr>
        <w:tc>
          <w:tcPr>
            <w:tcW w:w="4500" w:type="dxa"/>
            <w:vAlign w:val="bottom"/>
            <w:tcBorders>
              <w:bottom w:val="single" w:sz="8" w:color="CCEEFF"/>
            </w:tcBorders>
          </w:tcPr>
          <w:p>
            <w:pPr>
              <w:spacing w:after="0"/>
              <w:rPr>
                <w:sz w:val="4"/>
                <w:szCs w:val="4"/>
                <w:color w:val="auto"/>
              </w:rPr>
            </w:pPr>
          </w:p>
        </w:tc>
        <w:tc>
          <w:tcPr>
            <w:tcW w:w="960" w:type="dxa"/>
            <w:vAlign w:val="bottom"/>
            <w:tcBorders>
              <w:top w:val="single" w:sz="8" w:color="auto"/>
              <w:bottom w:val="single" w:sz="8" w:color="CCEEFF"/>
            </w:tcBorders>
          </w:tcPr>
          <w:p>
            <w:pPr>
              <w:spacing w:after="0"/>
              <w:rPr>
                <w:sz w:val="4"/>
                <w:szCs w:val="4"/>
                <w:color w:val="auto"/>
              </w:rPr>
            </w:pPr>
          </w:p>
        </w:tc>
        <w:tc>
          <w:tcPr>
            <w:tcW w:w="45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9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December 31, 2019</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4.00 : 1:00</w:t>
            </w:r>
          </w:p>
        </w:tc>
      </w:tr>
      <w:tr>
        <w:trPr>
          <w:trHeight w:val="243"/>
        </w:trPr>
        <w:tc>
          <w:tcPr>
            <w:tcW w:w="9980" w:type="dxa"/>
            <w:vAlign w:val="bottom"/>
            <w:gridSpan w:val="3"/>
          </w:tcPr>
          <w:p>
            <w:pPr>
              <w:ind w:left="20"/>
              <w:spacing w:after="0"/>
              <w:rPr>
                <w:sz w:val="20"/>
                <w:szCs w:val="20"/>
                <w:color w:val="auto"/>
              </w:rPr>
            </w:pPr>
            <w:r>
              <w:rPr>
                <w:rFonts w:ascii="Arial" w:cs="Arial" w:eastAsia="Arial" w:hAnsi="Arial"/>
                <w:sz w:val="16"/>
                <w:szCs w:val="16"/>
                <w:color w:val="auto"/>
              </w:rPr>
              <w:t>March 31, 2020, June 30, 2020 &amp; September 30, 2020</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3:75 : 1:00</w:t>
            </w:r>
          </w:p>
        </w:tc>
      </w:tr>
      <w:tr>
        <w:trPr>
          <w:trHeight w:val="27"/>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99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December 31, 2020 &amp; thereafter</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 : 1:00</w:t>
            </w:r>
          </w:p>
        </w:tc>
      </w:tr>
      <w:tr>
        <w:trPr>
          <w:trHeight w:val="216"/>
        </w:trPr>
        <w:tc>
          <w:tcPr>
            <w:tcW w:w="4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40" w:firstLine="486"/>
        <w:spacing w:after="0" w:line="302" w:lineRule="auto"/>
        <w:rPr>
          <w:sz w:val="20"/>
          <w:szCs w:val="20"/>
          <w:color w:val="auto"/>
        </w:rPr>
      </w:pPr>
      <w:r>
        <w:rPr>
          <w:rFonts w:ascii="Arial" w:cs="Arial" w:eastAsia="Arial" w:hAnsi="Arial"/>
          <w:sz w:val="16"/>
          <w:szCs w:val="16"/>
          <w:color w:val="auto"/>
        </w:rPr>
        <w:t>As of December 31, 2019, one non-extending lender had outstanding Canadian term loans of $6.8 million and an outstanding Canadian revolver loan of $11.5 million that matures on November 30, 2020. The other non-extending lender had an outstanding Canadian revolver loan of $16.4 million that matures on November 30, 2020. Maturities in 2020 are not classified as current as of December 31, 2019, since we are able and have the intent to extend the stated maturities by borrowing amounts equal to the 2020 maturities under the revolving credit facility, with a maturity date after one year.</w:t>
      </w:r>
    </w:p>
    <w:p>
      <w:pPr>
        <w:spacing w:after="0" w:line="154" w:lineRule="exact"/>
        <w:rPr>
          <w:sz w:val="20"/>
          <w:szCs w:val="20"/>
          <w:color w:val="auto"/>
        </w:rPr>
      </w:pPr>
    </w:p>
    <w:p>
      <w:pPr>
        <w:ind w:right="140" w:firstLine="459"/>
        <w:spacing w:after="0" w:line="297" w:lineRule="auto"/>
        <w:rPr>
          <w:sz w:val="20"/>
          <w:szCs w:val="20"/>
          <w:color w:val="auto"/>
        </w:rPr>
      </w:pPr>
      <w:r>
        <w:rPr>
          <w:rFonts w:ascii="Arial" w:cs="Arial" w:eastAsia="Arial" w:hAnsi="Arial"/>
          <w:sz w:val="16"/>
          <w:szCs w:val="16"/>
          <w:color w:val="auto"/>
        </w:rPr>
        <w:t>U.S. dollar amounts outstanding under the facilities provided by the Credit Agreement bear interest at a variable rate equal to LIBOR plus a margin of 2.25% to 4.00%, or a base rate plus 1.25% to 3.00%, in each case based on a ratio of our total debt to consolidated EBITDA (as defined in the Credit Agreement). Canadian dollar amounts outstanding bear interest at a variable rate equal to a B/A Discount Rate based on the Canadian Dollar Offered Rate plus a margin of 2.25% to 4.00%, or a Canadian Prime rate plus a margin of 1.25% to 3.00%, in each case based on a ratio of our total debt to consolidated EBITDA. Australian dollar amounts outstanding under the Credit Agreement bear interest at a variable rate equal to the Bank Bill Swap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Bid Rate plus a margin of 2.25% to 4.00%, based on a ratio of our total debt to consolidated EBITDA. The future transitions from LIBOR and CDOR as interest rate benchmarks is addressed in the Credit Agreement and at such time the transition from LIBOR or CDOR takes place, we will endeavor with the administrative agent to establish an alternate rate of interest to LIBOR or CDOR that gives due consideration to (1) the then prevailing market convention for determining a rate of interest for syndicated loans in the United States at such time for the replacement of LIBOR and (2) any evolving or then existing convention for similar Canadian Dollar denominated syndicated credit facilities for the replacement of CDOR.</w:t>
      </w:r>
    </w:p>
    <w:p>
      <w:pPr>
        <w:spacing w:after="0" w:line="173" w:lineRule="exact"/>
        <w:rPr>
          <w:sz w:val="20"/>
          <w:szCs w:val="20"/>
          <w:color w:val="auto"/>
        </w:rPr>
      </w:pPr>
    </w:p>
    <w:p>
      <w:pPr>
        <w:ind w:firstLine="459"/>
        <w:spacing w:after="0" w:line="270" w:lineRule="auto"/>
        <w:rPr>
          <w:sz w:val="20"/>
          <w:szCs w:val="20"/>
          <w:color w:val="auto"/>
        </w:rPr>
      </w:pPr>
      <w:r>
        <w:rPr>
          <w:rFonts w:ascii="Arial" w:cs="Arial" w:eastAsia="Arial" w:hAnsi="Arial"/>
          <w:sz w:val="17"/>
          <w:szCs w:val="17"/>
          <w:color w:val="auto"/>
        </w:rPr>
        <w:t>The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4.0 to 1.0 (as of December 31, 2019). As noted above, the permitted maximum leverage ratio changes over time. Following a qualified offering of indebtedness with gross proceeds in excess of $150 million, we will be required to maintain a maximum senior secured ratio less than 2.50 to 1.0. Each of the factors considered in the calculations of these ratios are defined in the Credit Agreement. EBITDA and consolidated interest, as defined, exclude goodwill and asset impairments, debt discount amortization, amortization of intangibles and other non-cash charges. We were in compliance with our covenants as of December 31, 2019.</w:t>
      </w:r>
    </w:p>
    <w:p>
      <w:pPr>
        <w:spacing w:after="0" w:line="182" w:lineRule="exact"/>
        <w:rPr>
          <w:sz w:val="20"/>
          <w:szCs w:val="20"/>
          <w:color w:val="auto"/>
        </w:rPr>
      </w:pPr>
    </w:p>
    <w:p>
      <w:pPr>
        <w:ind w:right="300" w:firstLine="486"/>
        <w:spacing w:after="0" w:line="257" w:lineRule="auto"/>
        <w:rPr>
          <w:sz w:val="20"/>
          <w:szCs w:val="20"/>
          <w:color w:val="auto"/>
        </w:rPr>
      </w:pPr>
      <w:r>
        <w:rPr>
          <w:rFonts w:ascii="Arial" w:cs="Arial" w:eastAsia="Arial" w:hAnsi="Arial"/>
          <w:sz w:val="18"/>
          <w:szCs w:val="18"/>
          <w:color w:val="auto"/>
        </w:rPr>
        <w:t>Borrowings under the Credit Agreement are secured by a pledge of substantially all of our assets and the assets of our subsidiaries. The obligations under the Credit Agreement are guaranteed by our significant subsidiaries. As of December 31, 2019, we had ten lenders that were parties to the Credit Agreement, with total commitments (including both revolving commitments and term commitments) ranging from $24.9 million to $85.4 million. As of December 31, 2019, we had outstanding letters of credit of $0.3 million under the U.S facility, $0.5 million under the Australian facility and $1.2 million under the Canadian facility.</w:t>
      </w:r>
    </w:p>
    <w:p>
      <w:pPr>
        <w:spacing w:after="0" w:line="188" w:lineRule="exact"/>
        <w:rPr>
          <w:sz w:val="20"/>
          <w:szCs w:val="20"/>
          <w:color w:val="auto"/>
        </w:rPr>
      </w:pPr>
    </w:p>
    <w:p>
      <w:pPr>
        <w:ind w:right="60" w:firstLine="459"/>
        <w:spacing w:after="0" w:line="277" w:lineRule="auto"/>
        <w:rPr>
          <w:sz w:val="20"/>
          <w:szCs w:val="20"/>
          <w:color w:val="auto"/>
        </w:rPr>
      </w:pPr>
      <w:r>
        <w:rPr>
          <w:rFonts w:ascii="Arial" w:cs="Arial" w:eastAsia="Arial" w:hAnsi="Arial"/>
          <w:sz w:val="18"/>
          <w:szCs w:val="18"/>
          <w:color w:val="auto"/>
        </w:rPr>
        <w:t>In addition to the Credit Agreement, we have an A$2.0 million bank guarantee facility, which matures March 31, 2020. There were bank guarantees of A$0.7 million under this facility outstanding as of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60" w:firstLine="501"/>
        <w:spacing w:after="0" w:line="254" w:lineRule="auto"/>
        <w:rPr>
          <w:sz w:val="20"/>
          <w:szCs w:val="20"/>
          <w:color w:val="auto"/>
        </w:rPr>
      </w:pPr>
      <w:r>
        <w:rPr>
          <w:rFonts w:ascii="Arial" w:cs="Arial" w:eastAsia="Arial" w:hAnsi="Arial"/>
          <w:sz w:val="18"/>
          <w:szCs w:val="18"/>
          <w:color w:val="auto"/>
        </w:rPr>
        <w:t>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cash dividends on common or preferred shares is limited by covenants in the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be suspended, without advance notice. The likelihood that dividends will be reduced or suspended is increased during periods of market weakness. There can be no assurance that we will pay a dividend in the future.</w:t>
      </w:r>
    </w:p>
    <w:p>
      <w:pPr>
        <w:spacing w:after="0" w:line="192" w:lineRule="exact"/>
        <w:rPr>
          <w:sz w:val="20"/>
          <w:szCs w:val="20"/>
          <w:color w:val="auto"/>
        </w:rPr>
      </w:pPr>
    </w:p>
    <w:p>
      <w:pPr>
        <w:ind w:right="40" w:firstLine="459"/>
        <w:spacing w:after="0" w:line="255" w:lineRule="auto"/>
        <w:rPr>
          <w:sz w:val="20"/>
          <w:szCs w:val="20"/>
          <w:color w:val="auto"/>
        </w:rPr>
      </w:pPr>
      <w:r>
        <w:rPr>
          <w:rFonts w:ascii="Arial" w:cs="Arial" w:eastAsia="Arial" w:hAnsi="Arial"/>
          <w:sz w:val="18"/>
          <w:szCs w:val="18"/>
          <w:color w:val="auto"/>
        </w:rPr>
        <w:t>The preferred shares we issued in the Noralta Acquisition are entitled to receive a 2% annual dividend on the liquidation preference (initially $10,000 per share), paid quarterly in cash or, at our option, by increasing the preferred shares’ liquidation preference, or any combination thereof. Quarterly dividends were paid in-kind on March 31, June 30, September 30 and December 31, 2019, thereby increasing the liquidation preference to $10,355 per share as of December 31, 2019. We currently expect to pay dividends on the preferred shares for the foreseeable future through an increase in liquidation preference rather than cash. For further information, see Note 20 - Preferred Shares to the notes to the consolidated financial statements included in Item 8 of this annual report for further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revenues and results of operations have not been materially impacted by inflation in the past three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2019, we had no off-balance sheet arrangements as defined in Item 303(a)(4)(ii) of Regulation S-K.</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125"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40" w:firstLine="459"/>
        <w:spacing w:after="0" w:line="277" w:lineRule="auto"/>
        <w:rPr>
          <w:sz w:val="20"/>
          <w:szCs w:val="20"/>
          <w:color w:val="auto"/>
        </w:rPr>
      </w:pPr>
      <w:r>
        <w:rPr>
          <w:rFonts w:ascii="Arial" w:cs="Arial" w:eastAsia="Arial" w:hAnsi="Arial"/>
          <w:sz w:val="18"/>
          <w:szCs w:val="18"/>
          <w:color w:val="auto"/>
        </w:rPr>
        <w:t>The following summarizes our contractual obligations at December 31, 2019, and the effect such obligations are expected to have on our liquidity and cash flow over the next five years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center"/>
              <w:ind w:right="219"/>
              <w:spacing w:after="0"/>
              <w:rPr>
                <w:sz w:val="20"/>
                <w:szCs w:val="20"/>
                <w:color w:val="auto"/>
              </w:rPr>
            </w:pPr>
            <w:r>
              <w:rPr>
                <w:rFonts w:ascii="Arial" w:cs="Arial" w:eastAsia="Arial" w:hAnsi="Arial"/>
                <w:sz w:val="16"/>
                <w:szCs w:val="16"/>
                <w:b w:val="1"/>
                <w:bCs w:val="1"/>
                <w:color w:val="auto"/>
                <w:w w:val="99"/>
              </w:rPr>
              <w:t>More</w:t>
            </w:r>
          </w:p>
        </w:tc>
      </w:tr>
      <w:tr>
        <w:trPr>
          <w:trHeight w:val="203"/>
        </w:trPr>
        <w:tc>
          <w:tcPr>
            <w:tcW w:w="3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Less Than 1</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center"/>
              <w:ind w:right="219"/>
              <w:spacing w:after="0"/>
              <w:rPr>
                <w:sz w:val="20"/>
                <w:szCs w:val="20"/>
                <w:color w:val="auto"/>
              </w:rPr>
            </w:pPr>
            <w:r>
              <w:rPr>
                <w:rFonts w:ascii="Arial" w:cs="Arial" w:eastAsia="Arial" w:hAnsi="Arial"/>
                <w:sz w:val="16"/>
                <w:szCs w:val="16"/>
                <w:b w:val="1"/>
                <w:bCs w:val="1"/>
                <w:color w:val="auto"/>
                <w:w w:val="96"/>
              </w:rPr>
              <w:t>Than 5</w:t>
            </w:r>
          </w:p>
        </w:tc>
      </w:tr>
      <w:tr>
        <w:trPr>
          <w:trHeight w:val="210"/>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Year</w:t>
            </w:r>
          </w:p>
        </w:tc>
        <w:tc>
          <w:tcPr>
            <w:tcW w:w="24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1 – 3 Years</w:t>
            </w: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3 – 5 Years</w:t>
            </w:r>
          </w:p>
        </w:tc>
        <w:tc>
          <w:tcPr>
            <w:tcW w:w="300" w:type="dxa"/>
            <w:vAlign w:val="bottom"/>
          </w:tcPr>
          <w:p>
            <w:pPr>
              <w:spacing w:after="0"/>
              <w:rPr>
                <w:sz w:val="18"/>
                <w:szCs w:val="18"/>
                <w:color w:val="auto"/>
              </w:rPr>
            </w:pPr>
          </w:p>
        </w:tc>
        <w:tc>
          <w:tcPr>
            <w:tcW w:w="1160" w:type="dxa"/>
            <w:vAlign w:val="bottom"/>
          </w:tcPr>
          <w:p>
            <w:pPr>
              <w:jc w:val="center"/>
              <w:ind w:right="219"/>
              <w:spacing w:after="0"/>
              <w:rPr>
                <w:sz w:val="20"/>
                <w:szCs w:val="20"/>
                <w:color w:val="auto"/>
              </w:rPr>
            </w:pPr>
            <w:r>
              <w:rPr>
                <w:rFonts w:ascii="Arial" w:cs="Arial" w:eastAsia="Arial" w:hAnsi="Arial"/>
                <w:sz w:val="16"/>
                <w:szCs w:val="16"/>
                <w:b w:val="1"/>
                <w:bCs w:val="1"/>
                <w:color w:val="auto"/>
                <w:w w:val="87"/>
              </w:rPr>
              <w:t>Years</w:t>
            </w:r>
          </w:p>
        </w:tc>
      </w:tr>
      <w:tr>
        <w:trPr>
          <w:trHeight w:val="33"/>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debt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359,080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35,427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323,653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Interest payments</w:t>
            </w:r>
            <w:r>
              <w:rPr>
                <w:rFonts w:ascii="Arial" w:cs="Arial" w:eastAsia="Arial" w:hAnsi="Arial"/>
                <w:sz w:val="21"/>
                <w:szCs w:val="21"/>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37,916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20,293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17,623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Non-cancelable operating lease obligations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31,982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6,979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9,575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7,287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8,141</w:t>
            </w:r>
          </w:p>
        </w:tc>
      </w:tr>
      <w:tr>
        <w:trPr>
          <w:trHeight w:val="33"/>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 retirement obligations – expected cash</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96,718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90,070</w:t>
            </w: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color w:val="auto"/>
              </w:rPr>
              <w:t>Total contractual cash obligations</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540,313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80,513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351,132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10,457</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98,211</w:t>
            </w: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111760</wp:posOffset>
            </wp:positionV>
            <wp:extent cx="7429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82" w:lineRule="exact"/>
        <w:rPr>
          <w:sz w:val="20"/>
          <w:szCs w:val="20"/>
          <w:color w:val="auto"/>
        </w:rPr>
      </w:pPr>
    </w:p>
    <w:p>
      <w:pPr>
        <w:ind w:left="500" w:right="500" w:hanging="316"/>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Interest payments due under the Credit Agreement, which matures on November 30, 2021; based on a weighted average interest rate of 5.8% for Canadian term loan and 6.7% for Canadian revolver borrowings for the twelve month period ended December 31, 2019.</w:t>
      </w:r>
    </w:p>
    <w:p>
      <w:pPr>
        <w:spacing w:after="0" w:line="147" w:lineRule="exact"/>
        <w:rPr>
          <w:sz w:val="20"/>
          <w:szCs w:val="20"/>
          <w:color w:val="auto"/>
        </w:rPr>
      </w:pPr>
    </w:p>
    <w:p>
      <w:pPr>
        <w:ind w:right="220" w:firstLine="459"/>
        <w:spacing w:after="0" w:line="277" w:lineRule="auto"/>
        <w:rPr>
          <w:sz w:val="20"/>
          <w:szCs w:val="20"/>
          <w:color w:val="auto"/>
        </w:rPr>
      </w:pPr>
      <w:r>
        <w:rPr>
          <w:rFonts w:ascii="Arial" w:cs="Arial" w:eastAsia="Arial" w:hAnsi="Arial"/>
          <w:sz w:val="18"/>
          <w:szCs w:val="18"/>
          <w:color w:val="auto"/>
        </w:rPr>
        <w:t>Our debt obligations at December 31, 2019 are reflected in our consolidated balance sheet, which is a part of our consolidated financial statements in Item 8 of this annual report. We have not entered into any material leases subsequent to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459"/>
        <w:spacing w:after="0" w:line="273" w:lineRule="auto"/>
        <w:rPr>
          <w:sz w:val="20"/>
          <w:szCs w:val="20"/>
          <w:color w:val="auto"/>
        </w:rPr>
      </w:pPr>
      <w:r>
        <w:rPr>
          <w:rFonts w:ascii="Arial" w:cs="Arial" w:eastAsia="Arial" w:hAnsi="Arial"/>
          <w:sz w:val="17"/>
          <w:szCs w:val="17"/>
          <w:color w:val="auto"/>
        </w:rPr>
        <w:t>Our consolidated financial statements in Item 8 of this annual report have been prepared in accordance with U.S. GAAP, which require that management make numerous estimates and assumptions. Actual results could differ from those estimates and assumptions, thus impacting our reported results of operations and financial position. The critical accounting policies and estimates described in this section are those that are most important to the depiction of our financial condition and results of operations and the application of which requires management’s most subjective judgments in making estimates about the effect of matters that are inherently uncertain. We describe our significant accounting policies more fully in Note 2 - Summary of Significant Accounting Policies to the notes to consolidated financial statements in Item 8 of this annual report.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Accounting for Contingencies</w:t>
      </w:r>
    </w:p>
    <w:p>
      <w:pPr>
        <w:spacing w:after="0" w:line="225" w:lineRule="exact"/>
        <w:rPr>
          <w:sz w:val="20"/>
          <w:szCs w:val="20"/>
          <w:color w:val="auto"/>
        </w:rPr>
      </w:pPr>
    </w:p>
    <w:p>
      <w:pPr>
        <w:ind w:right="40" w:firstLine="459"/>
        <w:spacing w:after="0" w:line="255" w:lineRule="auto"/>
        <w:rPr>
          <w:sz w:val="20"/>
          <w:szCs w:val="20"/>
          <w:color w:val="auto"/>
        </w:rPr>
      </w:pPr>
      <w:r>
        <w:rPr>
          <w:rFonts w:ascii="Arial" w:cs="Arial" w:eastAsia="Arial" w:hAnsi="Arial"/>
          <w:sz w:val="18"/>
          <w:szCs w:val="18"/>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litigation, taxes, interest, insurance claims, warranty claims, contract claims and obligations.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300" w:firstLine="459"/>
        <w:spacing w:after="0" w:line="257" w:lineRule="auto"/>
        <w:rPr>
          <w:sz w:val="20"/>
          <w:szCs w:val="20"/>
          <w:color w:val="auto"/>
        </w:rPr>
      </w:pPr>
      <w:r>
        <w:rPr>
          <w:rFonts w:ascii="Arial" w:cs="Arial" w:eastAsia="Arial" w:hAnsi="Arial"/>
          <w:sz w:val="18"/>
          <w:szCs w:val="18"/>
          <w:color w:val="auto"/>
        </w:rPr>
        <w:t>The acquisition method of accounting requires that the purchase price for a business combination be assigned and allocated to the identifiable assets acquired and liabilities assumed based upon their fair value. Generally, the amount recorded in the financial statements for an acquisition’s assets and liabilities is equal to the purchase price (the fair value of the consideration paid); however, a purchase price that exceeds the fair value of the net assets acquired will result in the recognition of goodwill. Conversely, a purchase price that is below the fair value of the net assets acquired will result in the recognition of a bargain purchase in the income statement.</w:t>
      </w:r>
    </w:p>
    <w:p>
      <w:pPr>
        <w:spacing w:after="0" w:line="188" w:lineRule="exact"/>
        <w:rPr>
          <w:sz w:val="20"/>
          <w:szCs w:val="20"/>
          <w:color w:val="auto"/>
        </w:rPr>
      </w:pPr>
    </w:p>
    <w:p>
      <w:pPr>
        <w:ind w:right="60" w:firstLine="459"/>
        <w:spacing w:after="0" w:line="277" w:lineRule="auto"/>
        <w:rPr>
          <w:sz w:val="20"/>
          <w:szCs w:val="20"/>
          <w:color w:val="auto"/>
        </w:rPr>
      </w:pPr>
      <w:r>
        <w:rPr>
          <w:rFonts w:ascii="Arial" w:cs="Arial" w:eastAsia="Arial" w:hAnsi="Arial"/>
          <w:sz w:val="18"/>
          <w:szCs w:val="18"/>
          <w:color w:val="auto"/>
        </w:rPr>
        <w:t>In addition to the potential for the recognition of goodwill or a bargain purchase, differing fair values will impact the allocation of the purchase price to the individual assets and liabilities and can impact the gross amount and classification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assets and liabilities recorded in our consolidated balance sheets, which can impact the timing and amount of depreciation and amortization expense recorded in any given period.</w:t>
      </w:r>
    </w:p>
    <w:p>
      <w:pPr>
        <w:spacing w:after="0" w:line="170" w:lineRule="exact"/>
        <w:rPr>
          <w:sz w:val="20"/>
          <w:szCs w:val="20"/>
          <w:color w:val="auto"/>
        </w:rPr>
      </w:pPr>
    </w:p>
    <w:p>
      <w:pPr>
        <w:ind w:right="100" w:firstLine="459"/>
        <w:spacing w:after="0" w:line="297" w:lineRule="auto"/>
        <w:rPr>
          <w:sz w:val="20"/>
          <w:szCs w:val="20"/>
          <w:color w:val="auto"/>
        </w:rPr>
      </w:pPr>
      <w:r>
        <w:rPr>
          <w:rFonts w:ascii="Arial" w:cs="Arial" w:eastAsia="Arial" w:hAnsi="Arial"/>
          <w:sz w:val="16"/>
          <w:szCs w:val="16"/>
          <w:color w:val="auto"/>
        </w:rPr>
        <w:t>In determining the fair value of intangible assets, we utilize the cost approach, the market approach and the income approach. The income approach may incorporate the use of a discounted cash flow method. In applying the discounted cash flow method, the estimated future cash flows and residual values for each intangible asset are discounted to a present value using a discount rate based on an estimated weighted average cost of capital. There is a significant amount of judgment involved in cash-flow estimates, including assumptions regarding market convergence, discount rates, commodity prices, customer attrition, useful lives and growth factors. The assumptions used by another party could differ significantly from our assumptions.</w:t>
      </w:r>
    </w:p>
    <w:p>
      <w:pPr>
        <w:spacing w:after="0" w:line="158" w:lineRule="exact"/>
        <w:rPr>
          <w:sz w:val="20"/>
          <w:szCs w:val="20"/>
          <w:color w:val="auto"/>
        </w:rPr>
      </w:pPr>
    </w:p>
    <w:p>
      <w:pPr>
        <w:ind w:right="60" w:firstLine="459"/>
        <w:spacing w:after="0" w:line="273" w:lineRule="auto"/>
        <w:rPr>
          <w:sz w:val="20"/>
          <w:szCs w:val="20"/>
          <w:color w:val="auto"/>
        </w:rPr>
      </w:pPr>
      <w:r>
        <w:rPr>
          <w:rFonts w:ascii="Arial" w:cs="Arial" w:eastAsia="Arial" w:hAnsi="Arial"/>
          <w:sz w:val="17"/>
          <w:szCs w:val="17"/>
          <w:color w:val="auto"/>
        </w:rPr>
        <w:t>While we use our best estimates and assumptions as part of the process to value assets acquired and liabilities assumed at the acquisition date, our estimates are inherently uncertain and subject to refinement. During the measurement period, which occurs before finalization of the purchase price allocation, changes in assumptions and estimates that result in adjustments to the fair value of assets acquired and liabilities assumed are recorded in the period they are determined, with the corresponding offset to goodwill. We also may hire independent appraisers or valuation specialists to help us make this determination as we deem appropriate under the circumstances. For further discussion about our acquisitions, please see Note 7 - Acquisitions to the notes to consolidated financial statements in Item 8 of this annual report.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Tangible and Intangible Assets, including Goodwill</w:t>
      </w:r>
    </w:p>
    <w:p>
      <w:pPr>
        <w:spacing w:after="0" w:line="225" w:lineRule="exact"/>
        <w:rPr>
          <w:sz w:val="20"/>
          <w:szCs w:val="20"/>
          <w:color w:val="auto"/>
        </w:rPr>
      </w:pPr>
    </w:p>
    <w:p>
      <w:pPr>
        <w:ind w:firstLine="459"/>
        <w:spacing w:after="0" w:line="297" w:lineRule="auto"/>
        <w:rPr>
          <w:sz w:val="20"/>
          <w:szCs w:val="20"/>
          <w:color w:val="auto"/>
        </w:rPr>
      </w:pPr>
      <w:r>
        <w:rPr>
          <w:rFonts w:ascii="Arial" w:cs="Arial" w:eastAsia="Arial" w:hAnsi="Arial"/>
          <w:sz w:val="16"/>
          <w:szCs w:val="16"/>
          <w:b w:val="1"/>
          <w:bCs w:val="1"/>
          <w:i w:val="1"/>
          <w:iCs w:val="1"/>
          <w:color w:val="auto"/>
        </w:rPr>
        <w:t xml:space="preserve">Goodwill. </w:t>
      </w:r>
      <w:r>
        <w:rPr>
          <w:rFonts w:ascii="Arial" w:cs="Arial" w:eastAsia="Arial" w:hAnsi="Arial"/>
          <w:sz w:val="16"/>
          <w:szCs w:val="16"/>
          <w:color w:val="auto"/>
        </w:rPr>
        <w:t>Goodwill represents the excess of the purchase price paid for acquired businesses over the allocated fair value of the related net assets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impairments, if applicable. We do not amortize goodwill. We evaluate goodwill for impairment, at the reporting unit level, annually and when an event occurs or circumstances change to suggest that the carrying amount may not be recoverable. 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 and all three of our reporting units have or previously had goodwill.</w:t>
      </w:r>
    </w:p>
    <w:p>
      <w:pPr>
        <w:spacing w:after="0" w:line="158" w:lineRule="exact"/>
        <w:rPr>
          <w:sz w:val="20"/>
          <w:szCs w:val="20"/>
          <w:color w:val="auto"/>
        </w:rPr>
      </w:pPr>
    </w:p>
    <w:p>
      <w:pPr>
        <w:ind w:right="120" w:firstLine="459"/>
        <w:spacing w:after="0" w:line="286" w:lineRule="auto"/>
        <w:rPr>
          <w:sz w:val="20"/>
          <w:szCs w:val="20"/>
          <w:color w:val="auto"/>
        </w:rPr>
      </w:pPr>
      <w:r>
        <w:rPr>
          <w:rFonts w:ascii="Arial" w:cs="Arial" w:eastAsia="Arial" w:hAnsi="Arial"/>
          <w:sz w:val="17"/>
          <w:szCs w:val="17"/>
          <w:color w:val="auto"/>
        </w:rPr>
        <w:t>In the fourth quarter of 2019, we adopted Accounting Standard Update (ASU) 2017-04, "Intangibles-Goodwill and Other (Topic 350)" to simplify the test for goodwill impairment. Under the revised guidance, an entity recognizes an impairment charge for the amount by which the carrying amount of the reporting unit exceeds its fair value; however, the loss recognized may not exceed the total amount of goodwill allocated to the reporting unit.</w:t>
      </w:r>
    </w:p>
    <w:p>
      <w:pPr>
        <w:spacing w:after="0" w:line="166" w:lineRule="exact"/>
        <w:rPr>
          <w:sz w:val="20"/>
          <w:szCs w:val="20"/>
          <w:color w:val="auto"/>
        </w:rPr>
      </w:pPr>
    </w:p>
    <w:p>
      <w:pPr>
        <w:ind w:right="140" w:firstLine="459"/>
        <w:spacing w:after="0" w:line="286" w:lineRule="auto"/>
        <w:rPr>
          <w:sz w:val="20"/>
          <w:szCs w:val="20"/>
          <w:color w:val="auto"/>
        </w:rPr>
      </w:pPr>
      <w:r>
        <w:rPr>
          <w:rFonts w:ascii="Arial" w:cs="Arial" w:eastAsia="Arial" w:hAnsi="Arial"/>
          <w:sz w:val="17"/>
          <w:szCs w:val="17"/>
          <w:color w:val="auto"/>
        </w:rPr>
        <w:t>In connection with the Noralta Acquisition, we recognized $123.6 million of goodwill in our Canada reporting unit and in connection with the Action acquisition, we recognized $7.9 million of goodwill in our Australia reporting unit. For further discussion, please see Note 7 - Acquisitions and Note 11 - Goodwill and Other Intangible Assets to the notes to consolidated financial statements in Item 8 of this annual report.</w:t>
      </w:r>
    </w:p>
    <w:p>
      <w:pPr>
        <w:spacing w:after="0" w:line="166" w:lineRule="exact"/>
        <w:rPr>
          <w:sz w:val="20"/>
          <w:szCs w:val="20"/>
          <w:color w:val="auto"/>
        </w:rPr>
      </w:pPr>
    </w:p>
    <w:p>
      <w:pPr>
        <w:ind w:right="60" w:firstLine="459"/>
        <w:spacing w:after="0" w:line="277" w:lineRule="auto"/>
        <w:rPr>
          <w:sz w:val="20"/>
          <w:szCs w:val="20"/>
          <w:color w:val="auto"/>
        </w:rPr>
      </w:pPr>
      <w:r>
        <w:rPr>
          <w:rFonts w:ascii="Arial" w:cs="Arial" w:eastAsia="Arial" w:hAnsi="Arial"/>
          <w:sz w:val="18"/>
          <w:szCs w:val="18"/>
          <w:color w:val="auto"/>
        </w:rPr>
        <w:t>We conduct our annual impairment test as of November 30 of each year. We compare each reporting unit’s carrying amount, including goodwill, to the fair value of the reporting unit. If the carrying amount of the reporting unit exceeds its fair value, goodwill is impaired.</w:t>
      </w:r>
    </w:p>
    <w:p>
      <w:pPr>
        <w:spacing w:after="0" w:line="170" w:lineRule="exact"/>
        <w:rPr>
          <w:sz w:val="20"/>
          <w:szCs w:val="20"/>
          <w:color w:val="auto"/>
        </w:rPr>
      </w:pPr>
    </w:p>
    <w:p>
      <w:pPr>
        <w:ind w:right="120" w:firstLine="459"/>
        <w:spacing w:after="0" w:line="273" w:lineRule="auto"/>
        <w:rPr>
          <w:sz w:val="20"/>
          <w:szCs w:val="20"/>
          <w:color w:val="auto"/>
        </w:rPr>
      </w:pPr>
      <w:r>
        <w:rPr>
          <w:rFonts w:ascii="Arial" w:cs="Arial" w:eastAsia="Arial" w:hAnsi="Arial"/>
          <w:sz w:val="17"/>
          <w:szCs w:val="17"/>
          <w:color w:val="auto"/>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goodwill impairment test.</w:t>
      </w:r>
    </w:p>
    <w:p>
      <w:pPr>
        <w:spacing w:after="0" w:line="178" w:lineRule="exact"/>
        <w:rPr>
          <w:sz w:val="20"/>
          <w:szCs w:val="20"/>
          <w:color w:val="auto"/>
        </w:rPr>
      </w:pPr>
    </w:p>
    <w:p>
      <w:pPr>
        <w:ind w:right="20" w:firstLine="459"/>
        <w:spacing w:after="0" w:line="308" w:lineRule="auto"/>
        <w:rPr>
          <w:sz w:val="20"/>
          <w:szCs w:val="20"/>
          <w:color w:val="auto"/>
        </w:rPr>
      </w:pPr>
      <w:r>
        <w:rPr>
          <w:rFonts w:ascii="Arial" w:cs="Arial" w:eastAsia="Arial" w:hAnsi="Arial"/>
          <w:sz w:val="17"/>
          <w:szCs w:val="17"/>
          <w:color w:val="auto"/>
        </w:rPr>
        <w:t>When performing our annual assessment on November 30, 2019, due to a reduction in our share price in the fourth quarter of 2019, we chose to bypass the qualitative assessment and proceed directly to the impairment test for goodwill in our Canada and Australia reporting units.</w:t>
      </w:r>
    </w:p>
    <w:p>
      <w:pPr>
        <w:spacing w:after="0" w:line="147"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color w:val="auto"/>
        </w:rPr>
        <w:t>In performing the goodwill impairment test, we compare each reporting unit’s carrying amount, including goodwill, to the fair value of the reporting unit. Because none of our reporting units has a publically quoted market price, we must determine the value that willing buyers and sellers would place on the reporting unit through a routine sale process (a Level 3 fair value measurement). In our analysis, we target a fair value that represents the value that would be placed on the reporting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5"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unit by market participants, and value the reporting unit based on historical and projected results throughout a cycle, not the value of the reporting unit based on trough or peak earnings. The fair value of the reporting unit is estimated using a combination of (i) an analysis of trading multiples of comparable companies (Market Approach) and (ii) discounted projected cash flows (Income Approach). We also use acquisition multiples analyses in certain circumstances. The relative weighting of each approach reflects current industry and market conditions.</w:t>
      </w:r>
    </w:p>
    <w:p>
      <w:pPr>
        <w:spacing w:after="0" w:line="171" w:lineRule="exact"/>
        <w:rPr>
          <w:sz w:val="20"/>
          <w:szCs w:val="20"/>
          <w:color w:val="auto"/>
        </w:rPr>
      </w:pPr>
    </w:p>
    <w:p>
      <w:pPr>
        <w:ind w:right="380" w:firstLine="459"/>
        <w:spacing w:after="0" w:line="264" w:lineRule="auto"/>
        <w:rPr>
          <w:sz w:val="20"/>
          <w:szCs w:val="20"/>
          <w:color w:val="auto"/>
        </w:rPr>
      </w:pPr>
      <w:r>
        <w:rPr>
          <w:rFonts w:ascii="Arial" w:cs="Arial" w:eastAsia="Arial" w:hAnsi="Arial"/>
          <w:sz w:val="18"/>
          <w:szCs w:val="18"/>
          <w:i w:val="1"/>
          <w:iCs w:val="1"/>
          <w:color w:val="auto"/>
        </w:rPr>
        <w:t xml:space="preserve">Market Approach </w:t>
      </w:r>
      <w:r>
        <w:rPr>
          <w:rFonts w:ascii="Arial" w:cs="Arial" w:eastAsia="Arial" w:hAnsi="Arial"/>
          <w:sz w:val="18"/>
          <w:szCs w:val="18"/>
          <w:color w:val="auto"/>
        </w:rPr>
        <w:t>- This valuation approach utilizes publicly traded comparable companies’ enterprise values, as compared to their recent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forecasted earnings before interest, taxes and depreciation (EBITDA) information. We use EBITDA because it is a widely used key indicator of the cash generating capacity of companies in our industry.</w:t>
      </w:r>
    </w:p>
    <w:p>
      <w:pPr>
        <w:spacing w:after="0" w:line="181" w:lineRule="exact"/>
        <w:rPr>
          <w:sz w:val="20"/>
          <w:szCs w:val="20"/>
          <w:color w:val="auto"/>
        </w:rPr>
      </w:pPr>
    </w:p>
    <w:p>
      <w:pPr>
        <w:ind w:right="60" w:firstLine="459"/>
        <w:spacing w:after="0" w:line="255" w:lineRule="auto"/>
        <w:rPr>
          <w:sz w:val="20"/>
          <w:szCs w:val="20"/>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 This valuation approach derives a present value of the reporting unit’s projected future annual cash flows over the next five years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terminal value assumption. We use a variety of underlying assumptions to estimate these future cash flows, including assumptions relating to future economic market conditions, rates, occupancy levels, costs and expenses and capital expenditures. These assumptions can vary by each reporting unit depending on market conditions. In addition, a terminal value is estimated, using a Gordon Growth methodology with a long-term growth rate of 3%. We discount our projected cash flows using a long-term weighted average cost of capital based on our estimate of investment returns that would be required by a market participant.</w:t>
      </w:r>
    </w:p>
    <w:p>
      <w:pPr>
        <w:spacing w:after="0" w:line="193" w:lineRule="exact"/>
        <w:rPr>
          <w:sz w:val="20"/>
          <w:szCs w:val="20"/>
          <w:color w:val="auto"/>
        </w:rPr>
      </w:pPr>
    </w:p>
    <w:p>
      <w:pPr>
        <w:ind w:right="60" w:firstLine="459"/>
        <w:spacing w:after="0" w:line="291" w:lineRule="auto"/>
        <w:rPr>
          <w:sz w:val="20"/>
          <w:szCs w:val="20"/>
          <w:color w:val="auto"/>
        </w:rPr>
      </w:pPr>
      <w:r>
        <w:rPr>
          <w:rFonts w:ascii="Arial" w:cs="Arial" w:eastAsia="Arial" w:hAnsi="Arial"/>
          <w:sz w:val="16"/>
          <w:szCs w:val="16"/>
          <w:color w:val="auto"/>
        </w:rPr>
        <w:t>The fair value of our reporting units is affected by future oil, coal and natural gas prices, anticipated spending by our customers and the cost of capital. Our estimate of fair value requires us to use significant unobservable inputs, representative of Level 3 fair value measurements, including numerous assumptions with respect to future circumstances, such as industry and/or local market conditions that might directly impact each reporting unit’s operations in the future.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fair value of each reporting unit would change if our assumptions under these valuation approaches, or relative weighting of the valuation approaches, were materially modified.</w:t>
      </w:r>
    </w:p>
    <w:p>
      <w:pPr>
        <w:spacing w:after="0" w:line="167" w:lineRule="exact"/>
        <w:rPr>
          <w:sz w:val="20"/>
          <w:szCs w:val="20"/>
          <w:color w:val="auto"/>
        </w:rPr>
      </w:pPr>
    </w:p>
    <w:p>
      <w:pPr>
        <w:ind w:right="120" w:firstLine="459"/>
        <w:spacing w:after="0" w:line="264" w:lineRule="auto"/>
        <w:rPr>
          <w:sz w:val="20"/>
          <w:szCs w:val="20"/>
          <w:color w:val="auto"/>
        </w:rPr>
      </w:pPr>
      <w:r>
        <w:rPr>
          <w:rFonts w:ascii="Arial" w:cs="Arial" w:eastAsia="Arial" w:hAnsi="Arial"/>
          <w:sz w:val="18"/>
          <w:szCs w:val="18"/>
          <w:color w:val="auto"/>
        </w:rPr>
        <w:t>In 2019, in performing the goodwill impairment test on our Canadian reporting unit, the carrying amount of our reporting unit was more than our estimated fair value. Accordingly, we reduced the value of our goodwill in our Canada reporting unit by $19.9 million. As noted above, the fair value of our reporting units is affected by numerous factors.</w:t>
      </w:r>
    </w:p>
    <w:p>
      <w:pPr>
        <w:spacing w:after="0" w:line="181" w:lineRule="exact"/>
        <w:rPr>
          <w:sz w:val="20"/>
          <w:szCs w:val="20"/>
          <w:color w:val="auto"/>
        </w:rPr>
      </w:pPr>
    </w:p>
    <w:p>
      <w:pPr>
        <w:ind w:right="500" w:firstLine="459"/>
        <w:spacing w:after="0" w:line="277" w:lineRule="auto"/>
        <w:rPr>
          <w:sz w:val="20"/>
          <w:szCs w:val="20"/>
          <w:color w:val="auto"/>
        </w:rPr>
      </w:pPr>
      <w:r>
        <w:rPr>
          <w:rFonts w:ascii="Arial" w:cs="Arial" w:eastAsia="Arial" w:hAnsi="Arial"/>
          <w:sz w:val="18"/>
          <w:szCs w:val="18"/>
          <w:color w:val="auto"/>
        </w:rPr>
        <w:t>Please see Note 4 – Impairment Charges to the notes to consolidated financial statements in Item 8 of this annual report for further discussion of impairments of goodwill recorded in the year ended December 31, 2019.</w:t>
      </w:r>
    </w:p>
    <w:p>
      <w:pPr>
        <w:spacing w:after="0" w:line="170" w:lineRule="exact"/>
        <w:rPr>
          <w:sz w:val="20"/>
          <w:szCs w:val="20"/>
          <w:color w:val="auto"/>
        </w:rPr>
      </w:pPr>
    </w:p>
    <w:p>
      <w:pPr>
        <w:ind w:firstLine="459"/>
        <w:spacing w:after="0" w:line="297" w:lineRule="auto"/>
        <w:rPr>
          <w:sz w:val="20"/>
          <w:szCs w:val="20"/>
          <w:color w:val="auto"/>
        </w:rPr>
      </w:pPr>
      <w:r>
        <w:rPr>
          <w:rFonts w:ascii="Arial" w:cs="Arial" w:eastAsia="Arial" w:hAnsi="Arial"/>
          <w:sz w:val="16"/>
          <w:szCs w:val="16"/>
          <w:b w:val="1"/>
          <w:bCs w:val="1"/>
          <w:i w:val="1"/>
          <w:iCs w:val="1"/>
          <w:color w:val="auto"/>
        </w:rPr>
        <w:t xml:space="preserve">Definite-Lived Tangible and Intangible Assets. </w:t>
      </w:r>
      <w:r>
        <w:rPr>
          <w:rFonts w:ascii="Arial" w:cs="Arial" w:eastAsia="Arial" w:hAnsi="Arial"/>
          <w:sz w:val="16"/>
          <w:szCs w:val="16"/>
          <w:color w:val="auto"/>
        </w:rPr>
        <w:t>The recoverability of the carrying values of tangible and intangible assets is assessed at an asset group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level which represents the lowest level for which identifiable cash flows are largely independent of the cash flows of other assets and liabilities. Whenever, in management’s judgment, events or changes in circumstances indicate that the carrying value of such asset groups may not be recoverable based on estimated future cash flows, an asset impairment evaluation is performed. Indicators of impairment might include persistent and sustained negative economic trends affecting the markets we serve, recurring cash flow losses or significantly lowered expectations of future cash flows expected to be generated by our assets.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Identification of Asset Groups – </w:t>
      </w:r>
      <w:r>
        <w:rPr>
          <w:rFonts w:ascii="Arial" w:cs="Arial" w:eastAsia="Arial" w:hAnsi="Arial"/>
          <w:sz w:val="18"/>
          <w:szCs w:val="18"/>
          <w:color w:val="auto"/>
        </w:rPr>
        <w:t>The following summarizes the asset groups that we have identified in each of our reporting segments.</w:t>
      </w:r>
    </w:p>
    <w:p>
      <w:pPr>
        <w:spacing w:after="0" w:line="225" w:lineRule="exact"/>
        <w:rPr>
          <w:sz w:val="20"/>
          <w:szCs w:val="20"/>
          <w:color w:val="auto"/>
        </w:rPr>
      </w:pPr>
    </w:p>
    <w:p>
      <w:pPr>
        <w:ind w:right="180" w:firstLine="459"/>
        <w:spacing w:after="0" w:line="277" w:lineRule="auto"/>
        <w:rPr>
          <w:sz w:val="20"/>
          <w:szCs w:val="20"/>
          <w:color w:val="auto"/>
        </w:rPr>
      </w:pPr>
      <w:r>
        <w:rPr>
          <w:rFonts w:ascii="Arial" w:cs="Arial" w:eastAsia="Arial" w:hAnsi="Arial"/>
          <w:sz w:val="18"/>
          <w:szCs w:val="18"/>
          <w:color w:val="auto"/>
        </w:rPr>
        <w:t>Our Canada segment consists of numerous lodges, as well as our mobile camp assets and our manufacturing facility. These properties are grouped in the following asset groups:</w:t>
      </w:r>
    </w:p>
    <w:p>
      <w:pPr>
        <w:spacing w:after="0" w:line="170" w:lineRule="exact"/>
        <w:rPr>
          <w:sz w:val="20"/>
          <w:szCs w:val="20"/>
          <w:color w:val="auto"/>
        </w:rPr>
      </w:pPr>
    </w:p>
    <w:p>
      <w:pPr>
        <w:ind w:left="1140" w:hanging="322"/>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Core Region</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Fort McMurray Village – North Athabasca</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Beaver River Lodge – North Athabasca</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Athabasca Lodge – North Athabasca</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Hudson and Borealis Lodges – North Athabasca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McClelland Lake Lodge – North Athabasca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Wapasu Lodge – North Athabasca</w:t>
      </w: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125" w:right="2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Grey Wolf Lodge - North Athabasca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Conklin Lodge – South Athabasca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Anzac Lodge – South Athabasca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 Earth Lodge - South Athabasca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Wabasca Lodge - South Athabasca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Sitka Lodge – Kitimat, British Columbia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Geetla camp – British Columbia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Boundary camp – Saskatchewan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Antler River camp – Manitoba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 Earth camp – Alberta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Christina Lake camp – Alberta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Mobile camp assets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Noble manufacturing facility</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Various land holdings in British Columbia purchased in anticipation of potential LNG related projects</w:t>
      </w:r>
    </w:p>
    <w:p>
      <w:pPr>
        <w:spacing w:after="0" w:line="279" w:lineRule="exact"/>
        <w:rPr>
          <w:sz w:val="20"/>
          <w:szCs w:val="20"/>
          <w:color w:val="auto"/>
        </w:rPr>
      </w:pPr>
    </w:p>
    <w:p>
      <w:pPr>
        <w:ind w:firstLine="459"/>
        <w:spacing w:after="0" w:line="276" w:lineRule="auto"/>
        <w:rPr>
          <w:sz w:val="20"/>
          <w:szCs w:val="20"/>
          <w:color w:val="auto"/>
        </w:rPr>
      </w:pPr>
      <w:r>
        <w:rPr>
          <w:rFonts w:ascii="Arial" w:cs="Arial" w:eastAsia="Arial" w:hAnsi="Arial"/>
          <w:sz w:val="17"/>
          <w:szCs w:val="17"/>
          <w:color w:val="auto"/>
        </w:rPr>
        <w:t>In general, the lodges are operated on a lodge by lodge basis. However, for one set of lodges (the Core Region, including Beaver River, Athabasca, Firebag, Hudson and Borealis Lodges and Fort McMurray Village), there are no identifiable cash flows largely independent of the cash flows of other assets and liabilities for such lodges, and therefore, such lodges are combined into a single asset group. Factors such as proximity to each other, commonality of customers, common monitoring by management and operating decisions being made to optimize these lodges as a group result in these lodges being treated as a single asset group for the purposes of our impairment assessments.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Australia segment consists of nine villages in several regions within the country, as well as our integrated services assets and land banked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properties are grouped in the following asset groups:</w:t>
      </w:r>
    </w:p>
    <w:p>
      <w:pPr>
        <w:spacing w:after="0" w:line="211" w:lineRule="exact"/>
        <w:rPr>
          <w:sz w:val="20"/>
          <w:szCs w:val="20"/>
          <w:color w:val="auto"/>
        </w:rPr>
      </w:pPr>
    </w:p>
    <w:p>
      <w:pPr>
        <w:ind w:left="1140" w:hanging="322"/>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Karratha – Pilbara Region, Western Australia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Action – Assets held on client owned sites in Western Australia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Kambalda – Kambalda, Western Australia</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Gunnedah Basin</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Narrabri – Gunnedah Basin, New South Wales</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Boggabri – Gunnedah Basin, New South Wales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Bowen Basin</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Moranbah – Bowen Basin, Queensland</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Dysart – Bowen Basin, Queensland</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Nebo – Bowen Basin, Queensland</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Coppabella – Bowen Basin, Queensland</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Middlemount – Bowen Basin, Queensland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Various non-operational sites acquired as part of Civeo’s land-banking strategy</w:t>
      </w:r>
    </w:p>
    <w:p>
      <w:pPr>
        <w:spacing w:after="0" w:line="333" w:lineRule="exact"/>
        <w:rPr>
          <w:sz w:val="20"/>
          <w:szCs w:val="20"/>
          <w:color w:val="auto"/>
        </w:rPr>
      </w:pPr>
    </w:p>
    <w:p>
      <w:pPr>
        <w:ind w:firstLine="459"/>
        <w:spacing w:after="0" w:line="297" w:lineRule="auto"/>
        <w:rPr>
          <w:sz w:val="20"/>
          <w:szCs w:val="20"/>
          <w:color w:val="auto"/>
        </w:rPr>
      </w:pPr>
      <w:r>
        <w:rPr>
          <w:rFonts w:ascii="Arial" w:cs="Arial" w:eastAsia="Arial" w:hAnsi="Arial"/>
          <w:sz w:val="16"/>
          <w:szCs w:val="16"/>
          <w:color w:val="auto"/>
        </w:rPr>
        <w:t>In general, the villages are operated on a village by village basis, except for the villages located in the Bowen Basin (Moranbah, Dysart, Nebo, Coppabella and Middlemount) and the Gunnedah Basin (Narrabri and Boggabri). The villages in the Bowen and Gunnedah Basins contain significant levels of interdependency that allow these assets to be combined into cash generating units (asset groups). Factors such as commonality of customers, location, resource basins served and common monitoring by management result in the Bowen and Gunnedah Basins to be treated as single asset groups for the purposes of our impairment assessments. The Action assets provide catering and managed services to the mining industry in Western Australia.</w:t>
      </w:r>
    </w:p>
    <w:p>
      <w:pPr>
        <w:spacing w:after="0" w:line="3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60"/>
          </w:cols>
          <w:pgMar w:left="240" w:top="125" w:right="3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459"/>
        <w:spacing w:after="0" w:line="277" w:lineRule="auto"/>
        <w:rPr>
          <w:sz w:val="20"/>
          <w:szCs w:val="20"/>
          <w:color w:val="auto"/>
        </w:rPr>
      </w:pPr>
      <w:r>
        <w:rPr>
          <w:rFonts w:ascii="Arial" w:cs="Arial" w:eastAsia="Arial" w:hAnsi="Arial"/>
          <w:sz w:val="18"/>
          <w:szCs w:val="18"/>
          <w:color w:val="auto"/>
        </w:rPr>
        <w:t>Our U.S. segment consists of lodges in three geographical areas, mobile camp assets in various geographical areas, and a wastewater treatment plant (WWTP). These properties are grouped in the following asset groups:</w:t>
      </w:r>
    </w:p>
    <w:p>
      <w:pPr>
        <w:spacing w:after="0" w:line="170"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West Permian Lodge – Texas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Killdeer Lodge – North Dakota</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Acadian Acres Lodge – Louisiana</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Offshore – this asset group includes mobile camp assets which are utilized in the Gulf of Mexico</w:t>
      </w:r>
    </w:p>
    <w:p>
      <w:pPr>
        <w:spacing w:after="0" w:line="63"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Wellsites – this asset group includes mobile camp assets, primarily in the Rocky mountain corridor, the Bakken shale region, the Mid-Continent and the Permian Basin region</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Killdeer WWTP – this asset group represents a WWTP in Killdeer, North Dakota, which was constructed in early 2014</w:t>
      </w:r>
    </w:p>
    <w:p>
      <w:pPr>
        <w:spacing w:after="0" w:line="333"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i w:val="1"/>
          <w:iCs w:val="1"/>
          <w:color w:val="auto"/>
        </w:rPr>
        <w:t xml:space="preserve">Recoverability Assessment – </w:t>
      </w:r>
      <w:r>
        <w:rPr>
          <w:rFonts w:ascii="Arial" w:cs="Arial" w:eastAsia="Arial" w:hAnsi="Arial"/>
          <w:sz w:val="18"/>
          <w:szCs w:val="18"/>
          <w:color w:val="auto"/>
        </w:rPr>
        <w:t>In performing an impairment analysis, the first step is to compare each asset group’s carrying value to estimates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undiscounted future direct cash flows associated with the asset group over the remaining useful life of the asset group's primary asset. We use 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 as further discussed in </w:t>
      </w:r>
      <w:r>
        <w:rPr>
          <w:rFonts w:ascii="Arial" w:cs="Arial" w:eastAsia="Arial" w:hAnsi="Arial"/>
          <w:sz w:val="18"/>
          <w:szCs w:val="18"/>
          <w:i w:val="1"/>
          <w:iCs w:val="1"/>
          <w:color w:val="auto"/>
        </w:rPr>
        <w:t>Goodwill</w:t>
      </w:r>
      <w:r>
        <w:rPr>
          <w:rFonts w:ascii="Arial" w:cs="Arial" w:eastAsia="Arial" w:hAnsi="Arial"/>
          <w:sz w:val="18"/>
          <w:szCs w:val="18"/>
          <w:color w:val="auto"/>
        </w:rPr>
        <w:t>, above.</w:t>
      </w:r>
    </w:p>
    <w:p>
      <w:pPr>
        <w:spacing w:after="0" w:line="188" w:lineRule="exact"/>
        <w:rPr>
          <w:sz w:val="20"/>
          <w:szCs w:val="20"/>
          <w:color w:val="auto"/>
        </w:rPr>
      </w:pPr>
    </w:p>
    <w:p>
      <w:pPr>
        <w:ind w:right="140" w:firstLine="459"/>
        <w:spacing w:after="0" w:line="276" w:lineRule="auto"/>
        <w:rPr>
          <w:sz w:val="20"/>
          <w:szCs w:val="20"/>
          <w:color w:val="auto"/>
        </w:rPr>
      </w:pPr>
      <w:r>
        <w:rPr>
          <w:rFonts w:ascii="Arial" w:cs="Arial" w:eastAsia="Arial" w:hAnsi="Arial"/>
          <w:sz w:val="17"/>
          <w:szCs w:val="17"/>
          <w:i w:val="1"/>
          <w:iCs w:val="1"/>
          <w:color w:val="auto"/>
        </w:rPr>
        <w:t xml:space="preserve">Fair Value Determination – </w:t>
      </w:r>
      <w:r>
        <w:rPr>
          <w:rFonts w:ascii="Arial" w:cs="Arial" w:eastAsia="Arial" w:hAnsi="Arial"/>
          <w:sz w:val="17"/>
          <w:szCs w:val="17"/>
          <w:color w:val="auto"/>
        </w:rPr>
        <w:t>If, based on the assessment, the carrying values of any of our asset groups are determined to not be recoverable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undiscounted future cash flows not exceeding the net book value of the asset group, we proceed to the second step. In this step, we compare the fair value of the respective asset group to its carrying value.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and are therefore uncertain.</w:t>
      </w:r>
    </w:p>
    <w:p>
      <w:pPr>
        <w:spacing w:after="0" w:line="173" w:lineRule="exact"/>
        <w:rPr>
          <w:sz w:val="20"/>
          <w:szCs w:val="20"/>
          <w:color w:val="auto"/>
        </w:rPr>
      </w:pPr>
    </w:p>
    <w:p>
      <w:pPr>
        <w:ind w:right="60" w:firstLine="459"/>
        <w:spacing w:after="0" w:line="257" w:lineRule="auto"/>
        <w:rPr>
          <w:sz w:val="20"/>
          <w:szCs w:val="20"/>
          <w:color w:val="auto"/>
        </w:rPr>
      </w:pPr>
      <w:r>
        <w:rPr>
          <w:rFonts w:ascii="Arial" w:cs="Arial" w:eastAsia="Arial" w:hAnsi="Arial"/>
          <w:sz w:val="18"/>
          <w:szCs w:val="18"/>
          <w:color w:val="auto"/>
        </w:rPr>
        <w:t>Our industry is cyclical and our estimates of the period over which future cash flows will be generated, as well as the predictability of these cash flows and our determination of whether a decline in value of our investment has occurred, can have a significant impact on the carrying value of these assets and, in periods of prolonged down cycles, may result in impairment losses. If this assessment indicates that the carrying values will not be recoverable, an impairment loss is recognized equal to the excess of the carrying value over the fair value of the asset group. The fair value of the asset group is based on prices of similar assets, if available, or discounted cash flows.</w:t>
      </w:r>
    </w:p>
    <w:p>
      <w:pPr>
        <w:spacing w:after="0" w:line="188" w:lineRule="exact"/>
        <w:rPr>
          <w:sz w:val="20"/>
          <w:szCs w:val="20"/>
          <w:color w:val="auto"/>
        </w:rPr>
      </w:pPr>
    </w:p>
    <w:p>
      <w:pPr>
        <w:ind w:right="60" w:firstLine="459"/>
        <w:spacing w:after="0" w:line="272" w:lineRule="auto"/>
        <w:rPr>
          <w:sz w:val="20"/>
          <w:szCs w:val="20"/>
          <w:color w:val="auto"/>
        </w:rPr>
      </w:pPr>
      <w:r>
        <w:rPr>
          <w:rFonts w:ascii="Arial" w:cs="Arial" w:eastAsia="Arial" w:hAnsi="Arial"/>
          <w:sz w:val="17"/>
          <w:szCs w:val="17"/>
          <w:color w:val="auto"/>
        </w:rPr>
        <w:t>In estimating future cash flows, we make numerous assumptions with respect to future circumstances that might directly impact each of the asset groups’ operations in the future and are therefore uncertain. These assumptions with respect to future circumstances include future oil and coal prices, anticipated customer spending, and industry and/or local market conditions. These assumptions represent our best judgment based on the current facts and circumstances. However, different assumptions could result in a determination that the carrying values of additional asset groups are no longer recoverable based on estimated future cash flows. Our estimate of fair value is primarily calculated using the Income Approach, which derives a present value of the asset group based on the asset groups’ estimated future cash flows. We discounted our estimated future cash flows using a long-term weighted average cost of capital based on our estimate of investment returns required by a market participant.</w:t>
      </w:r>
    </w:p>
    <w:p>
      <w:pPr>
        <w:spacing w:after="0" w:line="178" w:lineRule="exact"/>
        <w:rPr>
          <w:sz w:val="20"/>
          <w:szCs w:val="20"/>
          <w:color w:val="auto"/>
        </w:rPr>
      </w:pPr>
    </w:p>
    <w:p>
      <w:pPr>
        <w:ind w:right="560" w:firstLine="459"/>
        <w:spacing w:after="0" w:line="308" w:lineRule="auto"/>
        <w:rPr>
          <w:sz w:val="20"/>
          <w:szCs w:val="20"/>
          <w:color w:val="auto"/>
        </w:rPr>
      </w:pPr>
      <w:r>
        <w:rPr>
          <w:rFonts w:ascii="Arial" w:cs="Arial" w:eastAsia="Arial" w:hAnsi="Arial"/>
          <w:sz w:val="17"/>
          <w:szCs w:val="17"/>
          <w:color w:val="auto"/>
        </w:rPr>
        <w:t>Please see Note 4 – Impairment Charges to the notes to consolidated financial statements in Item 8 of this annual report for further discussion of impairments of definite-lived tangible and intangible assets recorded in the years ended December 31, 2019, 2018 and 2017.</w:t>
      </w:r>
    </w:p>
    <w:p>
      <w:pPr>
        <w:spacing w:after="0" w:line="147"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b w:val="1"/>
          <w:bCs w:val="1"/>
          <w:i w:val="1"/>
          <w:iCs w:val="1"/>
          <w:color w:val="auto"/>
        </w:rPr>
        <w:t xml:space="preserve">Indefinite-Lived Intangible Assets. </w:t>
      </w:r>
      <w:r>
        <w:rPr>
          <w:rFonts w:ascii="Arial" w:cs="Arial" w:eastAsia="Arial" w:hAnsi="Arial"/>
          <w:sz w:val="18"/>
          <w:szCs w:val="18"/>
          <w:color w:val="auto"/>
        </w:rPr>
        <w:t>We are required to evaluate our indefinite-lived intangible assets for impairment annually and when an event occurs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circumstances change to suggest the carrying amount may not be recoverable. In performing the impairment test, we compare the fair value of the indefinite-lived intangible asset with its carrying amount. The measurement of the impairment is calculated based on the excess of the carrying value over its fair value.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and Cost Recognition</w:t>
      </w:r>
    </w:p>
    <w:p>
      <w:pPr>
        <w:spacing w:after="0" w:line="225" w:lineRule="exact"/>
        <w:rPr>
          <w:sz w:val="20"/>
          <w:szCs w:val="20"/>
          <w:color w:val="auto"/>
        </w:rPr>
      </w:pPr>
    </w:p>
    <w:p>
      <w:pPr>
        <w:ind w:firstLine="459"/>
        <w:spacing w:after="0" w:line="271" w:lineRule="auto"/>
        <w:rPr>
          <w:sz w:val="20"/>
          <w:szCs w:val="20"/>
          <w:color w:val="auto"/>
        </w:rPr>
      </w:pPr>
      <w:r>
        <w:rPr>
          <w:rFonts w:ascii="Arial" w:cs="Arial" w:eastAsia="Arial" w:hAnsi="Arial"/>
          <w:sz w:val="17"/>
          <w:szCs w:val="17"/>
          <w:color w:val="auto"/>
        </w:rPr>
        <w:t>We generally recognize accommodation, mobile facility rental, food service and other services revenues over time as our customers simultaneously receive and consume benefits as we serve our customers because of continuous transfer of control to the customer. Revenue is recognized when control of the promised goods or services is transferred to our customers, in an amount that reflects the consideration we expect to be entitled to in exchange for those goods or services. We transfer control and recognize a sale based on a periodic (usually daily) room rate each night a customer stays in our rooms or when the services are rendered. In some contracts, rates may vary over the contract term. In these cases, revenue may be deferred and recognized on a straight-line basis over the contract term. A limited portion of our revenue is recognized at a point in time when control transfers to the customer related to small modular construction and manufacturing contracts, minor food service arrangements and optional purchases our customers make for incidental services offered at our accommodation and mobile facilities.</w:t>
      </w:r>
    </w:p>
    <w:p>
      <w:pPr>
        <w:spacing w:after="0" w:line="179" w:lineRule="exact"/>
        <w:rPr>
          <w:sz w:val="20"/>
          <w:szCs w:val="20"/>
          <w:color w:val="auto"/>
        </w:rPr>
      </w:pPr>
    </w:p>
    <w:p>
      <w:pPr>
        <w:ind w:right="60" w:firstLine="459"/>
        <w:spacing w:after="0" w:line="270" w:lineRule="auto"/>
        <w:rPr>
          <w:sz w:val="20"/>
          <w:szCs w:val="20"/>
          <w:color w:val="auto"/>
        </w:rPr>
      </w:pPr>
      <w:r>
        <w:rPr>
          <w:rFonts w:ascii="Arial" w:cs="Arial" w:eastAsia="Arial" w:hAnsi="Arial"/>
          <w:sz w:val="17"/>
          <w:szCs w:val="17"/>
          <w:color w:val="auto"/>
        </w:rPr>
        <w:t>For significant projects, manufacturing revenues are recognized over time with progress towards completion measured using the cost based input method as the basis to recognize revenue and an estimated profit. Billings on such contracts in excess of costs incurred and estimated profits are classified as deferred revenue. Costs incurred and estimated profits in excess of billings on these contracts are recognized as unbilled receivables. Management believes this input method is the most appropriate measure of progress to the satisfaction of a performance obligation on larger modular construction and manufacturing contracts. Provisions for estimated losses on uncompleted contracts are made in the period in which such losses are determined. Changes in job performance, job conditions, estimated profitability and final contract settlements may result in revisions to projected costs and revenue and are recognized in the period in which the revisions to estimates are identified and the amounts can be reasonably estimated.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spacing w:after="0" w:line="182" w:lineRule="exact"/>
        <w:rPr>
          <w:sz w:val="20"/>
          <w:szCs w:val="20"/>
          <w:color w:val="auto"/>
        </w:rPr>
      </w:pPr>
    </w:p>
    <w:p>
      <w:pPr>
        <w:ind w:right="40" w:firstLine="459"/>
        <w:spacing w:after="0" w:line="272" w:lineRule="auto"/>
        <w:rPr>
          <w:sz w:val="20"/>
          <w:szCs w:val="20"/>
          <w:color w:val="auto"/>
        </w:rPr>
      </w:pPr>
      <w:r>
        <w:rPr>
          <w:rFonts w:ascii="Arial" w:cs="Arial" w:eastAsia="Arial" w:hAnsi="Arial"/>
          <w:sz w:val="17"/>
          <w:szCs w:val="17"/>
          <w:color w:val="auto"/>
        </w:rPr>
        <w:t>Because of control transferring over time, the majority of our revenue is recognized based on the extent of progress towards completion of the performance obligation. At contract inception, we assess the goods and services promised in our contracts with customers and identify a performance obligation for each promise to transfer our customers a good or service (or bundle of goods or services) that is distinct. Our customers typically contract for hospitality services under take-or-pay contracts with terms that most often range from several months to three years. Our contract terms generally provide for a rental rate for a reserved room and an occupied room rate that compensates us for services provided. We typically contract our facilities to our customers on a fee per day basis where the goods and services promised include lodging and meals. To identify the performance obligations, we consider all of the goods and services promised in the context of the contract and the pattern of transfer to our customers.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exclude taxes assessed based on revenues such as sales or value added taxes.</w:t>
      </w:r>
    </w:p>
    <w:p>
      <w:pPr>
        <w:spacing w:after="0" w:line="225" w:lineRule="exact"/>
        <w:rPr>
          <w:sz w:val="20"/>
          <w:szCs w:val="20"/>
          <w:color w:val="auto"/>
        </w:rPr>
      </w:pPr>
    </w:p>
    <w:p>
      <w:pPr>
        <w:ind w:right="120" w:firstLine="459"/>
        <w:spacing w:after="0" w:line="264" w:lineRule="auto"/>
        <w:rPr>
          <w:sz w:val="20"/>
          <w:szCs w:val="20"/>
          <w:color w:val="auto"/>
        </w:rPr>
      </w:pPr>
      <w:r>
        <w:rPr>
          <w:rFonts w:ascii="Arial" w:cs="Arial" w:eastAsia="Arial" w:hAnsi="Arial"/>
          <w:sz w:val="18"/>
          <w:szCs w:val="18"/>
          <w:color w:val="auto"/>
        </w:rPr>
        <w:t>Cost of services includes labor, food, utility costs, cleaning supplies, and other costs of operating our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Estimation of Useful Lives</w:t>
      </w:r>
    </w:p>
    <w:p>
      <w:pPr>
        <w:spacing w:after="0" w:line="225" w:lineRule="exact"/>
        <w:rPr>
          <w:sz w:val="20"/>
          <w:szCs w:val="20"/>
          <w:color w:val="auto"/>
        </w:rPr>
      </w:pPr>
    </w:p>
    <w:p>
      <w:pPr>
        <w:ind w:right="40" w:firstLine="459"/>
        <w:spacing w:after="0" w:line="255" w:lineRule="auto"/>
        <w:rPr>
          <w:sz w:val="20"/>
          <w:szCs w:val="20"/>
          <w:color w:val="auto"/>
        </w:rPr>
      </w:pPr>
      <w:r>
        <w:rPr>
          <w:rFonts w:ascii="Arial" w:cs="Arial" w:eastAsia="Arial" w:hAnsi="Arial"/>
          <w:sz w:val="18"/>
          <w:szCs w:val="18"/>
          <w:color w:val="auto"/>
        </w:rPr>
        <w:t>The selection of the useful lives of many of our assets requires the judgments of our operating personnel as to the length of these useful lives. Our judgment in this area is influenced by our historical experience in operating our assets, technological developments and expectations of future demand for the assets. Should our estimates be too long or short, we might eventually report a disproportionate number of losses or gains upon disposition or retirement of our long-lived assets. We reevaluate the remaining useful lives and salvage values of our assets when certain events occur that directly impact the useful lives and salvage values, including changes in operating condition, functional capability, impairment assessment and market and economic factors. We believe our estimates of useful lives are appropriate.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80" w:firstLine="459"/>
        <w:spacing w:after="0" w:line="297" w:lineRule="auto"/>
        <w:rPr>
          <w:sz w:val="20"/>
          <w:szCs w:val="20"/>
          <w:color w:val="auto"/>
        </w:rPr>
      </w:pPr>
      <w:r>
        <w:rPr>
          <w:rFonts w:ascii="Arial" w:cs="Arial" w:eastAsia="Arial" w:hAnsi="Arial"/>
          <w:sz w:val="16"/>
          <w:szCs w:val="16"/>
          <w:color w:val="auto"/>
        </w:rPr>
        <w:t>Our historic share-based compensation is based on participating in Civeo’s 2014 Equity Participation Plan (the Plan). Our disclosures reflect only our employees’ participation in the Plans. We are required to estimate the fair value of share compensation made pursuant to awards under the Plans. An initial estimate of the fair value of each option award, restricted share award or deferred share award determines the amount of share compensation expense we will recognize in the future. For stock option awards, which were all granted prior to our May 30, 2014 spin-off from Oil States, to estimate the value of the awards under the Plan, Oil States selected a fair value calculation model. Oil States chose the Black-Scholes option pricing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model to value stock options awarded under the Plan. Oil States chose this model because option awards were made under straightforward vesting terms, option prices and option lives. Utilizing the Black-Scholes option pricing model required Oil States to estimate the length of time options will remain outstanding, a risk free interest rate for the estimated period options are assumed to be outstanding, forfeiture rates, future dividends and the volatility of its common stock. All of these assumptions affect the amount and timing of future share-based compensation expense recognition. We have not made any option awards subsequent to May 30, 2014, but, in the event that we make future awards, we expect to utilize a similar valuation methodology. We will continually monitor our actual experience and change assumptions for future awards as we consider appropriate.</w:t>
      </w:r>
    </w:p>
    <w:p>
      <w:pPr>
        <w:spacing w:after="0" w:line="178" w:lineRule="exact"/>
        <w:rPr>
          <w:sz w:val="20"/>
          <w:szCs w:val="20"/>
          <w:color w:val="auto"/>
        </w:rPr>
      </w:pPr>
    </w:p>
    <w:p>
      <w:pPr>
        <w:ind w:right="180" w:firstLine="459"/>
        <w:spacing w:after="0" w:line="291" w:lineRule="auto"/>
        <w:rPr>
          <w:sz w:val="20"/>
          <w:szCs w:val="20"/>
          <w:color w:val="auto"/>
        </w:rPr>
      </w:pPr>
      <w:r>
        <w:rPr>
          <w:rFonts w:ascii="Arial" w:cs="Arial" w:eastAsia="Arial" w:hAnsi="Arial"/>
          <w:sz w:val="16"/>
          <w:szCs w:val="16"/>
          <w:color w:val="auto"/>
        </w:rPr>
        <w:t>We also grant performance share awards under the Plan. Awards are earned in amounts between 0% and 200% of the participant’s target performance share award, based on the payout percentage associated with Civeo’s relative total shareholder return rank among a peer group of companies. The fair value of the awards was estimated using a Monte Carlo simulation pricing model. We chose this model because the performance awards contain complex vesting terms. Utilizing the Monte Carlo simulation pricing model required us to estimate the risk-free interest rate and the expected market price volatility of our common shares as well as the peer group of companies over a time period equal to the expected term of the award. The resulting cost is recognized over the period during which an employee is required to provide service in exchange for the awards, usually the vesting period. For additional details, see Note 19 – Share-Based Compensation to the notes to the consolidated financial statements included in Item 8 of this annual report.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459"/>
        <w:spacing w:after="0" w:line="312" w:lineRule="auto"/>
        <w:rPr>
          <w:sz w:val="20"/>
          <w:szCs w:val="20"/>
          <w:color w:val="auto"/>
        </w:rPr>
      </w:pPr>
      <w:r>
        <w:rPr>
          <w:rFonts w:ascii="Arial" w:cs="Arial" w:eastAsia="Arial" w:hAnsi="Arial"/>
          <w:sz w:val="16"/>
          <w:szCs w:val="16"/>
          <w:color w:val="auto"/>
        </w:rPr>
        <w:t>We follow the liability method of accounting for income taxes in accordance with current accounting standards regarding the accounting for income taxes. Under this method, deferred income taxes are recorded based upon the differences between the financial reporting and tax bases of assets and liabilities and are measured using the enacted tax rates and laws in effect at the time the underlying assets or liabilities are recovered or settled.</w:t>
      </w:r>
    </w:p>
    <w:p>
      <w:pPr>
        <w:spacing w:after="0" w:line="147" w:lineRule="exact"/>
        <w:rPr>
          <w:sz w:val="20"/>
          <w:szCs w:val="20"/>
          <w:color w:val="auto"/>
        </w:rPr>
      </w:pPr>
    </w:p>
    <w:p>
      <w:pPr>
        <w:ind w:right="140" w:firstLine="459"/>
        <w:spacing w:after="0" w:line="259" w:lineRule="auto"/>
        <w:rPr>
          <w:sz w:val="20"/>
          <w:szCs w:val="20"/>
          <w:color w:val="auto"/>
        </w:rPr>
      </w:pPr>
      <w:r>
        <w:rPr>
          <w:rFonts w:ascii="Arial" w:cs="Arial" w:eastAsia="Arial" w:hAnsi="Arial"/>
          <w:sz w:val="18"/>
          <w:szCs w:val="18"/>
          <w:color w:val="auto"/>
        </w:rPr>
        <w:t>When our earnings from foreign subsidiaries are considered to be indefinitely reinvested, no provision for Canadian income taxes is made for these earnings. If any of the subsidiaries have a distribution of earnings in the form of dividends or otherwise, we would be subject to both Canadian income taxes (subject to an adjustment for foreign tax credits) and withholding taxes payable to various foreign countries. We do not expect to provide Canadian income taxes on future foreign earnings.</w:t>
      </w:r>
    </w:p>
    <w:p>
      <w:pPr>
        <w:spacing w:after="0" w:line="187" w:lineRule="exact"/>
        <w:rPr>
          <w:sz w:val="20"/>
          <w:szCs w:val="20"/>
          <w:color w:val="auto"/>
        </w:rPr>
      </w:pPr>
    </w:p>
    <w:p>
      <w:pPr>
        <w:jc w:val="both"/>
        <w:ind w:right="180" w:firstLine="459"/>
        <w:spacing w:after="0" w:line="312" w:lineRule="auto"/>
        <w:rPr>
          <w:sz w:val="20"/>
          <w:szCs w:val="20"/>
          <w:color w:val="auto"/>
        </w:rPr>
      </w:pPr>
      <w:r>
        <w:rPr>
          <w:rFonts w:ascii="Arial" w:cs="Arial" w:eastAsia="Arial" w:hAnsi="Arial"/>
          <w:sz w:val="16"/>
          <w:szCs w:val="16"/>
          <w:color w:val="auto"/>
        </w:rPr>
        <w:t>We record a valuation allowance in each reporting period when our management believes that it is more likely than not that any recorded deferred tax asset will not be realized. Our management will continue to evaluate the appropriateness of the valuation allowance in the future, based upon our operating results. Please see Note 16 – Income Taxes to the notes to consolidated financial statements in Item 8 of this annual report for further discussion.</w:t>
      </w:r>
    </w:p>
    <w:p>
      <w:pPr>
        <w:spacing w:after="0" w:line="147" w:lineRule="exact"/>
        <w:rPr>
          <w:sz w:val="20"/>
          <w:szCs w:val="20"/>
          <w:color w:val="auto"/>
        </w:rPr>
      </w:pPr>
    </w:p>
    <w:p>
      <w:pPr>
        <w:ind w:right="80" w:firstLine="459"/>
        <w:spacing w:after="0" w:line="255" w:lineRule="auto"/>
        <w:rPr>
          <w:sz w:val="20"/>
          <w:szCs w:val="20"/>
          <w:color w:val="auto"/>
        </w:rPr>
      </w:pPr>
      <w:r>
        <w:rPr>
          <w:rFonts w:ascii="Arial" w:cs="Arial" w:eastAsia="Arial" w:hAnsi="Arial"/>
          <w:sz w:val="18"/>
          <w:szCs w:val="18"/>
          <w:color w:val="auto"/>
        </w:rPr>
        <w:t>In accounting for income taxes, we are required to estimate a liability for future income taxes for any uncertainty for potential income tax exposures. The calculation of our tax liabilities involves dealing with uncertainties in the application of complex tax regulations. We recognize liabilities for anticipated tax audit issues in the U.S. and other tax jurisdictions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the recorded tax liability is less than we expect the ultimate assessment to be.</w:t>
      </w:r>
    </w:p>
    <w:p>
      <w:pPr>
        <w:spacing w:after="0" w:line="193" w:lineRule="exact"/>
        <w:rPr>
          <w:sz w:val="20"/>
          <w:szCs w:val="20"/>
          <w:color w:val="auto"/>
        </w:rPr>
      </w:pPr>
    </w:p>
    <w:p>
      <w:pPr>
        <w:ind w:right="220" w:firstLine="459"/>
        <w:spacing w:after="0" w:line="264" w:lineRule="auto"/>
        <w:rPr>
          <w:sz w:val="20"/>
          <w:szCs w:val="20"/>
          <w:color w:val="auto"/>
        </w:rPr>
      </w:pPr>
      <w:r>
        <w:rPr>
          <w:rFonts w:ascii="Arial" w:cs="Arial" w:eastAsia="Arial" w:hAnsi="Arial"/>
          <w:sz w:val="18"/>
          <w:szCs w:val="18"/>
          <w:color w:val="auto"/>
        </w:rPr>
        <w:t>On December 22, 2017, the Tax Cuts and Jobs Act of 2017 was signed into law, making significant changes to the U.S. Internal Revenue Code. Changes included, but were not limited to, a corporate tax rate decrease from 35% to 21% effective for tax years beginning after December 31, 2017. As of December 31, 2017, we had no unrepatriated U.S. foreign earnings subject to the transition tax.</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459"/>
        <w:spacing w:after="0" w:line="30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which are not yet effective, will not have a material impact on our consolidated financial statements upon adoption. Please see Note 2 – Summary of Significant Accounting Policies – Recent Accounting Pronouncements to the notes to consolidated financial statements in Item 8 of this annual report for further discussion.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459"/>
        <w:spacing w:after="0" w:line="302" w:lineRule="auto"/>
        <w:rPr>
          <w:sz w:val="20"/>
          <w:szCs w:val="20"/>
          <w:color w:val="auto"/>
        </w:rPr>
      </w:pPr>
      <w:r>
        <w:rPr>
          <w:rFonts w:ascii="Arial" w:cs="Arial" w:eastAsia="Arial" w:hAnsi="Arial"/>
          <w:sz w:val="16"/>
          <w:szCs w:val="16"/>
          <w:color w:val="auto"/>
        </w:rPr>
        <w:t>We have credit facilities that are subject to the risk of higher interest charges associated with increases in interest rates. As of December 31, 2019, we had $359.1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$3.6 million annually, based on our floating-rate debt obligations and interest rates in effect as of December 31, 2019.</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160" w:firstLine="459"/>
        <w:spacing w:after="0" w:line="289"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C$0.3 billion and A$0.4 billion, respectively, at December 31, 2019. We use a sensitivity analysis model to measure the impact of a 10% adverse movement of foreign currency exchange rates against the United States dollar. A hypothetical 10% adverse change in the value of the Canadian dollar and Australian dollar relative to the U.S. dollar as of December 31, 2019 would result in translation adjustments of approximately $29 million and $36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ind w:right="500" w:firstLine="392"/>
        <w:spacing w:after="0" w:line="264" w:lineRule="auto"/>
        <w:rPr>
          <w:sz w:val="20"/>
          <w:szCs w:val="20"/>
          <w:color w:val="auto"/>
        </w:rPr>
      </w:pPr>
      <w:r>
        <w:rPr>
          <w:rFonts w:ascii="Arial" w:cs="Arial" w:eastAsia="Arial" w:hAnsi="Arial"/>
          <w:sz w:val="18"/>
          <w:szCs w:val="18"/>
          <w:color w:val="auto"/>
        </w:rPr>
        <w:t>Our Consolidated Financial Statements and supplementary data appear on pages 76 through 115 of this Annual Report on Form 10-K and are incorporated by reference into this Item 8. Selected quarterly financial data is set forth in Note 23 – Quarterly Financial Information (Unaudited) to our Consolidated Financial Statements, which is incorporated herein by reference.</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right="240" w:firstLine="392"/>
        <w:spacing w:after="0" w:line="277" w:lineRule="auto"/>
        <w:rPr>
          <w:sz w:val="20"/>
          <w:szCs w:val="20"/>
          <w:color w:val="auto"/>
        </w:rPr>
      </w:pPr>
      <w:r>
        <w:rPr>
          <w:rFonts w:ascii="Arial" w:cs="Arial" w:eastAsia="Arial" w:hAnsi="Arial"/>
          <w:sz w:val="18"/>
          <w:szCs w:val="18"/>
          <w:color w:val="auto"/>
        </w:rPr>
        <w:t>There were no changes in or disagreements on any matters of accounting principles or financial statement disclosure between us and our independent auditors during our two most recent years or any subsequent interim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 Evaluation of Disclosure Controls and Procedures</w:t>
      </w:r>
    </w:p>
    <w:p>
      <w:pPr>
        <w:spacing w:after="0" w:line="229" w:lineRule="exact"/>
        <w:rPr>
          <w:sz w:val="20"/>
          <w:szCs w:val="20"/>
          <w:color w:val="auto"/>
        </w:rPr>
      </w:pPr>
    </w:p>
    <w:p>
      <w:pPr>
        <w:ind w:right="160" w:firstLine="459"/>
        <w:spacing w:after="0" w:line="254" w:lineRule="auto"/>
        <w:rPr>
          <w:sz w:val="20"/>
          <w:szCs w:val="20"/>
          <w:color w:val="auto"/>
        </w:rPr>
      </w:pPr>
      <w:r>
        <w:rPr>
          <w:rFonts w:ascii="Arial" w:cs="Arial" w:eastAsia="Arial" w:hAnsi="Arial"/>
          <w:sz w:val="18"/>
          <w:szCs w:val="18"/>
          <w:color w:val="auto"/>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December 31, 2019 at the reasonable assurance level.</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(ii) Internal Control Over Financial Reporting</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 Management's annual report on internal control over financial reporting.</w:t>
      </w:r>
    </w:p>
    <w:p>
      <w:pPr>
        <w:spacing w:after="0" w:line="229" w:lineRule="exact"/>
        <w:rPr>
          <w:sz w:val="20"/>
          <w:szCs w:val="20"/>
          <w:color w:val="auto"/>
        </w:rPr>
      </w:pPr>
    </w:p>
    <w:p>
      <w:pPr>
        <w:ind w:right="40" w:firstLine="459"/>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consolidated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management and our directors, and (iii) provide reasonable assurance regarding prevention or timely detection of unauthorized acquisition, use or disposition of our assets that could have a material effect on the consolidated financial statements.</w:t>
      </w:r>
    </w:p>
    <w:p>
      <w:pPr>
        <w:spacing w:after="0" w:line="179" w:lineRule="exact"/>
        <w:rPr>
          <w:sz w:val="20"/>
          <w:szCs w:val="20"/>
          <w:color w:val="auto"/>
        </w:rPr>
      </w:pPr>
    </w:p>
    <w:p>
      <w:pPr>
        <w:ind w:right="180" w:firstLine="459"/>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Accordingly, even effective internal control over financial reporting can only provide reasonable assurance of achieving their control objectives.</w:t>
      </w:r>
    </w:p>
    <w:p>
      <w:pPr>
        <w:spacing w:after="0" w:line="187" w:lineRule="exact"/>
        <w:rPr>
          <w:sz w:val="20"/>
          <w:szCs w:val="20"/>
          <w:color w:val="auto"/>
        </w:rPr>
      </w:pPr>
    </w:p>
    <w:p>
      <w:pPr>
        <w:ind w:firstLine="459"/>
        <w:spacing w:after="0" w:line="25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an assessment of the effectiveness of our internal control over financial reporting as of December 31, 2019 was conducted. In making this assessment, management used the criteria set forth by the Committee of Sponsoring Organizations of the Treadway Commission (COSO) in Internal Control–Integrated Framework (2013 Framework). Based on our assessment we believe that, as of December 31, 2019, our internal control over financial reporting is effective based on those criteria. During 2019, we acquired Action Industrial Catering, which represented approximately 6% of our consolidated revenues for the year ended December 31, 2019 and approximately 3% and 4% of our consolidated total and net assets, respectively, as of December 31, 2019. For purposes of determining the effectiveness of our internal control over financial reporting, as disclosed in this annual report, management has excluded the internal controls of this acquisition from its evaluation.</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 Attestation report of the registered public accounting firm.</w:t>
      </w:r>
    </w:p>
    <w:p>
      <w:pPr>
        <w:spacing w:after="0" w:line="229" w:lineRule="exact"/>
        <w:rPr>
          <w:sz w:val="20"/>
          <w:szCs w:val="20"/>
          <w:color w:val="auto"/>
        </w:rPr>
      </w:pPr>
    </w:p>
    <w:p>
      <w:pPr>
        <w:ind w:right="200" w:firstLine="459"/>
        <w:spacing w:after="0" w:line="277" w:lineRule="auto"/>
        <w:rPr>
          <w:sz w:val="20"/>
          <w:szCs w:val="20"/>
          <w:color w:val="auto"/>
        </w:rPr>
      </w:pPr>
      <w:r>
        <w:rPr>
          <w:rFonts w:ascii="Arial" w:cs="Arial" w:eastAsia="Arial" w:hAnsi="Arial"/>
          <w:sz w:val="18"/>
          <w:szCs w:val="18"/>
          <w:color w:val="auto"/>
        </w:rPr>
        <w:t>The attestation report of Ernst &amp; Young LLP, our independent registered public accounting firm, on our internal control over financial reporting is set forth in this annual report on page 78 and is incorporated herein by reference.</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229" w:lineRule="exact"/>
        <w:rPr>
          <w:sz w:val="20"/>
          <w:szCs w:val="20"/>
          <w:color w:val="auto"/>
        </w:rPr>
      </w:pPr>
    </w:p>
    <w:p>
      <w:pPr>
        <w:ind w:firstLine="459"/>
        <w:spacing w:after="0" w:line="342" w:lineRule="auto"/>
        <w:rPr>
          <w:sz w:val="20"/>
          <w:szCs w:val="20"/>
          <w:color w:val="auto"/>
        </w:rPr>
      </w:pPr>
      <w:r>
        <w:rPr>
          <w:rFonts w:ascii="Arial" w:cs="Arial" w:eastAsia="Arial" w:hAnsi="Arial"/>
          <w:sz w:val="16"/>
          <w:szCs w:val="16"/>
          <w:color w:val="auto"/>
        </w:rPr>
        <w:t>During the three months ended December 31, 2019,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ind w:right="80" w:firstLine="459"/>
        <w:spacing w:after="0" w:line="277" w:lineRule="auto"/>
        <w:rPr>
          <w:sz w:val="20"/>
          <w:szCs w:val="20"/>
          <w:color w:val="auto"/>
        </w:rPr>
      </w:pPr>
      <w:r>
        <w:rPr>
          <w:rFonts w:ascii="Arial" w:cs="Arial" w:eastAsia="Arial" w:hAnsi="Arial"/>
          <w:sz w:val="18"/>
          <w:szCs w:val="18"/>
          <w:color w:val="auto"/>
        </w:rPr>
        <w:t>The information required by Item 10 hereby is incorporated by reference to such information as set forth in the Company's Definitive Proxy Statement for the 2020 Annual General Meeting of Shareholders.</w:t>
      </w:r>
    </w:p>
    <w:p>
      <w:pPr>
        <w:spacing w:after="0" w:line="170" w:lineRule="exact"/>
        <w:rPr>
          <w:sz w:val="20"/>
          <w:szCs w:val="20"/>
          <w:color w:val="auto"/>
        </w:rPr>
      </w:pPr>
    </w:p>
    <w:p>
      <w:pPr>
        <w:ind w:firstLine="459"/>
        <w:spacing w:after="0" w:line="271" w:lineRule="auto"/>
        <w:rPr>
          <w:sz w:val="20"/>
          <w:szCs w:val="20"/>
          <w:color w:val="auto"/>
        </w:rPr>
      </w:pPr>
      <w:r>
        <w:rPr>
          <w:rFonts w:ascii="Arial" w:cs="Arial" w:eastAsia="Arial" w:hAnsi="Arial"/>
          <w:sz w:val="17"/>
          <w:szCs w:val="17"/>
          <w:color w:val="auto"/>
        </w:rPr>
        <w:t>The Board of Directors of the Company (the Board) has documented its governance practices by adopting several corporate governance policies. These governance policies, including the Company's Corporate Governance Guidelines, Corporate Code of Business Conduct and Ethics and Financial Code of Ethics for Senior Officers, as well as the charters for the committees of the Board (Audit Committee, Compensation Committee, Finance and Investment Committee and Nominating and Corporate Governance Committee) may also be viewed at the Company's website. The Financial Code of Ethics for Senior Officers applies to our principal executive officer, principal financial officer, principal accounting officer and certain other senior officers. We intend to disclose any amendments to or waivers from our Financial Code of Ethics for Senior Officers by posting such information on our website at www.civeo.com within four business days following the date of the amendment or waiver. Copies of such documents will be sent to shareholders free of charge upon written request to the corporate secretary at the address shown on the cover page of this annual report.</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ind w:right="80" w:firstLine="459"/>
        <w:spacing w:after="0" w:line="286" w:lineRule="auto"/>
        <w:rPr>
          <w:sz w:val="20"/>
          <w:szCs w:val="20"/>
          <w:color w:val="auto"/>
        </w:rPr>
      </w:pPr>
      <w:r>
        <w:rPr>
          <w:rFonts w:ascii="Arial" w:cs="Arial" w:eastAsia="Arial" w:hAnsi="Arial"/>
          <w:sz w:val="17"/>
          <w:szCs w:val="17"/>
          <w:color w:val="auto"/>
        </w:rPr>
        <w:t>The information required by Item 11 hereby is incorporated by reference to such information as set forth in the Company's Definitive Proxy Statement for the 2020 Annual General Meeting of Shareholders under the headings “Executive Compensation,” “Compensation Discussion and Analysis,” “Director Compensation,” “Compensation Committee Interlocks and Insider Participation,” and “Compensation Committee Report”.</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229" w:lineRule="exact"/>
        <w:rPr>
          <w:sz w:val="20"/>
          <w:szCs w:val="20"/>
          <w:color w:val="auto"/>
        </w:rPr>
      </w:pPr>
    </w:p>
    <w:p>
      <w:pPr>
        <w:jc w:val="both"/>
        <w:ind w:right="80" w:firstLine="459"/>
        <w:spacing w:after="0" w:line="264" w:lineRule="auto"/>
        <w:rPr>
          <w:sz w:val="20"/>
          <w:szCs w:val="20"/>
          <w:color w:val="auto"/>
        </w:rPr>
      </w:pPr>
      <w:r>
        <w:rPr>
          <w:rFonts w:ascii="Arial" w:cs="Arial" w:eastAsia="Arial" w:hAnsi="Arial"/>
          <w:sz w:val="18"/>
          <w:szCs w:val="18"/>
          <w:color w:val="auto"/>
        </w:rPr>
        <w:t>The information required by Item 12 hereby is incorporated by reference to such information as set forth in the Company's Definitive Proxy Statement for the 2020 Annual General Meeting of Shareholders under the heading “Security Ownership of Management and Certain Beneficial Owners” and "Equity Compensation Plan Information."</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80" w:firstLine="459"/>
        <w:spacing w:after="0" w:line="264" w:lineRule="auto"/>
        <w:rPr>
          <w:sz w:val="20"/>
          <w:szCs w:val="20"/>
          <w:color w:val="auto"/>
        </w:rPr>
      </w:pPr>
      <w:r>
        <w:rPr>
          <w:rFonts w:ascii="Arial" w:cs="Arial" w:eastAsia="Arial" w:hAnsi="Arial"/>
          <w:sz w:val="18"/>
          <w:szCs w:val="18"/>
          <w:color w:val="auto"/>
        </w:rPr>
        <w:t>The information required by Item 13 hereby is incorporated by reference to such information as set forth in the Company's Definitive Proxy Statement for the 2020 Annual General Meeting of Shareholders under the headings “Certain Relationships and Related-Party Transactions” and “Director Independence”.</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29" w:lineRule="exact"/>
        <w:rPr>
          <w:sz w:val="20"/>
          <w:szCs w:val="20"/>
          <w:color w:val="auto"/>
        </w:rPr>
      </w:pPr>
    </w:p>
    <w:p>
      <w:pPr>
        <w:ind w:right="80" w:firstLine="459"/>
        <w:spacing w:after="0" w:line="277" w:lineRule="auto"/>
        <w:rPr>
          <w:sz w:val="20"/>
          <w:szCs w:val="20"/>
          <w:color w:val="auto"/>
        </w:rPr>
      </w:pPr>
      <w:r>
        <w:rPr>
          <w:rFonts w:ascii="Arial" w:cs="Arial" w:eastAsia="Arial" w:hAnsi="Arial"/>
          <w:sz w:val="18"/>
          <w:szCs w:val="18"/>
          <w:color w:val="auto"/>
        </w:rPr>
        <w:t>The information required by Item 14 hereby is incorporated by reference to such information as set forth in the Company's Definitive Proxy Statement for the 2020 Annual General Meeting of Shareholders under the heading “Audit Fee Disclosure”.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125"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9" w:lineRule="exact"/>
        <w:rPr>
          <w:sz w:val="20"/>
          <w:szCs w:val="20"/>
          <w:color w:val="auto"/>
        </w:rPr>
      </w:pPr>
    </w:p>
    <w:p>
      <w:pPr>
        <w:ind w:left="400" w:hanging="257"/>
        <w:spacing w:after="0"/>
        <w:tabs>
          <w:tab w:leader="none" w:pos="40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Index to Financial Statements, Financial Statement Schedules and Exhibits</w:t>
      </w:r>
    </w:p>
    <w:p>
      <w:pPr>
        <w:spacing w:after="0" w:line="225" w:lineRule="exact"/>
        <w:rPr>
          <w:rFonts w:ascii="Arial" w:cs="Arial" w:eastAsia="Arial" w:hAnsi="Arial"/>
          <w:sz w:val="18"/>
          <w:szCs w:val="18"/>
          <w:i w:val="1"/>
          <w:iCs w:val="1"/>
          <w:color w:val="auto"/>
        </w:rPr>
      </w:pPr>
    </w:p>
    <w:p>
      <w:pPr>
        <w:ind w:left="660" w:hanging="260"/>
        <w:spacing w:after="0"/>
        <w:tabs>
          <w:tab w:leader="none" w:pos="660" w:val="left"/>
        </w:tabs>
        <w:numPr>
          <w:ilvl w:val="2"/>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Reference is made to the index set forth on page 76 of this Annual Report on Form 10-K.</w:t>
      </w:r>
    </w:p>
    <w:p>
      <w:pPr>
        <w:spacing w:after="0" w:line="225" w:lineRule="exact"/>
        <w:rPr>
          <w:rFonts w:ascii="Arial" w:cs="Arial" w:eastAsia="Arial" w:hAnsi="Arial"/>
          <w:sz w:val="18"/>
          <w:szCs w:val="18"/>
          <w:color w:val="auto"/>
        </w:rPr>
      </w:pPr>
    </w:p>
    <w:p>
      <w:pPr>
        <w:ind w:right="20" w:firstLine="400"/>
        <w:spacing w:after="0" w:line="277" w:lineRule="auto"/>
        <w:tabs>
          <w:tab w:leader="none" w:pos="646" w:val="left"/>
        </w:tabs>
        <w:numPr>
          <w:ilvl w:val="2"/>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No schedules have been included herein because the information required to be submitted has been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or the Notes thereto, or the required information is inapplicable.</w:t>
      </w:r>
    </w:p>
    <w:p>
      <w:pPr>
        <w:spacing w:after="0" w:line="170" w:lineRule="exact"/>
        <w:rPr>
          <w:rFonts w:ascii="Arial" w:cs="Arial" w:eastAsia="Arial" w:hAnsi="Arial"/>
          <w:sz w:val="18"/>
          <w:szCs w:val="18"/>
          <w:color w:val="auto"/>
        </w:rPr>
      </w:pPr>
    </w:p>
    <w:p>
      <w:pPr>
        <w:ind w:right="300" w:firstLine="400"/>
        <w:spacing w:after="0" w:line="342" w:lineRule="auto"/>
        <w:tabs>
          <w:tab w:leader="none" w:pos="646" w:val="left"/>
        </w:tabs>
        <w:numPr>
          <w:ilvl w:val="2"/>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Index of Exhibits: </w:t>
      </w:r>
      <w:r>
        <w:rPr>
          <w:rFonts w:ascii="Arial" w:cs="Arial" w:eastAsia="Arial" w:hAnsi="Arial"/>
          <w:sz w:val="16"/>
          <w:szCs w:val="16"/>
          <w:color w:val="auto"/>
        </w:rPr>
        <w:t>See Index of Exhibits, below, for a list of those exhibits filed herewith, which index also includes and identifies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or compensatory plans or arrangements required to be filed as exhibits to this Annual Report on Form 10-K by Item 601 of Regulation S-K.</w:t>
      </w:r>
    </w:p>
    <w:p>
      <w:pPr>
        <w:spacing w:after="0" w:line="123" w:lineRule="exact"/>
        <w:rPr>
          <w:rFonts w:ascii="Arial" w:cs="Arial" w:eastAsia="Arial" w:hAnsi="Arial"/>
          <w:sz w:val="16"/>
          <w:szCs w:val="16"/>
          <w:color w:val="auto"/>
        </w:rPr>
      </w:pPr>
    </w:p>
    <w:p>
      <w:pPr>
        <w:ind w:left="660" w:hanging="490"/>
        <w:spacing w:after="0"/>
        <w:tabs>
          <w:tab w:leader="none" w:pos="660" w:val="left"/>
        </w:tabs>
        <w:numPr>
          <w:ilvl w:val="1"/>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Index of Exhibits</w:t>
      </w:r>
    </w:p>
    <w:p>
      <w:pPr>
        <w:spacing w:after="0" w:line="37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960" w:type="dxa"/>
            <w:vAlign w:val="bottom"/>
            <w:gridSpan w:val="6"/>
          </w:tcPr>
          <w:p>
            <w:pPr>
              <w:ind w:left="76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20"/>
        </w:trPr>
        <w:tc>
          <w:tcPr>
            <w:tcW w:w="880" w:type="dxa"/>
            <w:vAlign w:val="bottom"/>
          </w:tcPr>
          <w:p>
            <w:pPr>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24"/>
                <w:szCs w:val="24"/>
                <w:color w:val="auto"/>
              </w:rPr>
            </w:pP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2"/>
              </w:rPr>
            </w:pPr>
            <w:hyperlink r:id="rId22">
              <w:r>
                <w:rPr>
                  <w:rFonts w:ascii="Arial" w:cs="Arial" w:eastAsia="Arial" w:hAnsi="Arial"/>
                  <w:sz w:val="18"/>
                  <w:szCs w:val="18"/>
                  <w:color w:val="0000FF"/>
                  <w:w w:val="92"/>
                </w:rPr>
                <w:t>Separation and Distribution Agreement by and between Oil States International, Inc. and Civeo Corporation, dated May 27, 2014</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60" w:type="dxa"/>
            <w:vAlign w:val="bottom"/>
            <w:tcBorders>
              <w:bottom w:val="single" w:sz="8" w:color="0000FF"/>
            </w:tcBorders>
            <w:gridSpan w:val="10"/>
          </w:tcPr>
          <w:p>
            <w:pPr>
              <w:ind w:left="20"/>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(incorporated herein by reference to Exhibit 2.1 to the Current Report on Form 8-K (File No. 001-36246) filed on June 2, 2014).</w:t>
              </w:r>
            </w:hyperlink>
          </w:p>
        </w:tc>
        <w:tc>
          <w:tcPr>
            <w:tcW w:w="280" w:type="dxa"/>
            <w:vAlign w:val="bottom"/>
            <w:gridSpan w:val="2"/>
          </w:tcPr>
          <w:p>
            <w:pPr>
              <w:spacing w:after="0"/>
              <w:rPr>
                <w:sz w:val="17"/>
                <w:szCs w:val="17"/>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24"/>
                <w:szCs w:val="24"/>
                <w:color w:val="auto"/>
              </w:rPr>
            </w:pP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2"/>
              </w:rPr>
            </w:pPr>
            <w:hyperlink r:id="rId23">
              <w:r>
                <w:rPr>
                  <w:rFonts w:ascii="Arial" w:cs="Arial" w:eastAsia="Arial" w:hAnsi="Arial"/>
                  <w:sz w:val="18"/>
                  <w:szCs w:val="18"/>
                  <w:color w:val="0000FF"/>
                  <w:w w:val="92"/>
                </w:rPr>
                <w:t>Share Purchase Agreement, dated November 26, 2017, by and among Civeo Corporation, Noralta Lodge Ltd., Torgerson Family</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40" w:type="dxa"/>
            <w:vAlign w:val="bottom"/>
            <w:tcBorders>
              <w:bottom w:val="single" w:sz="8" w:color="0000FF"/>
            </w:tcBorders>
            <w:gridSpan w:val="12"/>
          </w:tcPr>
          <w:p>
            <w:pPr>
              <w:ind w:left="20"/>
              <w:spacing w:after="0" w:line="196" w:lineRule="exact"/>
              <w:rPr>
                <w:rFonts w:ascii="Arial" w:cs="Arial" w:eastAsia="Arial" w:hAnsi="Arial"/>
                <w:sz w:val="18"/>
                <w:szCs w:val="18"/>
                <w:color w:val="0000FF"/>
                <w:w w:val="95"/>
              </w:rPr>
            </w:pPr>
            <w:hyperlink r:id="rId23">
              <w:r>
                <w:rPr>
                  <w:rFonts w:ascii="Arial" w:cs="Arial" w:eastAsia="Arial" w:hAnsi="Arial"/>
                  <w:sz w:val="18"/>
                  <w:szCs w:val="18"/>
                  <w:color w:val="0000FF"/>
                  <w:w w:val="95"/>
                </w:rPr>
                <w:t>Trust, 2073357 Alberta Ltd., 2073358 Alberta Ltd., 1818939 Alberta Ltd., 2040618 Alberta Ltd., 2040624 Alberta Ltd., 989677</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40" w:type="dxa"/>
            <w:vAlign w:val="bottom"/>
            <w:tcBorders>
              <w:bottom w:val="single" w:sz="8" w:color="0000FF"/>
            </w:tcBorders>
            <w:gridSpan w:val="12"/>
          </w:tcPr>
          <w:p>
            <w:pPr>
              <w:ind w:left="20"/>
              <w:spacing w:after="0" w:line="196" w:lineRule="exact"/>
              <w:rPr>
                <w:rFonts w:ascii="Arial" w:cs="Arial" w:eastAsia="Arial" w:hAnsi="Arial"/>
                <w:sz w:val="18"/>
                <w:szCs w:val="18"/>
                <w:color w:val="0000FF"/>
                <w:w w:val="94"/>
              </w:rPr>
            </w:pPr>
            <w:hyperlink r:id="rId23">
              <w:r>
                <w:rPr>
                  <w:rFonts w:ascii="Arial" w:cs="Arial" w:eastAsia="Arial" w:hAnsi="Arial"/>
                  <w:sz w:val="18"/>
                  <w:szCs w:val="18"/>
                  <w:color w:val="0000FF"/>
                  <w:w w:val="94"/>
                </w:rPr>
                <w:t>Alberta Ltd. and Lance Torgerson (incorporated herein by reference to Exhibit 10.1 to the Current Report on Form 8-K (File No.</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40" w:type="dxa"/>
            <w:vAlign w:val="bottom"/>
            <w:tcBorders>
              <w:bottom w:val="single" w:sz="8" w:color="0000FF"/>
            </w:tcBorders>
            <w:gridSpan w:val="5"/>
          </w:tcPr>
          <w:p>
            <w:pPr>
              <w:ind w:left="20"/>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001-36246) filed on November 27, 2017).</w:t>
              </w:r>
            </w:hyperlink>
          </w:p>
        </w:tc>
        <w:tc>
          <w:tcPr>
            <w:tcW w:w="6500" w:type="dxa"/>
            <w:vAlign w:val="bottom"/>
            <w:gridSpan w:val="7"/>
          </w:tcPr>
          <w:p>
            <w:pPr>
              <w:spacing w:after="0"/>
              <w:rPr>
                <w:sz w:val="17"/>
                <w:szCs w:val="17"/>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24"/>
                <w:szCs w:val="24"/>
                <w:color w:val="auto"/>
              </w:rPr>
            </w:pP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7"/>
              </w:rPr>
            </w:pPr>
            <w:hyperlink r:id="rId24">
              <w:r>
                <w:rPr>
                  <w:rFonts w:ascii="Arial" w:cs="Arial" w:eastAsia="Arial" w:hAnsi="Arial"/>
                  <w:sz w:val="18"/>
                  <w:szCs w:val="18"/>
                  <w:color w:val="0000FF"/>
                  <w:w w:val="97"/>
                </w:rPr>
                <w:t>Amending Agreement, dated March 15, 2018, among Civeo Corporation, the Torgerson Family Trust, 989677 Alberta Ltd.,</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40" w:type="dxa"/>
            <w:vAlign w:val="bottom"/>
            <w:tcBorders>
              <w:bottom w:val="single" w:sz="8" w:color="0000FF"/>
            </w:tcBorders>
            <w:gridSpan w:val="12"/>
          </w:tcPr>
          <w:p>
            <w:pPr>
              <w:ind w:left="20"/>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1818939 Alberta Ltd., 2040618 Alberta Ltd., 2040624 Alberta Ltd., 2073357 Alberta Ltd., 2073358 Alberta Ltd., Lance Torgerson</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40" w:type="dxa"/>
            <w:vAlign w:val="bottom"/>
            <w:tcBorders>
              <w:bottom w:val="single" w:sz="8" w:color="0000FF"/>
            </w:tcBorders>
            <w:gridSpan w:val="12"/>
          </w:tcPr>
          <w:p>
            <w:pPr>
              <w:ind w:left="20"/>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and Noralta Lodge Ltd. (incorporated herein by reference to Exhibit 10.1 to the Current Report on Form 8-K (File No. 001-36246)</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60" w:type="dxa"/>
            <w:vAlign w:val="bottom"/>
            <w:tcBorders>
              <w:bottom w:val="single" w:sz="8" w:color="0000FF"/>
            </w:tcBorders>
            <w:gridSpan w:val="2"/>
          </w:tcPr>
          <w:p>
            <w:pPr>
              <w:ind w:left="20"/>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filed on March 16, 2018).</w:t>
              </w:r>
            </w:hyperlink>
          </w:p>
        </w:tc>
        <w:tc>
          <w:tcPr>
            <w:tcW w:w="7680" w:type="dxa"/>
            <w:vAlign w:val="bottom"/>
            <w:gridSpan w:val="10"/>
          </w:tcPr>
          <w:p>
            <w:pPr>
              <w:spacing w:after="0"/>
              <w:rPr>
                <w:sz w:val="17"/>
                <w:szCs w:val="17"/>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4"/>
                <w:szCs w:val="24"/>
                <w:color w:val="auto"/>
              </w:rPr>
            </w:pP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Notice of Articles of Civeo Corporation, as amended (incorporated herein by reference to Exhibit 3.1 to the Current Report on Form</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40" w:type="dxa"/>
            <w:vAlign w:val="bottom"/>
            <w:gridSpan w:val="12"/>
          </w:tcPr>
          <w:p>
            <w:pPr>
              <w:ind w:left="20"/>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8-K (File No. 001-36246) filed on April 2, 2018).</w:t>
              </w:r>
            </w:hyperlink>
          </w:p>
        </w:tc>
      </w:tr>
      <w:tr>
        <w:trPr>
          <w:trHeight w:val="20"/>
        </w:trPr>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2"/>
              </w:rPr>
            </w:pPr>
            <w:hyperlink r:id="rId26">
              <w:r>
                <w:rPr>
                  <w:rFonts w:ascii="Arial" w:cs="Arial" w:eastAsia="Arial" w:hAnsi="Arial"/>
                  <w:sz w:val="18"/>
                  <w:szCs w:val="18"/>
                  <w:color w:val="0000FF"/>
                  <w:w w:val="92"/>
                </w:rPr>
                <w:t>Amended and Restated Articles of Civeo Corporation, as amended (incorporated herein by reference to Exhibit 3.2 to the Current</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tcBorders>
              <w:bottom w:val="single" w:sz="8" w:color="0000FF"/>
            </w:tcBorders>
            <w:gridSpan w:val="8"/>
          </w:tcPr>
          <w:p>
            <w:pPr>
              <w:ind w:left="20"/>
              <w:spacing w:after="0" w:line="196" w:lineRule="exact"/>
              <w:rPr>
                <w:rFonts w:ascii="Arial" w:cs="Arial" w:eastAsia="Arial" w:hAnsi="Arial"/>
                <w:sz w:val="18"/>
                <w:szCs w:val="18"/>
                <w:color w:val="0000FF"/>
                <w:w w:val="93"/>
              </w:rPr>
            </w:pPr>
            <w:hyperlink r:id="rId26">
              <w:r>
                <w:rPr>
                  <w:rFonts w:ascii="Arial" w:cs="Arial" w:eastAsia="Arial" w:hAnsi="Arial"/>
                  <w:sz w:val="18"/>
                  <w:szCs w:val="18"/>
                  <w:color w:val="0000FF"/>
                  <w:w w:val="93"/>
                </w:rPr>
                <w:t>Report on Form 8-K (File No. 001-36246) filed on April 2, 2018).</w:t>
              </w:r>
            </w:hyperlink>
          </w:p>
        </w:tc>
        <w:tc>
          <w:tcPr>
            <w:tcW w:w="4760" w:type="dxa"/>
            <w:vAlign w:val="bottom"/>
            <w:gridSpan w:val="4"/>
          </w:tcPr>
          <w:p>
            <w:pPr>
              <w:spacing w:after="0"/>
              <w:rPr>
                <w:sz w:val="17"/>
                <w:szCs w:val="17"/>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4"/>
                <w:szCs w:val="24"/>
                <w:color w:val="auto"/>
              </w:rPr>
            </w:pP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4"/>
              </w:rPr>
            </w:pPr>
            <w:hyperlink r:id="rId27">
              <w:r>
                <w:rPr>
                  <w:rFonts w:ascii="Arial" w:cs="Arial" w:eastAsia="Arial" w:hAnsi="Arial"/>
                  <w:sz w:val="18"/>
                  <w:szCs w:val="18"/>
                  <w:color w:val="0000FF"/>
                  <w:w w:val="94"/>
                </w:rPr>
                <w:t>Form of Common Share Certificate (incorporated herein by reference to Exhibit 4.1 to the Current Report on Form 8-K12B (File</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40" w:type="dxa"/>
            <w:vAlign w:val="bottom"/>
            <w:gridSpan w:val="12"/>
          </w:tcPr>
          <w:p>
            <w:pPr>
              <w:ind w:left="20"/>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No. 001-36246) filed on July 17, 2015).</w:t>
              </w:r>
            </w:hyperlink>
          </w:p>
        </w:tc>
      </w:tr>
      <w:tr>
        <w:trPr>
          <w:trHeight w:val="20"/>
        </w:trPr>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3"/>
              </w:rPr>
            </w:pPr>
            <w:hyperlink r:id="rId28">
              <w:r>
                <w:rPr>
                  <w:rFonts w:ascii="Arial" w:cs="Arial" w:eastAsia="Arial" w:hAnsi="Arial"/>
                  <w:sz w:val="18"/>
                  <w:szCs w:val="18"/>
                  <w:color w:val="0000FF"/>
                  <w:w w:val="93"/>
                </w:rPr>
                <w:t>Registration Rights, Lock-Up and Standstill Agreement, dated April 2, 2018, by and among Civeo Corporation, Torgerson Family</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40" w:type="dxa"/>
            <w:vAlign w:val="bottom"/>
            <w:tcBorders>
              <w:bottom w:val="single" w:sz="8" w:color="0000FF"/>
            </w:tcBorders>
            <w:gridSpan w:val="12"/>
          </w:tcPr>
          <w:p>
            <w:pPr>
              <w:ind w:left="20"/>
              <w:spacing w:after="0" w:line="196" w:lineRule="exact"/>
              <w:rPr>
                <w:rFonts w:ascii="Arial" w:cs="Arial" w:eastAsia="Arial" w:hAnsi="Arial"/>
                <w:sz w:val="18"/>
                <w:szCs w:val="18"/>
                <w:color w:val="0000FF"/>
                <w:w w:val="93"/>
              </w:rPr>
            </w:pPr>
            <w:hyperlink r:id="rId28">
              <w:r>
                <w:rPr>
                  <w:rFonts w:ascii="Arial" w:cs="Arial" w:eastAsia="Arial" w:hAnsi="Arial"/>
                  <w:sz w:val="18"/>
                  <w:szCs w:val="18"/>
                  <w:color w:val="0000FF"/>
                  <w:w w:val="93"/>
                </w:rPr>
                <w:t>Trust and 989677 Alberta Ltd. (incorporated herein by reference to Exhibit 4.1 to the Current Report on Form 8-K (File No. 001-</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40" w:type="dxa"/>
            <w:vAlign w:val="bottom"/>
            <w:tcBorders>
              <w:bottom w:val="single" w:sz="8" w:color="0000FF"/>
            </w:tcBorders>
            <w:gridSpan w:val="3"/>
          </w:tcPr>
          <w:p>
            <w:pPr>
              <w:ind w:left="20"/>
              <w:spacing w:after="0" w:line="196" w:lineRule="exact"/>
              <w:rPr>
                <w:rFonts w:ascii="Arial" w:cs="Arial" w:eastAsia="Arial" w:hAnsi="Arial"/>
                <w:sz w:val="18"/>
                <w:szCs w:val="18"/>
                <w:color w:val="0000FF"/>
                <w:w w:val="93"/>
              </w:rPr>
            </w:pPr>
            <w:hyperlink r:id="rId28">
              <w:r>
                <w:rPr>
                  <w:rFonts w:ascii="Arial" w:cs="Arial" w:eastAsia="Arial" w:hAnsi="Arial"/>
                  <w:sz w:val="18"/>
                  <w:szCs w:val="18"/>
                  <w:color w:val="0000FF"/>
                  <w:w w:val="93"/>
                </w:rPr>
                <w:t>36246) filed on April 2, 2018).</w:t>
              </w:r>
            </w:hyperlink>
          </w:p>
        </w:tc>
        <w:tc>
          <w:tcPr>
            <w:tcW w:w="7300" w:type="dxa"/>
            <w:vAlign w:val="bottom"/>
            <w:gridSpan w:val="9"/>
          </w:tcPr>
          <w:p>
            <w:pPr>
              <w:spacing w:after="0"/>
              <w:rPr>
                <w:sz w:val="17"/>
                <w:szCs w:val="17"/>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4"/>
                <w:szCs w:val="24"/>
                <w:color w:val="auto"/>
              </w:rPr>
            </w:pPr>
          </w:p>
        </w:tc>
        <w:tc>
          <w:tcPr>
            <w:tcW w:w="1800" w:type="dxa"/>
            <w:vAlign w:val="bottom"/>
            <w:tcBorders>
              <w:bottom w:val="single" w:sz="8" w:color="0000FF"/>
            </w:tcBorders>
          </w:tcPr>
          <w:p>
            <w:pPr>
              <w:ind w:left="20"/>
              <w:spacing w:after="0"/>
              <w:rPr>
                <w:rFonts w:ascii="Arial" w:cs="Arial" w:eastAsia="Arial" w:hAnsi="Arial"/>
                <w:sz w:val="18"/>
                <w:szCs w:val="18"/>
                <w:color w:val="0000FF"/>
                <w:w w:val="90"/>
              </w:rPr>
            </w:pPr>
            <w:hyperlink w:anchor="page119">
              <w:r>
                <w:rPr>
                  <w:rFonts w:ascii="Arial" w:cs="Arial" w:eastAsia="Arial" w:hAnsi="Arial"/>
                  <w:sz w:val="18"/>
                  <w:szCs w:val="18"/>
                  <w:color w:val="0000FF"/>
                  <w:w w:val="90"/>
                </w:rPr>
                <w:t>Description of Securities</w:t>
              </w:r>
            </w:hyperlink>
          </w:p>
        </w:tc>
        <w:tc>
          <w:tcPr>
            <w:tcW w:w="7740" w:type="dxa"/>
            <w:vAlign w:val="bottom"/>
            <w:gridSpan w:val="11"/>
          </w:tcPr>
          <w:p>
            <w:pPr>
              <w:spacing w:after="0"/>
              <w:rPr>
                <w:sz w:val="24"/>
                <w:szCs w:val="24"/>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1"/>
                <w:szCs w:val="21"/>
                <w:color w:val="auto"/>
              </w:rPr>
            </w:pP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2"/>
              </w:rPr>
            </w:pPr>
            <w:hyperlink r:id="rId29">
              <w:r>
                <w:rPr>
                  <w:rFonts w:ascii="Arial" w:cs="Arial" w:eastAsia="Arial" w:hAnsi="Arial"/>
                  <w:sz w:val="18"/>
                  <w:szCs w:val="18"/>
                  <w:color w:val="0000FF"/>
                  <w:w w:val="92"/>
                </w:rPr>
                <w:t>Indemnification and Release Agreement by and between Oil States International, Inc. and Civeo Corporation, dated May 27, 2014</w:t>
              </w:r>
            </w:hyperlink>
          </w:p>
        </w:tc>
      </w:tr>
      <w:tr>
        <w:trPr>
          <w:trHeight w:val="196"/>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40" w:type="dxa"/>
            <w:vAlign w:val="bottom"/>
            <w:gridSpan w:val="12"/>
          </w:tcPr>
          <w:p>
            <w:pPr>
              <w:ind w:left="20"/>
              <w:spacing w:after="0" w:line="196" w:lineRule="exact"/>
              <w:rPr>
                <w:rFonts w:ascii="Arial" w:cs="Arial" w:eastAsia="Arial" w:hAnsi="Arial"/>
                <w:sz w:val="18"/>
                <w:szCs w:val="18"/>
                <w:color w:val="0000FF"/>
                <w:w w:val="93"/>
              </w:rPr>
            </w:pPr>
            <w:hyperlink r:id="rId29">
              <w:r>
                <w:rPr>
                  <w:rFonts w:ascii="Arial" w:cs="Arial" w:eastAsia="Arial" w:hAnsi="Arial"/>
                  <w:sz w:val="18"/>
                  <w:szCs w:val="18"/>
                  <w:color w:val="0000FF"/>
                  <w:w w:val="93"/>
                </w:rPr>
                <w:t>(incorporated herein by reference to Exhibit 10.1 to the Current Report on Form 8-K (File No. 001-36246) filed on June 2, 2014).</w:t>
              </w:r>
            </w:hyperlink>
          </w:p>
        </w:tc>
      </w:tr>
      <w:tr>
        <w:trPr>
          <w:trHeight w:val="817"/>
        </w:trPr>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40" w:type="dxa"/>
            <w:vAlign w:val="bottom"/>
            <w:tcBorders>
              <w:top w:val="single" w:sz="8" w:color="0000FF"/>
            </w:tcBorders>
            <w:gridSpan w:val="7"/>
          </w:tcPr>
          <w:p>
            <w:pPr>
              <w:ind w:left="3900"/>
              <w:spacing w:after="0"/>
              <w:rPr>
                <w:sz w:val="20"/>
                <w:szCs w:val="20"/>
                <w:color w:val="auto"/>
              </w:rPr>
            </w:pPr>
            <w:r>
              <w:rPr>
                <w:rFonts w:ascii="Arial" w:cs="Arial" w:eastAsia="Arial" w:hAnsi="Arial"/>
                <w:sz w:val="18"/>
                <w:szCs w:val="18"/>
                <w:color w:val="auto"/>
              </w:rPr>
              <w:t>71</w:t>
            </w:r>
          </w:p>
        </w:tc>
        <w:tc>
          <w:tcPr>
            <w:tcW w:w="4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60"/>
          </w:cols>
          <w:pgMar w:left="240" w:top="125" w:right="39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574"/>
        </w:trPr>
        <w:tc>
          <w:tcPr>
            <w:tcW w:w="1280" w:type="dxa"/>
            <w:vAlign w:val="bottom"/>
            <w:tcBorders>
              <w:top w:val="single" w:sz="8" w:color="0000EE"/>
            </w:tcBorders>
          </w:tcPr>
          <w:p>
            <w:pPr>
              <w:ind w:left="160"/>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3"/>
              </w:rPr>
            </w:pPr>
            <w:hyperlink r:id="rId30">
              <w:r>
                <w:rPr>
                  <w:rFonts w:ascii="Arial" w:cs="Arial" w:eastAsia="Arial" w:hAnsi="Arial"/>
                  <w:sz w:val="18"/>
                  <w:szCs w:val="18"/>
                  <w:color w:val="0000FF"/>
                  <w:w w:val="93"/>
                </w:rPr>
                <w:t>Tax Sharing Agreement by and between Oil States International, Inc. and Civeo Corporation, dated May 27, 2014 (incorporated</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2"/>
          </w:tcPr>
          <w:p>
            <w:pPr>
              <w:ind w:left="20"/>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herein by reference to Exhibit 10.2 to the Current Report on Form 8-K (File No. 001-36246) filed on June 2, 2014).</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88"/>
        </w:trPr>
        <w:tc>
          <w:tcPr>
            <w:tcW w:w="1280" w:type="dxa"/>
            <w:vAlign w:val="bottom"/>
          </w:tcPr>
          <w:p>
            <w:pPr>
              <w:ind w:left="160"/>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9"/>
              </w:rPr>
            </w:pPr>
            <w:hyperlink r:id="rId31">
              <w:r>
                <w:rPr>
                  <w:rFonts w:ascii="Arial" w:cs="Arial" w:eastAsia="Arial" w:hAnsi="Arial"/>
                  <w:sz w:val="18"/>
                  <w:szCs w:val="18"/>
                  <w:color w:val="0000FF"/>
                  <w:w w:val="99"/>
                </w:rPr>
                <w:t>Employee Matters Agreement by and between Oil States International, Inc. and Civeo Corporation, dated May 27, 2014</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2"/>
          </w:tcPr>
          <w:p>
            <w:pPr>
              <w:ind w:left="20"/>
              <w:spacing w:after="0" w:line="196" w:lineRule="exact"/>
              <w:rPr>
                <w:rFonts w:ascii="Arial" w:cs="Arial" w:eastAsia="Arial" w:hAnsi="Arial"/>
                <w:sz w:val="18"/>
                <w:szCs w:val="18"/>
                <w:color w:val="0000FF"/>
                <w:w w:val="93"/>
              </w:rPr>
            </w:pPr>
            <w:hyperlink r:id="rId31">
              <w:r>
                <w:rPr>
                  <w:rFonts w:ascii="Arial" w:cs="Arial" w:eastAsia="Arial" w:hAnsi="Arial"/>
                  <w:sz w:val="18"/>
                  <w:szCs w:val="18"/>
                  <w:color w:val="0000FF"/>
                  <w:w w:val="93"/>
                </w:rPr>
                <w:t>(incorporated herein by reference to Exhibit 10.3 to the Current Report on Form 8-K (File No. 001-36246) filed on June 2, 2014).</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88"/>
        </w:trPr>
        <w:tc>
          <w:tcPr>
            <w:tcW w:w="1280" w:type="dxa"/>
            <w:vAlign w:val="bottom"/>
          </w:tcPr>
          <w:p>
            <w:pPr>
              <w:ind w:left="160"/>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9"/>
              </w:rPr>
            </w:pPr>
            <w:hyperlink r:id="rId32">
              <w:r>
                <w:rPr>
                  <w:rFonts w:ascii="Arial" w:cs="Arial" w:eastAsia="Arial" w:hAnsi="Arial"/>
                  <w:sz w:val="18"/>
                  <w:szCs w:val="18"/>
                  <w:color w:val="0000FF"/>
                  <w:w w:val="99"/>
                </w:rPr>
                <w:t>Transition Services Agreement by and between Oil States International, Inc. and Civeo Corporation, dated May 27, 2014</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2"/>
          </w:tcPr>
          <w:p>
            <w:pPr>
              <w:ind w:left="20"/>
              <w:spacing w:after="0" w:line="196" w:lineRule="exact"/>
              <w:rPr>
                <w:rFonts w:ascii="Arial" w:cs="Arial" w:eastAsia="Arial" w:hAnsi="Arial"/>
                <w:sz w:val="18"/>
                <w:szCs w:val="18"/>
                <w:color w:val="0000FF"/>
                <w:w w:val="93"/>
              </w:rPr>
            </w:pPr>
            <w:hyperlink r:id="rId32">
              <w:r>
                <w:rPr>
                  <w:rFonts w:ascii="Arial" w:cs="Arial" w:eastAsia="Arial" w:hAnsi="Arial"/>
                  <w:sz w:val="18"/>
                  <w:szCs w:val="18"/>
                  <w:color w:val="0000FF"/>
                  <w:w w:val="93"/>
                </w:rPr>
                <w:t>(incorporated herein by reference to Exhibit 10.4 to the Current Report on Form 8-K (File No. 001-36246) filed on June 2, 2014).</w:t>
              </w:r>
            </w:hyperlink>
          </w:p>
        </w:tc>
      </w:tr>
      <w:tr>
        <w:trPr>
          <w:trHeight w:val="20"/>
        </w:trPr>
        <w:tc>
          <w:tcPr>
            <w:tcW w:w="172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10.5†</w:t>
            </w: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2"/>
              </w:rPr>
            </w:pPr>
            <w:hyperlink r:id="rId33">
              <w:r>
                <w:rPr>
                  <w:rFonts w:ascii="Arial" w:cs="Arial" w:eastAsia="Arial" w:hAnsi="Arial"/>
                  <w:sz w:val="18"/>
                  <w:szCs w:val="18"/>
                  <w:color w:val="0000FF"/>
                  <w:w w:val="92"/>
                </w:rPr>
                <w:t>Form of Indemnification Agreement (incorporated herein by reference to Exhibit 10.1 to the Current Report on Form 8-K12B (File</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2"/>
          </w:tcPr>
          <w:p>
            <w:pPr>
              <w:ind w:left="20"/>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No. 001-36246) filed on July 17, 2015).</w:t>
              </w:r>
            </w:hyperlink>
          </w:p>
        </w:tc>
      </w:tr>
      <w:tr>
        <w:trPr>
          <w:trHeight w:val="20"/>
        </w:trPr>
        <w:tc>
          <w:tcPr>
            <w:tcW w:w="172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372"/>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10.6†</w:t>
            </w: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Amended and Restated 2014 Equity Participation Plan of Civeo Corporation (incorporated herein by reference to Annex B of Civeo</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0" w:type="dxa"/>
            <w:vAlign w:val="bottom"/>
            <w:tcBorders>
              <w:bottom w:val="single" w:sz="8" w:color="0000FF"/>
            </w:tcBorders>
            <w:gridSpan w:val="9"/>
          </w:tcPr>
          <w:p>
            <w:pPr>
              <w:ind w:left="20"/>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Corporation’s definitive proxy statement on Schedule 14A (File No. 001-36246) filed on April 11, 2016).</w:t>
              </w:r>
            </w:hyperlink>
          </w:p>
        </w:tc>
        <w:tc>
          <w:tcPr>
            <w:tcW w:w="1940" w:type="dxa"/>
            <w:vAlign w:val="bottom"/>
            <w:gridSpan w:val="3"/>
          </w:tcPr>
          <w:p>
            <w:pPr>
              <w:spacing w:after="0"/>
              <w:rPr>
                <w:sz w:val="17"/>
                <w:szCs w:val="17"/>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10.7†</w:t>
            </w: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5"/>
              </w:rPr>
            </w:pPr>
            <w:hyperlink r:id="rId35">
              <w:r>
                <w:rPr>
                  <w:rFonts w:ascii="Arial" w:cs="Arial" w:eastAsia="Arial" w:hAnsi="Arial"/>
                  <w:sz w:val="18"/>
                  <w:szCs w:val="18"/>
                  <w:color w:val="0000FF"/>
                  <w:w w:val="95"/>
                </w:rPr>
                <w:t>Performance Share Award Program under the 2014 Equity Participation Plan (incorporated by reference to Exhibit 10.2 to the</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FF"/>
            </w:tcBorders>
            <w:gridSpan w:val="5"/>
          </w:tcPr>
          <w:p>
            <w:pPr>
              <w:ind w:left="20"/>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Quarterly Report on Form 10-Q (File No. 001-36246) filed on April 28, 2016).</w:t>
              </w:r>
            </w:hyperlink>
          </w:p>
        </w:tc>
        <w:tc>
          <w:tcPr>
            <w:tcW w:w="3840" w:type="dxa"/>
            <w:vAlign w:val="bottom"/>
            <w:gridSpan w:val="7"/>
          </w:tcPr>
          <w:p>
            <w:pPr>
              <w:spacing w:after="0"/>
              <w:rPr>
                <w:sz w:val="17"/>
                <w:szCs w:val="17"/>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10.8†</w:t>
            </w: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Form of Performance Share Award Agreement under the 2014 Equity Participation Plan (incorporated by reference to Exhibit 10.3</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2"/>
          </w:tcPr>
          <w:p>
            <w:pPr>
              <w:ind w:left="20"/>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to the Quarterly Report on Form 10-Q (File No. 001-36246) filed on April 28, 2016).</w:t>
              </w:r>
            </w:hyperlink>
          </w:p>
        </w:tc>
      </w:tr>
      <w:tr>
        <w:trPr>
          <w:trHeight w:val="20"/>
        </w:trPr>
        <w:tc>
          <w:tcPr>
            <w:tcW w:w="172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10.9†</w:t>
            </w: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9"/>
              </w:rPr>
            </w:pPr>
            <w:hyperlink r:id="rId37">
              <w:r>
                <w:rPr>
                  <w:rFonts w:ascii="Arial" w:cs="Arial" w:eastAsia="Arial" w:hAnsi="Arial"/>
                  <w:sz w:val="18"/>
                  <w:szCs w:val="18"/>
                  <w:color w:val="0000FF"/>
                  <w:w w:val="99"/>
                </w:rPr>
                <w:t>Form of Civeo Corporation Annual Incentive Compensation Plan (incorporated herein by reference to Exhibit 10.7 to the</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2"/>
          </w:tcPr>
          <w:p>
            <w:pPr>
              <w:ind w:left="20"/>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Registration Statement on Form 10 (File No. 001-36246) filed on April 22, 2014).</w:t>
              </w:r>
            </w:hyperlink>
          </w:p>
        </w:tc>
      </w:tr>
      <w:tr>
        <w:trPr>
          <w:trHeight w:val="20"/>
        </w:trPr>
        <w:tc>
          <w:tcPr>
            <w:tcW w:w="172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10.10†</w:t>
            </w: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4"/>
              </w:rPr>
            </w:pPr>
            <w:hyperlink r:id="rId38">
              <w:r>
                <w:rPr>
                  <w:rFonts w:ascii="Arial" w:cs="Arial" w:eastAsia="Arial" w:hAnsi="Arial"/>
                  <w:sz w:val="18"/>
                  <w:szCs w:val="18"/>
                  <w:color w:val="0000FF"/>
                  <w:w w:val="94"/>
                </w:rPr>
                <w:t>Form of Canadian Long-Term Incentive Plan (incorporated herein by reference to Exhibit 10.8 to the Registration Statement on</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2"/>
          </w:tcPr>
          <w:p>
            <w:pPr>
              <w:ind w:left="20"/>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Form 10 (File No. 001-36246) filed on April 22, 2014).</w:t>
              </w:r>
            </w:hyperlink>
          </w:p>
        </w:tc>
      </w:tr>
      <w:tr>
        <w:trPr>
          <w:trHeight w:val="20"/>
        </w:trPr>
        <w:tc>
          <w:tcPr>
            <w:tcW w:w="172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10.11†</w:t>
            </w: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9"/>
              </w:rPr>
            </w:pPr>
            <w:hyperlink r:id="rId39">
              <w:r>
                <w:rPr>
                  <w:rFonts w:ascii="Arial" w:cs="Arial" w:eastAsia="Arial" w:hAnsi="Arial"/>
                  <w:sz w:val="18"/>
                  <w:szCs w:val="18"/>
                  <w:color w:val="0000FF"/>
                  <w:w w:val="99"/>
                </w:rPr>
                <w:t>Form of Employee Non-Qualified Stock Option Agreement under the 2014 Equity Participation Plan of Civeo Corporation</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bottom w:val="single" w:sz="8" w:color="0000FF"/>
            </w:tcBorders>
            <w:gridSpan w:val="12"/>
          </w:tcPr>
          <w:p>
            <w:pPr>
              <w:ind w:left="20"/>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(incorporated herein by reference to Exhibit 10.9 to the Registration Statement on Form 10 (File No. 001-36246) filed on April 22,</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Borders>
              <w:bottom w:val="single" w:sz="8" w:color="0000FF"/>
            </w:tcBorders>
          </w:tcPr>
          <w:p>
            <w:pPr>
              <w:ind w:left="20"/>
              <w:spacing w:after="0" w:line="196" w:lineRule="exact"/>
              <w:rPr>
                <w:rFonts w:ascii="Arial" w:cs="Arial" w:eastAsia="Arial" w:hAnsi="Arial"/>
                <w:sz w:val="18"/>
                <w:szCs w:val="18"/>
                <w:color w:val="0000FF"/>
                <w:w w:val="86"/>
              </w:rPr>
            </w:pPr>
            <w:hyperlink r:id="rId39">
              <w:r>
                <w:rPr>
                  <w:rFonts w:ascii="Arial" w:cs="Arial" w:eastAsia="Arial" w:hAnsi="Arial"/>
                  <w:sz w:val="18"/>
                  <w:szCs w:val="18"/>
                  <w:color w:val="0000FF"/>
                  <w:w w:val="86"/>
                </w:rPr>
                <w:t>2014).</w:t>
              </w:r>
            </w:hyperlink>
          </w:p>
        </w:tc>
        <w:tc>
          <w:tcPr>
            <w:tcW w:w="2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10.12†</w:t>
            </w: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7"/>
              </w:rPr>
            </w:pPr>
            <w:hyperlink r:id="rId40">
              <w:r>
                <w:rPr>
                  <w:rFonts w:ascii="Arial" w:cs="Arial" w:eastAsia="Arial" w:hAnsi="Arial"/>
                  <w:sz w:val="18"/>
                  <w:szCs w:val="18"/>
                  <w:color w:val="0000FF"/>
                  <w:w w:val="97"/>
                </w:rPr>
                <w:t>Form of Restricted Stock Agreement under the 2014 Equity Participation Plan of Civeo Corporation (incorporated herein by</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20" w:type="dxa"/>
            <w:vAlign w:val="bottom"/>
            <w:tcBorders>
              <w:bottom w:val="single" w:sz="8" w:color="0000FF"/>
            </w:tcBorders>
            <w:gridSpan w:val="10"/>
          </w:tcPr>
          <w:p>
            <w:pPr>
              <w:ind w:left="20"/>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reference to Exhibit 10.10 to the Registration Statement on Form 10 (File No. 001-36246) filed on April 22, 2014).</w:t>
              </w:r>
            </w:hyperlink>
          </w:p>
        </w:tc>
        <w:tc>
          <w:tcPr>
            <w:tcW w:w="1220" w:type="dxa"/>
            <w:vAlign w:val="bottom"/>
            <w:gridSpan w:val="2"/>
          </w:tcPr>
          <w:p>
            <w:pPr>
              <w:spacing w:after="0"/>
              <w:rPr>
                <w:sz w:val="17"/>
                <w:szCs w:val="17"/>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10.13†</w:t>
            </w: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Form of Non-Employee Director Restricted Stock Agreement (incorporated herein by reference to Exhibit 10.11 to the Registration</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0" w:type="dxa"/>
            <w:vAlign w:val="bottom"/>
            <w:tcBorders>
              <w:bottom w:val="single" w:sz="8" w:color="0000FF"/>
            </w:tcBorders>
            <w:gridSpan w:val="4"/>
          </w:tcPr>
          <w:p>
            <w:pPr>
              <w:ind w:left="20"/>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Statement on Form 10 (File No. 001-36246) filed on April 22, 2014).</w:t>
              </w:r>
            </w:hyperlink>
          </w:p>
        </w:tc>
        <w:tc>
          <w:tcPr>
            <w:tcW w:w="4540" w:type="dxa"/>
            <w:vAlign w:val="bottom"/>
            <w:gridSpan w:val="8"/>
          </w:tcPr>
          <w:p>
            <w:pPr>
              <w:spacing w:after="0"/>
              <w:rPr>
                <w:sz w:val="17"/>
                <w:szCs w:val="17"/>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10.14†</w:t>
            </w: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Form of Deferred Stock Agreement (Australia) (incorporated herein by reference to Exhibit 10.12 to the Registration Statement on</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2"/>
          </w:tcPr>
          <w:p>
            <w:pPr>
              <w:ind w:left="20"/>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Form 10 (File No. 001-36246) filed on April 22, 2014).</w:t>
              </w:r>
            </w:hyperlink>
          </w:p>
        </w:tc>
      </w:tr>
      <w:tr>
        <w:trPr>
          <w:trHeight w:val="20"/>
        </w:trPr>
        <w:tc>
          <w:tcPr>
            <w:tcW w:w="1720" w:type="dxa"/>
            <w:vAlign w:val="bottom"/>
            <w:gridSpan w:val="2"/>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10.15†</w:t>
            </w: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Form of Deferred Stock Agreement (Canada) (incorporated herein by reference to Exhibit 10.13 to the Registration Statement on</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2"/>
          </w:tcPr>
          <w:p>
            <w:pPr>
              <w:ind w:left="20"/>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Form 10 (File No. 001-36246) filed on April 22, 2014).</w:t>
              </w:r>
            </w:hyperlink>
          </w:p>
        </w:tc>
      </w:tr>
      <w:tr>
        <w:trPr>
          <w:trHeight w:val="20"/>
        </w:trPr>
        <w:tc>
          <w:tcPr>
            <w:tcW w:w="1720" w:type="dxa"/>
            <w:vAlign w:val="bottom"/>
            <w:gridSpan w:val="2"/>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10.16†</w:t>
            </w: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8"/>
              </w:rPr>
            </w:pPr>
            <w:hyperlink r:id="rId44">
              <w:r>
                <w:rPr>
                  <w:rFonts w:ascii="Arial" w:cs="Arial" w:eastAsia="Arial" w:hAnsi="Arial"/>
                  <w:sz w:val="18"/>
                  <w:szCs w:val="18"/>
                  <w:color w:val="0000FF"/>
                  <w:w w:val="98"/>
                </w:rPr>
                <w:t>Form of Executive Agreement of Bradley J. Dodson (incorporated herein by reference to Exhibit 10.14 to the Registration</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0" w:type="dxa"/>
            <w:vAlign w:val="bottom"/>
            <w:tcBorders>
              <w:bottom w:val="single" w:sz="8" w:color="0000FF"/>
            </w:tcBorders>
            <w:gridSpan w:val="4"/>
          </w:tcPr>
          <w:p>
            <w:pPr>
              <w:ind w:left="20"/>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Statement on Form 10 (File No. 001-36246) filed on April 22, 2014).</w:t>
              </w:r>
            </w:hyperlink>
          </w:p>
        </w:tc>
        <w:tc>
          <w:tcPr>
            <w:tcW w:w="4540" w:type="dxa"/>
            <w:vAlign w:val="bottom"/>
            <w:gridSpan w:val="8"/>
          </w:tcPr>
          <w:p>
            <w:pPr>
              <w:spacing w:after="0"/>
              <w:rPr>
                <w:sz w:val="17"/>
                <w:szCs w:val="17"/>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10.17†</w:t>
            </w:r>
          </w:p>
        </w:tc>
        <w:tc>
          <w:tcPr>
            <w:tcW w:w="9540" w:type="dxa"/>
            <w:vAlign w:val="bottom"/>
            <w:tcBorders>
              <w:bottom w:val="single" w:sz="8" w:color="0000FF"/>
            </w:tcBorders>
            <w:gridSpan w:val="12"/>
          </w:tcPr>
          <w:p>
            <w:pPr>
              <w:ind w:left="20"/>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Form of Phantom Unit Agreement under the 2014 Equity Participation Plan of Civeo Corporation (incorporated herein by reference</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2"/>
          </w:tcPr>
          <w:p>
            <w:pPr>
              <w:ind w:left="20"/>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to Exhibit 10.17 to the Annual Report on Form 10-K (File No. 001-36246) filed on March 13, 2015).</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240" w:top="108" w:right="399" w:bottom="1440" w:gutter="0" w:footer="0" w:header="0"/>
        </w:sectPr>
      </w:pPr>
    </w:p>
    <w:p>
      <w:pPr>
        <w:spacing w:after="0" w:line="39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60"/>
          </w:cols>
          <w:pgMar w:left="240" w:top="108" w:right="39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574"/>
        </w:trPr>
        <w:tc>
          <w:tcPr>
            <w:tcW w:w="1280" w:type="dxa"/>
            <w:vAlign w:val="bottom"/>
            <w:tcBorders>
              <w:top w:val="single" w:sz="8" w:color="0000EE"/>
            </w:tcBorders>
          </w:tcPr>
          <w:p>
            <w:pPr>
              <w:ind w:left="160"/>
              <w:spacing w:after="0"/>
              <w:rPr>
                <w:sz w:val="20"/>
                <w:szCs w:val="20"/>
                <w:color w:val="auto"/>
              </w:rPr>
            </w:pPr>
            <w:r>
              <w:rPr>
                <w:rFonts w:ascii="Arial" w:cs="Arial" w:eastAsia="Arial" w:hAnsi="Arial"/>
                <w:sz w:val="18"/>
                <w:szCs w:val="18"/>
                <w:color w:val="auto"/>
              </w:rPr>
              <w:t>10.18†</w:t>
            </w:r>
          </w:p>
        </w:tc>
        <w:tc>
          <w:tcPr>
            <w:tcW w:w="440" w:type="dxa"/>
            <w:vAlign w:val="bottom"/>
          </w:tcPr>
          <w:p>
            <w:pPr>
              <w:spacing w:after="0"/>
              <w:rPr>
                <w:sz w:val="24"/>
                <w:szCs w:val="24"/>
                <w:color w:val="auto"/>
              </w:rPr>
            </w:pP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Executive Agreement between Civeo Corporation and Frank C. Steininger, dated May 4, 2015 (incorporated herein by reference to</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4"/>
          </w:tcPr>
          <w:p>
            <w:pPr>
              <w:ind w:left="20"/>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Exhibit 10.1 to the Current Report on Form 8-K (File No. 001-36246) filed on May 7, 2015).</w:t>
              </w:r>
            </w:hyperlink>
          </w:p>
        </w:tc>
      </w:tr>
      <w:tr>
        <w:trPr>
          <w:trHeight w:val="20"/>
        </w:trPr>
        <w:tc>
          <w:tcPr>
            <w:tcW w:w="172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10.19†</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2"/>
              </w:rPr>
            </w:pPr>
            <w:hyperlink r:id="rId47">
              <w:r>
                <w:rPr>
                  <w:rFonts w:ascii="Arial" w:cs="Arial" w:eastAsia="Arial" w:hAnsi="Arial"/>
                  <w:sz w:val="18"/>
                  <w:szCs w:val="18"/>
                  <w:color w:val="0000FF"/>
                  <w:w w:val="92"/>
                </w:rPr>
                <w:t>Executive Services Agreement, dated May 30, 2012, between Peter McCann and The Mac Services Group Pty Ltd. (incorporated</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4"/>
          </w:tcPr>
          <w:p>
            <w:pPr>
              <w:ind w:left="20"/>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herein by reference to Exhibit 10.3 to the Current Report on Form 8-K12B (File No. 001-36246) filed on July 17, 2015).</w:t>
              </w:r>
            </w:hyperlink>
          </w:p>
        </w:tc>
      </w:tr>
      <w:tr>
        <w:trPr>
          <w:trHeight w:val="20"/>
        </w:trPr>
        <w:tc>
          <w:tcPr>
            <w:tcW w:w="172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10.20†</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5"/>
              </w:rPr>
            </w:pPr>
            <w:hyperlink r:id="rId48">
              <w:r>
                <w:rPr>
                  <w:rFonts w:ascii="Arial" w:cs="Arial" w:eastAsia="Arial" w:hAnsi="Arial"/>
                  <w:sz w:val="18"/>
                  <w:szCs w:val="18"/>
                  <w:color w:val="0000FF"/>
                  <w:w w:val="95"/>
                </w:rPr>
                <w:t>Dual Employment Agreement of Bradley J. Dodson (incorporated herein by reference to Exhibit 10.4 to the Current Report on</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4"/>
          </w:tcPr>
          <w:p>
            <w:pPr>
              <w:ind w:left="20"/>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Form 8-K12B (File No. 001-36246) filed on July 17, 2015).</w:t>
              </w:r>
            </w:hyperlink>
          </w:p>
        </w:tc>
      </w:tr>
      <w:tr>
        <w:trPr>
          <w:trHeight w:val="20"/>
        </w:trPr>
        <w:tc>
          <w:tcPr>
            <w:tcW w:w="172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10.21†</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4"/>
              </w:rPr>
            </w:pPr>
            <w:hyperlink r:id="rId49">
              <w:r>
                <w:rPr>
                  <w:rFonts w:ascii="Arial" w:cs="Arial" w:eastAsia="Arial" w:hAnsi="Arial"/>
                  <w:sz w:val="18"/>
                  <w:szCs w:val="18"/>
                  <w:color w:val="0000FF"/>
                  <w:w w:val="94"/>
                </w:rPr>
                <w:t>Dual Employment Agreement of Frank C. Steininger (incorporated herein by reference to Exhibit 10.5 to the Current Report on</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4"/>
          </w:tcPr>
          <w:p>
            <w:pPr>
              <w:ind w:left="20"/>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Form 8-K12B (File No. 001-36246) filed on July 17, 2015).</w:t>
              </w:r>
            </w:hyperlink>
          </w:p>
        </w:tc>
      </w:tr>
      <w:tr>
        <w:trPr>
          <w:trHeight w:val="20"/>
        </w:trPr>
        <w:tc>
          <w:tcPr>
            <w:tcW w:w="172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10.22†</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2"/>
              </w:rPr>
            </w:pPr>
            <w:hyperlink r:id="rId50">
              <w:r>
                <w:rPr>
                  <w:rFonts w:ascii="Arial" w:cs="Arial" w:eastAsia="Arial" w:hAnsi="Arial"/>
                  <w:sz w:val="18"/>
                  <w:szCs w:val="18"/>
                  <w:color w:val="0000FF"/>
                  <w:w w:val="92"/>
                </w:rPr>
                <w:t>Executive Agreement between Civeo Corporation and Peter McCann, dated August 17, 2015 (incorporated herein by reference to</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4"/>
          </w:tcPr>
          <w:p>
            <w:pPr>
              <w:ind w:left="20"/>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Exhibit 10.1 to the Current Report on Form 8-K (File No. 001-36246) filed on August 27, 2015).</w:t>
              </w:r>
            </w:hyperlink>
          </w:p>
        </w:tc>
      </w:tr>
      <w:tr>
        <w:trPr>
          <w:trHeight w:val="20"/>
        </w:trPr>
        <w:tc>
          <w:tcPr>
            <w:tcW w:w="172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10.23†</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Variation to Executive Services Agreement between Civeo Pty Ltd and Peter McCann, dated August 17, 2015 (incorporated herein</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120" w:type="dxa"/>
            <w:vAlign w:val="bottom"/>
            <w:tcBorders>
              <w:bottom w:val="single" w:sz="8" w:color="0000FF"/>
            </w:tcBorders>
            <w:gridSpan w:val="10"/>
          </w:tcPr>
          <w:p>
            <w:pPr>
              <w:ind w:left="20"/>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by reference to Exhibit 10.2 to the Current Report on Form 8-K (File No. 001-36246) filed on August 27, 2015).</w:t>
              </w:r>
            </w:hyperlink>
          </w:p>
        </w:tc>
        <w:tc>
          <w:tcPr>
            <w:tcW w:w="1420" w:type="dxa"/>
            <w:vAlign w:val="bottom"/>
            <w:gridSpan w:val="4"/>
          </w:tcPr>
          <w:p>
            <w:pPr>
              <w:spacing w:after="0"/>
              <w:rPr>
                <w:sz w:val="17"/>
                <w:szCs w:val="17"/>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10.24†</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2"/>
              </w:rPr>
            </w:pPr>
            <w:hyperlink r:id="rId52">
              <w:r>
                <w:rPr>
                  <w:rFonts w:ascii="Arial" w:cs="Arial" w:eastAsia="Arial" w:hAnsi="Arial"/>
                  <w:sz w:val="18"/>
                  <w:szCs w:val="18"/>
                  <w:color w:val="0000FF"/>
                  <w:w w:val="92"/>
                </w:rPr>
                <w:t>Dual Employment Agreement (Canada) of Allan Schoening, dated July 16, 2015 (incorporated herein by reference to Exhibit 10.8</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40" w:type="dxa"/>
            <w:vAlign w:val="bottom"/>
            <w:tcBorders>
              <w:bottom w:val="single" w:sz="8" w:color="0000FF"/>
            </w:tcBorders>
            <w:gridSpan w:val="5"/>
          </w:tcPr>
          <w:p>
            <w:pPr>
              <w:ind w:left="20"/>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to the Quarterly Report on Form 10-Q (File No. 001-36246) filed on November 3, 2015).</w:t>
              </w:r>
            </w:hyperlink>
          </w:p>
        </w:tc>
        <w:tc>
          <w:tcPr>
            <w:tcW w:w="3100" w:type="dxa"/>
            <w:vAlign w:val="bottom"/>
            <w:gridSpan w:val="9"/>
          </w:tcPr>
          <w:p>
            <w:pPr>
              <w:spacing w:after="0"/>
              <w:rPr>
                <w:sz w:val="17"/>
                <w:szCs w:val="17"/>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10.25†</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2"/>
              </w:rPr>
            </w:pPr>
            <w:hyperlink r:id="rId53">
              <w:r>
                <w:rPr>
                  <w:rFonts w:ascii="Arial" w:cs="Arial" w:eastAsia="Arial" w:hAnsi="Arial"/>
                  <w:sz w:val="18"/>
                  <w:szCs w:val="18"/>
                  <w:color w:val="0000FF"/>
                  <w:w w:val="92"/>
                </w:rPr>
                <w:t>Dual Employment Agreement (United States) of Allan Schoening, dated July 16, 2015 (incorporated herein by reference to Exhibit</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0" w:type="dxa"/>
            <w:vAlign w:val="bottom"/>
            <w:tcBorders>
              <w:bottom w:val="single" w:sz="8" w:color="0000FF"/>
            </w:tcBorders>
            <w:gridSpan w:val="7"/>
          </w:tcPr>
          <w:p>
            <w:pPr>
              <w:ind w:left="20"/>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r>
                <w:rPr>
                  <w:rFonts w:ascii="Arial" w:cs="Arial" w:eastAsia="Arial" w:hAnsi="Arial"/>
                  <w:sz w:val="18"/>
                  <w:szCs w:val="18"/>
                  <w:color w:val="0000FF"/>
                  <w:w w:val="91"/>
                </w:rPr>
                <w:t xml:space="preserve"> to the Quarterly Report on Form 10-Q (File No. 001-36246) filed on November 3, 2015).</w:t>
              </w:r>
            </w:hyperlink>
          </w:p>
        </w:tc>
        <w:tc>
          <w:tcPr>
            <w:tcW w:w="2740" w:type="dxa"/>
            <w:vAlign w:val="bottom"/>
            <w:gridSpan w:val="7"/>
          </w:tcPr>
          <w:p>
            <w:pPr>
              <w:spacing w:after="0"/>
              <w:rPr>
                <w:sz w:val="17"/>
                <w:szCs w:val="17"/>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10.26†</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7"/>
              </w:rPr>
            </w:pPr>
            <w:hyperlink r:id="rId54">
              <w:r>
                <w:rPr>
                  <w:rFonts w:ascii="Arial" w:cs="Arial" w:eastAsia="Arial" w:hAnsi="Arial"/>
                  <w:sz w:val="18"/>
                  <w:szCs w:val="18"/>
                  <w:color w:val="0000FF"/>
                  <w:w w:val="97"/>
                </w:rPr>
                <w:t>Executive Change of Control Severance Agreement between Civeo Corporation and Allan Schoening, dated July 13, 2015</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bottom w:val="single" w:sz="8" w:color="0000FF"/>
            </w:tcBorders>
            <w:gridSpan w:val="14"/>
          </w:tcPr>
          <w:p>
            <w:pPr>
              <w:ind w:left="20"/>
              <w:spacing w:after="0" w:line="196" w:lineRule="exact"/>
              <w:rPr>
                <w:rFonts w:ascii="Arial" w:cs="Arial" w:eastAsia="Arial" w:hAnsi="Arial"/>
                <w:sz w:val="18"/>
                <w:szCs w:val="18"/>
                <w:color w:val="0000FF"/>
                <w:w w:val="93"/>
              </w:rPr>
            </w:pPr>
            <w:hyperlink r:id="rId54">
              <w:r>
                <w:rPr>
                  <w:rFonts w:ascii="Arial" w:cs="Arial" w:eastAsia="Arial" w:hAnsi="Arial"/>
                  <w:sz w:val="18"/>
                  <w:szCs w:val="18"/>
                  <w:color w:val="0000FF"/>
                  <w:w w:val="93"/>
                </w:rPr>
                <w:t>(incorporated herein by reference to Exhibit 10.11 to the Quarterly Report on Form 10-Q (File No. 001-36246) filed on November</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Borders>
              <w:bottom w:val="single" w:sz="8" w:color="0000FF"/>
            </w:tcBorders>
          </w:tcPr>
          <w:p>
            <w:pPr>
              <w:ind w:left="20"/>
              <w:spacing w:after="0" w:line="196" w:lineRule="exact"/>
              <w:rPr>
                <w:rFonts w:ascii="Arial" w:cs="Arial" w:eastAsia="Arial" w:hAnsi="Arial"/>
                <w:sz w:val="18"/>
                <w:szCs w:val="18"/>
                <w:color w:val="0000FF"/>
                <w:w w:val="87"/>
              </w:rPr>
            </w:pPr>
            <w:hyperlink r:id="rId54">
              <w:r>
                <w:rPr>
                  <w:rFonts w:ascii="Arial" w:cs="Arial" w:eastAsia="Arial" w:hAnsi="Arial"/>
                  <w:sz w:val="18"/>
                  <w:szCs w:val="18"/>
                  <w:color w:val="0000FF"/>
                  <w:w w:val="87"/>
                </w:rPr>
                <w:t>3, 2015).</w:t>
              </w:r>
            </w:hyperlink>
          </w:p>
        </w:tc>
        <w:tc>
          <w:tcPr>
            <w:tcW w:w="1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10.27†</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7"/>
              </w:rPr>
            </w:pPr>
            <w:hyperlink r:id="rId55">
              <w:r>
                <w:rPr>
                  <w:rFonts w:ascii="Arial" w:cs="Arial" w:eastAsia="Arial" w:hAnsi="Arial"/>
                  <w:sz w:val="18"/>
                  <w:szCs w:val="18"/>
                  <w:color w:val="0000FF"/>
                  <w:w w:val="97"/>
                </w:rPr>
                <w:t>Executive Agreement between Civeo Corporation and Allan Schoening, dated December 15, 2014 (incorporated herein by</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60" w:type="dxa"/>
            <w:vAlign w:val="bottom"/>
            <w:tcBorders>
              <w:bottom w:val="single" w:sz="8" w:color="0000FF"/>
            </w:tcBorders>
            <w:gridSpan w:val="11"/>
          </w:tcPr>
          <w:p>
            <w:pPr>
              <w:ind w:left="20"/>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reference to Exhibit 10.12 to the Quarterly Report on Form 10-Q (File No. 001-36246) filed on November 3, 2015).</w:t>
              </w:r>
            </w:hyperlink>
          </w:p>
        </w:tc>
        <w:tc>
          <w:tcPr>
            <w:tcW w:w="1180" w:type="dxa"/>
            <w:vAlign w:val="bottom"/>
            <w:gridSpan w:val="3"/>
          </w:tcPr>
          <w:p>
            <w:pPr>
              <w:spacing w:after="0"/>
              <w:rPr>
                <w:sz w:val="17"/>
                <w:szCs w:val="17"/>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10.28†</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2"/>
              </w:rPr>
            </w:pPr>
            <w:hyperlink r:id="rId56">
              <w:r>
                <w:rPr>
                  <w:rFonts w:ascii="Arial" w:cs="Arial" w:eastAsia="Arial" w:hAnsi="Arial"/>
                  <w:sz w:val="18"/>
                  <w:szCs w:val="18"/>
                  <w:color w:val="0000FF"/>
                  <w:w w:val="92"/>
                </w:rPr>
                <w:t>Amendment to Civeo Corporation 2014 Equity Participation Plan (incorporated herein by reference to Exhibit 10.33 to the Annual</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40" w:type="dxa"/>
            <w:vAlign w:val="bottom"/>
            <w:tcBorders>
              <w:bottom w:val="single" w:sz="8" w:color="0000FF"/>
            </w:tcBorders>
            <w:gridSpan w:val="9"/>
          </w:tcPr>
          <w:p>
            <w:pPr>
              <w:ind w:left="20"/>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Report on Form 10-K for the year ended December 31, 2016 (File No. 001-36246) filed on February 23, 2017).</w:t>
              </w:r>
            </w:hyperlink>
          </w:p>
        </w:tc>
        <w:tc>
          <w:tcPr>
            <w:tcW w:w="1500" w:type="dxa"/>
            <w:vAlign w:val="bottom"/>
            <w:gridSpan w:val="5"/>
          </w:tcPr>
          <w:p>
            <w:pPr>
              <w:spacing w:after="0"/>
              <w:rPr>
                <w:sz w:val="17"/>
                <w:szCs w:val="17"/>
                <w:color w:val="auto"/>
              </w:rPr>
            </w:pPr>
          </w:p>
        </w:tc>
      </w:tr>
      <w:tr>
        <w:trPr>
          <w:trHeight w:val="588"/>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10.29†</w:t>
            </w: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4"/>
              </w:rPr>
            </w:pPr>
            <w:hyperlink r:id="rId57">
              <w:r>
                <w:rPr>
                  <w:rFonts w:ascii="Arial" w:cs="Arial" w:eastAsia="Arial" w:hAnsi="Arial"/>
                  <w:sz w:val="18"/>
                  <w:szCs w:val="18"/>
                  <w:color w:val="0000FF"/>
                  <w:w w:val="94"/>
                </w:rPr>
                <w:t>Amendment No. 2 to Civeo Corporation 2014 Equity Participation Plan (incorporated herein by reference to Exhibit 10.2 to the</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60" w:type="dxa"/>
            <w:vAlign w:val="bottom"/>
            <w:tcBorders>
              <w:bottom w:val="single" w:sz="8" w:color="0000FF"/>
            </w:tcBorders>
            <w:gridSpan w:val="13"/>
          </w:tcPr>
          <w:p>
            <w:pPr>
              <w:ind w:left="20"/>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Quarterly Report on Form 10-Q for the quarterly period ended June 30, 2018 (File No. 001-36246) filed on July 27, 2018).</w:t>
              </w:r>
            </w:hyperlink>
          </w:p>
        </w:tc>
        <w:tc>
          <w:tcPr>
            <w:tcW w:w="680" w:type="dxa"/>
            <w:vAlign w:val="bottom"/>
          </w:tcPr>
          <w:p>
            <w:pPr>
              <w:spacing w:after="0"/>
              <w:rPr>
                <w:sz w:val="17"/>
                <w:szCs w:val="17"/>
                <w:color w:val="auto"/>
              </w:rPr>
            </w:pPr>
          </w:p>
        </w:tc>
      </w:tr>
      <w:tr>
        <w:trPr>
          <w:trHeight w:val="372"/>
        </w:trPr>
        <w:tc>
          <w:tcPr>
            <w:tcW w:w="1280" w:type="dxa"/>
            <w:vAlign w:val="bottom"/>
          </w:tcPr>
          <w:p>
            <w:pPr>
              <w:ind w:left="160"/>
              <w:spacing w:after="0"/>
              <w:rPr>
                <w:sz w:val="20"/>
                <w:szCs w:val="20"/>
                <w:color w:val="auto"/>
              </w:rPr>
            </w:pPr>
            <w:r>
              <w:rPr>
                <w:rFonts w:ascii="Arial" w:cs="Arial" w:eastAsia="Arial" w:hAnsi="Arial"/>
                <w:sz w:val="18"/>
                <w:szCs w:val="18"/>
                <w:color w:val="auto"/>
              </w:rPr>
              <w:t>10.30</w:t>
            </w:r>
          </w:p>
        </w:tc>
        <w:tc>
          <w:tcPr>
            <w:tcW w:w="440" w:type="dxa"/>
            <w:vAlign w:val="bottom"/>
          </w:tcPr>
          <w:p>
            <w:pPr>
              <w:spacing w:after="0"/>
              <w:rPr>
                <w:sz w:val="24"/>
                <w:szCs w:val="24"/>
                <w:color w:val="auto"/>
              </w:rPr>
            </w:pP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9"/>
              </w:rPr>
            </w:pPr>
            <w:hyperlink r:id="rId58">
              <w:r>
                <w:rPr>
                  <w:rFonts w:ascii="Arial" w:cs="Arial" w:eastAsia="Arial" w:hAnsi="Arial"/>
                  <w:sz w:val="18"/>
                  <w:szCs w:val="18"/>
                  <w:color w:val="0000FF"/>
                  <w:w w:val="99"/>
                </w:rPr>
                <w:t>Amended and Restated Syndicated Facility Agreement, dated April 2, 2018, among Civeo Corporation and certain of its</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bottom w:val="single" w:sz="8" w:color="0000FF"/>
            </w:tcBorders>
            <w:gridSpan w:val="14"/>
          </w:tcPr>
          <w:p>
            <w:pPr>
              <w:ind w:left="20"/>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subsidiaries, as borrowers, the guarantors party thereto, the lenders named therein, Royal Bank of Canada, as Administrative Agent,</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bottom w:val="single" w:sz="8" w:color="0000FF"/>
            </w:tcBorders>
            <w:gridSpan w:val="14"/>
          </w:tcPr>
          <w:p>
            <w:pPr>
              <w:ind w:left="20"/>
              <w:spacing w:after="0" w:line="196"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and the other agents party thereto (incorporated herein by reference to Exhibit 10.1 to the Current Report on Form 8-K (File No.</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4"/>
          </w:tcPr>
          <w:p>
            <w:pPr>
              <w:ind w:left="20"/>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001-36246) filed on April 2, 2018).</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480" w:type="dxa"/>
            <w:vAlign w:val="bottom"/>
            <w:gridSpan w:val="10"/>
          </w:tcPr>
          <w:p>
            <w:pPr>
              <w:spacing w:after="0" w:line="20" w:lineRule="exact"/>
              <w:rPr>
                <w:sz w:val="1"/>
                <w:szCs w:val="1"/>
                <w:color w:val="auto"/>
              </w:rPr>
            </w:pPr>
          </w:p>
        </w:tc>
      </w:tr>
      <w:tr>
        <w:trPr>
          <w:trHeight w:val="628"/>
        </w:trPr>
        <w:tc>
          <w:tcPr>
            <w:tcW w:w="1280" w:type="dxa"/>
            <w:vAlign w:val="bottom"/>
          </w:tcPr>
          <w:p>
            <w:pPr>
              <w:ind w:left="160"/>
              <w:spacing w:after="0"/>
              <w:rPr>
                <w:sz w:val="20"/>
                <w:szCs w:val="20"/>
                <w:color w:val="auto"/>
              </w:rPr>
            </w:pPr>
            <w:r>
              <w:rPr>
                <w:rFonts w:ascii="Arial" w:cs="Arial" w:eastAsia="Arial" w:hAnsi="Arial"/>
                <w:sz w:val="18"/>
                <w:szCs w:val="18"/>
                <w:color w:val="auto"/>
              </w:rPr>
              <w:t>10.31</w:t>
            </w:r>
          </w:p>
        </w:tc>
        <w:tc>
          <w:tcPr>
            <w:tcW w:w="440" w:type="dxa"/>
            <w:vAlign w:val="bottom"/>
          </w:tcPr>
          <w:p>
            <w:pPr>
              <w:spacing w:after="0"/>
              <w:rPr>
                <w:sz w:val="24"/>
                <w:szCs w:val="24"/>
                <w:color w:val="auto"/>
              </w:rPr>
            </w:pPr>
          </w:p>
        </w:tc>
        <w:tc>
          <w:tcPr>
            <w:tcW w:w="9540" w:type="dxa"/>
            <w:vAlign w:val="bottom"/>
            <w:tcBorders>
              <w:bottom w:val="single" w:sz="8" w:color="0000FF"/>
            </w:tcBorders>
            <w:gridSpan w:val="14"/>
          </w:tcPr>
          <w:p>
            <w:pPr>
              <w:ind w:left="20"/>
              <w:spacing w:after="0"/>
              <w:rPr>
                <w:rFonts w:ascii="Arial" w:cs="Arial" w:eastAsia="Arial" w:hAnsi="Arial"/>
                <w:sz w:val="18"/>
                <w:szCs w:val="18"/>
                <w:color w:val="0000FF"/>
                <w:w w:val="99"/>
              </w:rPr>
            </w:pPr>
            <w:hyperlink r:id="rId59">
              <w:r>
                <w:rPr>
                  <w:rFonts w:ascii="Arial" w:cs="Arial" w:eastAsia="Arial" w:hAnsi="Arial"/>
                  <w:sz w:val="18"/>
                  <w:szCs w:val="18"/>
                  <w:color w:val="0000FF"/>
                  <w:w w:val="99"/>
                </w:rPr>
                <w:t>First Amendment to Amended and Restated Syndicated Facility Agreement, dated as of October 26, 2018, among Civeo</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bottom w:val="single" w:sz="8" w:color="0000FF"/>
            </w:tcBorders>
            <w:gridSpan w:val="14"/>
          </w:tcPr>
          <w:p>
            <w:pPr>
              <w:ind w:left="20"/>
              <w:spacing w:after="0" w:line="196" w:lineRule="exact"/>
              <w:rPr>
                <w:rFonts w:ascii="Arial" w:cs="Arial" w:eastAsia="Arial" w:hAnsi="Arial"/>
                <w:sz w:val="18"/>
                <w:szCs w:val="18"/>
                <w:color w:val="0000FF"/>
                <w:w w:val="93"/>
              </w:rPr>
            </w:pPr>
            <w:hyperlink r:id="rId59">
              <w:r>
                <w:rPr>
                  <w:rFonts w:ascii="Arial" w:cs="Arial" w:eastAsia="Arial" w:hAnsi="Arial"/>
                  <w:sz w:val="18"/>
                  <w:szCs w:val="18"/>
                  <w:color w:val="0000FF"/>
                  <w:w w:val="93"/>
                </w:rPr>
                <w:t>Corporation and certain of its subsidiaries, as borrowers, the guarantors party thereto, the lenders named therein, Royal Bank of</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bottom w:val="single" w:sz="8" w:color="0000FF"/>
            </w:tcBorders>
            <w:gridSpan w:val="14"/>
          </w:tcPr>
          <w:p>
            <w:pPr>
              <w:ind w:left="20"/>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Canada, as Administrative Agent, and the other agents party thereto (incorporated herein by reference to Exhibit 10.1 to the Current</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4"/>
          </w:tcPr>
          <w:p>
            <w:pPr>
              <w:ind w:left="20"/>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Report on Form 8-K (File No. 001-36246) filed on October 31, 2018).</w:t>
              </w:r>
            </w:hyperlink>
          </w:p>
        </w:tc>
      </w:tr>
      <w:tr>
        <w:trPr>
          <w:trHeight w:val="696"/>
        </w:trPr>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20" w:type="dxa"/>
            <w:vAlign w:val="bottom"/>
            <w:tcBorders>
              <w:top w:val="single" w:sz="8" w:color="0000FF"/>
            </w:tcBorders>
            <w:gridSpan w:val="3"/>
          </w:tcPr>
          <w:p>
            <w:pPr>
              <w:ind w:left="3900"/>
              <w:spacing w:after="0"/>
              <w:rPr>
                <w:sz w:val="20"/>
                <w:szCs w:val="20"/>
                <w:color w:val="auto"/>
              </w:rPr>
            </w:pPr>
            <w:r>
              <w:rPr>
                <w:rFonts w:ascii="Arial" w:cs="Arial" w:eastAsia="Arial" w:hAnsi="Arial"/>
                <w:sz w:val="18"/>
                <w:szCs w:val="18"/>
                <w:color w:val="auto"/>
              </w:rPr>
              <w:t>73</w:t>
            </w:r>
          </w:p>
        </w:tc>
        <w:tc>
          <w:tcPr>
            <w:tcW w:w="74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260"/>
          </w:cols>
          <w:pgMar w:left="240" w:top="108" w:right="39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574"/>
        </w:trPr>
        <w:tc>
          <w:tcPr>
            <w:tcW w:w="1280" w:type="dxa"/>
            <w:vAlign w:val="bottom"/>
            <w:tcBorders>
              <w:top w:val="single" w:sz="8" w:color="0000EE"/>
            </w:tcBorders>
          </w:tcPr>
          <w:p>
            <w:pPr>
              <w:ind w:left="160"/>
              <w:spacing w:after="0"/>
              <w:rPr>
                <w:sz w:val="20"/>
                <w:szCs w:val="20"/>
                <w:color w:val="auto"/>
              </w:rPr>
            </w:pPr>
            <w:r>
              <w:rPr>
                <w:rFonts w:ascii="Arial" w:cs="Arial" w:eastAsia="Arial" w:hAnsi="Arial"/>
                <w:sz w:val="18"/>
                <w:szCs w:val="18"/>
                <w:color w:val="auto"/>
              </w:rPr>
              <w:t>10.32</w:t>
            </w:r>
          </w:p>
        </w:tc>
        <w:tc>
          <w:tcPr>
            <w:tcW w:w="440" w:type="dxa"/>
            <w:vAlign w:val="bottom"/>
          </w:tcPr>
          <w:p>
            <w:pPr>
              <w:spacing w:after="0"/>
              <w:rPr>
                <w:sz w:val="24"/>
                <w:szCs w:val="24"/>
                <w:color w:val="auto"/>
              </w:rPr>
            </w:pPr>
          </w:p>
        </w:tc>
        <w:tc>
          <w:tcPr>
            <w:tcW w:w="9540" w:type="dxa"/>
            <w:vAlign w:val="bottom"/>
            <w:tcBorders>
              <w:bottom w:val="single" w:sz="8" w:color="0000FF"/>
            </w:tcBorders>
            <w:gridSpan w:val="7"/>
          </w:tcPr>
          <w:p>
            <w:pPr>
              <w:ind w:left="20"/>
              <w:spacing w:after="0"/>
              <w:rPr>
                <w:rFonts w:ascii="Arial" w:cs="Arial" w:eastAsia="Arial" w:hAnsi="Arial"/>
                <w:sz w:val="18"/>
                <w:szCs w:val="18"/>
                <w:color w:val="0000FF"/>
                <w:w w:val="94"/>
              </w:rPr>
            </w:pPr>
            <w:hyperlink r:id="rId60">
              <w:r>
                <w:rPr>
                  <w:rFonts w:ascii="Arial" w:cs="Arial" w:eastAsia="Arial" w:hAnsi="Arial"/>
                  <w:sz w:val="18"/>
                  <w:szCs w:val="18"/>
                  <w:color w:val="0000FF"/>
                  <w:w w:val="94"/>
                </w:rPr>
                <w:t>Second Amendment to Amended and Restated Syndicated Facility Agreement, dated as of September 30, 2019, among Civeo</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bottom w:val="single" w:sz="8" w:color="0000FF"/>
            </w:tcBorders>
            <w:gridSpan w:val="7"/>
          </w:tcPr>
          <w:p>
            <w:pPr>
              <w:ind w:left="20"/>
              <w:spacing w:after="0" w:line="196" w:lineRule="exact"/>
              <w:rPr>
                <w:rFonts w:ascii="Arial" w:cs="Arial" w:eastAsia="Arial" w:hAnsi="Arial"/>
                <w:sz w:val="18"/>
                <w:szCs w:val="18"/>
                <w:color w:val="0000FF"/>
                <w:w w:val="93"/>
              </w:rPr>
            </w:pPr>
            <w:hyperlink r:id="rId60">
              <w:r>
                <w:rPr>
                  <w:rFonts w:ascii="Arial" w:cs="Arial" w:eastAsia="Arial" w:hAnsi="Arial"/>
                  <w:sz w:val="18"/>
                  <w:szCs w:val="18"/>
                  <w:color w:val="0000FF"/>
                  <w:w w:val="93"/>
                </w:rPr>
                <w:t>Corporation and certain of its subsidiaries, as borrowers, the guarantors party thereto, the lenders named therein, Royal Bank of</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bottom w:val="single" w:sz="8" w:color="0000FF"/>
            </w:tcBorders>
            <w:gridSpan w:val="7"/>
          </w:tcPr>
          <w:p>
            <w:pPr>
              <w:ind w:left="20"/>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Canada, as Administrative Agent, and the other agents party thereto (incorporated herein by reference to Exhibit 10.1 to the Current</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80" w:type="dxa"/>
            <w:vAlign w:val="bottom"/>
            <w:tcBorders>
              <w:bottom w:val="single" w:sz="8" w:color="0000FF"/>
            </w:tcBorders>
            <w:gridSpan w:val="4"/>
          </w:tcPr>
          <w:p>
            <w:pPr>
              <w:ind w:left="20"/>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Report on Form 8-K (File No. 001-36246) filed on October 2, 2019).</w:t>
              </w:r>
            </w:hyperlink>
          </w:p>
        </w:tc>
        <w:tc>
          <w:tcPr>
            <w:tcW w:w="4560" w:type="dxa"/>
            <w:vAlign w:val="bottom"/>
            <w:gridSpan w:val="3"/>
          </w:tcPr>
          <w:p>
            <w:pPr>
              <w:spacing w:after="0"/>
              <w:rPr>
                <w:sz w:val="17"/>
                <w:szCs w:val="17"/>
                <w:color w:val="auto"/>
              </w:rPr>
            </w:pPr>
          </w:p>
        </w:tc>
      </w:tr>
      <w:tr>
        <w:trPr>
          <w:trHeight w:val="372"/>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10.33†</w:t>
            </w:r>
          </w:p>
        </w:tc>
        <w:tc>
          <w:tcPr>
            <w:tcW w:w="9540" w:type="dxa"/>
            <w:vAlign w:val="bottom"/>
            <w:tcBorders>
              <w:bottom w:val="single" w:sz="8" w:color="0000FF"/>
            </w:tcBorders>
            <w:gridSpan w:val="7"/>
          </w:tcPr>
          <w:p>
            <w:pPr>
              <w:ind w:left="20"/>
              <w:spacing w:after="0"/>
              <w:rPr>
                <w:rFonts w:ascii="Arial" w:cs="Arial" w:eastAsia="Arial" w:hAnsi="Arial"/>
                <w:sz w:val="18"/>
                <w:szCs w:val="18"/>
                <w:color w:val="0000FF"/>
                <w:w w:val="96"/>
              </w:rPr>
            </w:pPr>
            <w:hyperlink r:id="rId61">
              <w:r>
                <w:rPr>
                  <w:rFonts w:ascii="Arial" w:cs="Arial" w:eastAsia="Arial" w:hAnsi="Arial"/>
                  <w:sz w:val="18"/>
                  <w:szCs w:val="18"/>
                  <w:color w:val="0000FF"/>
                  <w:w w:val="96"/>
                </w:rPr>
                <w:t>Form of Director Deferred Share Agreement (United States) (incorporated herein by reference to Exhibit 10.31 to the Annual</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7"/>
          </w:tcPr>
          <w:p>
            <w:pPr>
              <w:ind w:left="20"/>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Report on Form 10-K for the year ended December 31, 2018 (File No. 001-36246).</w:t>
              </w:r>
            </w:hyperlink>
          </w:p>
        </w:tc>
      </w:tr>
      <w:tr>
        <w:trPr>
          <w:trHeight w:val="20"/>
        </w:trPr>
        <w:tc>
          <w:tcPr>
            <w:tcW w:w="1720" w:type="dxa"/>
            <w:vAlign w:val="bottom"/>
            <w:gridSpan w:val="2"/>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72"/>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10.34†</w:t>
            </w:r>
          </w:p>
        </w:tc>
        <w:tc>
          <w:tcPr>
            <w:tcW w:w="9540" w:type="dxa"/>
            <w:vAlign w:val="bottom"/>
            <w:tcBorders>
              <w:bottom w:val="single" w:sz="8" w:color="0000FF"/>
            </w:tcBorders>
            <w:gridSpan w:val="7"/>
          </w:tcPr>
          <w:p>
            <w:pPr>
              <w:ind w:left="20"/>
              <w:spacing w:after="0"/>
              <w:rPr>
                <w:rFonts w:ascii="Arial" w:cs="Arial" w:eastAsia="Arial" w:hAnsi="Arial"/>
                <w:sz w:val="18"/>
                <w:szCs w:val="18"/>
                <w:color w:val="0000FF"/>
                <w:w w:val="92"/>
              </w:rPr>
            </w:pPr>
            <w:hyperlink r:id="rId62">
              <w:r>
                <w:rPr>
                  <w:rFonts w:ascii="Arial" w:cs="Arial" w:eastAsia="Arial" w:hAnsi="Arial"/>
                  <w:sz w:val="18"/>
                  <w:szCs w:val="18"/>
                  <w:color w:val="0000FF"/>
                  <w:w w:val="92"/>
                </w:rPr>
                <w:t>Form of Director Deferred Share Agreement (Canada) (incorporated herein by reference to Exhibit 10.32 to the Annual Report on</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7"/>
          </w:tcPr>
          <w:p>
            <w:pPr>
              <w:ind w:left="20"/>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Form 10-K for the year ended December 31, 2018 (File No. 001-36246).</w:t>
              </w:r>
            </w:hyperlink>
          </w:p>
        </w:tc>
      </w:tr>
      <w:tr>
        <w:trPr>
          <w:trHeight w:val="372"/>
        </w:trPr>
        <w:tc>
          <w:tcPr>
            <w:tcW w:w="1280" w:type="dxa"/>
            <w:vAlign w:val="bottom"/>
          </w:tcPr>
          <w:p>
            <w:pPr>
              <w:ind w:left="160"/>
              <w:spacing w:after="0"/>
              <w:rPr>
                <w:sz w:val="20"/>
                <w:szCs w:val="20"/>
                <w:color w:val="auto"/>
              </w:rPr>
            </w:pPr>
            <w:r>
              <w:rPr>
                <w:rFonts w:ascii="Arial" w:cs="Arial" w:eastAsia="Arial" w:hAnsi="Arial"/>
                <w:sz w:val="18"/>
                <w:szCs w:val="18"/>
                <w:color w:val="auto"/>
              </w:rPr>
              <w:t>21.1*</w:t>
            </w:r>
          </w:p>
        </w:tc>
        <w:tc>
          <w:tcPr>
            <w:tcW w:w="440" w:type="dxa"/>
            <w:vAlign w:val="bottom"/>
          </w:tcPr>
          <w:p>
            <w:pPr>
              <w:spacing w:after="0"/>
              <w:rPr>
                <w:sz w:val="24"/>
                <w:szCs w:val="24"/>
                <w:color w:val="auto"/>
              </w:rPr>
            </w:pPr>
          </w:p>
        </w:tc>
        <w:tc>
          <w:tcPr>
            <w:tcW w:w="3880" w:type="dxa"/>
            <w:vAlign w:val="bottom"/>
            <w:tcBorders>
              <w:top w:val="single" w:sz="8" w:color="0000FF"/>
              <w:bottom w:val="single" w:sz="8" w:color="0000FF"/>
            </w:tcBorders>
            <w:gridSpan w:val="3"/>
          </w:tcPr>
          <w:p>
            <w:pPr>
              <w:ind w:left="20"/>
              <w:spacing w:after="0"/>
              <w:rPr>
                <w:rFonts w:ascii="Arial" w:cs="Arial" w:eastAsia="Arial" w:hAnsi="Arial"/>
                <w:sz w:val="18"/>
                <w:szCs w:val="18"/>
                <w:color w:val="0000FF"/>
                <w:w w:val="92"/>
              </w:rPr>
            </w:pPr>
            <w:hyperlink w:anchor="page122">
              <w:r>
                <w:rPr>
                  <w:rFonts w:ascii="Arial" w:cs="Arial" w:eastAsia="Arial" w:hAnsi="Arial"/>
                  <w:sz w:val="18"/>
                  <w:szCs w:val="18"/>
                  <w:color w:val="0000FF"/>
                  <w:w w:val="92"/>
                </w:rPr>
                <w:t>List of Significant Subsidiaries of Civeo Corporation.</w:t>
              </w:r>
            </w:hyperlink>
          </w:p>
        </w:tc>
        <w:tc>
          <w:tcPr>
            <w:tcW w:w="1360" w:type="dxa"/>
            <w:vAlign w:val="bottom"/>
            <w:tcBorders>
              <w:top w:val="single" w:sz="8" w:color="0000FF"/>
            </w:tcBorders>
            <w:gridSpan w:val="2"/>
          </w:tcPr>
          <w:p>
            <w:pPr>
              <w:spacing w:after="0"/>
              <w:rPr>
                <w:sz w:val="24"/>
                <w:szCs w:val="24"/>
                <w:color w:val="auto"/>
              </w:rPr>
            </w:pPr>
          </w:p>
        </w:tc>
        <w:tc>
          <w:tcPr>
            <w:tcW w:w="4300" w:type="dxa"/>
            <w:vAlign w:val="bottom"/>
            <w:gridSpan w:val="2"/>
          </w:tcPr>
          <w:p>
            <w:pPr>
              <w:spacing w:after="0"/>
              <w:rPr>
                <w:sz w:val="24"/>
                <w:szCs w:val="24"/>
                <w:color w:val="auto"/>
              </w:rPr>
            </w:pPr>
          </w:p>
        </w:tc>
      </w:tr>
      <w:tr>
        <w:trPr>
          <w:trHeight w:val="372"/>
        </w:trPr>
        <w:tc>
          <w:tcPr>
            <w:tcW w:w="1280" w:type="dxa"/>
            <w:vAlign w:val="bottom"/>
          </w:tcPr>
          <w:p>
            <w:pPr>
              <w:ind w:left="160"/>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2320" w:type="dxa"/>
            <w:vAlign w:val="bottom"/>
            <w:tcBorders>
              <w:bottom w:val="single" w:sz="8" w:color="0000FF"/>
            </w:tcBorders>
            <w:gridSpan w:val="2"/>
          </w:tcPr>
          <w:p>
            <w:pPr>
              <w:ind w:left="20"/>
              <w:spacing w:after="0"/>
              <w:rPr>
                <w:rFonts w:ascii="Arial" w:cs="Arial" w:eastAsia="Arial" w:hAnsi="Arial"/>
                <w:sz w:val="18"/>
                <w:szCs w:val="18"/>
                <w:color w:val="0000FF"/>
                <w:w w:val="91"/>
              </w:rPr>
            </w:pPr>
            <w:hyperlink w:anchor="page123">
              <w:r>
                <w:rPr>
                  <w:rFonts w:ascii="Arial" w:cs="Arial" w:eastAsia="Arial" w:hAnsi="Arial"/>
                  <w:sz w:val="18"/>
                  <w:szCs w:val="18"/>
                  <w:color w:val="0000FF"/>
                  <w:w w:val="91"/>
                </w:rPr>
                <w:t>Consent of Ernst &amp; Young LLP.</w:t>
              </w:r>
            </w:hyperlink>
          </w:p>
        </w:tc>
        <w:tc>
          <w:tcPr>
            <w:tcW w:w="7220" w:type="dxa"/>
            <w:vAlign w:val="bottom"/>
            <w:gridSpan w:val="5"/>
          </w:tcPr>
          <w:p>
            <w:pPr>
              <w:spacing w:after="0"/>
              <w:rPr>
                <w:sz w:val="24"/>
                <w:szCs w:val="24"/>
                <w:color w:val="auto"/>
              </w:rPr>
            </w:pPr>
          </w:p>
        </w:tc>
      </w:tr>
      <w:tr>
        <w:trPr>
          <w:trHeight w:val="372"/>
        </w:trPr>
        <w:tc>
          <w:tcPr>
            <w:tcW w:w="1280" w:type="dxa"/>
            <w:vAlign w:val="bottom"/>
          </w:tcPr>
          <w:p>
            <w:pPr>
              <w:ind w:left="160"/>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9540" w:type="dxa"/>
            <w:vAlign w:val="bottom"/>
            <w:tcBorders>
              <w:bottom w:val="single" w:sz="8" w:color="0000FF"/>
            </w:tcBorders>
            <w:gridSpan w:val="7"/>
          </w:tcPr>
          <w:p>
            <w:pPr>
              <w:ind w:left="20"/>
              <w:spacing w:after="0"/>
              <w:rPr>
                <w:rFonts w:ascii="Arial" w:cs="Arial" w:eastAsia="Arial" w:hAnsi="Arial"/>
                <w:sz w:val="18"/>
                <w:szCs w:val="18"/>
                <w:color w:val="0000FF"/>
                <w:w w:val="97"/>
              </w:rPr>
            </w:pPr>
            <w:hyperlink w:anchor="page124">
              <w:r>
                <w:rPr>
                  <w:rFonts w:ascii="Arial" w:cs="Arial" w:eastAsia="Arial" w:hAnsi="Arial"/>
                  <w:sz w:val="18"/>
                  <w:szCs w:val="18"/>
                  <w:color w:val="0000FF"/>
                  <w:w w:val="97"/>
                </w:rPr>
                <w:t>Certification of Chief Executive Officer of Civeo Corporation pursuant to Rules 13a-14(a) or 15d-14(a) under the Securities</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7"/>
          </w:tcPr>
          <w:p>
            <w:pPr>
              <w:ind w:left="20"/>
              <w:spacing w:after="0" w:line="196" w:lineRule="exact"/>
              <w:rPr>
                <w:rFonts w:ascii="Arial" w:cs="Arial" w:eastAsia="Arial" w:hAnsi="Arial"/>
                <w:sz w:val="18"/>
                <w:szCs w:val="18"/>
                <w:color w:val="0000FF"/>
              </w:rPr>
            </w:pPr>
            <w:hyperlink w:anchor="page124">
              <w:r>
                <w:rPr>
                  <w:rFonts w:ascii="Arial" w:cs="Arial" w:eastAsia="Arial" w:hAnsi="Arial"/>
                  <w:sz w:val="18"/>
                  <w:szCs w:val="18"/>
                  <w:color w:val="0000FF"/>
                </w:rPr>
                <w:t>Exchange Act of 1934.</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880" w:type="dxa"/>
            <w:vAlign w:val="bottom"/>
            <w:gridSpan w:val="6"/>
          </w:tcPr>
          <w:p>
            <w:pPr>
              <w:spacing w:after="0" w:line="20" w:lineRule="exact"/>
              <w:rPr>
                <w:sz w:val="1"/>
                <w:szCs w:val="1"/>
                <w:color w:val="auto"/>
              </w:rPr>
            </w:pPr>
          </w:p>
        </w:tc>
      </w:tr>
      <w:tr>
        <w:trPr>
          <w:trHeight w:val="372"/>
        </w:trPr>
        <w:tc>
          <w:tcPr>
            <w:tcW w:w="1280" w:type="dxa"/>
            <w:vAlign w:val="bottom"/>
          </w:tcPr>
          <w:p>
            <w:pPr>
              <w:ind w:left="160"/>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9540" w:type="dxa"/>
            <w:vAlign w:val="bottom"/>
            <w:tcBorders>
              <w:bottom w:val="single" w:sz="8" w:color="0000FF"/>
            </w:tcBorders>
            <w:gridSpan w:val="7"/>
          </w:tcPr>
          <w:p>
            <w:pPr>
              <w:ind w:left="20"/>
              <w:spacing w:after="0"/>
              <w:rPr>
                <w:rFonts w:ascii="Arial" w:cs="Arial" w:eastAsia="Arial" w:hAnsi="Arial"/>
                <w:sz w:val="18"/>
                <w:szCs w:val="18"/>
                <w:color w:val="0000FF"/>
                <w:w w:val="98"/>
              </w:rPr>
            </w:pPr>
            <w:hyperlink w:anchor="page126">
              <w:r>
                <w:rPr>
                  <w:rFonts w:ascii="Arial" w:cs="Arial" w:eastAsia="Arial" w:hAnsi="Arial"/>
                  <w:sz w:val="18"/>
                  <w:szCs w:val="18"/>
                  <w:color w:val="0000FF"/>
                  <w:w w:val="98"/>
                </w:rPr>
                <w:t>Certification of Chief Financial Officer of Civeo Corporation pursuant to Rules 13a-14(a) or 15d-14(a) under the Securities</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7"/>
          </w:tcPr>
          <w:p>
            <w:pPr>
              <w:ind w:left="20"/>
              <w:spacing w:after="0" w:line="196" w:lineRule="exact"/>
              <w:rPr>
                <w:rFonts w:ascii="Arial" w:cs="Arial" w:eastAsia="Arial" w:hAnsi="Arial"/>
                <w:sz w:val="18"/>
                <w:szCs w:val="18"/>
                <w:color w:val="0000FF"/>
              </w:rPr>
            </w:pPr>
            <w:hyperlink w:anchor="page126">
              <w:r>
                <w:rPr>
                  <w:rFonts w:ascii="Arial" w:cs="Arial" w:eastAsia="Arial" w:hAnsi="Arial"/>
                  <w:sz w:val="18"/>
                  <w:szCs w:val="18"/>
                  <w:color w:val="0000FF"/>
                </w:rPr>
                <w:t>Exchange Act of 1934.</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880" w:type="dxa"/>
            <w:vAlign w:val="bottom"/>
            <w:gridSpan w:val="6"/>
          </w:tcPr>
          <w:p>
            <w:pPr>
              <w:spacing w:after="0" w:line="20" w:lineRule="exact"/>
              <w:rPr>
                <w:sz w:val="1"/>
                <w:szCs w:val="1"/>
                <w:color w:val="auto"/>
              </w:rPr>
            </w:pPr>
          </w:p>
        </w:tc>
      </w:tr>
      <w:tr>
        <w:trPr>
          <w:trHeight w:val="372"/>
        </w:trPr>
        <w:tc>
          <w:tcPr>
            <w:tcW w:w="1280" w:type="dxa"/>
            <w:vAlign w:val="bottom"/>
          </w:tcPr>
          <w:p>
            <w:pPr>
              <w:ind w:left="160"/>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9540" w:type="dxa"/>
            <w:vAlign w:val="bottom"/>
            <w:tcBorders>
              <w:bottom w:val="single" w:sz="8" w:color="0000FF"/>
            </w:tcBorders>
            <w:gridSpan w:val="7"/>
          </w:tcPr>
          <w:p>
            <w:pPr>
              <w:ind w:left="20"/>
              <w:spacing w:after="0"/>
              <w:rPr>
                <w:rFonts w:ascii="Arial" w:cs="Arial" w:eastAsia="Arial" w:hAnsi="Arial"/>
                <w:sz w:val="18"/>
                <w:szCs w:val="18"/>
                <w:color w:val="0000FF"/>
                <w:w w:val="97"/>
              </w:rPr>
            </w:pPr>
            <w:hyperlink w:anchor="page128">
              <w:r>
                <w:rPr>
                  <w:rFonts w:ascii="Arial" w:cs="Arial" w:eastAsia="Arial" w:hAnsi="Arial"/>
                  <w:sz w:val="18"/>
                  <w:szCs w:val="18"/>
                  <w:color w:val="0000FF"/>
                  <w:w w:val="97"/>
                </w:rPr>
                <w:t>Certification of Chief Executive Officer of Civeo Corporation pursuant to Rules 13a-14(b) or 15d-14(b) under the Securities</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7"/>
          </w:tcPr>
          <w:p>
            <w:pPr>
              <w:ind w:left="20"/>
              <w:spacing w:after="0" w:line="196" w:lineRule="exact"/>
              <w:rPr>
                <w:rFonts w:ascii="Arial" w:cs="Arial" w:eastAsia="Arial" w:hAnsi="Arial"/>
                <w:sz w:val="18"/>
                <w:szCs w:val="18"/>
                <w:color w:val="0000FF"/>
              </w:rPr>
            </w:pPr>
            <w:hyperlink w:anchor="page128">
              <w:r>
                <w:rPr>
                  <w:rFonts w:ascii="Arial" w:cs="Arial" w:eastAsia="Arial" w:hAnsi="Arial"/>
                  <w:sz w:val="18"/>
                  <w:szCs w:val="18"/>
                  <w:color w:val="0000FF"/>
                </w:rPr>
                <w:t>Exchange Act of 1934.</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880" w:type="dxa"/>
            <w:vAlign w:val="bottom"/>
            <w:gridSpan w:val="6"/>
          </w:tcPr>
          <w:p>
            <w:pPr>
              <w:spacing w:after="0" w:line="20" w:lineRule="exact"/>
              <w:rPr>
                <w:sz w:val="1"/>
                <w:szCs w:val="1"/>
                <w:color w:val="auto"/>
              </w:rPr>
            </w:pPr>
          </w:p>
        </w:tc>
      </w:tr>
      <w:tr>
        <w:trPr>
          <w:trHeight w:val="372"/>
        </w:trPr>
        <w:tc>
          <w:tcPr>
            <w:tcW w:w="1280" w:type="dxa"/>
            <w:vAlign w:val="bottom"/>
          </w:tcPr>
          <w:p>
            <w:pPr>
              <w:ind w:left="160"/>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9540" w:type="dxa"/>
            <w:vAlign w:val="bottom"/>
            <w:tcBorders>
              <w:bottom w:val="single" w:sz="8" w:color="0000FF"/>
            </w:tcBorders>
            <w:gridSpan w:val="7"/>
          </w:tcPr>
          <w:p>
            <w:pPr>
              <w:ind w:left="20"/>
              <w:spacing w:after="0"/>
              <w:rPr>
                <w:rFonts w:ascii="Arial" w:cs="Arial" w:eastAsia="Arial" w:hAnsi="Arial"/>
                <w:sz w:val="18"/>
                <w:szCs w:val="18"/>
                <w:color w:val="0000FF"/>
                <w:w w:val="98"/>
              </w:rPr>
            </w:pPr>
            <w:hyperlink w:anchor="page129">
              <w:r>
                <w:rPr>
                  <w:rFonts w:ascii="Arial" w:cs="Arial" w:eastAsia="Arial" w:hAnsi="Arial"/>
                  <w:sz w:val="18"/>
                  <w:szCs w:val="18"/>
                  <w:color w:val="0000FF"/>
                  <w:w w:val="98"/>
                </w:rPr>
                <w:t>Certification of Chief Financial Officer of Civeo Corporation pursuant to Rules 13a-14(b) or 15d-14(b) under the Securities</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7"/>
          </w:tcPr>
          <w:p>
            <w:pPr>
              <w:ind w:left="20"/>
              <w:spacing w:after="0" w:line="196" w:lineRule="exact"/>
              <w:rPr>
                <w:rFonts w:ascii="Arial" w:cs="Arial" w:eastAsia="Arial" w:hAnsi="Arial"/>
                <w:sz w:val="18"/>
                <w:szCs w:val="18"/>
                <w:color w:val="0000FF"/>
              </w:rPr>
            </w:pPr>
            <w:hyperlink w:anchor="page129">
              <w:r>
                <w:rPr>
                  <w:rFonts w:ascii="Arial" w:cs="Arial" w:eastAsia="Arial" w:hAnsi="Arial"/>
                  <w:sz w:val="18"/>
                  <w:szCs w:val="18"/>
                  <w:color w:val="0000FF"/>
                </w:rPr>
                <w:t>Exchange Act of 1934.</w:t>
              </w:r>
            </w:hyperlink>
          </w:p>
        </w:tc>
      </w:tr>
      <w:tr>
        <w:trPr>
          <w:trHeight w:val="20"/>
        </w:trPr>
        <w:tc>
          <w:tcPr>
            <w:tcW w:w="1720" w:type="dxa"/>
            <w:vAlign w:val="bottom"/>
            <w:gridSpan w:val="2"/>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880" w:type="dxa"/>
            <w:vAlign w:val="bottom"/>
            <w:gridSpan w:val="6"/>
          </w:tcPr>
          <w:p>
            <w:pPr>
              <w:spacing w:after="0" w:line="20" w:lineRule="exact"/>
              <w:rPr>
                <w:sz w:val="1"/>
                <w:szCs w:val="1"/>
                <w:color w:val="auto"/>
              </w:rPr>
            </w:pPr>
          </w:p>
        </w:tc>
      </w:tr>
      <w:tr>
        <w:trPr>
          <w:trHeight w:val="412"/>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101.INS*</w:t>
            </w:r>
          </w:p>
        </w:tc>
        <w:tc>
          <w:tcPr>
            <w:tcW w:w="9540" w:type="dxa"/>
            <w:vAlign w:val="bottom"/>
            <w:gridSpan w:val="7"/>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101.SCH*</w:t>
            </w:r>
          </w:p>
        </w:tc>
        <w:tc>
          <w:tcPr>
            <w:tcW w:w="9540" w:type="dxa"/>
            <w:vAlign w:val="bottom"/>
            <w:gridSpan w:val="7"/>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101.CAL*</w:t>
            </w:r>
          </w:p>
        </w:tc>
        <w:tc>
          <w:tcPr>
            <w:tcW w:w="9540" w:type="dxa"/>
            <w:vAlign w:val="bottom"/>
            <w:gridSpan w:val="7"/>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101.DEF*</w:t>
            </w:r>
          </w:p>
        </w:tc>
        <w:tc>
          <w:tcPr>
            <w:tcW w:w="9540" w:type="dxa"/>
            <w:vAlign w:val="bottom"/>
            <w:gridSpan w:val="7"/>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101.LAB*</w:t>
            </w:r>
          </w:p>
        </w:tc>
        <w:tc>
          <w:tcPr>
            <w:tcW w:w="9540" w:type="dxa"/>
            <w:vAlign w:val="bottom"/>
            <w:gridSpan w:val="7"/>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720" w:type="dxa"/>
            <w:vAlign w:val="bottom"/>
            <w:gridSpan w:val="2"/>
          </w:tcPr>
          <w:p>
            <w:pPr>
              <w:ind w:left="160"/>
              <w:spacing w:after="0"/>
              <w:rPr>
                <w:sz w:val="20"/>
                <w:szCs w:val="20"/>
                <w:color w:val="auto"/>
              </w:rPr>
            </w:pPr>
            <w:r>
              <w:rPr>
                <w:rFonts w:ascii="Arial" w:cs="Arial" w:eastAsia="Arial" w:hAnsi="Arial"/>
                <w:sz w:val="18"/>
                <w:szCs w:val="18"/>
                <w:color w:val="auto"/>
              </w:rPr>
              <w:t>101.PRE*</w:t>
            </w:r>
          </w:p>
        </w:tc>
        <w:tc>
          <w:tcPr>
            <w:tcW w:w="9540" w:type="dxa"/>
            <w:vAlign w:val="bottom"/>
            <w:gridSpan w:val="7"/>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96" w:lineRule="exact"/>
        <w:rPr>
          <w:sz w:val="20"/>
          <w:szCs w:val="20"/>
          <w:color w:val="auto"/>
        </w:rPr>
      </w:pPr>
    </w:p>
    <w:p>
      <w:pPr>
        <w:ind w:left="1180" w:hanging="1145"/>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180" w:hanging="1145"/>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w:t>
      </w:r>
    </w:p>
    <w:p>
      <w:pPr>
        <w:spacing w:after="0" w:line="63" w:lineRule="exact"/>
        <w:rPr>
          <w:sz w:val="20"/>
          <w:szCs w:val="20"/>
          <w:color w:val="auto"/>
        </w:rPr>
      </w:pPr>
    </w:p>
    <w:p>
      <w:pPr>
        <w:ind w:left="1180" w:hanging="1145"/>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52" w:lineRule="exact"/>
        <w:rPr>
          <w:sz w:val="20"/>
          <w:szCs w:val="20"/>
          <w:color w:val="auto"/>
        </w:rPr>
      </w:pPr>
    </w:p>
    <w:p>
      <w:pPr>
        <w:ind w:firstLine="135"/>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60"/>
          </w:cols>
          <w:pgMar w:left="240" w:top="108" w:right="2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360"/>
          </w:cols>
          <w:pgMar w:left="240" w:top="108" w:right="29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 on February 27, 2020.</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80" w:type="dxa"/>
            <w:vAlign w:val="bottom"/>
            <w:gridSpan w:val="2"/>
          </w:tcPr>
          <w:p>
            <w:pPr>
              <w:jc w:val="right"/>
              <w:ind w:right="10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0"/>
                <w:szCs w:val="20"/>
                <w:color w:val="auto"/>
              </w:rPr>
            </w:pPr>
          </w:p>
        </w:tc>
        <w:tc>
          <w:tcPr>
            <w:tcW w:w="5300" w:type="dxa"/>
            <w:vAlign w:val="bottom"/>
            <w:gridSpan w:val="4"/>
          </w:tcPr>
          <w:p>
            <w:pPr>
              <w:ind w:left="20"/>
              <w:spacing w:after="0"/>
              <w:rPr>
                <w:sz w:val="20"/>
                <w:szCs w:val="20"/>
                <w:color w:val="auto"/>
              </w:rPr>
            </w:pPr>
            <w:r>
              <w:rPr>
                <w:rFonts w:ascii="Arial" w:cs="Arial" w:eastAsia="Arial" w:hAnsi="Arial"/>
                <w:sz w:val="18"/>
                <w:szCs w:val="18"/>
                <w:color w:val="auto"/>
              </w:rPr>
              <w:t>/s/ CAROLYN J. STONE</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00" w:type="dxa"/>
            <w:vAlign w:val="bottom"/>
            <w:gridSpan w:val="4"/>
          </w:tcPr>
          <w:p>
            <w:pPr>
              <w:ind w:left="160"/>
              <w:spacing w:after="0"/>
              <w:rPr>
                <w:sz w:val="20"/>
                <w:szCs w:val="20"/>
                <w:color w:val="auto"/>
              </w:rPr>
            </w:pPr>
            <w:r>
              <w:rPr>
                <w:rFonts w:ascii="Arial" w:cs="Arial" w:eastAsia="Arial" w:hAnsi="Arial"/>
                <w:sz w:val="18"/>
                <w:szCs w:val="18"/>
                <w:color w:val="auto"/>
              </w:rPr>
              <w:t>Carolyn J. Stone</w:t>
            </w: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1"/>
              </w:rPr>
              <w:t>Senior Vice President, Chief Financial Officer and Treasurer (Duly</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00" w:type="dxa"/>
            <w:vAlign w:val="bottom"/>
            <w:gridSpan w:val="4"/>
          </w:tcPr>
          <w:p>
            <w:pPr>
              <w:ind w:left="740"/>
              <w:spacing w:after="0"/>
              <w:rPr>
                <w:sz w:val="20"/>
                <w:szCs w:val="20"/>
                <w:color w:val="auto"/>
              </w:rPr>
            </w:pPr>
            <w:r>
              <w:rPr>
                <w:rFonts w:ascii="Arial" w:cs="Arial" w:eastAsia="Arial" w:hAnsi="Arial"/>
                <w:sz w:val="18"/>
                <w:szCs w:val="18"/>
                <w:b w:val="1"/>
                <w:bCs w:val="1"/>
                <w:color w:val="auto"/>
              </w:rPr>
              <w:t>Authorized Officer and Principal Financial Officer)</w:t>
            </w:r>
          </w:p>
        </w:tc>
        <w:tc>
          <w:tcPr>
            <w:tcW w:w="0" w:type="dxa"/>
            <w:vAlign w:val="bottom"/>
          </w:tcPr>
          <w:p>
            <w:pPr>
              <w:spacing w:after="0"/>
              <w:rPr>
                <w:sz w:val="1"/>
                <w:szCs w:val="1"/>
                <w:color w:val="auto"/>
              </w:rPr>
            </w:pPr>
          </w:p>
        </w:tc>
      </w:tr>
      <w:tr>
        <w:trPr>
          <w:trHeight w:val="797"/>
        </w:trPr>
        <w:tc>
          <w:tcPr>
            <w:tcW w:w="25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5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20" w:type="dxa"/>
            <w:vAlign w:val="bottom"/>
            <w:gridSpan w:val="3"/>
          </w:tcPr>
          <w:p>
            <w:pPr>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820" w:type="dxa"/>
            <w:vAlign w:val="bottom"/>
            <w:gridSpan w:val="4"/>
          </w:tcPr>
          <w:p>
            <w:pPr>
              <w:jc w:val="center"/>
              <w:ind w:right="100"/>
              <w:spacing w:after="0"/>
              <w:rPr>
                <w:sz w:val="20"/>
                <w:szCs w:val="20"/>
                <w:color w:val="auto"/>
              </w:rPr>
            </w:pPr>
            <w:r>
              <w:rPr>
                <w:rFonts w:ascii="Arial" w:cs="Arial" w:eastAsia="Arial" w:hAnsi="Arial"/>
                <w:sz w:val="18"/>
                <w:szCs w:val="18"/>
                <w:color w:val="auto"/>
                <w:w w:val="96"/>
              </w:rPr>
              <w:t>/s/ RICHARD A. NAVARRE</w:t>
            </w:r>
          </w:p>
        </w:tc>
        <w:tc>
          <w:tcPr>
            <w:tcW w:w="5440" w:type="dxa"/>
            <w:vAlign w:val="bottom"/>
            <w:gridSpan w:val="5"/>
          </w:tcPr>
          <w:p>
            <w:pPr>
              <w:ind w:left="40"/>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gridSpan w:val="4"/>
          </w:tcPr>
          <w:p>
            <w:pPr>
              <w:jc w:val="center"/>
              <w:ind w:right="80"/>
              <w:spacing w:after="0"/>
              <w:rPr>
                <w:sz w:val="20"/>
                <w:szCs w:val="20"/>
                <w:color w:val="auto"/>
              </w:rPr>
            </w:pPr>
            <w:r>
              <w:rPr>
                <w:rFonts w:ascii="Arial" w:cs="Arial" w:eastAsia="Arial" w:hAnsi="Arial"/>
                <w:sz w:val="18"/>
                <w:szCs w:val="18"/>
                <w:color w:val="auto"/>
                <w:w w:val="92"/>
              </w:rPr>
              <w:t>Richard A. Navarre</w:t>
            </w:r>
          </w:p>
        </w:tc>
        <w:tc>
          <w:tcPr>
            <w:tcW w:w="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820" w:type="dxa"/>
            <w:vAlign w:val="bottom"/>
            <w:gridSpan w:val="4"/>
          </w:tcPr>
          <w:p>
            <w:pPr>
              <w:jc w:val="center"/>
              <w:ind w:right="80"/>
              <w:spacing w:after="0"/>
              <w:rPr>
                <w:sz w:val="20"/>
                <w:szCs w:val="20"/>
                <w:color w:val="auto"/>
              </w:rPr>
            </w:pPr>
            <w:r>
              <w:rPr>
                <w:rFonts w:ascii="Arial" w:cs="Arial" w:eastAsia="Arial" w:hAnsi="Arial"/>
                <w:sz w:val="18"/>
                <w:szCs w:val="18"/>
                <w:color w:val="auto"/>
                <w:w w:val="95"/>
              </w:rPr>
              <w:t>/s/ BRADLEY J. DODSON</w:t>
            </w:r>
          </w:p>
        </w:tc>
        <w:tc>
          <w:tcPr>
            <w:tcW w:w="5440" w:type="dxa"/>
            <w:vAlign w:val="bottom"/>
            <w:gridSpan w:val="5"/>
          </w:tcPr>
          <w:p>
            <w:pPr>
              <w:ind w:left="40"/>
              <w:spacing w:after="0"/>
              <w:rPr>
                <w:sz w:val="20"/>
                <w:szCs w:val="20"/>
                <w:color w:val="auto"/>
              </w:rPr>
            </w:pPr>
            <w:r>
              <w:rPr>
                <w:rFonts w:ascii="Arial" w:cs="Arial" w:eastAsia="Arial" w:hAnsi="Arial"/>
                <w:sz w:val="18"/>
                <w:szCs w:val="18"/>
                <w:color w:val="auto"/>
              </w:rPr>
              <w:t>Director, President &amp; Chief Executive Officer</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40" w:type="dxa"/>
            <w:vAlign w:val="bottom"/>
            <w:gridSpan w:val="5"/>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37"/>
        </w:trPr>
        <w:tc>
          <w:tcPr>
            <w:tcW w:w="5820" w:type="dxa"/>
            <w:vAlign w:val="bottom"/>
            <w:gridSpan w:val="4"/>
          </w:tcPr>
          <w:p>
            <w:pPr>
              <w:jc w:val="center"/>
              <w:ind w:right="80"/>
              <w:spacing w:after="0"/>
              <w:rPr>
                <w:sz w:val="20"/>
                <w:szCs w:val="20"/>
                <w:color w:val="auto"/>
              </w:rPr>
            </w:pPr>
            <w:r>
              <w:rPr>
                <w:rFonts w:ascii="Arial" w:cs="Arial" w:eastAsia="Arial" w:hAnsi="Arial"/>
                <w:sz w:val="18"/>
                <w:szCs w:val="18"/>
                <w:color w:val="auto"/>
                <w:w w:val="91"/>
              </w:rPr>
              <w:t>Bradley J. Dodson</w:t>
            </w:r>
          </w:p>
        </w:tc>
        <w:tc>
          <w:tcPr>
            <w:tcW w:w="544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82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/s/ CAROLYN J. STONE</w:t>
            </w:r>
          </w:p>
        </w:tc>
        <w:tc>
          <w:tcPr>
            <w:tcW w:w="5440" w:type="dxa"/>
            <w:vAlign w:val="bottom"/>
            <w:gridSpan w:val="5"/>
          </w:tcPr>
          <w:p>
            <w:pPr>
              <w:ind w:left="40"/>
              <w:spacing w:after="0"/>
              <w:rPr>
                <w:sz w:val="20"/>
                <w:szCs w:val="20"/>
                <w:color w:val="auto"/>
              </w:rPr>
            </w:pPr>
            <w:r>
              <w:rPr>
                <w:rFonts w:ascii="Arial" w:cs="Arial" w:eastAsia="Arial" w:hAnsi="Arial"/>
                <w:sz w:val="18"/>
                <w:szCs w:val="18"/>
                <w:color w:val="auto"/>
              </w:rPr>
              <w:t>Senior Vice President, Chief Financial Officer and Treasurer</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Carolyn J. Stone</w:t>
            </w:r>
          </w:p>
        </w:tc>
        <w:tc>
          <w:tcPr>
            <w:tcW w:w="5440" w:type="dxa"/>
            <w:vAlign w:val="bottom"/>
            <w:gridSpan w:val="5"/>
          </w:tcPr>
          <w:p>
            <w:pPr>
              <w:ind w:left="40"/>
              <w:spacing w:after="0"/>
              <w:rPr>
                <w:sz w:val="20"/>
                <w:szCs w:val="20"/>
                <w:color w:val="auto"/>
              </w:rPr>
            </w:pPr>
            <w:r>
              <w:rPr>
                <w:rFonts w:ascii="Arial" w:cs="Arial" w:eastAsia="Arial" w:hAnsi="Arial"/>
                <w:sz w:val="18"/>
                <w:szCs w:val="18"/>
                <w:color w:val="auto"/>
              </w:rPr>
              <w:t>(Principal Financial Officer and Accounting Officer)</w:t>
            </w:r>
          </w:p>
        </w:tc>
        <w:tc>
          <w:tcPr>
            <w:tcW w:w="0" w:type="dxa"/>
            <w:vAlign w:val="bottom"/>
          </w:tcPr>
          <w:p>
            <w:pPr>
              <w:spacing w:after="0"/>
              <w:rPr>
                <w:sz w:val="1"/>
                <w:szCs w:val="1"/>
                <w:color w:val="auto"/>
              </w:rPr>
            </w:pPr>
          </w:p>
        </w:tc>
      </w:tr>
      <w:tr>
        <w:trPr>
          <w:trHeight w:val="540"/>
        </w:trPr>
        <w:tc>
          <w:tcPr>
            <w:tcW w:w="5820" w:type="dxa"/>
            <w:vAlign w:val="bottom"/>
            <w:gridSpan w:val="4"/>
          </w:tcPr>
          <w:p>
            <w:pPr>
              <w:jc w:val="center"/>
              <w:ind w:right="100"/>
              <w:spacing w:after="0"/>
              <w:rPr>
                <w:sz w:val="20"/>
                <w:szCs w:val="20"/>
                <w:color w:val="auto"/>
              </w:rPr>
            </w:pPr>
            <w:r>
              <w:rPr>
                <w:rFonts w:ascii="Arial" w:cs="Arial" w:eastAsia="Arial" w:hAnsi="Arial"/>
                <w:sz w:val="18"/>
                <w:szCs w:val="18"/>
                <w:color w:val="auto"/>
                <w:w w:val="97"/>
              </w:rPr>
              <w:t>/s/ C. RONALD BLANKENSHIP</w:t>
            </w:r>
          </w:p>
        </w:tc>
        <w:tc>
          <w:tcPr>
            <w:tcW w:w="5440" w:type="dxa"/>
            <w:vAlign w:val="bottom"/>
            <w:gridSpan w:val="5"/>
          </w:tcPr>
          <w:p>
            <w:pPr>
              <w:ind w:left="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C. Ronald Blankenship</w:t>
            </w:r>
          </w:p>
        </w:tc>
        <w:tc>
          <w:tcPr>
            <w:tcW w:w="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820" w:type="dxa"/>
            <w:vAlign w:val="bottom"/>
            <w:gridSpan w:val="4"/>
          </w:tcPr>
          <w:p>
            <w:pPr>
              <w:jc w:val="center"/>
              <w:ind w:right="80"/>
              <w:spacing w:after="0"/>
              <w:rPr>
                <w:sz w:val="20"/>
                <w:szCs w:val="20"/>
                <w:color w:val="auto"/>
              </w:rPr>
            </w:pPr>
            <w:r>
              <w:rPr>
                <w:rFonts w:ascii="Arial" w:cs="Arial" w:eastAsia="Arial" w:hAnsi="Arial"/>
                <w:sz w:val="18"/>
                <w:szCs w:val="18"/>
                <w:color w:val="auto"/>
                <w:w w:val="98"/>
              </w:rPr>
              <w:t>/s/ MARTIN A. LAMBERT</w:t>
            </w:r>
          </w:p>
        </w:tc>
        <w:tc>
          <w:tcPr>
            <w:tcW w:w="5440" w:type="dxa"/>
            <w:vAlign w:val="bottom"/>
            <w:gridSpan w:val="5"/>
          </w:tcPr>
          <w:p>
            <w:pPr>
              <w:ind w:left="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gridSpan w:val="4"/>
          </w:tcPr>
          <w:p>
            <w:pPr>
              <w:jc w:val="center"/>
              <w:ind w:right="100"/>
              <w:spacing w:after="0"/>
              <w:rPr>
                <w:sz w:val="20"/>
                <w:szCs w:val="20"/>
                <w:color w:val="auto"/>
              </w:rPr>
            </w:pPr>
            <w:r>
              <w:rPr>
                <w:rFonts w:ascii="Arial" w:cs="Arial" w:eastAsia="Arial" w:hAnsi="Arial"/>
                <w:sz w:val="18"/>
                <w:szCs w:val="18"/>
                <w:color w:val="auto"/>
                <w:w w:val="95"/>
              </w:rPr>
              <w:t>Martin A. Lambert</w:t>
            </w:r>
          </w:p>
        </w:tc>
        <w:tc>
          <w:tcPr>
            <w:tcW w:w="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820" w:type="dxa"/>
            <w:vAlign w:val="bottom"/>
            <w:gridSpan w:val="4"/>
          </w:tcPr>
          <w:p>
            <w:pPr>
              <w:jc w:val="center"/>
              <w:ind w:right="80"/>
              <w:spacing w:after="0"/>
              <w:rPr>
                <w:sz w:val="20"/>
                <w:szCs w:val="20"/>
                <w:color w:val="auto"/>
              </w:rPr>
            </w:pPr>
            <w:r>
              <w:rPr>
                <w:rFonts w:ascii="Arial" w:cs="Arial" w:eastAsia="Arial" w:hAnsi="Arial"/>
                <w:sz w:val="18"/>
                <w:szCs w:val="18"/>
                <w:color w:val="auto"/>
                <w:w w:val="93"/>
              </w:rPr>
              <w:t>/s/ CONSTANCE B. MOORE</w:t>
            </w:r>
          </w:p>
        </w:tc>
        <w:tc>
          <w:tcPr>
            <w:tcW w:w="5440" w:type="dxa"/>
            <w:vAlign w:val="bottom"/>
            <w:gridSpan w:val="5"/>
          </w:tcPr>
          <w:p>
            <w:pPr>
              <w:ind w:left="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Constance B. Moore</w:t>
            </w:r>
          </w:p>
        </w:tc>
        <w:tc>
          <w:tcPr>
            <w:tcW w:w="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820" w:type="dxa"/>
            <w:vAlign w:val="bottom"/>
            <w:gridSpan w:val="4"/>
          </w:tcPr>
          <w:p>
            <w:pPr>
              <w:jc w:val="center"/>
              <w:ind w:right="100"/>
              <w:spacing w:after="0"/>
              <w:rPr>
                <w:sz w:val="20"/>
                <w:szCs w:val="20"/>
                <w:color w:val="auto"/>
              </w:rPr>
            </w:pPr>
            <w:r>
              <w:rPr>
                <w:rFonts w:ascii="Arial" w:cs="Arial" w:eastAsia="Arial" w:hAnsi="Arial"/>
                <w:sz w:val="18"/>
                <w:szCs w:val="18"/>
                <w:color w:val="auto"/>
                <w:w w:val="96"/>
              </w:rPr>
              <w:t>/s/ CHARLES SZALKOWSKI</w:t>
            </w:r>
          </w:p>
        </w:tc>
        <w:tc>
          <w:tcPr>
            <w:tcW w:w="5440" w:type="dxa"/>
            <w:vAlign w:val="bottom"/>
            <w:gridSpan w:val="5"/>
          </w:tcPr>
          <w:p>
            <w:pPr>
              <w:ind w:left="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Charles Szalkowski</w:t>
            </w:r>
          </w:p>
        </w:tc>
        <w:tc>
          <w:tcPr>
            <w:tcW w:w="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820" w:type="dxa"/>
            <w:vAlign w:val="bottom"/>
            <w:gridSpan w:val="4"/>
          </w:tcPr>
          <w:p>
            <w:pPr>
              <w:jc w:val="center"/>
              <w:ind w:right="100"/>
              <w:spacing w:after="0"/>
              <w:rPr>
                <w:sz w:val="20"/>
                <w:szCs w:val="20"/>
                <w:color w:val="auto"/>
              </w:rPr>
            </w:pPr>
            <w:r>
              <w:rPr>
                <w:rFonts w:ascii="Arial" w:cs="Arial" w:eastAsia="Arial" w:hAnsi="Arial"/>
                <w:sz w:val="18"/>
                <w:szCs w:val="18"/>
                <w:color w:val="auto"/>
                <w:w w:val="98"/>
              </w:rPr>
              <w:t>/s/ TIMOTHY O. WALL</w:t>
            </w:r>
          </w:p>
        </w:tc>
        <w:tc>
          <w:tcPr>
            <w:tcW w:w="5440" w:type="dxa"/>
            <w:vAlign w:val="bottom"/>
            <w:gridSpan w:val="5"/>
          </w:tcPr>
          <w:p>
            <w:pPr>
              <w:ind w:left="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gridSpan w:val="4"/>
          </w:tcPr>
          <w:p>
            <w:pPr>
              <w:jc w:val="center"/>
              <w:ind w:right="80"/>
              <w:spacing w:after="0"/>
              <w:rPr>
                <w:sz w:val="20"/>
                <w:szCs w:val="20"/>
                <w:color w:val="auto"/>
              </w:rPr>
            </w:pPr>
            <w:r>
              <w:rPr>
                <w:rFonts w:ascii="Arial" w:cs="Arial" w:eastAsia="Arial" w:hAnsi="Arial"/>
                <w:sz w:val="18"/>
                <w:szCs w:val="18"/>
                <w:color w:val="auto"/>
                <w:w w:val="95"/>
              </w:rPr>
              <w:t>Timothy O. Wall</w:t>
            </w:r>
          </w:p>
        </w:tc>
        <w:tc>
          <w:tcPr>
            <w:tcW w:w="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5820" w:type="dxa"/>
            <w:vAlign w:val="bottom"/>
            <w:gridSpan w:val="4"/>
          </w:tcPr>
          <w:p>
            <w:pPr>
              <w:jc w:val="right"/>
              <w:ind w:right="2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40" w:type="dxa"/>
            <w:vAlign w:val="bottom"/>
          </w:tcPr>
          <w:p>
            <w:pPr>
              <w:spacing w:after="0"/>
              <w:rPr>
                <w:sz w:val="17"/>
                <w:szCs w:val="17"/>
                <w:color w:val="auto"/>
              </w:rPr>
            </w:pPr>
          </w:p>
        </w:tc>
        <w:tc>
          <w:tcPr>
            <w:tcW w:w="218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Page No.</w:t>
            </w:r>
          </w:p>
        </w:tc>
      </w:tr>
      <w:tr>
        <w:trPr>
          <w:trHeight w:val="318"/>
        </w:trPr>
        <w:tc>
          <w:tcPr>
            <w:tcW w:w="9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924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80">
              <w:r>
                <w:rPr>
                  <w:rFonts w:ascii="Arial" w:cs="Arial" w:eastAsia="Arial" w:hAnsi="Arial"/>
                  <w:sz w:val="18"/>
                  <w:szCs w:val="18"/>
                  <w:color w:val="auto"/>
                </w:rPr>
                <w:t>Report of Independent Registered Public Accounting Firm on Consolidated Financial Statements</w:t>
              </w:r>
            </w:hyperlink>
          </w:p>
        </w:tc>
        <w:tc>
          <w:tcPr>
            <w:tcW w:w="218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80">
              <w:r>
                <w:rPr>
                  <w:rFonts w:ascii="Arial" w:cs="Arial" w:eastAsia="Arial" w:hAnsi="Arial"/>
                  <w:sz w:val="18"/>
                  <w:szCs w:val="18"/>
                  <w:color w:val="1335FF"/>
                </w:rPr>
                <w:t>77</w:t>
              </w:r>
            </w:hyperlink>
          </w:p>
        </w:tc>
      </w:tr>
      <w:tr>
        <w:trPr>
          <w:trHeight w:val="243"/>
        </w:trPr>
        <w:tc>
          <w:tcPr>
            <w:tcW w:w="9240" w:type="dxa"/>
            <w:vAlign w:val="bottom"/>
          </w:tcPr>
          <w:p>
            <w:pPr>
              <w:ind w:left="40"/>
              <w:spacing w:after="0"/>
              <w:rPr>
                <w:rFonts w:ascii="Arial" w:cs="Arial" w:eastAsia="Arial" w:hAnsi="Arial"/>
                <w:sz w:val="18"/>
                <w:szCs w:val="18"/>
                <w:color w:val="auto"/>
              </w:rPr>
            </w:pPr>
            <w:hyperlink w:anchor="page81">
              <w:r>
                <w:rPr>
                  <w:rFonts w:ascii="Arial" w:cs="Arial" w:eastAsia="Arial" w:hAnsi="Arial"/>
                  <w:sz w:val="18"/>
                  <w:szCs w:val="18"/>
                  <w:color w:val="auto"/>
                </w:rPr>
                <w:t>Report of Independent Registered Public Accounting Firm on Internal Control Over Financial Reporting</w:t>
              </w:r>
            </w:hyperlink>
          </w:p>
        </w:tc>
        <w:tc>
          <w:tcPr>
            <w:tcW w:w="2180" w:type="dxa"/>
            <w:vAlign w:val="bottom"/>
            <w:gridSpan w:val="3"/>
          </w:tcPr>
          <w:p>
            <w:pPr>
              <w:jc w:val="right"/>
              <w:ind w:right="20"/>
              <w:spacing w:after="0"/>
              <w:rPr>
                <w:rFonts w:ascii="Arial" w:cs="Arial" w:eastAsia="Arial" w:hAnsi="Arial"/>
                <w:sz w:val="18"/>
                <w:szCs w:val="18"/>
                <w:color w:val="1335FF"/>
              </w:rPr>
            </w:pPr>
            <w:hyperlink w:anchor="page81">
              <w:r>
                <w:rPr>
                  <w:rFonts w:ascii="Arial" w:cs="Arial" w:eastAsia="Arial" w:hAnsi="Arial"/>
                  <w:sz w:val="18"/>
                  <w:szCs w:val="18"/>
                  <w:color w:val="1335FF"/>
                </w:rPr>
                <w:t>78</w:t>
              </w:r>
            </w:hyperlink>
          </w:p>
        </w:tc>
      </w:tr>
      <w:tr>
        <w:trPr>
          <w:trHeight w:val="27"/>
        </w:trPr>
        <w:tc>
          <w:tcPr>
            <w:tcW w:w="9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82">
              <w:r>
                <w:rPr>
                  <w:rFonts w:ascii="Arial" w:cs="Arial" w:eastAsia="Arial" w:hAnsi="Arial"/>
                  <w:sz w:val="18"/>
                  <w:szCs w:val="18"/>
                  <w:color w:val="auto"/>
                </w:rPr>
                <w:t xml:space="preserve">Consolidated Statements of Operations for the Years Ended December 31, </w:t>
              </w:r>
            </w:hyperlink>
            <w:r>
              <w:rPr>
                <w:rFonts w:ascii="Arial" w:cs="Arial" w:eastAsia="Arial" w:hAnsi="Arial"/>
                <w:sz w:val="18"/>
                <w:szCs w:val="18"/>
                <w:color w:val="auto"/>
              </w:rPr>
              <w:t>2019, 2018 and 2017</w:t>
            </w:r>
          </w:p>
        </w:tc>
        <w:tc>
          <w:tcPr>
            <w:tcW w:w="218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82">
              <w:r>
                <w:rPr>
                  <w:rFonts w:ascii="Arial" w:cs="Arial" w:eastAsia="Arial" w:hAnsi="Arial"/>
                  <w:sz w:val="18"/>
                  <w:szCs w:val="18"/>
                  <w:color w:val="1335FF"/>
                </w:rPr>
                <w:t>79</w:t>
              </w:r>
            </w:hyperlink>
          </w:p>
        </w:tc>
      </w:tr>
      <w:tr>
        <w:trPr>
          <w:trHeight w:val="243"/>
        </w:trPr>
        <w:tc>
          <w:tcPr>
            <w:tcW w:w="9240" w:type="dxa"/>
            <w:vAlign w:val="bottom"/>
          </w:tcPr>
          <w:p>
            <w:pPr>
              <w:ind w:left="40"/>
              <w:spacing w:after="0"/>
              <w:rPr>
                <w:rFonts w:ascii="Arial" w:cs="Arial" w:eastAsia="Arial" w:hAnsi="Arial"/>
                <w:sz w:val="18"/>
                <w:szCs w:val="18"/>
                <w:color w:val="auto"/>
              </w:rPr>
            </w:pPr>
            <w:hyperlink w:anchor="page83">
              <w:r>
                <w:rPr>
                  <w:rFonts w:ascii="Arial" w:cs="Arial" w:eastAsia="Arial" w:hAnsi="Arial"/>
                  <w:sz w:val="18"/>
                  <w:szCs w:val="18"/>
                  <w:color w:val="auto"/>
                </w:rPr>
                <w:t xml:space="preserve">Consolidated Statements of Comprehensive Loss for the Years Ended December 31, </w:t>
              </w:r>
            </w:hyperlink>
            <w:r>
              <w:rPr>
                <w:rFonts w:ascii="Arial" w:cs="Arial" w:eastAsia="Arial" w:hAnsi="Arial"/>
                <w:sz w:val="18"/>
                <w:szCs w:val="18"/>
                <w:color w:val="auto"/>
              </w:rPr>
              <w:t>2019, 2018 and 2017</w:t>
            </w:r>
          </w:p>
        </w:tc>
        <w:tc>
          <w:tcPr>
            <w:tcW w:w="2180" w:type="dxa"/>
            <w:vAlign w:val="bottom"/>
            <w:gridSpan w:val="3"/>
          </w:tcPr>
          <w:p>
            <w:pPr>
              <w:jc w:val="right"/>
              <w:ind w:right="20"/>
              <w:spacing w:after="0"/>
              <w:rPr>
                <w:rFonts w:ascii="Arial" w:cs="Arial" w:eastAsia="Arial" w:hAnsi="Arial"/>
                <w:sz w:val="18"/>
                <w:szCs w:val="18"/>
                <w:color w:val="1335FF"/>
              </w:rPr>
            </w:pPr>
            <w:hyperlink w:anchor="page83">
              <w:r>
                <w:rPr>
                  <w:rFonts w:ascii="Arial" w:cs="Arial" w:eastAsia="Arial" w:hAnsi="Arial"/>
                  <w:sz w:val="18"/>
                  <w:szCs w:val="18"/>
                  <w:color w:val="1335FF"/>
                </w:rPr>
                <w:t>80</w:t>
              </w:r>
            </w:hyperlink>
          </w:p>
        </w:tc>
      </w:tr>
      <w:tr>
        <w:trPr>
          <w:trHeight w:val="27"/>
        </w:trPr>
        <w:tc>
          <w:tcPr>
            <w:tcW w:w="9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84">
              <w:r>
                <w:rPr>
                  <w:rFonts w:ascii="Arial" w:cs="Arial" w:eastAsia="Arial" w:hAnsi="Arial"/>
                  <w:sz w:val="18"/>
                  <w:szCs w:val="18"/>
                  <w:color w:val="auto"/>
                </w:rPr>
                <w:t xml:space="preserve">Consolidated Balance Sheets at December 31, 2019 </w:t>
              </w:r>
            </w:hyperlink>
            <w:r>
              <w:rPr>
                <w:rFonts w:ascii="Arial" w:cs="Arial" w:eastAsia="Arial" w:hAnsi="Arial"/>
                <w:sz w:val="18"/>
                <w:szCs w:val="18"/>
                <w:color w:val="auto"/>
              </w:rPr>
              <w:t>and 2018</w:t>
            </w:r>
          </w:p>
        </w:tc>
        <w:tc>
          <w:tcPr>
            <w:tcW w:w="218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1335FF"/>
              </w:rPr>
            </w:pPr>
            <w:hyperlink w:anchor="page84">
              <w:r>
                <w:rPr>
                  <w:rFonts w:ascii="Arial" w:cs="Arial" w:eastAsia="Arial" w:hAnsi="Arial"/>
                  <w:sz w:val="18"/>
                  <w:szCs w:val="18"/>
                  <w:color w:val="1335FF"/>
                </w:rPr>
                <w:t>81</w:t>
              </w:r>
            </w:hyperlink>
          </w:p>
        </w:tc>
      </w:tr>
      <w:tr>
        <w:trPr>
          <w:trHeight w:val="243"/>
        </w:trPr>
        <w:tc>
          <w:tcPr>
            <w:tcW w:w="9240" w:type="dxa"/>
            <w:vAlign w:val="bottom"/>
          </w:tcPr>
          <w:p>
            <w:pPr>
              <w:ind w:left="40"/>
              <w:spacing w:after="0"/>
              <w:rPr>
                <w:rFonts w:ascii="Arial" w:cs="Arial" w:eastAsia="Arial" w:hAnsi="Arial"/>
                <w:sz w:val="18"/>
                <w:szCs w:val="18"/>
                <w:color w:val="auto"/>
                <w:w w:val="96"/>
              </w:rPr>
            </w:pPr>
            <w:hyperlink w:anchor="page85">
              <w:r>
                <w:rPr>
                  <w:rFonts w:ascii="Arial" w:cs="Arial" w:eastAsia="Arial" w:hAnsi="Arial"/>
                  <w:sz w:val="18"/>
                  <w:szCs w:val="18"/>
                  <w:color w:val="auto"/>
                  <w:w w:val="96"/>
                </w:rPr>
                <w:t xml:space="preserve">Consolidated Statements of Changes in Shareholders’ Equity for the Years Ended December 31, </w:t>
              </w:r>
            </w:hyperlink>
            <w:r>
              <w:rPr>
                <w:rFonts w:ascii="Arial" w:cs="Arial" w:eastAsia="Arial" w:hAnsi="Arial"/>
                <w:sz w:val="18"/>
                <w:szCs w:val="18"/>
                <w:color w:val="auto"/>
                <w:w w:val="96"/>
              </w:rPr>
              <w:t>2019, 2018 and 2017</w:t>
            </w:r>
          </w:p>
        </w:tc>
        <w:tc>
          <w:tcPr>
            <w:tcW w:w="2180" w:type="dxa"/>
            <w:vAlign w:val="bottom"/>
            <w:gridSpan w:val="3"/>
          </w:tcPr>
          <w:p>
            <w:pPr>
              <w:jc w:val="right"/>
              <w:ind w:right="20"/>
              <w:spacing w:after="0"/>
              <w:rPr>
                <w:rFonts w:ascii="Arial" w:cs="Arial" w:eastAsia="Arial" w:hAnsi="Arial"/>
                <w:sz w:val="18"/>
                <w:szCs w:val="18"/>
                <w:color w:val="1335FF"/>
              </w:rPr>
            </w:pPr>
            <w:hyperlink w:anchor="page85">
              <w:r>
                <w:rPr>
                  <w:rFonts w:ascii="Arial" w:cs="Arial" w:eastAsia="Arial" w:hAnsi="Arial"/>
                  <w:sz w:val="18"/>
                  <w:szCs w:val="18"/>
                  <w:color w:val="1335FF"/>
                </w:rPr>
                <w:t>82</w:t>
              </w:r>
            </w:hyperlink>
          </w:p>
        </w:tc>
      </w:tr>
      <w:tr>
        <w:trPr>
          <w:trHeight w:val="27"/>
        </w:trPr>
        <w:tc>
          <w:tcPr>
            <w:tcW w:w="9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86">
              <w:r>
                <w:rPr>
                  <w:rFonts w:ascii="Arial" w:cs="Arial" w:eastAsia="Arial" w:hAnsi="Arial"/>
                  <w:sz w:val="18"/>
                  <w:szCs w:val="18"/>
                  <w:color w:val="auto"/>
                </w:rPr>
                <w:t xml:space="preserve">Consolidated Statements of Cash Flows for the Years Ended December 31, </w:t>
              </w:r>
            </w:hyperlink>
            <w:r>
              <w:rPr>
                <w:rFonts w:ascii="Arial" w:cs="Arial" w:eastAsia="Arial" w:hAnsi="Arial"/>
                <w:sz w:val="18"/>
                <w:szCs w:val="18"/>
                <w:color w:val="auto"/>
              </w:rPr>
              <w:t>2019, 2018 and 2017</w:t>
            </w:r>
          </w:p>
        </w:tc>
        <w:tc>
          <w:tcPr>
            <w:tcW w:w="218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83</w:t>
              </w:r>
            </w:hyperlink>
          </w:p>
        </w:tc>
      </w:tr>
      <w:tr>
        <w:trPr>
          <w:trHeight w:val="243"/>
        </w:trPr>
        <w:tc>
          <w:tcPr>
            <w:tcW w:w="9240" w:type="dxa"/>
            <w:vAlign w:val="bottom"/>
          </w:tcPr>
          <w:p>
            <w:pPr>
              <w:ind w:left="40"/>
              <w:spacing w:after="0"/>
              <w:rPr>
                <w:rFonts w:ascii="Arial" w:cs="Arial" w:eastAsia="Arial" w:hAnsi="Arial"/>
                <w:sz w:val="18"/>
                <w:szCs w:val="18"/>
                <w:color w:val="auto"/>
              </w:rPr>
            </w:pPr>
            <w:hyperlink w:anchor="page87">
              <w:r>
                <w:rPr>
                  <w:rFonts w:ascii="Arial" w:cs="Arial" w:eastAsia="Arial" w:hAnsi="Arial"/>
                  <w:sz w:val="18"/>
                  <w:szCs w:val="18"/>
                  <w:color w:val="auto"/>
                </w:rPr>
                <w:t>Notes to Consolidated Financial Statements</w:t>
              </w:r>
            </w:hyperlink>
          </w:p>
        </w:tc>
        <w:tc>
          <w:tcPr>
            <w:tcW w:w="2180" w:type="dxa"/>
            <w:vAlign w:val="bottom"/>
            <w:gridSpan w:val="3"/>
          </w:tcPr>
          <w:p>
            <w:pPr>
              <w:jc w:val="right"/>
              <w:ind w:right="20"/>
              <w:spacing w:after="0"/>
              <w:rPr>
                <w:rFonts w:ascii="Arial" w:cs="Arial" w:eastAsia="Arial" w:hAnsi="Arial"/>
                <w:sz w:val="18"/>
                <w:szCs w:val="18"/>
                <w:color w:val="0000EE"/>
              </w:rPr>
            </w:pPr>
            <w:hyperlink w:anchor="page87">
              <w:r>
                <w:rPr>
                  <w:rFonts w:ascii="Arial" w:cs="Arial" w:eastAsia="Arial" w:hAnsi="Arial"/>
                  <w:sz w:val="18"/>
                  <w:szCs w:val="18"/>
                  <w:color w:val="0000EE"/>
                </w:rPr>
                <w:t>84</w:t>
              </w:r>
            </w:hyperlink>
          </w:p>
        </w:tc>
      </w:tr>
      <w:tr>
        <w:trPr>
          <w:trHeight w:val="675"/>
        </w:trPr>
        <w:tc>
          <w:tcPr>
            <w:tcW w:w="9240" w:type="dxa"/>
            <w:vAlign w:val="bottom"/>
          </w:tcPr>
          <w:p>
            <w:pPr>
              <w:ind w:left="5620"/>
              <w:spacing w:after="0"/>
              <w:rPr>
                <w:sz w:val="20"/>
                <w:szCs w:val="20"/>
                <w:color w:val="auto"/>
              </w:rPr>
            </w:pPr>
            <w:r>
              <w:rPr>
                <w:rFonts w:ascii="Arial" w:cs="Arial" w:eastAsia="Arial" w:hAnsi="Arial"/>
                <w:sz w:val="18"/>
                <w:szCs w:val="18"/>
                <w:color w:val="auto"/>
              </w:rPr>
              <w:t>76</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Civeo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audited the accompanying consolidated balance sheets of Civeo Corporation (“the Company”) as of December 31, 2019 and 2018, and the related consolidated statements of operations, comprehensive loss, changes in shareholders'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27,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Ernst &amp; Young LLP</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the Shareholders and the Board of Directors of Civeo Corporation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have audited Civeo Corporation’s internal control over financial reporting as of December 31, 2019, based on criteria established in Internal Control-Integrated Framework issued by the Committee of Sponsoring Organizations of the Treadway Commission (2013 framework) (the COSO criteria). In our opinion, Civeo Corporation (“the Company”) maintained, in all material respects, effective internal control over financial reporting as of December 31, 2019, based on the COSO criteria.</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indicated in the accompanying management’s annual report on internal control over financial reporting, management’s assessment of and conclusion on the effectiveness of internal control over financial reporting did not include the internal controls of Action Industrial Catering, which is included in the 2019 consolidated financial statements of the Company and constituted 3% and 4% of total and net assets, respectively, as of December 31, 2019 and 6% of revenues for the year then ended. Our audit of internal control over financial reporting of the Company also did not include an evaluation of the internal control over financial reporting of Action Industrial Catering.</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2019 and 2018, and the related consolidated statements of operations, comprehensive loss, changes in shareholders' equity and cash flows for each of the three years in the period ended December 31, 2019, and the related notes and our report dated February 27, 2020 expressed an unqualified opinion thereon.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Ernst &amp; Young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2020</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gridSpan w:val="6"/>
          </w:tcPr>
          <w:p>
            <w:pPr>
              <w:jc w:val="right"/>
              <w:ind w:right="99"/>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Service and other</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492,700</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428,829</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363,731</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Rental</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27,993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7,731</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Product</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6,862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17,784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10,814</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527,555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466,692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382,276</w:t>
            </w: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Service and other costs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338,923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296,097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232,117</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Rental costs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22,510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21,472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12,861</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Product costs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12,280</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59,586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67,036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63,431</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123,768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125,846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126,443</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Impairment expense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26,148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28,661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31,604</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operating expense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1,511</w:t>
            </w:r>
          </w:p>
        </w:tc>
      </w:tr>
      <w:tr>
        <w:trPr>
          <w:trHeight w:val="217"/>
        </w:trPr>
        <w:tc>
          <w:tcPr>
            <w:tcW w:w="64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576,606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554,747</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480,247</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loss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(49,051)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(88,055)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(97,971)</w:t>
            </w:r>
          </w:p>
        </w:tc>
      </w:tr>
      <w:tr>
        <w:trPr>
          <w:trHeight w:val="230"/>
        </w:trPr>
        <w:tc>
          <w:tcPr>
            <w:tcW w:w="6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(21,439)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Loss on extinguishment of debt</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(842)</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7,281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1,308</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(69,075)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(113,212)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(118,744)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10,741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31,365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13,490</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(58,334)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(81,847)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(105,254)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Net income attributable to noncontrolling interest</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459</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Civeo Corporation</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(58,491)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(82,243)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(105,713)</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Less: Dividends attributable to Class A preferred shares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1,849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49,589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Civeo common shareholders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(105,713)</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Per Share Data (see Note 8)</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loss per share attributable to Civeo Corporation common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(0.82)</w:t>
            </w:r>
          </w:p>
        </w:tc>
      </w:tr>
      <w:tr>
        <w:trPr>
          <w:trHeight w:val="230"/>
        </w:trPr>
        <w:tc>
          <w:tcPr>
            <w:tcW w:w="6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loss per share attributable to Civeo Corporation common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(0.82)</w:t>
            </w:r>
          </w:p>
        </w:tc>
      </w:tr>
      <w:tr>
        <w:trPr>
          <w:trHeight w:val="230"/>
        </w:trPr>
        <w:tc>
          <w:tcPr>
            <w:tcW w:w="6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number of common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Basic</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167,047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157,231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128,365</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167,047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157,231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128,365</w:t>
            </w:r>
          </w:p>
        </w:tc>
      </w:tr>
      <w:tr>
        <w:trPr>
          <w:trHeight w:val="33"/>
        </w:trPr>
        <w:tc>
          <w:tcPr>
            <w:tcW w:w="6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gridSpan w:val="6"/>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(58,334)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(81,847)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(105,254)</w:t>
            </w:r>
          </w:p>
        </w:tc>
      </w:tr>
      <w:tr>
        <w:trPr>
          <w:trHeight w:val="183"/>
        </w:trPr>
        <w:tc>
          <w:tcPr>
            <w:tcW w:w="67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net of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 net of zero taxes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8,076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(43,036)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35,038</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 net of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35,038</w:t>
            </w:r>
          </w:p>
        </w:tc>
      </w:tr>
      <w:tr>
        <w:trPr>
          <w:trHeight w:val="183"/>
        </w:trPr>
        <w:tc>
          <w:tcPr>
            <w:tcW w:w="67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(124,883)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(70,216)</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780</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Civeo Corporation</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(125,279)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(70,996)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3"/>
        </w:trPr>
        <w:tc>
          <w:tcPr>
            <w:tcW w:w="8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r>
      <w:tr>
        <w:trPr>
          <w:trHeight w:val="237"/>
        </w:trPr>
        <w:tc>
          <w:tcPr>
            <w:tcW w:w="8160" w:type="dxa"/>
            <w:vAlign w:val="bottom"/>
          </w:tcPr>
          <w:p>
            <w:pPr>
              <w:ind w:left="3740"/>
              <w:spacing w:after="0"/>
              <w:rPr>
                <w:sz w:val="20"/>
                <w:szCs w:val="20"/>
                <w:color w:val="auto"/>
              </w:rPr>
            </w:pPr>
            <w:r>
              <w:rPr>
                <w:rFonts w:ascii="Arial" w:cs="Arial" w:eastAsia="Arial" w:hAnsi="Arial"/>
                <w:sz w:val="16"/>
                <w:szCs w:val="16"/>
                <w:color w:val="auto"/>
              </w:rPr>
              <w:t>ASSETS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76"/>
        </w:trPr>
        <w:tc>
          <w:tcPr>
            <w:tcW w:w="8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7"/>
        </w:trPr>
        <w:tc>
          <w:tcPr>
            <w:tcW w:w="81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12,372</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99,493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70,223</w:t>
            </w:r>
          </w:p>
        </w:tc>
      </w:tr>
      <w:tr>
        <w:trPr>
          <w:trHeight w:val="33"/>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4,313</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7,247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7,036</w:t>
            </w:r>
          </w:p>
        </w:tc>
      </w:tr>
      <w:tr>
        <w:trPr>
          <w:trHeight w:val="33"/>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7,904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3,556</w:t>
            </w:r>
          </w:p>
        </w:tc>
      </w:tr>
      <w:tr>
        <w:trPr>
          <w:trHeight w:val="237"/>
        </w:trPr>
        <w:tc>
          <w:tcPr>
            <w:tcW w:w="8160" w:type="dxa"/>
            <w:vAlign w:val="bottom"/>
          </w:tcPr>
          <w:p>
            <w:pPr>
              <w:ind w:left="200"/>
              <w:spacing w:after="0"/>
              <w:rPr>
                <w:sz w:val="20"/>
                <w:szCs w:val="20"/>
                <w:color w:val="auto"/>
              </w:rPr>
            </w:pPr>
            <w:r>
              <w:rPr>
                <w:rFonts w:ascii="Arial" w:cs="Arial" w:eastAsia="Arial" w:hAnsi="Arial"/>
                <w:sz w:val="16"/>
                <w:szCs w:val="16"/>
                <w:color w:val="auto"/>
              </w:rPr>
              <w:t>Assets held for sale</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7,589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10,297</w:t>
            </w:r>
          </w:p>
        </w:tc>
      </w:tr>
      <w:tr>
        <w:trPr>
          <w:trHeight w:val="33"/>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131,441</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107,797</w:t>
            </w:r>
          </w:p>
        </w:tc>
      </w:tr>
      <w:tr>
        <w:trPr>
          <w:trHeight w:val="176"/>
        </w:trPr>
        <w:tc>
          <w:tcPr>
            <w:tcW w:w="8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590,309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658,905</w:t>
            </w:r>
          </w:p>
        </w:tc>
      </w:tr>
      <w:tr>
        <w:trPr>
          <w:trHeight w:val="237"/>
        </w:trPr>
        <w:tc>
          <w:tcPr>
            <w:tcW w:w="8160" w:type="dxa"/>
            <w:vAlign w:val="bottom"/>
          </w:tcPr>
          <w:p>
            <w:pPr>
              <w:ind w:left="4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110,173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114,207</w:t>
            </w:r>
          </w:p>
        </w:tc>
      </w:tr>
      <w:tr>
        <w:trPr>
          <w:trHeight w:val="33"/>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111,837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119,409</w:t>
            </w:r>
          </w:p>
        </w:tc>
      </w:tr>
      <w:tr>
        <w:trPr>
          <w:trHeight w:val="237"/>
        </w:trPr>
        <w:tc>
          <w:tcPr>
            <w:tcW w:w="816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24,876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1,359</w:t>
            </w:r>
          </w:p>
        </w:tc>
      </w:tr>
      <w:tr>
        <w:trPr>
          <w:trHeight w:val="284"/>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assets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969,912</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1,001,677</w:t>
            </w:r>
          </w:p>
        </w:tc>
      </w:tr>
      <w:tr>
        <w:trPr>
          <w:trHeight w:val="163"/>
        </w:trPr>
        <w:tc>
          <w:tcPr>
            <w:tcW w:w="8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7"/>
        </w:trPr>
        <w:tc>
          <w:tcPr>
            <w:tcW w:w="8160" w:type="dxa"/>
            <w:vAlign w:val="bottom"/>
          </w:tcPr>
          <w:p>
            <w:pPr>
              <w:ind w:left="2360"/>
              <w:spacing w:after="0"/>
              <w:rPr>
                <w:sz w:val="20"/>
                <w:szCs w:val="20"/>
                <w:color w:val="auto"/>
              </w:rPr>
            </w:pPr>
            <w:r>
              <w:rPr>
                <w:rFonts w:ascii="Arial" w:cs="Arial" w:eastAsia="Arial" w:hAnsi="Arial"/>
                <w:sz w:val="16"/>
                <w:szCs w:val="16"/>
                <w:color w:val="auto"/>
              </w:rPr>
              <w:t>LIABILITIES AND SHAREHOLDERS’ EQUITY</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76"/>
        </w:trPr>
        <w:tc>
          <w:tcPr>
            <w:tcW w:w="8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7"/>
        </w:trPr>
        <w:tc>
          <w:tcPr>
            <w:tcW w:w="81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36,971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28,334</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Accrued liabilities</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21,755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15,956</w:t>
            </w:r>
          </w:p>
        </w:tc>
      </w:tr>
      <w:tr>
        <w:trPr>
          <w:trHeight w:val="33"/>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35,080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33,329</w:t>
            </w:r>
          </w:p>
        </w:tc>
      </w:tr>
      <w:tr>
        <w:trPr>
          <w:trHeight w:val="33"/>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3,035</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8,741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5,719</w:t>
            </w:r>
          </w:p>
        </w:tc>
      </w:tr>
      <w:tr>
        <w:trPr>
          <w:trHeight w:val="33"/>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110,040</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86,683</w:t>
            </w:r>
          </w:p>
        </w:tc>
      </w:tr>
      <w:tr>
        <w:trPr>
          <w:trHeight w:val="176"/>
        </w:trPr>
        <w:tc>
          <w:tcPr>
            <w:tcW w:w="8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less current maturities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321,792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342,908</w:t>
            </w:r>
          </w:p>
        </w:tc>
      </w:tr>
      <w:tr>
        <w:trPr>
          <w:trHeight w:val="237"/>
        </w:trPr>
        <w:tc>
          <w:tcPr>
            <w:tcW w:w="816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9,452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18,442</w:t>
            </w:r>
          </w:p>
        </w:tc>
      </w:tr>
      <w:tr>
        <w:trPr>
          <w:trHeight w:val="33"/>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21,231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6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16,592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18,220</w:t>
            </w:r>
          </w:p>
        </w:tc>
      </w:tr>
      <w:tr>
        <w:trPr>
          <w:trHeight w:val="33"/>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479,107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466,253</w:t>
            </w:r>
          </w:p>
        </w:tc>
      </w:tr>
      <w:tr>
        <w:trPr>
          <w:trHeight w:val="176"/>
        </w:trPr>
        <w:tc>
          <w:tcPr>
            <w:tcW w:w="8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17)</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176"/>
        </w:trPr>
        <w:tc>
          <w:tcPr>
            <w:tcW w:w="8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0"/>
        </w:trPr>
        <w:tc>
          <w:tcPr>
            <w:tcW w:w="8160" w:type="dxa"/>
            <w:vAlign w:val="bottom"/>
          </w:tcPr>
          <w:p>
            <w:pPr>
              <w:ind w:left="180"/>
              <w:spacing w:after="0"/>
              <w:rPr>
                <w:sz w:val="20"/>
                <w:szCs w:val="20"/>
                <w:color w:val="auto"/>
              </w:rPr>
            </w:pPr>
            <w:r>
              <w:rPr>
                <w:rFonts w:ascii="Arial" w:cs="Arial" w:eastAsia="Arial" w:hAnsi="Arial"/>
                <w:sz w:val="16"/>
                <w:szCs w:val="16"/>
                <w:color w:val="auto"/>
                <w:w w:val="94"/>
              </w:rPr>
              <w:t>Preferred shares (Class A Series 1, no par value; 50,000,000 shares authorized, 9,042 shares issued and outstanding,</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8160" w:type="dxa"/>
            <w:vAlign w:val="bottom"/>
          </w:tcPr>
          <w:p>
            <w:pPr>
              <w:ind w:left="180"/>
              <w:spacing w:after="0"/>
              <w:rPr>
                <w:sz w:val="20"/>
                <w:szCs w:val="20"/>
                <w:color w:val="auto"/>
              </w:rPr>
            </w:pPr>
            <w:r>
              <w:rPr>
                <w:rFonts w:ascii="Arial" w:cs="Arial" w:eastAsia="Arial" w:hAnsi="Arial"/>
                <w:sz w:val="16"/>
                <w:szCs w:val="16"/>
                <w:color w:val="auto"/>
                <w:w w:val="97"/>
              </w:rPr>
              <w:t>respectively; aggregate liquidation preference of $93,627,392 and $98,243,690 as of December 31, 2019 and 2018)</w:t>
            </w:r>
          </w:p>
        </w:tc>
        <w:tc>
          <w:tcPr>
            <w:tcW w:w="36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58,129</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56,280</w:t>
            </w:r>
          </w:p>
        </w:tc>
      </w:tr>
      <w:tr>
        <w:trPr>
          <w:trHeight w:val="33"/>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81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Common shares (no par value; 550,000,000 shares authorized, 171,656,039 shares and 166,392,479 shares issued,</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respectively, and 169,556,403 shares and 165,932,334 shares outstanding, respectively)</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1,572,249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1,562,133</w:t>
            </w:r>
          </w:p>
        </w:tc>
      </w:tr>
      <w:tr>
        <w:trPr>
          <w:trHeight w:val="33"/>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(771,590)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(710,551)</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Common shares held in treasury at cost, 2,099,636 and 460,145 shares, respectively</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(5,472)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(1,189)</w:t>
            </w:r>
          </w:p>
        </w:tc>
      </w:tr>
      <w:tr>
        <w:trPr>
          <w:trHeight w:val="33"/>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(363,173)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(371,249)</w:t>
            </w:r>
          </w:p>
        </w:tc>
      </w:tr>
      <w:tr>
        <w:trPr>
          <w:trHeight w:val="217"/>
        </w:trPr>
        <w:tc>
          <w:tcPr>
            <w:tcW w:w="8160" w:type="dxa"/>
            <w:vAlign w:val="bottom"/>
          </w:tcPr>
          <w:p>
            <w:pPr>
              <w:ind w:left="360"/>
              <w:spacing w:after="0"/>
              <w:rPr>
                <w:sz w:val="20"/>
                <w:szCs w:val="20"/>
                <w:color w:val="auto"/>
              </w:rPr>
            </w:pPr>
            <w:r>
              <w:rPr>
                <w:rFonts w:ascii="Arial" w:cs="Arial" w:eastAsia="Arial" w:hAnsi="Arial"/>
                <w:sz w:val="16"/>
                <w:szCs w:val="16"/>
                <w:color w:val="auto"/>
              </w:rPr>
              <w:t>Total Civeo Corporation shareholders’ equity</w:t>
            </w: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490,143</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535,424</w:t>
            </w:r>
          </w:p>
        </w:tc>
      </w:tr>
      <w:tr>
        <w:trPr>
          <w:trHeight w:val="33"/>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160" w:type="dxa"/>
            <w:vAlign w:val="bottom"/>
          </w:tcPr>
          <w:p>
            <w:pPr>
              <w:ind w:left="180"/>
              <w:spacing w:after="0"/>
              <w:rPr>
                <w:sz w:val="20"/>
                <w:szCs w:val="20"/>
                <w:color w:val="auto"/>
              </w:rPr>
            </w:pPr>
            <w:r>
              <w:rPr>
                <w:rFonts w:ascii="Arial" w:cs="Arial" w:eastAsia="Arial" w:hAnsi="Arial"/>
                <w:sz w:val="16"/>
                <w:szCs w:val="16"/>
                <w:color w:val="auto"/>
              </w:rPr>
              <w:t>Total shareholders’ equity</w:t>
            </w: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490,805</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535,424</w:t>
            </w:r>
          </w:p>
        </w:tc>
      </w:tr>
      <w:tr>
        <w:trPr>
          <w:trHeight w:val="33"/>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 and shareholders’ equity</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969,912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1,001,677</w:t>
            </w:r>
          </w:p>
        </w:tc>
      </w:tr>
      <w:tr>
        <w:trPr>
          <w:trHeight w:val="20"/>
        </w:trPr>
        <w:tc>
          <w:tcPr>
            <w:tcW w:w="8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ind w:left="314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160"/>
          </w:cols>
          <w:pgMar w:left="240" w:top="125" w:right="499" w:bottom="771" w:gutter="0" w:footer="0" w:header="0"/>
        </w:sectPr>
      </w:pP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160"/>
          </w:cols>
          <w:pgMar w:left="240" w:top="125" w:right="499" w:bottom="771"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0"/>
              </w:rPr>
              <w:t>Attributable to Civeo</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44"/>
        </w:trPr>
        <w:tc>
          <w:tcPr>
            <w:tcW w:w="2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9"/>
              </w:rPr>
              <w:t>Preferred</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Common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4"/>
        </w:trPr>
        <w:tc>
          <w:tcPr>
            <w:tcW w:w="2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30"/>
        </w:trPr>
        <w:tc>
          <w:tcPr>
            <w:tcW w:w="2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1"/>
                <w:szCs w:val="11"/>
                <w:color w:val="auto"/>
              </w:rPr>
            </w:pPr>
          </w:p>
        </w:tc>
        <w:tc>
          <w:tcPr>
            <w:tcW w:w="900" w:type="dxa"/>
            <w:vAlign w:val="bottom"/>
          </w:tcPr>
          <w:p>
            <w:pPr>
              <w:jc w:val="right"/>
              <w:ind w:right="87"/>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1"/>
                <w:szCs w:val="11"/>
                <w:color w:val="auto"/>
              </w:rPr>
            </w:pPr>
          </w:p>
        </w:tc>
        <w:tc>
          <w:tcPr>
            <w:tcW w:w="900" w:type="dxa"/>
            <w:vAlign w:val="bottom"/>
            <w:gridSpan w:val="5"/>
          </w:tcPr>
          <w:p>
            <w:pPr>
              <w:ind w:left="160"/>
              <w:spacing w:after="0" w:line="13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Noncontrolling</w:t>
            </w:r>
          </w:p>
        </w:tc>
        <w:tc>
          <w:tcPr>
            <w:tcW w:w="100" w:type="dxa"/>
            <w:vAlign w:val="bottom"/>
          </w:tcPr>
          <w:p>
            <w:pPr>
              <w:spacing w:after="0"/>
              <w:rPr>
                <w:sz w:val="11"/>
                <w:szCs w:val="11"/>
                <w:color w:val="auto"/>
              </w:rPr>
            </w:pPr>
          </w:p>
        </w:tc>
        <w:tc>
          <w:tcPr>
            <w:tcW w:w="90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7"/>
              </w:rPr>
              <w:t>Shareholders’</w:t>
            </w:r>
          </w:p>
        </w:tc>
      </w:tr>
      <w:tr>
        <w:trPr>
          <w:trHeight w:val="174"/>
        </w:trPr>
        <w:tc>
          <w:tcPr>
            <w:tcW w:w="23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7"/>
              </w:rPr>
              <w:t>Par Value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7"/>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Interest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0"/>
              </w:rPr>
              <w:t>Equity</w:t>
            </w:r>
          </w:p>
        </w:tc>
      </w:tr>
      <w:tr>
        <w:trPr>
          <w:trHeight w:val="270"/>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2016</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1,311,226</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(472,764)</w:t>
            </w:r>
          </w:p>
        </w:tc>
        <w:tc>
          <w:tcPr>
            <w:tcW w:w="28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(65)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b w:val="1"/>
                <w:bCs w:val="1"/>
                <w:color w:val="auto"/>
              </w:rPr>
              <w:t>(362,930)</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523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475,990</w:t>
            </w:r>
          </w:p>
        </w:tc>
      </w:tr>
      <w:tr>
        <w:trPr>
          <w:trHeight w:val="264"/>
        </w:trPr>
        <w:tc>
          <w:tcPr>
            <w:tcW w:w="23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(105,713)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(105,254)</w:t>
            </w:r>
          </w:p>
        </w:tc>
      </w:tr>
      <w:tr>
        <w:trPr>
          <w:trHeight w:val="276"/>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tcBorders>
              <w:right w:val="single" w:sz="8" w:color="CCEEFF"/>
            </w:tcBorders>
            <w:shd w:val="clear" w:color="auto" w:fill="CCEEFF"/>
          </w:tcPr>
          <w:p>
            <w:pPr>
              <w:jc w:val="right"/>
              <w:ind w:right="67"/>
              <w:spacing w:after="0"/>
              <w:rPr>
                <w:sz w:val="20"/>
                <w:szCs w:val="20"/>
                <w:color w:val="auto"/>
              </w:rPr>
            </w:pPr>
            <w:r>
              <w:rPr>
                <w:rFonts w:ascii="Arial" w:cs="Arial" w:eastAsia="Arial" w:hAnsi="Arial"/>
                <w:sz w:val="14"/>
                <w:szCs w:val="14"/>
                <w:color w:val="auto"/>
              </w:rPr>
              <w:t>34,717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35,038</w:t>
            </w:r>
          </w:p>
        </w:tc>
      </w:tr>
      <w:tr>
        <w:trPr>
          <w:trHeight w:val="264"/>
        </w:trPr>
        <w:tc>
          <w:tcPr>
            <w:tcW w:w="2360" w:type="dxa"/>
            <w:vAlign w:val="bottom"/>
          </w:tcPr>
          <w:p>
            <w:pPr>
              <w:ind w:left="20"/>
              <w:spacing w:after="0"/>
              <w:rPr>
                <w:sz w:val="20"/>
                <w:szCs w:val="20"/>
                <w:color w:val="auto"/>
              </w:rPr>
            </w:pPr>
            <w:r>
              <w:rPr>
                <w:rFonts w:ascii="Arial" w:cs="Arial" w:eastAsia="Arial" w:hAnsi="Arial"/>
                <w:sz w:val="14"/>
                <w:szCs w:val="14"/>
                <w:color w:val="auto"/>
              </w:rPr>
              <w:t>Dividends paid</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(1,186)</w:t>
            </w:r>
          </w:p>
        </w:tc>
      </w:tr>
      <w:tr>
        <w:trPr>
          <w:trHeight w:val="163"/>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Cumulative effect of implementation of ASU</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4"/>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2016-09</w:t>
            </w: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636</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236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64,734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64,734</w:t>
            </w:r>
          </w:p>
        </w:tc>
      </w:tr>
      <w:tr>
        <w:trPr>
          <w:trHeight w:val="276"/>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38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7,338</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right w:val="single" w:sz="8" w:color="CCEEFF"/>
            </w:tcBorders>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7,045</w:t>
            </w:r>
          </w:p>
        </w:tc>
      </w:tr>
      <w:tr>
        <w:trPr>
          <w:trHeight w:val="271"/>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December 31, 2017</w:t>
            </w:r>
          </w:p>
        </w:tc>
        <w:tc>
          <w:tcPr>
            <w:tcW w:w="3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1,383,934</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(579,113)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(358)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(328,213)</w:t>
            </w: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117</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476,367</w:t>
            </w:r>
          </w:p>
        </w:tc>
      </w:tr>
      <w:tr>
        <w:trPr>
          <w:trHeight w:val="230"/>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(81,847)</w:t>
            </w:r>
          </w:p>
        </w:tc>
      </w:tr>
      <w:tr>
        <w:trPr>
          <w:trHeight w:val="264"/>
        </w:trPr>
        <w:tc>
          <w:tcPr>
            <w:tcW w:w="236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7"/>
              <w:spacing w:after="0"/>
              <w:rPr>
                <w:sz w:val="20"/>
                <w:szCs w:val="20"/>
                <w:color w:val="auto"/>
              </w:rPr>
            </w:pPr>
            <w:r>
              <w:rPr>
                <w:rFonts w:ascii="Arial" w:cs="Arial" w:eastAsia="Arial" w:hAnsi="Arial"/>
                <w:sz w:val="14"/>
                <w:szCs w:val="14"/>
                <w:color w:val="auto"/>
              </w:rPr>
              <w:t>(43,036)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(43,036)</w:t>
            </w:r>
          </w:p>
        </w:tc>
      </w:tr>
      <w:tr>
        <w:trPr>
          <w:trHeight w:val="276"/>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paid</w:t>
            </w: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w:t>
            </w:r>
          </w:p>
        </w:tc>
      </w:tr>
      <w:tr>
        <w:trPr>
          <w:trHeight w:val="157"/>
        </w:trPr>
        <w:tc>
          <w:tcPr>
            <w:tcW w:w="290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Cumulative effect of implementation of ASU</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8"/>
        </w:trPr>
        <w:tc>
          <w:tcPr>
            <w:tcW w:w="2360" w:type="dxa"/>
            <w:vAlign w:val="bottom"/>
          </w:tcPr>
          <w:p>
            <w:pPr>
              <w:ind w:left="20"/>
              <w:spacing w:after="0"/>
              <w:rPr>
                <w:sz w:val="20"/>
                <w:szCs w:val="20"/>
                <w:color w:val="auto"/>
              </w:rPr>
            </w:pPr>
            <w:r>
              <w:rPr>
                <w:rFonts w:ascii="Arial" w:cs="Arial" w:eastAsia="Arial" w:hAnsi="Arial"/>
                <w:sz w:val="14"/>
                <w:szCs w:val="14"/>
                <w:color w:val="auto"/>
              </w:rPr>
              <w:t>2014-09</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47"/>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394</w:t>
            </w:r>
          </w:p>
        </w:tc>
      </w:tr>
      <w:tr>
        <w:trPr>
          <w:trHeight w:val="276"/>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shares for acquisitions</w:t>
            </w: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166,882</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173,854</w:t>
            </w:r>
          </w:p>
        </w:tc>
      </w:tr>
      <w:tr>
        <w:trPr>
          <w:trHeight w:val="157"/>
        </w:trPr>
        <w:tc>
          <w:tcPr>
            <w:tcW w:w="290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Dividends attributable to Class A preferred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8"/>
        </w:trPr>
        <w:tc>
          <w:tcPr>
            <w:tcW w:w="2360" w:type="dxa"/>
            <w:vAlign w:val="bottom"/>
          </w:tcPr>
          <w:p>
            <w:pPr>
              <w:ind w:left="20"/>
              <w:spacing w:after="0"/>
              <w:rPr>
                <w:sz w:val="20"/>
                <w:szCs w:val="20"/>
                <w:color w:val="auto"/>
              </w:rPr>
            </w:pPr>
            <w:r>
              <w:rPr>
                <w:rFonts w:ascii="Arial" w:cs="Arial" w:eastAsia="Arial" w:hAnsi="Arial"/>
                <w:sz w:val="14"/>
                <w:szCs w:val="14"/>
                <w:color w:val="auto"/>
              </w:rPr>
              <w:t>shares</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49,308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281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(49,589)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38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11,036</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right w:val="single" w:sz="8" w:color="CCEEFF"/>
            </w:tcBorders>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10,205</w:t>
            </w:r>
          </w:p>
        </w:tc>
      </w:tr>
      <w:tr>
        <w:trPr>
          <w:trHeight w:val="271"/>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December 31, 2018</w:t>
            </w:r>
          </w:p>
        </w:tc>
        <w:tc>
          <w:tcPr>
            <w:tcW w:w="3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56,280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1,562,133</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(710,551)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(1,189)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(371,249)</w:t>
            </w: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535,424</w:t>
            </w:r>
          </w:p>
        </w:tc>
      </w:tr>
      <w:tr>
        <w:trPr>
          <w:trHeight w:val="230"/>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(58,334)</w:t>
            </w:r>
          </w:p>
        </w:tc>
      </w:tr>
      <w:tr>
        <w:trPr>
          <w:trHeight w:val="264"/>
        </w:trPr>
        <w:tc>
          <w:tcPr>
            <w:tcW w:w="236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67"/>
              <w:spacing w:after="0"/>
              <w:rPr>
                <w:sz w:val="20"/>
                <w:szCs w:val="20"/>
                <w:color w:val="auto"/>
              </w:rPr>
            </w:pPr>
            <w:r>
              <w:rPr>
                <w:rFonts w:ascii="Arial" w:cs="Arial" w:eastAsia="Arial" w:hAnsi="Arial"/>
                <w:sz w:val="14"/>
                <w:szCs w:val="14"/>
                <w:color w:val="auto"/>
              </w:rPr>
              <w:t>8,076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8,076</w:t>
            </w:r>
          </w:p>
        </w:tc>
      </w:tr>
      <w:tr>
        <w:trPr>
          <w:trHeight w:val="276"/>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paid</w:t>
            </w: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r>
      <w:tr>
        <w:trPr>
          <w:trHeight w:val="157"/>
        </w:trPr>
        <w:tc>
          <w:tcPr>
            <w:tcW w:w="290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Cumulative effect of implementation of ASU</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8"/>
        </w:trPr>
        <w:tc>
          <w:tcPr>
            <w:tcW w:w="2360" w:type="dxa"/>
            <w:vAlign w:val="bottom"/>
          </w:tcPr>
          <w:p>
            <w:pPr>
              <w:ind w:left="20"/>
              <w:spacing w:after="0"/>
              <w:rPr>
                <w:sz w:val="20"/>
                <w:szCs w:val="20"/>
                <w:color w:val="auto"/>
              </w:rPr>
            </w:pPr>
            <w:r>
              <w:rPr>
                <w:rFonts w:ascii="Arial" w:cs="Arial" w:eastAsia="Arial" w:hAnsi="Arial"/>
                <w:sz w:val="14"/>
                <w:szCs w:val="14"/>
                <w:color w:val="auto"/>
              </w:rPr>
              <w:t>2016-02</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(699)</w:t>
            </w:r>
          </w:p>
        </w:tc>
      </w:tr>
      <w:tr>
        <w:trPr>
          <w:trHeight w:val="163"/>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Dividends attributable to Class A preferred</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4"/>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1,849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2360" w:type="dxa"/>
            <w:vAlign w:val="bottom"/>
          </w:tcPr>
          <w:p>
            <w:pPr>
              <w:ind w:left="20"/>
              <w:spacing w:after="0"/>
              <w:rPr>
                <w:sz w:val="20"/>
                <w:szCs w:val="20"/>
                <w:color w:val="auto"/>
              </w:rPr>
            </w:pPr>
            <w:r>
              <w:rPr>
                <w:rFonts w:ascii="Arial" w:cs="Arial" w:eastAsia="Arial" w:hAnsi="Arial"/>
                <w:sz w:val="14"/>
                <w:szCs w:val="14"/>
                <w:color w:val="auto"/>
              </w:rPr>
              <w:t>Acquisition of noncontrolling interest</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687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687</w:t>
            </w:r>
          </w:p>
        </w:tc>
      </w:tr>
      <w:tr>
        <w:trPr>
          <w:trHeight w:val="276"/>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38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10,116</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(4,283)</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right w:val="single" w:sz="8" w:color="CCEEFF"/>
            </w:tcBorders>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5,833</w:t>
            </w:r>
          </w:p>
        </w:tc>
      </w:tr>
      <w:tr>
        <w:trPr>
          <w:trHeight w:val="231"/>
        </w:trPr>
        <w:tc>
          <w:tcPr>
            <w:tcW w:w="2360" w:type="dxa"/>
            <w:vAlign w:val="bottom"/>
          </w:tcPr>
          <w:p>
            <w:pPr>
              <w:ind w:left="20"/>
              <w:spacing w:after="0"/>
              <w:rPr>
                <w:sz w:val="20"/>
                <w:szCs w:val="20"/>
                <w:color w:val="auto"/>
              </w:rPr>
            </w:pPr>
            <w:r>
              <w:rPr>
                <w:rFonts w:ascii="Arial" w:cs="Arial" w:eastAsia="Arial" w:hAnsi="Arial"/>
                <w:sz w:val="16"/>
                <w:szCs w:val="16"/>
                <w:b w:val="1"/>
                <w:bCs w:val="1"/>
                <w:color w:val="auto"/>
              </w:rPr>
              <w:t>Balance, December 31, 2019</w:t>
            </w:r>
          </w:p>
        </w:tc>
        <w:tc>
          <w:tcPr>
            <w:tcW w:w="540" w:type="dxa"/>
            <w:vAlign w:val="bottom"/>
            <w:gridSpan w:val="2"/>
          </w:tcPr>
          <w:p>
            <w:pPr>
              <w:ind w:left="42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b w:val="1"/>
                <w:bCs w:val="1"/>
                <w:color w:val="auto"/>
              </w:rPr>
              <w:t>58,129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ind w:left="5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1,572,249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(771,590)</w:t>
            </w:r>
          </w:p>
        </w:tc>
        <w:tc>
          <w:tcPr>
            <w:tcW w:w="2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(5,472)</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7"/>
              <w:spacing w:after="0"/>
              <w:rPr>
                <w:sz w:val="20"/>
                <w:szCs w:val="20"/>
                <w:color w:val="auto"/>
              </w:rPr>
            </w:pPr>
            <w:r>
              <w:rPr>
                <w:rFonts w:ascii="Arial" w:cs="Arial" w:eastAsia="Arial" w:hAnsi="Arial"/>
                <w:sz w:val="14"/>
                <w:szCs w:val="14"/>
                <w:b w:val="1"/>
                <w:bCs w:val="1"/>
                <w:color w:val="auto"/>
              </w:rPr>
              <w:t>(363,173)</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b w:val="1"/>
                <w:bCs w:val="1"/>
                <w:color w:val="auto"/>
              </w:rPr>
              <w:t>662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b w:val="1"/>
                <w:bCs w:val="1"/>
                <w:color w:val="auto"/>
              </w:rPr>
              <w:t>490,805</w:t>
            </w:r>
          </w:p>
        </w:tc>
      </w:tr>
      <w:tr>
        <w:trPr>
          <w:trHeight w:val="20"/>
        </w:trPr>
        <w:tc>
          <w:tcPr>
            <w:tcW w:w="2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553"/>
        </w:trPr>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Preferred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left="7"/>
              <w:spacing w:after="0"/>
              <w:rPr>
                <w:sz w:val="20"/>
                <w:szCs w:val="20"/>
                <w:color w:val="auto"/>
              </w:rPr>
            </w:pPr>
            <w:r>
              <w:rPr>
                <w:rFonts w:ascii="Arial" w:cs="Arial" w:eastAsia="Arial" w:hAnsi="Arial"/>
                <w:sz w:val="16"/>
                <w:szCs w:val="16"/>
                <w:b w:val="1"/>
                <w:bCs w:val="1"/>
                <w:color w:val="auto"/>
                <w:w w:val="90"/>
              </w:rPr>
              <w:t>Shares (in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5"/>
          </w:tcPr>
          <w:p>
            <w:pPr>
              <w:ind w:left="20"/>
              <w:spacing w:after="0"/>
              <w:rPr>
                <w:sz w:val="20"/>
                <w:szCs w:val="20"/>
                <w:color w:val="auto"/>
              </w:rPr>
            </w:pPr>
            <w:r>
              <w:rPr>
                <w:rFonts w:ascii="Arial" w:cs="Arial" w:eastAsia="Arial" w:hAnsi="Arial"/>
                <w:sz w:val="16"/>
                <w:szCs w:val="16"/>
                <w:b w:val="1"/>
                <w:bCs w:val="1"/>
                <w:color w:val="auto"/>
                <w:w w:val="99"/>
              </w:rPr>
              <w:t>Common Shares (in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2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8"/>
              </w:rPr>
              <w:t>thousands)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2360" w:type="dxa"/>
            <w:vAlign w:val="bottom"/>
          </w:tcPr>
          <w:p>
            <w:pPr>
              <w:spacing w:after="0"/>
              <w:rPr>
                <w:sz w:val="2"/>
                <w:szCs w:val="2"/>
                <w:color w:val="auto"/>
              </w:rPr>
            </w:pPr>
          </w:p>
        </w:tc>
        <w:tc>
          <w:tcPr>
            <w:tcW w:w="2480" w:type="dxa"/>
            <w:vAlign w:val="bottom"/>
            <w:tcBorders>
              <w:bottom w:val="single" w:sz="8" w:color="CCEEFF"/>
            </w:tcBorders>
            <w:gridSpan w:val="7"/>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2360" w:type="dxa"/>
            <w:vAlign w:val="bottom"/>
          </w:tcPr>
          <w:p>
            <w:pPr>
              <w:spacing w:after="0"/>
              <w:rPr>
                <w:sz w:val="20"/>
                <w:szCs w:val="20"/>
                <w:color w:val="auto"/>
              </w:rPr>
            </w:pPr>
          </w:p>
        </w:tc>
        <w:tc>
          <w:tcPr>
            <w:tcW w:w="248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2016</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right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b w:val="1"/>
                <w:bCs w:val="1"/>
                <w:color w:val="auto"/>
              </w:rPr>
              <w:t>108,103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7"/>
        </w:trPr>
        <w:tc>
          <w:tcPr>
            <w:tcW w:w="2360" w:type="dxa"/>
            <w:vAlign w:val="bottom"/>
          </w:tcPr>
          <w:p>
            <w:pPr>
              <w:spacing w:after="0"/>
              <w:rPr>
                <w:sz w:val="20"/>
                <w:szCs w:val="20"/>
                <w:color w:val="auto"/>
              </w:rPr>
            </w:pPr>
          </w:p>
        </w:tc>
        <w:tc>
          <w:tcPr>
            <w:tcW w:w="2480" w:type="dxa"/>
            <w:vAlign w:val="bottom"/>
            <w:gridSpan w:val="7"/>
          </w:tcPr>
          <w:p>
            <w:pPr>
              <w:ind w:left="20"/>
              <w:spacing w:after="0"/>
              <w:rPr>
                <w:sz w:val="20"/>
                <w:szCs w:val="20"/>
                <w:color w:val="auto"/>
              </w:rPr>
            </w:pPr>
            <w:r>
              <w:rPr>
                <w:rFonts w:ascii="Arial" w:cs="Arial" w:eastAsia="Arial" w:hAnsi="Arial"/>
                <w:sz w:val="16"/>
                <w:szCs w:val="16"/>
                <w:color w:val="auto"/>
              </w:rPr>
              <w:t>Issuance of common shares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
              <w:spacing w:after="0"/>
              <w:rPr>
                <w:sz w:val="20"/>
                <w:szCs w:val="20"/>
                <w:color w:val="auto"/>
              </w:rPr>
            </w:pPr>
            <w:r>
              <w:rPr>
                <w:rFonts w:ascii="Arial" w:cs="Arial" w:eastAsia="Arial" w:hAnsi="Arial"/>
                <w:sz w:val="16"/>
                <w:szCs w:val="16"/>
                <w:color w:val="auto"/>
              </w:rPr>
              <w:t>23,000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2360" w:type="dxa"/>
            <w:vAlign w:val="bottom"/>
          </w:tcPr>
          <w:p>
            <w:pPr>
              <w:spacing w:after="0"/>
              <w:rPr>
                <w:sz w:val="2"/>
                <w:szCs w:val="2"/>
                <w:color w:val="auto"/>
              </w:rPr>
            </w:pPr>
          </w:p>
        </w:tc>
        <w:tc>
          <w:tcPr>
            <w:tcW w:w="2480" w:type="dxa"/>
            <w:vAlign w:val="bottom"/>
            <w:gridSpan w:val="7"/>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360" w:type="dxa"/>
            <w:vAlign w:val="bottom"/>
          </w:tcPr>
          <w:p>
            <w:pPr>
              <w:spacing w:after="0"/>
              <w:rPr>
                <w:sz w:val="23"/>
                <w:szCs w:val="23"/>
                <w:color w:val="auto"/>
              </w:rPr>
            </w:pPr>
          </w:p>
        </w:tc>
        <w:tc>
          <w:tcPr>
            <w:tcW w:w="248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right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color w:val="auto"/>
              </w:rPr>
              <w:t>1,159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17"/>
        </w:trPr>
        <w:tc>
          <w:tcPr>
            <w:tcW w:w="2360" w:type="dxa"/>
            <w:vAlign w:val="bottom"/>
          </w:tcPr>
          <w:p>
            <w:pPr>
              <w:spacing w:after="0"/>
              <w:rPr>
                <w:sz w:val="18"/>
                <w:szCs w:val="18"/>
                <w:color w:val="auto"/>
              </w:rPr>
            </w:pPr>
          </w:p>
        </w:tc>
        <w:tc>
          <w:tcPr>
            <w:tcW w:w="2480" w:type="dxa"/>
            <w:vAlign w:val="bottom"/>
            <w:gridSpan w:val="7"/>
          </w:tcPr>
          <w:p>
            <w:pPr>
              <w:ind w:left="20"/>
              <w:spacing w:after="0"/>
              <w:rPr>
                <w:sz w:val="20"/>
                <w:szCs w:val="20"/>
                <w:color w:val="auto"/>
              </w:rPr>
            </w:pPr>
            <w:r>
              <w:rPr>
                <w:rFonts w:ascii="Arial" w:cs="Arial" w:eastAsia="Arial" w:hAnsi="Arial"/>
                <w:sz w:val="16"/>
                <w:szCs w:val="16"/>
                <w:b w:val="1"/>
                <w:bCs w:val="1"/>
                <w:color w:val="auto"/>
              </w:rPr>
              <w:t>Balance, December 31, 2017</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7"/>
              <w:spacing w:after="0"/>
              <w:rPr>
                <w:sz w:val="20"/>
                <w:szCs w:val="20"/>
                <w:color w:val="auto"/>
              </w:rPr>
            </w:pPr>
            <w:r>
              <w:rPr>
                <w:rFonts w:ascii="Arial" w:cs="Arial" w:eastAsia="Arial" w:hAnsi="Arial"/>
                <w:sz w:val="16"/>
                <w:szCs w:val="16"/>
                <w:b w:val="1"/>
                <w:bCs w:val="1"/>
                <w:color w:val="auto"/>
              </w:rPr>
              <w:t>132,262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2360" w:type="dxa"/>
            <w:vAlign w:val="bottom"/>
          </w:tcPr>
          <w:p>
            <w:pPr>
              <w:spacing w:after="0"/>
              <w:rPr>
                <w:sz w:val="2"/>
                <w:szCs w:val="2"/>
                <w:color w:val="auto"/>
              </w:rPr>
            </w:pPr>
          </w:p>
        </w:tc>
        <w:tc>
          <w:tcPr>
            <w:tcW w:w="2480" w:type="dxa"/>
            <w:vAlign w:val="bottom"/>
            <w:gridSpan w:val="7"/>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360" w:type="dxa"/>
            <w:vAlign w:val="bottom"/>
          </w:tcPr>
          <w:p>
            <w:pPr>
              <w:spacing w:after="0"/>
              <w:rPr>
                <w:sz w:val="21"/>
                <w:szCs w:val="21"/>
                <w:color w:val="auto"/>
              </w:rPr>
            </w:pPr>
          </w:p>
        </w:tc>
        <w:tc>
          <w:tcPr>
            <w:tcW w:w="248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w w:val="99"/>
              </w:rPr>
              <w:t>Issuance of shares for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9,042</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color w:val="auto"/>
              </w:rPr>
              <w:t>31,974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7"/>
        </w:trPr>
        <w:tc>
          <w:tcPr>
            <w:tcW w:w="2360" w:type="dxa"/>
            <w:vAlign w:val="bottom"/>
          </w:tcPr>
          <w:p>
            <w:pPr>
              <w:spacing w:after="0"/>
              <w:rPr>
                <w:sz w:val="20"/>
                <w:szCs w:val="20"/>
                <w:color w:val="auto"/>
              </w:rPr>
            </w:pPr>
          </w:p>
        </w:tc>
        <w:tc>
          <w:tcPr>
            <w:tcW w:w="2480" w:type="dxa"/>
            <w:vAlign w:val="bottom"/>
            <w:gridSpan w:val="7"/>
          </w:tcPr>
          <w:p>
            <w:pPr>
              <w:ind w:left="20"/>
              <w:spacing w:after="0"/>
              <w:rPr>
                <w:sz w:val="20"/>
                <w:szCs w:val="20"/>
                <w:color w:val="auto"/>
              </w:rPr>
            </w:pPr>
            <w:r>
              <w:rPr>
                <w:rFonts w:ascii="Arial" w:cs="Arial" w:eastAsia="Arial" w:hAnsi="Arial"/>
                <w:sz w:val="16"/>
                <w:szCs w:val="16"/>
                <w:color w:val="auto"/>
              </w:rPr>
              <w:t>Share-based compensation</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
              <w:spacing w:after="0"/>
              <w:rPr>
                <w:sz w:val="20"/>
                <w:szCs w:val="20"/>
                <w:color w:val="auto"/>
              </w:rPr>
            </w:pPr>
            <w:r>
              <w:rPr>
                <w:rFonts w:ascii="Arial" w:cs="Arial" w:eastAsia="Arial" w:hAnsi="Arial"/>
                <w:sz w:val="16"/>
                <w:szCs w:val="16"/>
                <w:color w:val="auto"/>
              </w:rPr>
              <w:t>1,696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2360" w:type="dxa"/>
            <w:vAlign w:val="bottom"/>
          </w:tcPr>
          <w:p>
            <w:pPr>
              <w:spacing w:after="0"/>
              <w:rPr>
                <w:sz w:val="2"/>
                <w:szCs w:val="2"/>
                <w:color w:val="auto"/>
              </w:rPr>
            </w:pPr>
          </w:p>
        </w:tc>
        <w:tc>
          <w:tcPr>
            <w:tcW w:w="2480" w:type="dxa"/>
            <w:vAlign w:val="bottom"/>
            <w:tcBorders>
              <w:bottom w:val="single" w:sz="8" w:color="CCEEFF"/>
            </w:tcBorders>
            <w:gridSpan w:val="7"/>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2360" w:type="dxa"/>
            <w:vAlign w:val="bottom"/>
          </w:tcPr>
          <w:p>
            <w:pPr>
              <w:spacing w:after="0"/>
              <w:rPr>
                <w:sz w:val="20"/>
                <w:szCs w:val="20"/>
                <w:color w:val="auto"/>
              </w:rPr>
            </w:pPr>
          </w:p>
        </w:tc>
        <w:tc>
          <w:tcPr>
            <w:tcW w:w="248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2018</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9,042</w:t>
            </w: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right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b w:val="1"/>
                <w:bCs w:val="1"/>
                <w:color w:val="auto"/>
              </w:rPr>
              <w:t>165,932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7"/>
        </w:trPr>
        <w:tc>
          <w:tcPr>
            <w:tcW w:w="2360" w:type="dxa"/>
            <w:vAlign w:val="bottom"/>
          </w:tcPr>
          <w:p>
            <w:pPr>
              <w:spacing w:after="0"/>
              <w:rPr>
                <w:sz w:val="20"/>
                <w:szCs w:val="20"/>
                <w:color w:val="auto"/>
              </w:rPr>
            </w:pPr>
          </w:p>
        </w:tc>
        <w:tc>
          <w:tcPr>
            <w:tcW w:w="2480" w:type="dxa"/>
            <w:vAlign w:val="bottom"/>
            <w:gridSpan w:val="7"/>
          </w:tcPr>
          <w:p>
            <w:pPr>
              <w:ind w:left="20"/>
              <w:spacing w:after="0"/>
              <w:rPr>
                <w:sz w:val="20"/>
                <w:szCs w:val="20"/>
                <w:color w:val="auto"/>
              </w:rPr>
            </w:pPr>
            <w:r>
              <w:rPr>
                <w:rFonts w:ascii="Arial" w:cs="Arial" w:eastAsia="Arial" w:hAnsi="Arial"/>
                <w:sz w:val="16"/>
                <w:szCs w:val="16"/>
                <w:color w:val="auto"/>
              </w:rPr>
              <w:t>Share-based compensation</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
              <w:spacing w:after="0"/>
              <w:rPr>
                <w:sz w:val="20"/>
                <w:szCs w:val="20"/>
                <w:color w:val="auto"/>
              </w:rPr>
            </w:pPr>
            <w:r>
              <w:rPr>
                <w:rFonts w:ascii="Arial" w:cs="Arial" w:eastAsia="Arial" w:hAnsi="Arial"/>
                <w:sz w:val="16"/>
                <w:szCs w:val="16"/>
                <w:color w:val="auto"/>
              </w:rPr>
              <w:t>3,624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2360" w:type="dxa"/>
            <w:vAlign w:val="bottom"/>
          </w:tcPr>
          <w:p>
            <w:pPr>
              <w:spacing w:after="0"/>
              <w:rPr>
                <w:sz w:val="2"/>
                <w:szCs w:val="2"/>
                <w:color w:val="auto"/>
              </w:rPr>
            </w:pPr>
          </w:p>
        </w:tc>
        <w:tc>
          <w:tcPr>
            <w:tcW w:w="2480" w:type="dxa"/>
            <w:vAlign w:val="bottom"/>
            <w:tcBorders>
              <w:bottom w:val="single" w:sz="8" w:color="CCEEFF"/>
            </w:tcBorders>
            <w:gridSpan w:val="7"/>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4"/>
        </w:trPr>
        <w:tc>
          <w:tcPr>
            <w:tcW w:w="2360" w:type="dxa"/>
            <w:vAlign w:val="bottom"/>
          </w:tcPr>
          <w:p>
            <w:pPr>
              <w:spacing w:after="0"/>
              <w:rPr>
                <w:sz w:val="21"/>
                <w:szCs w:val="21"/>
                <w:color w:val="auto"/>
              </w:rPr>
            </w:pPr>
          </w:p>
        </w:tc>
        <w:tc>
          <w:tcPr>
            <w:tcW w:w="248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2019</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9,042</w:t>
            </w:r>
          </w:p>
        </w:tc>
        <w:tc>
          <w:tcPr>
            <w:tcW w:w="6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b w:val="1"/>
                <w:bCs w:val="1"/>
                <w:color w:val="auto"/>
              </w:rPr>
              <w:t>169,556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
        </w:trPr>
        <w:tc>
          <w:tcPr>
            <w:tcW w:w="2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00"/>
          </w:cols>
          <w:pgMar w:left="240" w:top="125" w:right="2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00"/>
          </w:cols>
          <w:pgMar w:left="240" w:top="125" w:right="25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gridSpan w:val="6"/>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740" w:type="dxa"/>
            <w:vAlign w:val="bottom"/>
            <w:vMerge w:val="restart"/>
          </w:tcPr>
          <w:p>
            <w:pPr>
              <w:ind w:left="4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(105,254)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123,768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125,846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126,443</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Impairment charges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26,148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28,661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31,604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Inventory write-down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Loss on extinguishment of debt</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(8,976)</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Non-cash compensation charge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10,116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11,036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7,338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on disposals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Provision (benefit) for loss on receivables, net of recoveries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3,871</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(6,896)</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3,376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(4,463)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12,674</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Taxes payable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5,310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3,210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 and liabilities,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(3,318)</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cash flows provided by operating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74,481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54,391</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56,826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(11,194)</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Payments related to acquisitions, net of cash acquired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(16,434)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(171,337)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disposition of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1,762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used in 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(38,578)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(181,947)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(8,738)</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issuance of common shares, net</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64,734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Revolving credit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381,615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358,312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44,525</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Revolving credit repayments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(385,071)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(217,339)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(84,462)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Term loan repayments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(40,781)</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(1,950)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(4,009)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cash flows provided by (used in)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(44,631)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109,523</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(18,072)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(2,242)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(9,041)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(20,275)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30,862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12,372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32,647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1,785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3,331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12,372</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32,647</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Non-cash investing activities: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Value of common shares issued as consideration for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119,797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Value of preferred shares issued as consideration for acquisition</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54,821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Non-cash financing activities: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dividends paid-in-kind</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5" w:right="239" w:bottom="325"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5" w:right="239" w:bottom="325"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ind w:right="40" w:firstLine="459"/>
        <w:spacing w:after="0" w:line="271" w:lineRule="auto"/>
        <w:rPr>
          <w:sz w:val="20"/>
          <w:szCs w:val="20"/>
          <w:color w:val="auto"/>
        </w:rPr>
      </w:pPr>
      <w:r>
        <w:rPr>
          <w:rFonts w:ascii="Arial" w:cs="Arial" w:eastAsia="Arial" w:hAnsi="Arial"/>
          <w:sz w:val="17"/>
          <w:szCs w:val="17"/>
          <w:color w:val="auto"/>
        </w:rPr>
        <w:t>We are a hospitality company servicing the natural resources industry in Canada, Australia and the U.S. We provide a full suite of hospitality services for our guests, including lodging, food service, housekeeping and maintenance at accommodation facilities that we or our customers own. In many cases, we provide services that support the day-to-day operations of accommodation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and iron ore producing regions, and our customers include major and independent oil companies, mining companies, engineering companies and oilfield and mining service companies. We operate in three principal reporting business segments – Canada, Australia and the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20" w:firstLine="459"/>
        <w:spacing w:after="0" w:line="308"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reclassifications have been made to the prior years' consolidated financial statements to conform to the current year presentation.</w:t>
      </w:r>
    </w:p>
    <w:p>
      <w:pPr>
        <w:spacing w:after="0" w:line="233"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consider all highly liquid investments purchased with an original maturity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w:t>
      </w:r>
    </w:p>
    <w:p>
      <w:pPr>
        <w:spacing w:after="0" w:line="225" w:lineRule="exact"/>
        <w:rPr>
          <w:sz w:val="20"/>
          <w:szCs w:val="20"/>
          <w:color w:val="auto"/>
        </w:rPr>
      </w:pPr>
    </w:p>
    <w:p>
      <w:pPr>
        <w:ind w:right="100" w:firstLine="459"/>
        <w:spacing w:after="0" w:line="290" w:lineRule="auto"/>
        <w:rPr>
          <w:sz w:val="20"/>
          <w:szCs w:val="20"/>
          <w:color w:val="auto"/>
        </w:rPr>
      </w:pPr>
      <w:r>
        <w:rPr>
          <w:rFonts w:ascii="Arial" w:cs="Arial" w:eastAsia="Arial" w:hAnsi="Arial"/>
          <w:sz w:val="16"/>
          <w:szCs w:val="16"/>
          <w:color w:val="auto"/>
        </w:rPr>
        <w:t>We maintain allowances for doubtful accounts for estimated losses resulting from the inability of our customers to make required payments. If a trade receivable is deemed to be uncollectible, such receivable is charged-off against the allowance for doubtful accounts. We consider the following factors when determining if collection of revenue is reasonably assured: customer credit-worthiness, past transaction history with the customer, current economic industry trends, customer solvency and changes in customer payment terms. If we have no previous experience with the customer, we typically obtain reports from various credit organizations to ensure that the customer has a history of paying its creditors. We may also request financial information, including combined financial statements or other documents, to ensure that the customer has the means of making payment. If these factors do not indicate collection is reasonably assured, we generally would require a prepayment or other arrangement to support revenue recognition and recording of a trade receivable. If the financial condition of our customers were to deteriorate, adversely affecting their ability to make payments, additional allowances would be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firstLine="459"/>
        <w:spacing w:after="0" w:line="312" w:lineRule="auto"/>
        <w:rPr>
          <w:sz w:val="20"/>
          <w:szCs w:val="20"/>
          <w:color w:val="auto"/>
        </w:rPr>
      </w:pPr>
      <w:r>
        <w:rPr>
          <w:rFonts w:ascii="Arial" w:cs="Arial" w:eastAsia="Arial" w:hAnsi="Arial"/>
          <w:sz w:val="16"/>
          <w:szCs w:val="16"/>
          <w:color w:val="auto"/>
        </w:rPr>
        <w:t>Inventories consist of work in process, raw materials and supplies and materials for the construction and operation of remote accommodation facilities. Inventories also include food, raw materials, labor, subcontractor charges, manufacturing overhead and catering and other supplies needed for operation of our facilities. Inventories are carried at the lower of cost or market. The cost of inventories is determined on an average cost or specific-identification method.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right="100" w:firstLine="459"/>
        <w:spacing w:after="0" w:line="259" w:lineRule="auto"/>
        <w:rPr>
          <w:sz w:val="20"/>
          <w:szCs w:val="20"/>
          <w:color w:val="auto"/>
        </w:rPr>
      </w:pPr>
      <w:r>
        <w:rPr>
          <w:rFonts w:ascii="Arial" w:cs="Arial" w:eastAsia="Arial" w:hAnsi="Arial"/>
          <w:sz w:val="18"/>
          <w:szCs w:val="18"/>
          <w:color w:val="auto"/>
        </w:rPr>
        <w:t>Property, plant, and equipment are stated at cost or at estimated fair market value at acquisition date if acquired in a business combination, and depreciation is computed, for assets owned or recorded under capital lease, using the straight-line method, after allowing for salvage value where applicable, over the estimated useful lives of the assets. Leasehold improvements are capitalized and amortized over the lesser of the life of the lease or the estimated useful life of the asset.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125" w:right="2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2019, we extended the remaining useful life of certain long-lived accommodations assets in our Canada segment.</w:t>
      </w:r>
    </w:p>
    <w:p>
      <w:pPr>
        <w:spacing w:after="0" w:line="225" w:lineRule="exact"/>
        <w:rPr>
          <w:sz w:val="20"/>
          <w:szCs w:val="20"/>
          <w:color w:val="auto"/>
        </w:rPr>
      </w:pPr>
    </w:p>
    <w:p>
      <w:pPr>
        <w:ind w:right="40" w:firstLine="459"/>
        <w:spacing w:after="0" w:line="259" w:lineRule="auto"/>
        <w:rPr>
          <w:sz w:val="20"/>
          <w:szCs w:val="20"/>
          <w:color w:val="auto"/>
        </w:rPr>
      </w:pPr>
      <w:r>
        <w:rPr>
          <w:rFonts w:ascii="Arial" w:cs="Arial" w:eastAsia="Arial" w:hAnsi="Arial"/>
          <w:sz w:val="18"/>
          <w:szCs w:val="18"/>
          <w:color w:val="auto"/>
        </w:rPr>
        <w:t>We record the fair value of a liability, which reflects the estimated present value of the amount of asset removal and site reclamation costs related to the retirement of our assets, for an asset retirement obligation (ARO) when it is incurred (typically when the asset is installed). When the liability is initially recorded, we capitalize the associated asset retirement cost by increasing the carrying amount of the related property, plant and equipment. Please see Asset Retirement Obligations, below, for further discussion.</w:t>
      </w:r>
    </w:p>
    <w:p>
      <w:pPr>
        <w:spacing w:after="0" w:line="187" w:lineRule="exact"/>
        <w:rPr>
          <w:sz w:val="20"/>
          <w:szCs w:val="20"/>
          <w:color w:val="auto"/>
        </w:rPr>
      </w:pPr>
    </w:p>
    <w:p>
      <w:pPr>
        <w:ind w:right="240" w:firstLine="459"/>
        <w:spacing w:after="0" w:line="312" w:lineRule="auto"/>
        <w:rPr>
          <w:sz w:val="20"/>
          <w:szCs w:val="20"/>
          <w:color w:val="auto"/>
        </w:rPr>
      </w:pPr>
      <w:r>
        <w:rPr>
          <w:rFonts w:ascii="Arial" w:cs="Arial" w:eastAsia="Arial" w:hAnsi="Arial"/>
          <w:sz w:val="16"/>
          <w:szCs w:val="16"/>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consolidated statements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Capitalization</w:t>
      </w:r>
    </w:p>
    <w:p>
      <w:pPr>
        <w:spacing w:after="0" w:line="225" w:lineRule="exact"/>
        <w:rPr>
          <w:sz w:val="20"/>
          <w:szCs w:val="20"/>
          <w:color w:val="auto"/>
        </w:rPr>
      </w:pPr>
    </w:p>
    <w:p>
      <w:pPr>
        <w:ind w:right="240" w:firstLine="459"/>
        <w:spacing w:after="0" w:line="277" w:lineRule="auto"/>
        <w:rPr>
          <w:sz w:val="20"/>
          <w:szCs w:val="20"/>
          <w:color w:val="auto"/>
        </w:rPr>
      </w:pPr>
      <w:r>
        <w:rPr>
          <w:rFonts w:ascii="Arial" w:cs="Arial" w:eastAsia="Arial" w:hAnsi="Arial"/>
          <w:sz w:val="18"/>
          <w:szCs w:val="18"/>
          <w:color w:val="auto"/>
        </w:rPr>
        <w:t>Interest costs for the construction of certain long-term assets are capitalized and amortized over the related assets’ estimated useful lives. For each of the years ended December 31, 2019, 2018 and 2017, capitalized interest totaled zero.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80" w:firstLine="459"/>
        <w:spacing w:after="0" w:line="255" w:lineRule="auto"/>
        <w:rPr>
          <w:sz w:val="20"/>
          <w:szCs w:val="20"/>
          <w:color w:val="auto"/>
        </w:rPr>
      </w:pPr>
      <w:r>
        <w:rPr>
          <w:rFonts w:ascii="Arial" w:cs="Arial" w:eastAsia="Arial" w:hAnsi="Arial"/>
          <w:sz w:val="18"/>
          <w:szCs w:val="18"/>
          <w:color w:val="auto"/>
        </w:rPr>
        <w:t>We evaluate acquisitions of assets and other similar transactions to assess whether or not the transaction should be accounted for as a business combination by assessing whether or not we have acquired inputs and processes that have the ability to create outputs. If determined to be a business combination, we account for a business acquisition under the acquisition method of accounting. The accounting rules governing business combinations require the acquiring entity in a business combination to recognize the fair value of all assets acquired and liabilities assumed and establish the acquisition date as the fair value measurement point. Accordingly, we recognize assets acquired and liabilities assumed in a business combination based on the fair value estimates as of the date of acquisition. Goodwill is measured as the excess of the fair value of the consideration paid over the fair value of the identified net assets, including intangible assets, acquired.</w:t>
      </w:r>
    </w:p>
    <w:p>
      <w:pPr>
        <w:spacing w:after="0" w:line="189" w:lineRule="exact"/>
        <w:rPr>
          <w:sz w:val="20"/>
          <w:szCs w:val="20"/>
          <w:color w:val="auto"/>
        </w:rPr>
      </w:pPr>
    </w:p>
    <w:p>
      <w:pPr>
        <w:ind w:right="280" w:firstLine="459"/>
        <w:spacing w:after="0" w:line="257" w:lineRule="auto"/>
        <w:rPr>
          <w:sz w:val="20"/>
          <w:szCs w:val="20"/>
          <w:color w:val="auto"/>
        </w:rPr>
      </w:pPr>
      <w:r>
        <w:rPr>
          <w:rFonts w:ascii="Arial" w:cs="Arial" w:eastAsia="Arial" w:hAnsi="Arial"/>
          <w:sz w:val="18"/>
          <w:szCs w:val="18"/>
          <w:color w:val="auto"/>
        </w:rPr>
        <w:t>The fair value measurement of the identified net assets requires the significant use of estimates and is based on information that was available to management at the time the purchase price allocation was prepared. We utilize recognized valuation techniques, including the cost approach, the market approach and the income approach, to value the net assets acquired. The impact of changes to the estimated fair values of assets acquired and liabilities assumed is recorded in the reporting period in which the adjustment is identified. Final valuations of assets and liabilities are obtained and recorded within one year from the date of the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60" w:firstLine="459"/>
        <w:spacing w:after="0" w:line="302" w:lineRule="auto"/>
        <w:rPr>
          <w:sz w:val="20"/>
          <w:szCs w:val="20"/>
          <w:color w:val="auto"/>
        </w:rPr>
      </w:pPr>
      <w:r>
        <w:rPr>
          <w:rFonts w:ascii="Arial" w:cs="Arial" w:eastAsia="Arial" w:hAnsi="Arial"/>
          <w:sz w:val="16"/>
          <w:szCs w:val="16"/>
          <w:color w:val="auto"/>
        </w:rPr>
        <w:t>The recoverability of the carrying values of long-lived assets, including amortizable intangible assets, is assessed whenever, in management’s judgment, events or changes in circumstances indicate that the carrying value of such asset groups may not be recoverable based on estimated future cash flows. If this assessment indicates that the carrying values will not be recoverable, as determined based on undiscounted cash flows over the remaining useful lives, an impairment loss is recognized. The impairment loss equals the excess of the carrying value over the fair value of the asset group.</w:t>
      </w:r>
    </w:p>
    <w:p>
      <w:pPr>
        <w:spacing w:after="0" w:line="154" w:lineRule="exact"/>
        <w:rPr>
          <w:sz w:val="20"/>
          <w:szCs w:val="20"/>
          <w:color w:val="auto"/>
        </w:rPr>
      </w:pPr>
    </w:p>
    <w:p>
      <w:pPr>
        <w:ind w:firstLine="459"/>
        <w:spacing w:after="0" w:line="289" w:lineRule="auto"/>
        <w:rPr>
          <w:sz w:val="20"/>
          <w:szCs w:val="20"/>
          <w:color w:val="auto"/>
        </w:rPr>
      </w:pPr>
      <w:r>
        <w:rPr>
          <w:rFonts w:ascii="Arial" w:cs="Arial" w:eastAsia="Arial" w:hAnsi="Arial"/>
          <w:sz w:val="16"/>
          <w:szCs w:val="16"/>
          <w:color w:val="auto"/>
        </w:rPr>
        <w:t>In performing this analysis, the first step is to review asset groups at the lowest level for which identifiable cash flows are largely independent of the cash flows of other assets and liabilities. For each asset group, we compare its carrying value to estimates of undiscounted future cash flows. We use 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 as further discussed in Goodwill and Other Intangible Assets, below. Based on the assessment, if the carrying values of certain of our asset groups are determined to not be recoverable, we proceed to the second step. In this step, we compare the fair value of the respective asset group to its carrying value. The fair value of the asset groups are based on prices of similar assets, if available, or discounted cash flows.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w:t>
      </w:r>
    </w:p>
    <w:p>
      <w:pPr>
        <w:spacing w:after="0" w:line="167"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Please see Note 4 – Impairment Charges for a discussion of impairment charges we recognized in 2019, 2018 and 2017 related to our long-lived assets.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ind w:right="160" w:firstLine="459"/>
        <w:spacing w:after="0" w:line="277"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represents the excess of the purchase price paid for acquired businesses over the allocated fair value of the related net assets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impairments, if applicable.</w:t>
      </w:r>
    </w:p>
    <w:p>
      <w:pPr>
        <w:spacing w:after="0" w:line="170" w:lineRule="exact"/>
        <w:rPr>
          <w:sz w:val="20"/>
          <w:szCs w:val="20"/>
          <w:color w:val="auto"/>
        </w:rPr>
      </w:pPr>
    </w:p>
    <w:p>
      <w:pPr>
        <w:ind w:right="180" w:firstLine="459"/>
        <w:spacing w:after="0" w:line="259" w:lineRule="auto"/>
        <w:rPr>
          <w:sz w:val="20"/>
          <w:szCs w:val="20"/>
          <w:color w:val="auto"/>
        </w:rPr>
      </w:pPr>
      <w:r>
        <w:rPr>
          <w:rFonts w:ascii="Arial" w:cs="Arial" w:eastAsia="Arial" w:hAnsi="Arial"/>
          <w:sz w:val="18"/>
          <w:szCs w:val="18"/>
          <w:color w:val="auto"/>
        </w:rPr>
        <w:t>We do not amortize goodwill. We evaluate goodwill for impairment, at the reporting unit level, annually and when an event occurs or circumstances change to suggest that the carrying amount may not be recoverable. 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w:t>
      </w:r>
    </w:p>
    <w:p>
      <w:pPr>
        <w:spacing w:after="0" w:line="187" w:lineRule="exact"/>
        <w:rPr>
          <w:sz w:val="20"/>
          <w:szCs w:val="20"/>
          <w:color w:val="auto"/>
        </w:rPr>
      </w:pPr>
    </w:p>
    <w:p>
      <w:pPr>
        <w:ind w:right="140" w:firstLine="459"/>
        <w:spacing w:after="0" w:line="286" w:lineRule="auto"/>
        <w:rPr>
          <w:sz w:val="20"/>
          <w:szCs w:val="20"/>
          <w:color w:val="auto"/>
        </w:rPr>
      </w:pPr>
      <w:r>
        <w:rPr>
          <w:rFonts w:ascii="Arial" w:cs="Arial" w:eastAsia="Arial" w:hAnsi="Arial"/>
          <w:sz w:val="17"/>
          <w:szCs w:val="17"/>
          <w:color w:val="auto"/>
        </w:rPr>
        <w:t>In the fourth quarter of 2019, we adopted Accounting Standard Update (ASU) 2017-04, "Intangibles-Goodwill and Other (Topic 350)" to simplify the test for goodwill impairment. Under the revised guidance, an entity recognizes an impairment charge for the amount by which the carrying amount of the reporting unit exceeds its fair value; however, the loss recognized should not exceed the total amount of goodwill allocated to the reporting unit.</w:t>
      </w:r>
    </w:p>
    <w:p>
      <w:pPr>
        <w:spacing w:after="0" w:line="166" w:lineRule="exact"/>
        <w:rPr>
          <w:sz w:val="20"/>
          <w:szCs w:val="20"/>
          <w:color w:val="auto"/>
        </w:rPr>
      </w:pPr>
    </w:p>
    <w:p>
      <w:pPr>
        <w:ind w:right="20" w:firstLine="459"/>
        <w:spacing w:after="0" w:line="259" w:lineRule="auto"/>
        <w:rPr>
          <w:sz w:val="20"/>
          <w:szCs w:val="20"/>
          <w:color w:val="auto"/>
        </w:rPr>
      </w:pPr>
      <w:r>
        <w:rPr>
          <w:rFonts w:ascii="Arial" w:cs="Arial" w:eastAsia="Arial" w:hAnsi="Arial"/>
          <w:sz w:val="18"/>
          <w:szCs w:val="18"/>
          <w:color w:val="auto"/>
        </w:rPr>
        <w:t>In connection with our 2018 acquisition of Noralta Lodge Ltd. (Noralta), referred to herein as the Noralta Acquisition, we recognized $123.6 million of goodwill in our Canadian reporting unit. In connection with our acquisition of 2019 Action Industrial Catering (Action), referred to herein as the Action Acquisition, we recognized $7.9 million of goodwill in our Australian reporting unit. For further discussion, please see Note 7 - Acquisitions and Note 11 - Goodwill and Other Intangible Assets.</w:t>
      </w:r>
    </w:p>
    <w:p>
      <w:pPr>
        <w:spacing w:after="0" w:line="187" w:lineRule="exact"/>
        <w:rPr>
          <w:sz w:val="20"/>
          <w:szCs w:val="20"/>
          <w:color w:val="auto"/>
        </w:rPr>
      </w:pPr>
    </w:p>
    <w:p>
      <w:pPr>
        <w:ind w:right="80" w:firstLine="459"/>
        <w:spacing w:after="0" w:line="277" w:lineRule="auto"/>
        <w:rPr>
          <w:sz w:val="20"/>
          <w:szCs w:val="20"/>
          <w:color w:val="auto"/>
        </w:rPr>
      </w:pPr>
      <w:r>
        <w:rPr>
          <w:rFonts w:ascii="Arial" w:cs="Arial" w:eastAsia="Arial" w:hAnsi="Arial"/>
          <w:sz w:val="18"/>
          <w:szCs w:val="18"/>
          <w:color w:val="auto"/>
        </w:rPr>
        <w:t>We conduct our annual impairment test as of November 30 of each year. We compare each reporting unit’s carrying amount, including goodwill, to the fair value of the reporting unit. If the carrying amount of the reporting unit exceeds its fair value, goodwill is impaired.</w:t>
      </w:r>
    </w:p>
    <w:p>
      <w:pPr>
        <w:spacing w:after="0" w:line="170" w:lineRule="exact"/>
        <w:rPr>
          <w:sz w:val="20"/>
          <w:szCs w:val="20"/>
          <w:color w:val="auto"/>
        </w:rPr>
      </w:pPr>
    </w:p>
    <w:p>
      <w:pPr>
        <w:ind w:right="140" w:firstLine="459"/>
        <w:spacing w:after="0" w:line="273" w:lineRule="auto"/>
        <w:rPr>
          <w:sz w:val="20"/>
          <w:szCs w:val="20"/>
          <w:color w:val="auto"/>
        </w:rPr>
      </w:pPr>
      <w:r>
        <w:rPr>
          <w:rFonts w:ascii="Arial" w:cs="Arial" w:eastAsia="Arial" w:hAnsi="Arial"/>
          <w:sz w:val="17"/>
          <w:szCs w:val="17"/>
          <w:color w:val="auto"/>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goodwill impairment test.</w:t>
      </w:r>
    </w:p>
    <w:p>
      <w:pPr>
        <w:spacing w:after="0" w:line="178" w:lineRule="exact"/>
        <w:rPr>
          <w:sz w:val="20"/>
          <w:szCs w:val="20"/>
          <w:color w:val="auto"/>
        </w:rPr>
      </w:pPr>
    </w:p>
    <w:p>
      <w:pPr>
        <w:ind w:right="40" w:firstLine="459"/>
        <w:spacing w:after="0" w:line="308" w:lineRule="auto"/>
        <w:rPr>
          <w:sz w:val="20"/>
          <w:szCs w:val="20"/>
          <w:color w:val="auto"/>
        </w:rPr>
      </w:pPr>
      <w:r>
        <w:rPr>
          <w:rFonts w:ascii="Arial" w:cs="Arial" w:eastAsia="Arial" w:hAnsi="Arial"/>
          <w:sz w:val="17"/>
          <w:szCs w:val="17"/>
          <w:color w:val="auto"/>
        </w:rPr>
        <w:t>When performing our annual assessment on November 30, 2019, due to a reduction in our share price in the fourth quarter of 2019, we chose to bypass the qualitative assessment and proceed directly to the impairment test for goodwill in our Canadian and Australian reporting units.</w:t>
      </w:r>
    </w:p>
    <w:p>
      <w:pPr>
        <w:spacing w:after="0" w:line="147"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color w:val="auto"/>
        </w:rPr>
        <w:t>In performing the goodwill impairment test, we compare each reporting unit’s carrying amount, including goodwill, to the fair value of the reporting unit. Because none of our reporting units has a publicly quoted market price, we must determine the value that willing buyers and sellers would place on the reporting unit through a routine sale process (a Level 3 fair value measurement). In our analysis, we target a fair value that represents the value that would be placed on the reporting unit by market participants, and value the reporting unit based on historical and projected results throughout a cycle, not the value of the reporting unit based on trough or peak earnings. The fair value of the reporting unit is estimated using a combination of (i) an analysis of trading multiples of comparable companies (Market Approach) and (ii) discounted projected cash flows (Income Approach). The relative weighting of each approach reflects current industry and market conditions.</w:t>
      </w:r>
    </w:p>
    <w:p>
      <w:pPr>
        <w:spacing w:after="0" w:line="189" w:lineRule="exact"/>
        <w:rPr>
          <w:sz w:val="20"/>
          <w:szCs w:val="20"/>
          <w:color w:val="auto"/>
        </w:rPr>
      </w:pPr>
    </w:p>
    <w:p>
      <w:pPr>
        <w:ind w:right="420" w:firstLine="459"/>
        <w:spacing w:after="0" w:line="264" w:lineRule="auto"/>
        <w:rPr>
          <w:sz w:val="20"/>
          <w:szCs w:val="20"/>
          <w:color w:val="auto"/>
        </w:rPr>
      </w:pPr>
      <w:r>
        <w:rPr>
          <w:rFonts w:ascii="Arial" w:cs="Arial" w:eastAsia="Arial" w:hAnsi="Arial"/>
          <w:sz w:val="18"/>
          <w:szCs w:val="18"/>
          <w:i w:val="1"/>
          <w:iCs w:val="1"/>
          <w:color w:val="auto"/>
        </w:rPr>
        <w:t xml:space="preserve">Market Approach </w:t>
      </w:r>
      <w:r>
        <w:rPr>
          <w:rFonts w:ascii="Arial" w:cs="Arial" w:eastAsia="Arial" w:hAnsi="Arial"/>
          <w:sz w:val="18"/>
          <w:szCs w:val="18"/>
          <w:color w:val="auto"/>
        </w:rPr>
        <w:t>- This valuation approach utilizes publicly traded comparable companies’ enterprise values, as compared to their recent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forecasted earnings before interest, taxes and depreciation (EBITDA) information. We use EBITDA because it is a widely used key indicator of the cash generating capacity of companies in our industry.</w:t>
      </w:r>
    </w:p>
    <w:p>
      <w:pPr>
        <w:spacing w:after="0" w:line="181" w:lineRule="exact"/>
        <w:rPr>
          <w:sz w:val="20"/>
          <w:szCs w:val="20"/>
          <w:color w:val="auto"/>
        </w:rPr>
      </w:pPr>
    </w:p>
    <w:p>
      <w:pPr>
        <w:ind w:right="200" w:firstLine="459"/>
        <w:spacing w:after="0" w:line="257" w:lineRule="auto"/>
        <w:rPr>
          <w:sz w:val="20"/>
          <w:szCs w:val="20"/>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 This valuation approach derives a present value of the reporting unit’s projected future annual cash flows over the next five years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terminal value assumption. We use a variety of underlying assumptions to estimate these future cash flows, including assumptions relating to future economic market conditions, rates, occupancy levels, costs and expenses and capital expenditures. These assumptions can vary by each reporting unit depending on market conditions. In addition, a terminal value is estimated, using a Gordon Growth methodology with a long-term growth rate of 2%. We discount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projected cash flows using a long-term weighted average cost of capital based on our estimate of investment returns that would be required by a market participant.</w:t>
      </w:r>
    </w:p>
    <w:p>
      <w:pPr>
        <w:spacing w:after="0" w:line="170" w:lineRule="exact"/>
        <w:rPr>
          <w:sz w:val="20"/>
          <w:szCs w:val="20"/>
          <w:color w:val="auto"/>
        </w:rPr>
      </w:pPr>
    </w:p>
    <w:p>
      <w:pPr>
        <w:ind w:right="60" w:firstLine="459"/>
        <w:spacing w:after="0" w:line="291" w:lineRule="auto"/>
        <w:rPr>
          <w:sz w:val="20"/>
          <w:szCs w:val="20"/>
          <w:color w:val="auto"/>
        </w:rPr>
      </w:pPr>
      <w:r>
        <w:rPr>
          <w:rFonts w:ascii="Arial" w:cs="Arial" w:eastAsia="Arial" w:hAnsi="Arial"/>
          <w:sz w:val="16"/>
          <w:szCs w:val="16"/>
          <w:color w:val="auto"/>
        </w:rPr>
        <w:t>The fair value of our reporting units is affected by future oil, coal and natural gas prices, anticipated spending by our customers, and the cost of capital. Our estimate of fair value requires us to use significant unobservable inputs, representative of Level 3 fair value measurements, including numerous assumptions with respect to future circumstances, such as industry and/or local market conditions that might directly impact each of the reporting units’ operations in the future.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fair value of each reporting unit would change if our assumptions under these valuation approaches, or relative weighting of the valuation approaches, were materially modified.</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Note 4 – Impairment Charges for a discussion of impairment charges we recognized in 2019 related to our goodwill.</w:t>
      </w:r>
    </w:p>
    <w:p>
      <w:pPr>
        <w:spacing w:after="0" w:line="225" w:lineRule="exact"/>
        <w:rPr>
          <w:sz w:val="20"/>
          <w:szCs w:val="20"/>
          <w:color w:val="auto"/>
        </w:rPr>
      </w:pPr>
    </w:p>
    <w:p>
      <w:pPr>
        <w:ind w:firstLine="459"/>
        <w:spacing w:after="0" w:line="279" w:lineRule="auto"/>
        <w:rPr>
          <w:sz w:val="20"/>
          <w:szCs w:val="20"/>
          <w:color w:val="auto"/>
        </w:rPr>
      </w:pPr>
      <w:r>
        <w:rPr>
          <w:rFonts w:ascii="Arial" w:cs="Arial" w:eastAsia="Arial" w:hAnsi="Arial"/>
          <w:sz w:val="17"/>
          <w:szCs w:val="17"/>
          <w:b w:val="1"/>
          <w:bCs w:val="1"/>
          <w:i w:val="1"/>
          <w:iCs w:val="1"/>
          <w:color w:val="auto"/>
        </w:rPr>
        <w:t xml:space="preserve">Other Intangible Assets. </w:t>
      </w:r>
      <w:r>
        <w:rPr>
          <w:rFonts w:ascii="Arial" w:cs="Arial" w:eastAsia="Arial" w:hAnsi="Arial"/>
          <w:sz w:val="17"/>
          <w:szCs w:val="17"/>
          <w:color w:val="auto"/>
        </w:rPr>
        <w:t>We amortize the cost of other intangible assets using the straight-line method over their estimated useful lives unless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lives are deemed indefinite. For intangible assets that we amortize, we review the useful life of the intangible asset and evaluate each reporting period whether events and circumstances warrant a revision to the remaining useful life. We evaluate the remaining useful life of an intangible asset that is not being amortized each reporting period to determine whether events and circumstances continue to support an indefinite useful life.</w:t>
      </w:r>
    </w:p>
    <w:p>
      <w:pPr>
        <w:spacing w:after="0" w:line="171" w:lineRule="exact"/>
        <w:rPr>
          <w:sz w:val="20"/>
          <w:szCs w:val="20"/>
          <w:color w:val="auto"/>
        </w:rPr>
      </w:pPr>
    </w:p>
    <w:p>
      <w:pPr>
        <w:ind w:right="20" w:firstLine="459"/>
        <w:spacing w:after="0" w:line="286" w:lineRule="auto"/>
        <w:rPr>
          <w:sz w:val="20"/>
          <w:szCs w:val="20"/>
          <w:color w:val="auto"/>
        </w:rPr>
      </w:pPr>
      <w:r>
        <w:rPr>
          <w:rFonts w:ascii="Arial" w:cs="Arial" w:eastAsia="Arial" w:hAnsi="Arial"/>
          <w:sz w:val="17"/>
          <w:szCs w:val="17"/>
          <w:color w:val="auto"/>
        </w:rPr>
        <w:t>We are required to evaluate our indefinite-lived intangible assets for impairment annually and when an event occurs or circumstances change to suggest the carrying amount may not be recoverable. In performing the impairment test, we compare the fair value of the indefinite-lived intangible asset with its carrying amount. The measurement of the impairment is calculated based on the excess of the carrying value over its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Other Comprehensive Income</w:t>
      </w:r>
    </w:p>
    <w:p>
      <w:pPr>
        <w:spacing w:after="0" w:line="225" w:lineRule="exact"/>
        <w:rPr>
          <w:sz w:val="20"/>
          <w:szCs w:val="20"/>
          <w:color w:val="auto"/>
        </w:rPr>
      </w:pPr>
    </w:p>
    <w:p>
      <w:pPr>
        <w:ind w:right="20" w:firstLine="459"/>
        <w:spacing w:after="0" w:line="291" w:lineRule="auto"/>
        <w:rPr>
          <w:sz w:val="20"/>
          <w:szCs w:val="20"/>
          <w:color w:val="auto"/>
        </w:rPr>
      </w:pPr>
      <w:r>
        <w:rPr>
          <w:rFonts w:ascii="Arial" w:cs="Arial" w:eastAsia="Arial" w:hAnsi="Arial"/>
          <w:sz w:val="16"/>
          <w:szCs w:val="16"/>
          <w:color w:val="auto"/>
        </w:rPr>
        <w:t>Gains and losses resulting from consolidated balance sheet translation of foreign operations where a foreign currency is the functional currency are included as a separate component of accumulated other comprehensive income within shareholders’ equity representing substantially all of the balances within accumulated other comprehensive income. Remeasurements of intercompany loans denominated in a different currency than the functional currency of the entity that are of a long-term investment nature are recognized as other comprehensive income within shareholders’ equity. Gains and losses resulting from consolidated balance sheet remeasurements of assets and liabilities denominated in a different currency than the functional currency, other than intercompany loans that are of a long-term investment nature, are included in the consolidated statements of operations as incurred. For the years ended December 31, 2019, 2018, and 2017, we recognized approximately $0.3 million, $0.8 million and $1.5 million in foreign currency losses,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40" w:firstLine="459"/>
        <w:spacing w:after="0" w:line="286" w:lineRule="auto"/>
        <w:rPr>
          <w:sz w:val="20"/>
          <w:szCs w:val="20"/>
          <w:color w:val="auto"/>
        </w:rPr>
      </w:pPr>
      <w:r>
        <w:rPr>
          <w:rFonts w:ascii="Arial" w:cs="Arial" w:eastAsia="Arial" w:hAnsi="Arial"/>
          <w:sz w:val="17"/>
          <w:szCs w:val="17"/>
          <w:color w:val="auto"/>
        </w:rPr>
        <w:t>A significant portion of revenues, earnings and net investments in foreign affiliates are exposed to changes in foreign currency exchange rates. We seek to manage our foreign exchange risk in part through operational means, including managing expected local currency revenues in relation to local currency costs and local currency assets in relation to local currency liabilities. We have not entered into any foreign currency forward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Recognition</w:t>
      </w:r>
    </w:p>
    <w:p>
      <w:pPr>
        <w:spacing w:after="0" w:line="225" w:lineRule="exact"/>
        <w:rPr>
          <w:sz w:val="20"/>
          <w:szCs w:val="20"/>
          <w:color w:val="auto"/>
        </w:rPr>
      </w:pPr>
    </w:p>
    <w:p>
      <w:pPr>
        <w:ind w:right="20" w:firstLine="459"/>
        <w:spacing w:after="0" w:line="271" w:lineRule="auto"/>
        <w:rPr>
          <w:sz w:val="20"/>
          <w:szCs w:val="20"/>
          <w:color w:val="auto"/>
        </w:rPr>
      </w:pPr>
      <w:r>
        <w:rPr>
          <w:rFonts w:ascii="Arial" w:cs="Arial" w:eastAsia="Arial" w:hAnsi="Arial"/>
          <w:sz w:val="17"/>
          <w:szCs w:val="17"/>
          <w:color w:val="auto"/>
        </w:rPr>
        <w:t>We generally recognize accommodation, mobile facility rental, food service and other services revenues over time as our customers simultaneously receive and consume benefits as we serve our customers because of continuous transfer of control to the customer. Revenue is recognized when control of the promised goods or services is transferred to our customers, in an amount that reflects the consideration we expect to be entitled to in exchange for those goods or services. We transfer control and recognize a sale based on a periodic (usually daily) room rate each night a customer stays in our rooms or when the services are rendered. In some contracts, rates may vary over the contract term. In these cases, revenue may be deferred and recognized on a straight-line basis over the contract term. A limited portion of our revenue is recognized at a point in time when control transfers to the customer related to small modular construction and manufacturing contracts, minor food service arrangements and optional purchases our customers make for incidental services offered at our accommodation and mobile facilities.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459"/>
        <w:spacing w:after="0" w:line="289" w:lineRule="auto"/>
        <w:rPr>
          <w:sz w:val="20"/>
          <w:szCs w:val="20"/>
          <w:color w:val="auto"/>
        </w:rPr>
      </w:pPr>
      <w:r>
        <w:rPr>
          <w:rFonts w:ascii="Arial" w:cs="Arial" w:eastAsia="Arial" w:hAnsi="Arial"/>
          <w:sz w:val="16"/>
          <w:szCs w:val="16"/>
          <w:color w:val="auto"/>
        </w:rPr>
        <w:t>For significant construction projects, manufacturing revenues are recognized over time with progress towards completion measured using the cost based input method as the basis to recognize revenue and an estimated profit. Billings on such contracts in excess of costs incurred and estimated profits are classified as deferred revenue. Costs incurred and estimated profits in excess of billings on these contracts are recognized as unbilled receivables. Management believes this input method is the most appropriate measure of progress to the satisfaction of a performance obligation on larger modular construction and manufacturing contracts. Provisions for estimated losses on uncompleted contracts are made in the period in which such losses are determined. Changes in job performance, job conditions, estimated profitability and final contract settlements may result in revisions to projected costs and revenue and are recognized in the period in which the revisions to estimates are identified and the amounts can be reasonably estimated.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spacing w:after="0" w:line="167" w:lineRule="exact"/>
        <w:rPr>
          <w:sz w:val="20"/>
          <w:szCs w:val="20"/>
          <w:color w:val="auto"/>
        </w:rPr>
      </w:pPr>
    </w:p>
    <w:p>
      <w:pPr>
        <w:ind w:right="60" w:firstLine="459"/>
        <w:spacing w:after="0" w:line="272" w:lineRule="auto"/>
        <w:rPr>
          <w:sz w:val="20"/>
          <w:szCs w:val="20"/>
          <w:color w:val="auto"/>
        </w:rPr>
      </w:pPr>
      <w:r>
        <w:rPr>
          <w:rFonts w:ascii="Arial" w:cs="Arial" w:eastAsia="Arial" w:hAnsi="Arial"/>
          <w:sz w:val="17"/>
          <w:szCs w:val="17"/>
          <w:color w:val="auto"/>
        </w:rPr>
        <w:t>Because of control transferring over time, the majority of our revenue is recognized based on the extent of progress towards completion of the performance obligation. At contract inception, we assess the goods and services promised in our contracts with customers and identify a performance obligation for each promise to transfer our customers a good or service (or bundle of goods or services) that is distinct. Our customers typically contract for hospitality services under take-or-pay contracts with terms that most often range from several months to three years. Our contract terms generally provide for a rental rate for a reserved room and an occupied room rate that compensates us for services provided. We typically contract our facilities to our customers on a fee per day basis where the goods and services promised include lodging and meals. To identify the performance obligations, we consider all of the goods and services promised in the context of the contract and the pattern of transfer to our customers.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exclude taxes assessed based on revenues such as sales or value added taxes.</w:t>
      </w:r>
    </w:p>
    <w:p>
      <w:pPr>
        <w:spacing w:after="0" w:line="225" w:lineRule="exact"/>
        <w:rPr>
          <w:sz w:val="20"/>
          <w:szCs w:val="20"/>
          <w:color w:val="auto"/>
        </w:rPr>
      </w:pPr>
    </w:p>
    <w:p>
      <w:pPr>
        <w:ind w:right="140" w:firstLine="459"/>
        <w:spacing w:after="0" w:line="264" w:lineRule="auto"/>
        <w:rPr>
          <w:sz w:val="20"/>
          <w:szCs w:val="20"/>
          <w:color w:val="auto"/>
        </w:rPr>
      </w:pPr>
      <w:r>
        <w:rPr>
          <w:rFonts w:ascii="Arial" w:cs="Arial" w:eastAsia="Arial" w:hAnsi="Arial"/>
          <w:sz w:val="18"/>
          <w:szCs w:val="18"/>
          <w:color w:val="auto"/>
        </w:rPr>
        <w:t>Cost of services includes labor, food, utility costs, cleaning supplies, and other costs of operating our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80" w:firstLine="459"/>
        <w:spacing w:after="0" w:line="264" w:lineRule="auto"/>
        <w:rPr>
          <w:sz w:val="20"/>
          <w:szCs w:val="20"/>
          <w:color w:val="auto"/>
        </w:rPr>
      </w:pPr>
      <w:r>
        <w:rPr>
          <w:rFonts w:ascii="Arial" w:cs="Arial" w:eastAsia="Arial" w:hAnsi="Arial"/>
          <w:sz w:val="18"/>
          <w:szCs w:val="18"/>
          <w:color w:val="auto"/>
        </w:rPr>
        <w:t>Our operations are subject to Canadian federal and provincial income taxes, as well as foreign income taxes. We determine the provision for income taxes using the asset and liability approach. Under this approach, deferred income taxes represent the expected future tax consequences of temporary differences between the carrying amounts and tax bases of assets and liabilities.</w:t>
      </w:r>
    </w:p>
    <w:p>
      <w:pPr>
        <w:spacing w:after="0" w:line="181"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color w:val="auto"/>
        </w:rPr>
        <w:t>Valuation allowances are established when necessary to reduce deferred tax assets to the amounts expected to be realized. In assessing the need for a valuation allowance, we look to the future reversal of existing taxable temporary differences, taxable income in carryback years, the feasibility of tax planning strategies and estimated future taxable income. The valuation allowance can be affected by changes to tax laws, changes to statutory tax rates and changes to future taxable income estimates and historical losses.</w:t>
      </w:r>
    </w:p>
    <w:p>
      <w:pPr>
        <w:spacing w:after="0" w:line="187" w:lineRule="exact"/>
        <w:rPr>
          <w:sz w:val="20"/>
          <w:szCs w:val="20"/>
          <w:color w:val="auto"/>
        </w:rPr>
      </w:pPr>
    </w:p>
    <w:p>
      <w:pPr>
        <w:ind w:right="200" w:firstLine="459"/>
        <w:spacing w:after="0" w:line="259"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measured based on the largest benefit that has a greater than 50% likelihood of being realized upon ultimate settlement. Please see Note 16 – Income Taxes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and Concentration of Credit Risk</w:t>
      </w:r>
    </w:p>
    <w:p>
      <w:pPr>
        <w:spacing w:after="0" w:line="225" w:lineRule="exact"/>
        <w:rPr>
          <w:sz w:val="20"/>
          <w:szCs w:val="20"/>
          <w:color w:val="auto"/>
        </w:rPr>
      </w:pPr>
    </w:p>
    <w:p>
      <w:pPr>
        <w:ind w:right="20" w:firstLine="459"/>
        <w:spacing w:after="0" w:line="255" w:lineRule="auto"/>
        <w:rPr>
          <w:sz w:val="20"/>
          <w:szCs w:val="20"/>
          <w:color w:val="auto"/>
        </w:rPr>
      </w:pPr>
      <w:r>
        <w:rPr>
          <w:rFonts w:ascii="Arial" w:cs="Arial" w:eastAsia="Arial" w:hAnsi="Arial"/>
          <w:sz w:val="18"/>
          <w:szCs w:val="18"/>
          <w:color w:val="auto"/>
        </w:rPr>
        <w:t>Based on the nature of our customer base, we do not believe that we have any significant concentrations of credit risk other than our concentration in the Canadian oil sands and Australian mining industries. We evaluate the credit-worthiness of our significant, new and existing customers’ financial condition and, generally, we do not require collateral from our customers. For the year ended December 31, 2019, each of Imperial Oil and Fort Hills Energy LP accounted for more than 10% of our revenues. For the year ended December 31, 2018, each of Imperial Oil, Fort Hills Energy LP and Suncor Energy Inc. accounted for more than 10% of our revenues. For the year ended December 31, 2017, each of Imperial Oil and Fort Hills Energy LP accounted for more than 10% of our revenues.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ind w:right="80" w:firstLine="459"/>
        <w:spacing w:after="0" w:line="289" w:lineRule="auto"/>
        <w:rPr>
          <w:sz w:val="20"/>
          <w:szCs w:val="20"/>
          <w:color w:val="auto"/>
        </w:rPr>
      </w:pPr>
      <w:r>
        <w:rPr>
          <w:rFonts w:ascii="Arial" w:cs="Arial" w:eastAsia="Arial" w:hAnsi="Arial"/>
          <w:sz w:val="16"/>
          <w:szCs w:val="16"/>
          <w:color w:val="auto"/>
        </w:rPr>
        <w:t>We have AROs that we are required to perform under law or contract once an asset is permanently taken out of service. We record the fair value of the liability, which reflects the estimated present value of the amount of asset removal and site reclamation costs related to the retirement of our assets, for an ARO when it is incurred (typically when the asset is installed). When the liability is initially recorded, we capitalize the associated asset retirement cost by increasing the carrying amount of the related property, plant and equipment. Over time, the liability increases for the change in its present value, while the capitalized cost depreciates over the useful life of the related asset. Accretion expense is recognized over the estimated productive life of the related assets. If the fair value of the estimated ARO changes, an adjustment is recorded to both the ARO and the capitalized asset retirement cost. Revisions in estimated liabilities can result from changes in estimated inflation rates, changes in service and equipment costs and changes in the estimated timing of settling the ARO. We utilize current retirement costs to estimate the expected cash outflows for retirement obligations. We estimate the ultimate productive life of the properties and a risk-adjusted discount rate in order to determine the current present value of the obligation.</w:t>
      </w:r>
    </w:p>
    <w:p>
      <w:pPr>
        <w:spacing w:after="0" w:line="167" w:lineRule="exact"/>
        <w:rPr>
          <w:sz w:val="20"/>
          <w:szCs w:val="20"/>
          <w:color w:val="auto"/>
        </w:rPr>
      </w:pPr>
    </w:p>
    <w:p>
      <w:pPr>
        <w:ind w:right="100" w:firstLine="459"/>
        <w:spacing w:after="0" w:line="342" w:lineRule="auto"/>
        <w:rPr>
          <w:sz w:val="20"/>
          <w:szCs w:val="20"/>
          <w:color w:val="auto"/>
        </w:rPr>
      </w:pPr>
      <w:r>
        <w:rPr>
          <w:rFonts w:ascii="Arial" w:cs="Arial" w:eastAsia="Arial" w:hAnsi="Arial"/>
          <w:sz w:val="16"/>
          <w:szCs w:val="16"/>
          <w:color w:val="auto"/>
        </w:rPr>
        <w:t>We relieve ARO liabilities when the related obligations are settled. Most of these obligations are not expected to be paid until many years in the future and will be funded from general company resources at the time of removal. Please see Note 15 – Asset Retirement Obligations for further discussion.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color w:val="auto"/>
        </w:rPr>
        <w:t>We sponsor an equity participation plan in which certain of our employees participate. We measure the cost of employee services received in exchange for an award of equity instruments (typically restricted share awards and deferred share awards) based on the grant-date fair value of the award. The fair value is calculated based on our share price on the grant-date. The resulting cost is recognized over the period during which an employee is required to provide service in exchange for the awards, usually the vesting period.</w:t>
      </w:r>
    </w:p>
    <w:p>
      <w:pPr>
        <w:spacing w:after="0" w:line="187" w:lineRule="exact"/>
        <w:rPr>
          <w:sz w:val="20"/>
          <w:szCs w:val="20"/>
          <w:color w:val="auto"/>
        </w:rPr>
      </w:pPr>
    </w:p>
    <w:p>
      <w:pPr>
        <w:jc w:val="both"/>
        <w:ind w:right="300" w:firstLine="459"/>
        <w:spacing w:after="0" w:line="264" w:lineRule="auto"/>
        <w:rPr>
          <w:sz w:val="20"/>
          <w:szCs w:val="20"/>
          <w:color w:val="auto"/>
        </w:rPr>
      </w:pPr>
      <w:r>
        <w:rPr>
          <w:rFonts w:ascii="Arial" w:cs="Arial" w:eastAsia="Arial" w:hAnsi="Arial"/>
          <w:sz w:val="18"/>
          <w:szCs w:val="18"/>
          <w:color w:val="auto"/>
        </w:rPr>
        <w:t>We also grant phantom shares. All of the awards vest in equal annual installments and are accounted for as a liability based on the fair value of our share price. Participants granted units of phantom shares are entitled to a lump sum cash payment equal to the fair market value of a common share on the vesting date.</w:t>
      </w:r>
    </w:p>
    <w:p>
      <w:pPr>
        <w:spacing w:after="0" w:line="181" w:lineRule="exact"/>
        <w:rPr>
          <w:sz w:val="20"/>
          <w:szCs w:val="20"/>
          <w:color w:val="auto"/>
        </w:rPr>
      </w:pPr>
    </w:p>
    <w:p>
      <w:pPr>
        <w:ind w:right="20" w:firstLine="459"/>
        <w:spacing w:after="0" w:line="259" w:lineRule="auto"/>
        <w:rPr>
          <w:sz w:val="20"/>
          <w:szCs w:val="20"/>
          <w:color w:val="auto"/>
        </w:rPr>
      </w:pPr>
      <w:r>
        <w:rPr>
          <w:rFonts w:ascii="Arial" w:cs="Arial" w:eastAsia="Arial" w:hAnsi="Arial"/>
          <w:sz w:val="18"/>
          <w:szCs w:val="18"/>
          <w:color w:val="auto"/>
        </w:rPr>
        <w:t>We also grant performance share awards. These awards are earned in amounts between 0% and 200% of the participant’s target performance share award, based on the payout percentage associated with Civeo’s relative total shareholder return rank among a peer group of other companies. The fair value is estimated using option-pricing models. The resulting cost is recognized over the period during which an employee is required to provide service in exchange for the awards, usually the vesting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Substantially all of our Canadian and U.S. subsidiaries are guarantors under our Credit Agreement. See Note 12 – Debt.</w:t>
      </w:r>
    </w:p>
    <w:p>
      <w:pPr>
        <w:spacing w:after="0" w:line="225" w:lineRule="exact"/>
        <w:rPr>
          <w:sz w:val="20"/>
          <w:szCs w:val="20"/>
          <w:color w:val="auto"/>
        </w:rPr>
      </w:pPr>
    </w:p>
    <w:p>
      <w:pPr>
        <w:ind w:right="60" w:firstLine="459"/>
        <w:spacing w:after="0" w:line="257" w:lineRule="auto"/>
        <w:rPr>
          <w:sz w:val="20"/>
          <w:szCs w:val="20"/>
          <w:color w:val="auto"/>
        </w:rPr>
      </w:pPr>
      <w:r>
        <w:rPr>
          <w:rFonts w:ascii="Arial" w:cs="Arial" w:eastAsia="Arial" w:hAnsi="Arial"/>
          <w:sz w:val="18"/>
          <w:szCs w:val="18"/>
          <w:color w:val="auto"/>
        </w:rPr>
        <w:t>During the ordinary course of business, we also provide standby letters of credit or other guarantee instruments to certain parties as required for certain transactions initiated by us or our subsidiaries. As of December 31, 2019, the maximum potential amount of future payments that we could be required to make under these guarantee agreements (letters of credit) was approximately $2.5 million. We have not recorded any liability in connection with these guarantee arrangements. We do not believe, based on historical experience and information currently available, that it is likely that any amounts will be required to be paid under these guarantee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60" w:firstLine="459"/>
        <w:spacing w:after="0" w:line="255" w:lineRule="auto"/>
        <w:rPr>
          <w:sz w:val="20"/>
          <w:szCs w:val="20"/>
          <w:color w:val="auto"/>
        </w:rPr>
      </w:pPr>
      <w:r>
        <w:rPr>
          <w:rFonts w:ascii="Arial" w:cs="Arial" w:eastAsia="Arial" w:hAnsi="Arial"/>
          <w:sz w:val="18"/>
          <w:szCs w:val="18"/>
          <w:color w:val="auto"/>
        </w:rPr>
        <w:t>The preparation of consolidated financial statements in conformity with U.S.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Examples of a few such estimates include revenue and income recognized on the cost-based input method, estimates of the amount and timing of costs to be incurred for AROs, any valuation allowance recorded on net deferred tax assets, warranty claims, long-lived asset and goodwill impairments and allowance for doubtful accounts. Actual results could materially differ from those estimates.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125"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Contingencies</w:t>
      </w:r>
    </w:p>
    <w:p>
      <w:pPr>
        <w:spacing w:after="0" w:line="225" w:lineRule="exact"/>
        <w:rPr>
          <w:sz w:val="20"/>
          <w:szCs w:val="20"/>
          <w:color w:val="auto"/>
        </w:rPr>
      </w:pPr>
    </w:p>
    <w:p>
      <w:pPr>
        <w:ind w:right="40" w:firstLine="459"/>
        <w:spacing w:after="0" w:line="255" w:lineRule="auto"/>
        <w:rPr>
          <w:sz w:val="20"/>
          <w:szCs w:val="20"/>
          <w:color w:val="auto"/>
        </w:rPr>
      </w:pPr>
      <w:r>
        <w:rPr>
          <w:rFonts w:ascii="Arial" w:cs="Arial" w:eastAsia="Arial" w:hAnsi="Arial"/>
          <w:sz w:val="18"/>
          <w:szCs w:val="18"/>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litigation, taxes, interest, insurance claims, warranty claims, contract claims and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459"/>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166" w:lineRule="exact"/>
        <w:rPr>
          <w:sz w:val="20"/>
          <w:szCs w:val="20"/>
          <w:color w:val="auto"/>
        </w:rPr>
      </w:pPr>
    </w:p>
    <w:p>
      <w:pPr>
        <w:ind w:right="80" w:firstLine="459"/>
        <w:spacing w:after="0" w:line="271" w:lineRule="auto"/>
        <w:rPr>
          <w:sz w:val="20"/>
          <w:szCs w:val="20"/>
          <w:color w:val="auto"/>
        </w:rPr>
      </w:pPr>
      <w:r>
        <w:rPr>
          <w:rFonts w:ascii="Arial" w:cs="Arial" w:eastAsia="Arial" w:hAnsi="Arial"/>
          <w:sz w:val="17"/>
          <w:szCs w:val="17"/>
          <w:color w:val="auto"/>
        </w:rPr>
        <w:t>In January 2017, the FASB issued ASU 2017-04, "Intangibles-Goodwill and Other (Topic 350): Simplifying the Test for Goodwill Impairment." The standard simplifies the accounting for goodwill impairment by requiring a goodwill impairment to be measured using a single step impairment model, whereby the impairment equals the difference between the carrying amount and the fair value of the specified reporting units in their entirety. This eliminates the second step of the current impairment model that requires companies to first estimate the fair value of all assets in a reporting unit and measure impairments based on those fair values and a residual measurement approach. It also specifies that any loss recognized should not exceed the total amount of goodwill allocated to that reporting unit. ASU 2017-04 is effective prospectively for public business entities for annual reporting periods beginning after December 15, 2019, and early adoption is permitted. We adopted ASU 2017-04 in the fourth quarter of 2019. Based on the results of the impairment test, we recognized an impairment expense of $19.9 million related to our Canadian reporting unit.</w:t>
      </w:r>
    </w:p>
    <w:p>
      <w:pPr>
        <w:spacing w:after="0" w:line="179" w:lineRule="exact"/>
        <w:rPr>
          <w:sz w:val="20"/>
          <w:szCs w:val="20"/>
          <w:color w:val="auto"/>
        </w:rPr>
      </w:pPr>
    </w:p>
    <w:p>
      <w:pPr>
        <w:jc w:val="both"/>
        <w:ind w:firstLine="459"/>
        <w:spacing w:after="0" w:line="302" w:lineRule="auto"/>
        <w:rPr>
          <w:sz w:val="20"/>
          <w:szCs w:val="20"/>
          <w:color w:val="auto"/>
        </w:rPr>
      </w:pPr>
      <w:r>
        <w:rPr>
          <w:rFonts w:ascii="Arial" w:cs="Arial" w:eastAsia="Arial" w:hAnsi="Arial"/>
          <w:sz w:val="16"/>
          <w:szCs w:val="16"/>
          <w:color w:val="auto"/>
        </w:rPr>
        <w:t>In June 2016, the FASB issued ASU 2016-13, “Financial Instruments – Credit Losses” (ASU 2016-13). This new standard changes how companies will measure credit losses for most financial assets and certain other instruments that are not measured at fair value through net income. ASU 2016-13 is effective for financial statements issued for reporting periods beginning after December 15, 2019 and interim periods within the reporting periods. We will adopt ASU 2016-13 as of January 1, 2020. The adoption of this new standard will not have a material impact on our consolidated financial statements.</w:t>
      </w:r>
    </w:p>
    <w:p>
      <w:pPr>
        <w:spacing w:after="0" w:line="154" w:lineRule="exact"/>
        <w:rPr>
          <w:sz w:val="20"/>
          <w:szCs w:val="20"/>
          <w:color w:val="auto"/>
        </w:rPr>
      </w:pPr>
    </w:p>
    <w:p>
      <w:pPr>
        <w:ind w:right="40" w:firstLine="459"/>
        <w:spacing w:after="0" w:line="279" w:lineRule="auto"/>
        <w:rPr>
          <w:sz w:val="20"/>
          <w:szCs w:val="20"/>
          <w:color w:val="auto"/>
        </w:rPr>
      </w:pPr>
      <w:r>
        <w:rPr>
          <w:rFonts w:ascii="Arial" w:cs="Arial" w:eastAsia="Arial" w:hAnsi="Arial"/>
          <w:sz w:val="17"/>
          <w:szCs w:val="17"/>
          <w:color w:val="auto"/>
        </w:rPr>
        <w:t>We adopted ASU 2016-02, “Leases” (Topic 842) effective January 1, 2019 using the optional transition method, which allowed us upon adoption to recognize a cumulative-effect adjustment to the opening balance of accumulated deficit for the application of the standard to our existing leases. We recognized a cumulative effect adjustment of $0.7 million (net of $0.2 million of taxes) to increase accumulated deficit in the consolidated balance sheet as of December 31, 2019. ASU 2016-02 requires lessees to recognize a lease liability and a right-of-use asset for certain leases.</w:t>
      </w:r>
    </w:p>
    <w:p>
      <w:pPr>
        <w:spacing w:after="0" w:line="171" w:lineRule="exact"/>
        <w:rPr>
          <w:sz w:val="20"/>
          <w:szCs w:val="20"/>
          <w:color w:val="auto"/>
        </w:rPr>
      </w:pPr>
    </w:p>
    <w:p>
      <w:pPr>
        <w:ind w:right="200" w:firstLine="459"/>
        <w:spacing w:after="0" w:line="271" w:lineRule="auto"/>
        <w:rPr>
          <w:sz w:val="20"/>
          <w:szCs w:val="20"/>
          <w:color w:val="auto"/>
        </w:rPr>
      </w:pPr>
      <w:r>
        <w:rPr>
          <w:rFonts w:ascii="Arial" w:cs="Arial" w:eastAsia="Arial" w:hAnsi="Arial"/>
          <w:sz w:val="17"/>
          <w:szCs w:val="17"/>
          <w:color w:val="auto"/>
        </w:rPr>
        <w:t>We elected the package of practical expedients, which among other things, allowed us to carry forward the historical lease identification and classification. In addition, we elected the short-term lease recognition exemption for all leases that qualify. Accordingly, we did not recognize right-of-use assets or lease liabilities for leases with terms shorter than 12 months. Our evaluation process included reviewing all forms of leases, performing a completeness assessment over the lease population and analyzing the available practical expedients in order to determine the best implementation strategy. We determined that certain of our accommodation contracts with customers contain both a lease and non-lease or service component and in those instances concluded the service component was the predominant component. As a result, we elected the practical expedient under ASU 2018-11, which allows us to combine the lease and non-lease components of revenues as Service and other revenues for presentation purposes in accordance with Accounting Standards Codification (ASC) Topic 606, “Revenue from Contracts with Customers” (ASC 606).</w:t>
      </w:r>
    </w:p>
    <w:p>
      <w:pPr>
        <w:spacing w:after="0" w:line="179" w:lineRule="exact"/>
        <w:rPr>
          <w:sz w:val="20"/>
          <w:szCs w:val="20"/>
          <w:color w:val="auto"/>
        </w:rPr>
      </w:pPr>
    </w:p>
    <w:p>
      <w:pPr>
        <w:ind w:firstLine="459"/>
        <w:spacing w:after="0" w:line="302" w:lineRule="auto"/>
        <w:rPr>
          <w:sz w:val="20"/>
          <w:szCs w:val="20"/>
          <w:color w:val="auto"/>
        </w:rPr>
      </w:pPr>
      <w:r>
        <w:rPr>
          <w:rFonts w:ascii="Arial" w:cs="Arial" w:eastAsia="Arial" w:hAnsi="Arial"/>
          <w:sz w:val="16"/>
          <w:szCs w:val="16"/>
          <w:color w:val="auto"/>
        </w:rPr>
        <w:t>We also identified certain arrangements with customers whereby we are a lessor for the rental of mobile camp assets primarily in our U.S. segment. For arrangements where we are the lessor, the adoption of the new lease standard did not have a material impact on our financial statements as all of our leases are operating leases, which will result in straight-line recognition of rental revenue. Adoption of the new standard resulted in $21.3 million of operating lease right-of-use assets and $22.4 million of operating lease liabilities as of January 1, 2019. Please see Note 13 – Leases for further information.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right="20" w:firstLine="459"/>
        <w:spacing w:after="0" w:line="277" w:lineRule="auto"/>
        <w:rPr>
          <w:sz w:val="20"/>
          <w:szCs w:val="20"/>
          <w:color w:val="auto"/>
        </w:rPr>
      </w:pPr>
      <w:r>
        <w:rPr>
          <w:rFonts w:ascii="Arial" w:cs="Arial" w:eastAsia="Arial" w:hAnsi="Arial"/>
          <w:sz w:val="18"/>
          <w:szCs w:val="18"/>
          <w:color w:val="auto"/>
        </w:rPr>
        <w:t>The following table disaggregates our revenue by our three reporting segments: Canada, Australia and the U.S., and major categories for the years ended December 31, 2019, 2018 and 2017 (in thousands):</w:t>
      </w:r>
    </w:p>
    <w:p>
      <w:pPr>
        <w:spacing w:after="0" w:line="130"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6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Canada</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6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Accommodation revenues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281,577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266,899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228,062</w:t>
            </w:r>
          </w:p>
        </w:tc>
        <w:tc>
          <w:tcPr>
            <w:tcW w:w="0" w:type="dxa"/>
            <w:vAlign w:val="bottom"/>
          </w:tcPr>
          <w:p>
            <w:pPr>
              <w:spacing w:after="0"/>
              <w:rPr>
                <w:sz w:val="1"/>
                <w:szCs w:val="1"/>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color w:val="auto"/>
              </w:rPr>
              <w:t>Mobile facility rental revenues</w:t>
            </w:r>
          </w:p>
        </w:tc>
        <w:tc>
          <w:tcPr>
            <w:tcW w:w="3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9,575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3,935</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Food service and other services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11,891</w:t>
            </w:r>
          </w:p>
        </w:tc>
        <w:tc>
          <w:tcPr>
            <w:tcW w:w="0" w:type="dxa"/>
            <w:vAlign w:val="bottom"/>
          </w:tcPr>
          <w:p>
            <w:pPr>
              <w:spacing w:after="0"/>
              <w:rPr>
                <w:sz w:val="1"/>
                <w:szCs w:val="1"/>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color w:val="auto"/>
              </w:rPr>
              <w:t>Manufacturing revenues</w:t>
            </w:r>
          </w:p>
        </w:tc>
        <w:tc>
          <w:tcPr>
            <w:tcW w:w="3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33"/>
        </w:trPr>
        <w:tc>
          <w:tcPr>
            <w:tcW w:w="5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Canada revenues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325,651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296,012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245,595</w:t>
            </w:r>
          </w:p>
        </w:tc>
        <w:tc>
          <w:tcPr>
            <w:tcW w:w="0" w:type="dxa"/>
            <w:vAlign w:val="bottom"/>
          </w:tcPr>
          <w:p>
            <w:pPr>
              <w:spacing w:after="0"/>
              <w:rPr>
                <w:sz w:val="1"/>
                <w:szCs w:val="1"/>
                <w:color w:val="auto"/>
              </w:rPr>
            </w:pPr>
          </w:p>
        </w:tc>
      </w:tr>
      <w:tr>
        <w:trPr>
          <w:trHeight w:val="162"/>
        </w:trPr>
        <w:tc>
          <w:tcPr>
            <w:tcW w:w="5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Australia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color w:val="auto"/>
              </w:rPr>
              <w:t>Accommodation revenues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126,047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117,896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111,221</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Food service and other services revenues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680" w:type="dxa"/>
            <w:vAlign w:val="bottom"/>
          </w:tcPr>
          <w:p>
            <w:pPr>
              <w:ind w:left="160"/>
              <w:spacing w:after="0"/>
              <w:rPr>
                <w:sz w:val="20"/>
                <w:szCs w:val="20"/>
                <w:color w:val="auto"/>
              </w:rPr>
            </w:pPr>
            <w:r>
              <w:rPr>
                <w:rFonts w:ascii="Arial" w:cs="Arial" w:eastAsia="Arial" w:hAnsi="Arial"/>
                <w:sz w:val="16"/>
                <w:szCs w:val="16"/>
                <w:color w:val="auto"/>
              </w:rPr>
              <w:t>Total Australia revenues</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156,093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119,238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111,221</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b w:val="1"/>
                <w:bCs w:val="1"/>
                <w:color w:val="auto"/>
              </w:rPr>
              <w:t>United States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Accommodation revenues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9,832</w:t>
            </w:r>
          </w:p>
        </w:tc>
        <w:tc>
          <w:tcPr>
            <w:tcW w:w="0" w:type="dxa"/>
            <w:vAlign w:val="bottom"/>
          </w:tcPr>
          <w:p>
            <w:pPr>
              <w:spacing w:after="0"/>
              <w:rPr>
                <w:sz w:val="1"/>
                <w:szCs w:val="1"/>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color w:val="auto"/>
              </w:rPr>
              <w:t>Mobile facility rental revenues</w:t>
            </w:r>
          </w:p>
        </w:tc>
        <w:tc>
          <w:tcPr>
            <w:tcW w:w="3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28,119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20,389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8,764</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Manufacturing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6,693</w:t>
            </w:r>
          </w:p>
        </w:tc>
        <w:tc>
          <w:tcPr>
            <w:tcW w:w="0" w:type="dxa"/>
            <w:vAlign w:val="bottom"/>
          </w:tcPr>
          <w:p>
            <w:pPr>
              <w:spacing w:after="0"/>
              <w:rPr>
                <w:sz w:val="1"/>
                <w:szCs w:val="1"/>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color w:val="auto"/>
              </w:rPr>
              <w:t>Food service and other services revenues</w:t>
            </w:r>
          </w:p>
        </w:tc>
        <w:tc>
          <w:tcPr>
            <w:tcW w:w="3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33"/>
        </w:trPr>
        <w:tc>
          <w:tcPr>
            <w:tcW w:w="5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United States revenues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51,442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25,460</w:t>
            </w:r>
          </w:p>
        </w:tc>
        <w:tc>
          <w:tcPr>
            <w:tcW w:w="0" w:type="dxa"/>
            <w:vAlign w:val="bottom"/>
          </w:tcPr>
          <w:p>
            <w:pPr>
              <w:spacing w:after="0"/>
              <w:rPr>
                <w:sz w:val="1"/>
                <w:szCs w:val="1"/>
                <w:color w:val="auto"/>
              </w:rPr>
            </w:pPr>
          </w:p>
        </w:tc>
      </w:tr>
      <w:tr>
        <w:trPr>
          <w:trHeight w:val="162"/>
        </w:trPr>
        <w:tc>
          <w:tcPr>
            <w:tcW w:w="56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527,555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466,692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382,276</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59"/>
        <w:spacing w:after="0" w:line="264" w:lineRule="auto"/>
        <w:rPr>
          <w:sz w:val="20"/>
          <w:szCs w:val="20"/>
          <w:color w:val="auto"/>
        </w:rPr>
      </w:pPr>
      <w:r>
        <w:rPr>
          <w:rFonts w:ascii="Arial" w:cs="Arial" w:eastAsia="Arial" w:hAnsi="Arial"/>
          <w:sz w:val="18"/>
          <w:szCs w:val="18"/>
          <w:color w:val="auto"/>
        </w:rPr>
        <w:t>Our payment terms vary by the type and location of our customer and the products or services offered. The term between invoicing and when our performance obligations are satisfied is not significant. Payment terms are generally within 30 days. We do not have significant financing components or significant payment terms.</w:t>
      </w:r>
    </w:p>
    <w:p>
      <w:pPr>
        <w:spacing w:after="0" w:line="181" w:lineRule="exact"/>
        <w:rPr>
          <w:sz w:val="20"/>
          <w:szCs w:val="20"/>
          <w:color w:val="auto"/>
        </w:rPr>
      </w:pPr>
    </w:p>
    <w:p>
      <w:pPr>
        <w:ind w:right="320" w:firstLine="459"/>
        <w:spacing w:after="0" w:line="277" w:lineRule="auto"/>
        <w:rPr>
          <w:sz w:val="20"/>
          <w:szCs w:val="20"/>
          <w:color w:val="auto"/>
        </w:rPr>
      </w:pPr>
      <w:r>
        <w:rPr>
          <w:rFonts w:ascii="Arial" w:cs="Arial" w:eastAsia="Arial" w:hAnsi="Arial"/>
          <w:sz w:val="18"/>
          <w:szCs w:val="18"/>
          <w:color w:val="auto"/>
        </w:rPr>
        <w:t>As of December 31, 2019, for contracts that are greater than one year, the table below discloses the estimated revenues related to performance obligations that are unsatisfied (or partially unsatisfied) and when we expect to recognize the revenue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20" w:type="dxa"/>
            <w:vAlign w:val="bottom"/>
            <w:gridSpan w:val="8"/>
          </w:tcPr>
          <w:p>
            <w:pPr>
              <w:jc w:val="center"/>
              <w:ind w:right="380"/>
              <w:spacing w:after="0"/>
              <w:rPr>
                <w:sz w:val="20"/>
                <w:szCs w:val="20"/>
                <w:color w:val="auto"/>
              </w:rPr>
            </w:pPr>
            <w:r>
              <w:rPr>
                <w:rFonts w:ascii="Arial" w:cs="Arial" w:eastAsia="Arial" w:hAnsi="Arial"/>
                <w:sz w:val="16"/>
                <w:szCs w:val="16"/>
                <w:b w:val="1"/>
                <w:bCs w:val="1"/>
                <w:color w:val="auto"/>
                <w:w w:val="91"/>
              </w:rPr>
              <w:t>For the years ending December 31,</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3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Thereafter</w:t>
            </w: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33"/>
        </w:trPr>
        <w:tc>
          <w:tcPr>
            <w:tcW w:w="3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0"/>
        </w:trPr>
        <w:tc>
          <w:tcPr>
            <w:tcW w:w="39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Revenue expected to be recognized as of December 31,</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6"/>
        </w:trPr>
        <w:tc>
          <w:tcPr>
            <w:tcW w:w="3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140,846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52,962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22,706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8,413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224,927</w:t>
            </w:r>
          </w:p>
        </w:tc>
      </w:tr>
      <w:tr>
        <w:trPr>
          <w:trHeight w:val="33"/>
        </w:trPr>
        <w:tc>
          <w:tcPr>
            <w:tcW w:w="3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240" w:top="125" w:right="6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CHARGES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Impairment Charges</w:t>
      </w:r>
    </w:p>
    <w:p>
      <w:pPr>
        <w:spacing w:after="0" w:line="225" w:lineRule="exact"/>
        <w:rPr>
          <w:sz w:val="20"/>
          <w:szCs w:val="20"/>
          <w:color w:val="auto"/>
        </w:rPr>
      </w:pPr>
    </w:p>
    <w:p>
      <w:pPr>
        <w:ind w:right="20" w:firstLine="459"/>
        <w:spacing w:after="0" w:line="277" w:lineRule="auto"/>
        <w:rPr>
          <w:sz w:val="20"/>
          <w:szCs w:val="20"/>
          <w:color w:val="auto"/>
        </w:rPr>
      </w:pPr>
      <w:r>
        <w:rPr>
          <w:rFonts w:ascii="Arial" w:cs="Arial" w:eastAsia="Arial" w:hAnsi="Arial"/>
          <w:sz w:val="18"/>
          <w:szCs w:val="18"/>
          <w:color w:val="auto"/>
        </w:rPr>
        <w:t>The following summarizes pre-tax impairment charges recorded during 2019, which are included in Impairment expense in our consolidated statements of operations (in thousands):</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Canada</w:t>
            </w:r>
          </w:p>
        </w:tc>
        <w:tc>
          <w:tcPr>
            <w:tcW w:w="24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Australia</w:t>
            </w:r>
          </w:p>
        </w:tc>
        <w:tc>
          <w:tcPr>
            <w:tcW w:w="32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b w:val="1"/>
                <w:bCs w:val="1"/>
                <w:color w:val="auto"/>
              </w:rPr>
              <w:t>U.S.</w:t>
            </w:r>
          </w:p>
        </w:tc>
        <w:tc>
          <w:tcPr>
            <w:tcW w:w="30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Quarter ended June 30, 2019</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160"/>
              <w:spacing w:after="0"/>
              <w:rPr>
                <w:sz w:val="20"/>
                <w:szCs w:val="20"/>
                <w:color w:val="auto"/>
              </w:rPr>
            </w:pPr>
            <w:r>
              <w:rPr>
                <w:rFonts w:ascii="Arial" w:cs="Arial" w:eastAsia="Arial" w:hAnsi="Arial"/>
                <w:sz w:val="18"/>
                <w:szCs w:val="18"/>
                <w:color w:val="auto"/>
              </w:rPr>
              <w:t>Long-lived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5,546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5,546</w:t>
            </w: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Quarter ended December 31, 2019</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160"/>
              <w:spacing w:after="0"/>
              <w:rPr>
                <w:sz w:val="20"/>
                <w:szCs w:val="20"/>
                <w:color w:val="auto"/>
              </w:rPr>
            </w:pPr>
            <w:r>
              <w:rPr>
                <w:rFonts w:ascii="Arial" w:cs="Arial" w:eastAsia="Arial" w:hAnsi="Arial"/>
                <w:sz w:val="18"/>
                <w:szCs w:val="18"/>
                <w:color w:val="auto"/>
              </w:rPr>
              <w:t>Long-lived assets</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702</w:t>
            </w: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19,900</w:t>
            </w:r>
          </w:p>
        </w:tc>
      </w:tr>
      <w:tr>
        <w:trPr>
          <w:trHeight w:val="257"/>
        </w:trPr>
        <w:tc>
          <w:tcPr>
            <w:tcW w:w="48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20,602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5,546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26,148</w:t>
            </w: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60" w:firstLine="459"/>
        <w:spacing w:after="0" w:line="286" w:lineRule="auto"/>
        <w:rPr>
          <w:sz w:val="20"/>
          <w:szCs w:val="20"/>
          <w:color w:val="auto"/>
        </w:rPr>
      </w:pPr>
      <w:r>
        <w:rPr>
          <w:rFonts w:ascii="Arial" w:cs="Arial" w:eastAsia="Arial" w:hAnsi="Arial"/>
          <w:sz w:val="17"/>
          <w:szCs w:val="17"/>
          <w:b w:val="1"/>
          <w:bCs w:val="1"/>
          <w:i w:val="1"/>
          <w:iCs w:val="1"/>
          <w:color w:val="auto"/>
        </w:rPr>
        <w:t>Quarter ended December 31, 2019</w:t>
      </w:r>
      <w:r>
        <w:rPr>
          <w:rFonts w:ascii="Arial" w:cs="Arial" w:eastAsia="Arial" w:hAnsi="Arial"/>
          <w:sz w:val="17"/>
          <w:szCs w:val="17"/>
          <w:color w:val="auto"/>
        </w:rPr>
        <w:t>. In performing our annual goodwill impairment test as of November 30, 2019, we compared the fair value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reporting units to their respective carrying values. The carrying amount of our Canada reporting unit exceeded the reporting unit's fair value. Based on the results of the impairment test, we recognized an impairment expense of $19.9 million related to our Canadian reporting unit.</w:t>
      </w:r>
    </w:p>
    <w:p>
      <w:pPr>
        <w:spacing w:after="0" w:line="166" w:lineRule="exact"/>
        <w:rPr>
          <w:sz w:val="20"/>
          <w:szCs w:val="20"/>
          <w:color w:val="auto"/>
        </w:rPr>
      </w:pPr>
    </w:p>
    <w:p>
      <w:pPr>
        <w:ind w:right="160" w:firstLine="459"/>
        <w:spacing w:after="0" w:line="277" w:lineRule="auto"/>
        <w:rPr>
          <w:sz w:val="20"/>
          <w:szCs w:val="20"/>
          <w:color w:val="auto"/>
        </w:rPr>
      </w:pPr>
      <w:r>
        <w:rPr>
          <w:rFonts w:ascii="Arial" w:cs="Arial" w:eastAsia="Arial" w:hAnsi="Arial"/>
          <w:sz w:val="18"/>
          <w:szCs w:val="18"/>
          <w:color w:val="auto"/>
        </w:rPr>
        <w:t>During the fourth quarter of 2019, we recorded an impairment expense of $0.7 million related to corporate office space in Canada. The facility is held for sale and recorded at the estimated fair value (less costs to sell) and was reduced due to a recent appraisal report.</w:t>
      </w:r>
    </w:p>
    <w:p>
      <w:pPr>
        <w:spacing w:after="0" w:line="170" w:lineRule="exact"/>
        <w:rPr>
          <w:sz w:val="20"/>
          <w:szCs w:val="20"/>
          <w:color w:val="auto"/>
        </w:rPr>
      </w:pPr>
    </w:p>
    <w:p>
      <w:pPr>
        <w:ind w:right="180" w:firstLine="459"/>
        <w:spacing w:after="0" w:line="255" w:lineRule="auto"/>
        <w:rPr>
          <w:sz w:val="20"/>
          <w:szCs w:val="20"/>
          <w:color w:val="auto"/>
        </w:rPr>
      </w:pPr>
      <w:r>
        <w:rPr>
          <w:rFonts w:ascii="Arial" w:cs="Arial" w:eastAsia="Arial" w:hAnsi="Arial"/>
          <w:sz w:val="18"/>
          <w:szCs w:val="18"/>
          <w:b w:val="1"/>
          <w:bCs w:val="1"/>
          <w:i w:val="1"/>
          <w:iCs w:val="1"/>
          <w:color w:val="auto"/>
        </w:rPr>
        <w:t>Quarter ended June 30, 2019</w:t>
      </w:r>
      <w:r>
        <w:rPr>
          <w:rFonts w:ascii="Arial" w:cs="Arial" w:eastAsia="Arial" w:hAnsi="Arial"/>
          <w:sz w:val="18"/>
          <w:szCs w:val="18"/>
          <w:color w:val="auto"/>
        </w:rPr>
        <w:t>. During the second quarter of 2019, we identified indicators that certain long-lived assets in Australia may be impaired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market developments, including the non-renewal of certain land development approval agreements. We assessed the carrying values of the related assets to determine if they continued to be recoverable based on estimated future cash flows. Based on the assessment, the carrying values were determined to not be fully recoverable, and we proceeded to compare the estimated fair value of the assets to their respective carrying values. Accordingly, the assets were written down to their estimated fair values of $0.5 million. As a result of the analysis described above, we recorded an impairment expense of $4.5 million.</w:t>
      </w:r>
    </w:p>
    <w:p>
      <w:pPr>
        <w:spacing w:after="0" w:line="19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Additionally, during the second quarter of 2019, we identified a liability related to an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 Specifically, we recorded the following amounts in our second quarter 2019 unaudited consolidated statement of operations related to prior periods: (1) additional accretion expense related to the ARO of $0.9 million, (2) additional depreciation and amortization expense of $0.5 million related to amortization of the related asset retirement cost and (3) additional impairment expense related to the impairment of the asset retirement cost of $1.0 million offset by recognition of an ARO liability totaling $2.3 million as of June 30,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Impairment Charges</w:t>
      </w:r>
    </w:p>
    <w:p>
      <w:pPr>
        <w:spacing w:after="0" w:line="225" w:lineRule="exact"/>
        <w:rPr>
          <w:sz w:val="20"/>
          <w:szCs w:val="20"/>
          <w:color w:val="auto"/>
        </w:rPr>
      </w:pPr>
    </w:p>
    <w:p>
      <w:pPr>
        <w:ind w:right="20" w:firstLine="459"/>
        <w:spacing w:after="0" w:line="277" w:lineRule="auto"/>
        <w:rPr>
          <w:sz w:val="20"/>
          <w:szCs w:val="20"/>
          <w:color w:val="auto"/>
        </w:rPr>
      </w:pPr>
      <w:r>
        <w:rPr>
          <w:rFonts w:ascii="Arial" w:cs="Arial" w:eastAsia="Arial" w:hAnsi="Arial"/>
          <w:sz w:val="18"/>
          <w:szCs w:val="18"/>
          <w:color w:val="auto"/>
        </w:rPr>
        <w:t>The following summarizes pre-tax impairment charges recorded during 2018, which are included in Impairment expense in our consolidated statements of operations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Canada</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Australia</w:t>
            </w:r>
          </w:p>
        </w:tc>
        <w:tc>
          <w:tcPr>
            <w:tcW w:w="36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U.S.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March 31, 2018</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Long-lived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28,661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28,661</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28,661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28,661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59"/>
        <w:spacing w:after="0" w:line="276" w:lineRule="auto"/>
        <w:rPr>
          <w:sz w:val="20"/>
          <w:szCs w:val="20"/>
          <w:color w:val="auto"/>
        </w:rPr>
      </w:pPr>
      <w:r>
        <w:rPr>
          <w:rFonts w:ascii="Arial" w:cs="Arial" w:eastAsia="Arial" w:hAnsi="Arial"/>
          <w:sz w:val="17"/>
          <w:szCs w:val="17"/>
          <w:b w:val="1"/>
          <w:bCs w:val="1"/>
          <w:i w:val="1"/>
          <w:iCs w:val="1"/>
          <w:color w:val="auto"/>
        </w:rPr>
        <w:t>Quarter ended March 31, 2018</w:t>
      </w:r>
      <w:r>
        <w:rPr>
          <w:rFonts w:ascii="Arial" w:cs="Arial" w:eastAsia="Arial" w:hAnsi="Arial"/>
          <w:sz w:val="17"/>
          <w:szCs w:val="17"/>
          <w:color w:val="auto"/>
        </w:rPr>
        <w:t>. During the first quarter of 2018, we identified an indicator that certain long-lived assets used in the Canadian oil sands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be impaired due to market developments, including expected customer commitments, occurring in the first quarter of 2018. For purposes of our impairment assessment, we separated two lodges that were previously treated as a single asset group due to the lodges no longer being used together to generate joint cash flows. We assessed the carrying value of the asset group to determine if it continued to be recoverable based on estimated future cash flows. Based on the assessment, the carrying value was determined to not be fully recoverable, and we proceeded to compare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estimated fair value of the asset group to its respective carrying value. Accordingly, the value of one of the lodges was written down to its estimated fair value of zero. As a result of the analysis described above, we recorded an impairment expense of $28.7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Impairment Charges</w:t>
      </w:r>
    </w:p>
    <w:p>
      <w:pPr>
        <w:spacing w:after="0" w:line="225" w:lineRule="exact"/>
        <w:rPr>
          <w:sz w:val="20"/>
          <w:szCs w:val="20"/>
          <w:color w:val="auto"/>
        </w:rPr>
      </w:pPr>
    </w:p>
    <w:p>
      <w:pPr>
        <w:ind w:right="20" w:firstLine="459"/>
        <w:spacing w:after="0" w:line="277" w:lineRule="auto"/>
        <w:rPr>
          <w:sz w:val="20"/>
          <w:szCs w:val="20"/>
          <w:color w:val="auto"/>
        </w:rPr>
      </w:pPr>
      <w:r>
        <w:rPr>
          <w:rFonts w:ascii="Arial" w:cs="Arial" w:eastAsia="Arial" w:hAnsi="Arial"/>
          <w:sz w:val="18"/>
          <w:szCs w:val="18"/>
          <w:color w:val="auto"/>
        </w:rPr>
        <w:t>The following summarizes pre-tax impairment charges recorded during 2017, which are included in Impairment expense in our consolidated statements of operations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Canada</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Australia</w:t>
            </w:r>
          </w:p>
        </w:tc>
        <w:tc>
          <w:tcPr>
            <w:tcW w:w="36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U.S.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 2017</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Long-lived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4,360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4,360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December 31, 2017</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Long-lived assets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27,244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27,244</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31,604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31,604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59"/>
        <w:spacing w:after="0" w:line="293" w:lineRule="auto"/>
        <w:rPr>
          <w:sz w:val="20"/>
          <w:szCs w:val="20"/>
          <w:color w:val="auto"/>
        </w:rPr>
      </w:pPr>
      <w:r>
        <w:rPr>
          <w:rFonts w:ascii="Arial" w:cs="Arial" w:eastAsia="Arial" w:hAnsi="Arial"/>
          <w:sz w:val="16"/>
          <w:szCs w:val="16"/>
          <w:b w:val="1"/>
          <w:bCs w:val="1"/>
          <w:i w:val="1"/>
          <w:iCs w:val="1"/>
          <w:color w:val="auto"/>
        </w:rPr>
        <w:t xml:space="preserve">Quarter ended December 31, 2017. </w:t>
      </w:r>
      <w:r>
        <w:rPr>
          <w:rFonts w:ascii="Arial" w:cs="Arial" w:eastAsia="Arial" w:hAnsi="Arial"/>
          <w:sz w:val="16"/>
          <w:szCs w:val="16"/>
          <w:color w:val="auto"/>
        </w:rPr>
        <w:t>During the fourth quarter of 2017, we identified an indicator that certain asset groups used in the southern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Canadian oil sands may be impaired due to market developments, including project delays, occurring in the fourth quarter of 2017. We assessed the carrying value of each of the asset groups in the southern portion of the region to determine if they continued to be recoverable based on their estimated future cash flows. Based on the assessment, the carrying values of two of our lodges were determined to not be fully recoverable, and we proceeded to compare the estimated fair value of those assets groups to their respective carrying values. Accordingly, the value of the two lodges was written down to their estimated fair values of zero. As a result of the analysis described above, we recorded an impairment expense of $27.2 million.</w:t>
      </w:r>
    </w:p>
    <w:p>
      <w:pPr>
        <w:spacing w:after="0" w:line="165" w:lineRule="exact"/>
        <w:rPr>
          <w:sz w:val="20"/>
          <w:szCs w:val="20"/>
          <w:color w:val="auto"/>
        </w:rPr>
      </w:pPr>
    </w:p>
    <w:p>
      <w:pPr>
        <w:ind w:right="60" w:firstLine="459"/>
        <w:spacing w:after="0" w:line="273" w:lineRule="auto"/>
        <w:rPr>
          <w:sz w:val="20"/>
          <w:szCs w:val="20"/>
          <w:color w:val="auto"/>
        </w:rPr>
      </w:pPr>
      <w:r>
        <w:rPr>
          <w:rFonts w:ascii="Arial" w:cs="Arial" w:eastAsia="Arial" w:hAnsi="Arial"/>
          <w:sz w:val="17"/>
          <w:szCs w:val="17"/>
          <w:b w:val="1"/>
          <w:bCs w:val="1"/>
          <w:i w:val="1"/>
          <w:iCs w:val="1"/>
          <w:color w:val="auto"/>
        </w:rPr>
        <w:t xml:space="preserve">Quarter ended September 30, 2017. </w:t>
      </w:r>
      <w:r>
        <w:rPr>
          <w:rFonts w:ascii="Arial" w:cs="Arial" w:eastAsia="Arial" w:hAnsi="Arial"/>
          <w:sz w:val="17"/>
          <w:szCs w:val="17"/>
          <w:color w:val="auto"/>
        </w:rPr>
        <w:t>During the third quarter of 2017, we made the decision to vacate a mobile camp facility in Canada and relocated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assets to a newly awarded contract for a Canadian mobile camp. We assessed the carrying value of the remaining assets to determine if they continued to be recoverable based on their estimated future cash flows. Based on the assessment, the carrying values of certain leasehold improvements were determined to not be fully recoverable, and we proceeded to compare the estimated fair value of those assets to their respective carrying values. Accordingly, the value of the remaining leasehold improvements were written down to their estimated fair value of zero. As a result of the analysis described above, we recorded an impairment expense of $3.2 million associated with our leased properties in Canada.</w:t>
      </w:r>
    </w:p>
    <w:p>
      <w:pPr>
        <w:spacing w:after="0" w:line="178" w:lineRule="exact"/>
        <w:rPr>
          <w:sz w:val="20"/>
          <w:szCs w:val="20"/>
          <w:color w:val="auto"/>
        </w:rPr>
      </w:pPr>
    </w:p>
    <w:p>
      <w:pPr>
        <w:ind w:right="780" w:firstLine="459"/>
        <w:spacing w:after="0" w:line="277" w:lineRule="auto"/>
        <w:rPr>
          <w:sz w:val="20"/>
          <w:szCs w:val="20"/>
          <w:color w:val="auto"/>
        </w:rPr>
      </w:pPr>
      <w:r>
        <w:rPr>
          <w:rFonts w:ascii="Arial" w:cs="Arial" w:eastAsia="Arial" w:hAnsi="Arial"/>
          <w:sz w:val="18"/>
          <w:szCs w:val="18"/>
          <w:color w:val="auto"/>
        </w:rPr>
        <w:t>We also recorded an impairment expense of $1.2 million related to undeveloped land positions in Canada, the fair market value of which was negatively impacted by the cancellation during 2017 of an LNG project in British Columbia.</w:t>
      </w:r>
    </w:p>
    <w:p>
      <w:pPr>
        <w:spacing w:after="0" w:line="166"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80" w:firstLine="459"/>
        <w:spacing w:after="0" w:line="277" w:lineRule="auto"/>
        <w:rPr>
          <w:sz w:val="20"/>
          <w:szCs w:val="20"/>
          <w:color w:val="auto"/>
        </w:rPr>
      </w:pPr>
      <w:r>
        <w:rPr>
          <w:rFonts w:ascii="Arial" w:cs="Arial" w:eastAsia="Arial" w:hAnsi="Arial"/>
          <w:sz w:val="18"/>
          <w:szCs w:val="18"/>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70"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As of December 31, 2019 and 2018,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87" w:lineRule="exact"/>
        <w:rPr>
          <w:sz w:val="20"/>
          <w:szCs w:val="20"/>
          <w:color w:val="auto"/>
        </w:rPr>
      </w:pPr>
    </w:p>
    <w:p>
      <w:pPr>
        <w:jc w:val="both"/>
        <w:ind w:firstLine="459"/>
        <w:spacing w:after="0" w:line="253" w:lineRule="auto"/>
        <w:rPr>
          <w:sz w:val="20"/>
          <w:szCs w:val="20"/>
          <w:color w:val="auto"/>
        </w:rPr>
      </w:pPr>
      <w:r>
        <w:rPr>
          <w:rFonts w:ascii="Arial" w:cs="Arial" w:eastAsia="Arial" w:hAnsi="Arial"/>
          <w:sz w:val="18"/>
          <w:szCs w:val="18"/>
          <w:color w:val="auto"/>
        </w:rPr>
        <w:t>During 2019, 2018 and 2017, we wrote down certain long-lived assets to fair value. During the fourth quarter of 2019, we also recorded a goodwill impairment charge related to one of our reporting units. Our estimates of fair value required us to use significant unobservable inputs, representative of Level 3 fair value measurements, including numerous assumptions with respect to future circumstances that might directly impact each of the relevant asset groups’ operations in the future and are therefore uncertain. These assumptions with respect to future circumstances included future oil, met coal and natural gas prices, anticipated spending by our customers, the cost of capital, and industry and/or local market conditions. During the fourth quarter of 2019 and the third quarter of 2017, our estimates of fair value of corporate office space in Canada and certain undeveloped land positions in British Columbia were based on appraisals from third parties. Please see Note 2 – Summary of Significant Accounting Policies – Impairment of Long-Lived Assets and Note 2 – Summary of Significant Accounting Policies – Goodwill and Other Intangible Assets for further discussion of the significant judgments and assumptions used in calculating their fair value.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459"/>
        <w:spacing w:after="0" w:line="276" w:lineRule="auto"/>
        <w:rPr>
          <w:sz w:val="20"/>
          <w:szCs w:val="20"/>
          <w:color w:val="auto"/>
        </w:rPr>
      </w:pPr>
      <w:r>
        <w:rPr>
          <w:rFonts w:ascii="Arial" w:cs="Arial" w:eastAsia="Arial" w:hAnsi="Arial"/>
          <w:sz w:val="17"/>
          <w:szCs w:val="17"/>
          <w:color w:val="auto"/>
        </w:rPr>
        <w:t>During 2019 and 2018, we acquired certain assets and businesses and recorded them at fair value. Determining the fair value of assets acquired and liabilities assumed requires the exercise of significant judgment, including the amount and timing of expected future cash flows, long-term growth rates and discount rates. The cash flows employed in the valuation are based on our best estimates of future sales, earnings and cash flows after considering factors such as general market conditions, expected future customer orders, contracts with suppliers, labor costs, changes in working capital, long term business plans and recent operating performance. Please see Note 7 – Acquisitions for further information.</w:t>
      </w:r>
    </w:p>
    <w:p>
      <w:pPr>
        <w:spacing w:after="0" w:line="169"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regarding selected balance sheet accounts at December 31, 2019 and 2018 is presented below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Trade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76,370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48,875</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555</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accounts receivable,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99,493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70,223</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76"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December 31,</w:t>
      </w:r>
    </w:p>
    <w:p>
      <w:pPr>
        <w:spacing w:after="0" w:line="50"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center"/>
        <w:ind w:right="220"/>
        <w:spacing w:after="0"/>
        <w:rPr>
          <w:sz w:val="20"/>
          <w:szCs w:val="20"/>
          <w:color w:val="auto"/>
        </w:rPr>
      </w:pPr>
      <w:r>
        <w:rPr>
          <w:rFonts w:ascii="Arial" w:cs="Arial" w:eastAsia="Arial" w:hAnsi="Arial"/>
          <w:sz w:val="15"/>
          <w:szCs w:val="15"/>
          <w:b w:val="1"/>
          <w:bCs w:val="1"/>
          <w:color w:val="auto"/>
        </w:rPr>
        <w:t>December 31,</w:t>
      </w:r>
    </w:p>
    <w:p>
      <w:pPr>
        <w:spacing w:after="0" w:line="6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2018</w:t>
      </w:r>
    </w:p>
    <w:p>
      <w:pPr>
        <w:spacing w:after="0" w:line="58" w:lineRule="exact"/>
        <w:rPr>
          <w:sz w:val="20"/>
          <w:szCs w:val="20"/>
          <w:color w:val="auto"/>
        </w:rPr>
      </w:pPr>
    </w:p>
    <w:p>
      <w:pPr>
        <w:sectPr>
          <w:pgSz w:w="11900" w:h="16838" w:orient="portrait"/>
          <w:cols w:equalWidth="0" w:num="2">
            <w:col w:w="9620" w:space="540"/>
            <w:col w:w="126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Inventories: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Finished goods and purchased products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3,982</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2,461</w:t>
            </w: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907</w:t>
            </w:r>
          </w:p>
        </w:tc>
      </w:tr>
      <w:tr>
        <w:trPr>
          <w:trHeight w:val="27"/>
        </w:trPr>
        <w:tc>
          <w:tcPr>
            <w:tcW w:w="8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inventories</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5,877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4,313</w:t>
            </w:r>
          </w:p>
        </w:tc>
      </w:tr>
      <w:tr>
        <w:trPr>
          <w:trHeight w:val="20"/>
        </w:trPr>
        <w:tc>
          <w:tcPr>
            <w:tcW w:w="8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59"/>
        <w:spacing w:after="0" w:line="277" w:lineRule="auto"/>
        <w:rPr>
          <w:sz w:val="20"/>
          <w:szCs w:val="20"/>
          <w:color w:val="auto"/>
        </w:rPr>
      </w:pPr>
      <w:r>
        <w:rPr>
          <w:rFonts w:ascii="Arial" w:cs="Arial" w:eastAsia="Arial" w:hAnsi="Arial"/>
          <w:sz w:val="18"/>
          <w:szCs w:val="18"/>
          <w:color w:val="auto"/>
        </w:rPr>
        <w:t>During the fourth quarter of 2017, we recorded a $0.5 million write-down of inventory at our modular construction and manufacturing plant in Canada, which is included in Service and other costs in our accompanying consolidated statements of operations.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1620" w:type="dxa"/>
            <w:vAlign w:val="bottom"/>
            <w:gridSpan w:val="2"/>
          </w:tcPr>
          <w:p>
            <w:pPr>
              <w:ind w:left="300"/>
              <w:spacing w:after="0"/>
              <w:rPr>
                <w:sz w:val="20"/>
                <w:szCs w:val="20"/>
                <w:color w:val="auto"/>
              </w:rPr>
            </w:pPr>
            <w:r>
              <w:rPr>
                <w:rFonts w:ascii="Arial" w:cs="Arial" w:eastAsia="Arial" w:hAnsi="Arial"/>
                <w:sz w:val="18"/>
                <w:szCs w:val="18"/>
                <w:b w:val="1"/>
                <w:bCs w:val="1"/>
                <w:color w:val="auto"/>
              </w:rPr>
              <w:t>Useful Life</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74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 years)</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Land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43,147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46,805</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Accommodations assets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1,696,425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1,650,758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7-20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25,168</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58,005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54,459</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Vehicles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7,119</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plant and equipment</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1,854,635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1,809,591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(1,264,326)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(1,150,686)</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property, plant and equipment, net</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590,309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658,905</w:t>
            </w:r>
          </w:p>
        </w:tc>
      </w:tr>
      <w:tr>
        <w:trPr>
          <w:trHeight w:val="20"/>
        </w:trPr>
        <w:tc>
          <w:tcPr>
            <w:tcW w:w="6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376"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December 31,</w:t>
      </w:r>
    </w:p>
    <w:p>
      <w:pPr>
        <w:spacing w:after="0" w:line="50"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center"/>
        <w:ind w:right="220"/>
        <w:spacing w:after="0"/>
        <w:rPr>
          <w:sz w:val="20"/>
          <w:szCs w:val="20"/>
          <w:color w:val="auto"/>
        </w:rPr>
      </w:pPr>
      <w:r>
        <w:rPr>
          <w:rFonts w:ascii="Arial" w:cs="Arial" w:eastAsia="Arial" w:hAnsi="Arial"/>
          <w:sz w:val="15"/>
          <w:szCs w:val="15"/>
          <w:b w:val="1"/>
          <w:bCs w:val="1"/>
          <w:color w:val="auto"/>
        </w:rPr>
        <w:t>December 31,</w:t>
      </w:r>
    </w:p>
    <w:p>
      <w:pPr>
        <w:spacing w:after="0" w:line="6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2018</w:t>
      </w:r>
    </w:p>
    <w:p>
      <w:pPr>
        <w:spacing w:after="0" w:line="58" w:lineRule="exact"/>
        <w:rPr>
          <w:sz w:val="20"/>
          <w:szCs w:val="20"/>
          <w:color w:val="auto"/>
        </w:rPr>
      </w:pPr>
    </w:p>
    <w:p>
      <w:pPr>
        <w:sectPr>
          <w:pgSz w:w="11900" w:h="16838" w:orient="portrait"/>
          <w:cols w:equalWidth="0" w:num="2">
            <w:col w:w="9620" w:space="540"/>
            <w:col w:w="126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Accrued liabilities: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17,169</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13,545</w:t>
            </w: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taxes, other than income taxes</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234</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accrued liabilities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21,755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15,956</w:t>
            </w:r>
          </w:p>
        </w:tc>
      </w:tr>
      <w:tr>
        <w:trPr>
          <w:trHeight w:val="20"/>
        </w:trPr>
        <w:tc>
          <w:tcPr>
            <w:tcW w:w="8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w:t>
      </w:r>
    </w:p>
    <w:p>
      <w:pPr>
        <w:spacing w:after="0" w:line="225" w:lineRule="exact"/>
        <w:rPr>
          <w:sz w:val="20"/>
          <w:szCs w:val="20"/>
          <w:color w:val="auto"/>
        </w:rPr>
      </w:pPr>
    </w:p>
    <w:p>
      <w:pPr>
        <w:ind w:right="200" w:firstLine="459"/>
        <w:spacing w:after="0" w:line="279" w:lineRule="auto"/>
        <w:rPr>
          <w:sz w:val="20"/>
          <w:szCs w:val="20"/>
          <w:color w:val="auto"/>
        </w:rPr>
      </w:pPr>
      <w:r>
        <w:rPr>
          <w:rFonts w:ascii="Arial" w:cs="Arial" w:eastAsia="Arial" w:hAnsi="Arial"/>
          <w:sz w:val="17"/>
          <w:szCs w:val="17"/>
          <w:color w:val="auto"/>
        </w:rPr>
        <w:t>On July 1, 2019, we acquired Action Industrial Catering (Action), a provider of catering and managed services to the mining industry in Western Australia. We funded the purchase price of $16.9 million in cash through a combination of cash on hand and borrowings under our revolving credit facility. The acquisition expands our business into the growing integrated services opportunities in the Western Australian mining market. Action's operations are reported as part of our Australia reporting business segment beginning on July 1, 2019, the date of acquisition.</w:t>
      </w:r>
    </w:p>
    <w:p>
      <w:pPr>
        <w:spacing w:after="0" w:line="171" w:lineRule="exact"/>
        <w:rPr>
          <w:sz w:val="20"/>
          <w:szCs w:val="20"/>
          <w:color w:val="auto"/>
        </w:rPr>
      </w:pPr>
    </w:p>
    <w:p>
      <w:pPr>
        <w:jc w:val="both"/>
        <w:ind w:right="160" w:firstLine="459"/>
        <w:spacing w:after="0" w:line="259" w:lineRule="auto"/>
        <w:rPr>
          <w:sz w:val="20"/>
          <w:szCs w:val="20"/>
          <w:color w:val="auto"/>
        </w:rPr>
      </w:pPr>
      <w:r>
        <w:rPr>
          <w:rFonts w:ascii="Arial" w:cs="Arial" w:eastAsia="Arial" w:hAnsi="Arial"/>
          <w:sz w:val="18"/>
          <w:szCs w:val="18"/>
          <w:color w:val="auto"/>
        </w:rPr>
        <w:t>This acquisition is accounted for in accordance with the acquisition method of accounting for business combinations, which requires us to record the assets acquired and the liabilities assumed at their fair values at July 1, 2019. Our estimates of the fair value for such assets and liabilities require significant assumptions and judgment. Based on the final purchase price allocation, intangible assets acquired totaled $8.4 million and consisted primarily of customer contracts and a trade name. In addition, we recognized goodwill of $7.9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Noralta</w:t>
      </w:r>
    </w:p>
    <w:p>
      <w:pPr>
        <w:spacing w:after="0" w:line="225"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b w:val="1"/>
          <w:bCs w:val="1"/>
          <w:i w:val="1"/>
          <w:iCs w:val="1"/>
          <w:color w:val="auto"/>
        </w:rPr>
        <w:t>Description of Transaction</w:t>
      </w:r>
      <w:r>
        <w:rPr>
          <w:rFonts w:ascii="Arial" w:cs="Arial" w:eastAsia="Arial" w:hAnsi="Arial"/>
          <w:sz w:val="18"/>
          <w:szCs w:val="18"/>
          <w:color w:val="auto"/>
        </w:rPr>
        <w:t>. On April 2, 2018, we acquired the equity of Noralta. As a result of the Noralta Acquisition, we expanded our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accommodations business in the Canadian oil sands market. The total consideration, which is subject to adjustment in accordance with the terms of the definitive agreement, included (i) C$207.7 million (or approximately US$161.2 million) in cash, subject to customary post-closing adjustments for working capital, indebtedness and transactions expenses, (ii) 32.8 million of our common shares, of which 13.5 million shares are held in escrow and will be released based on certain conditions related to Noralta customer contracts remaining in place, and (iii) 9,679 Class A Series 1 Preferred Shares (the Preferred Shares) with an initial liquidation preference of $96.8 million and initially convertible into 29.3 million of our common shares. We funded the cash consideration with cash on hand and borrowings under our revolving credit facility.</w:t>
      </w:r>
    </w:p>
    <w:p>
      <w:pPr>
        <w:spacing w:after="0" w:line="189" w:lineRule="exact"/>
        <w:rPr>
          <w:sz w:val="20"/>
          <w:szCs w:val="20"/>
          <w:color w:val="auto"/>
        </w:rPr>
      </w:pPr>
    </w:p>
    <w:p>
      <w:pPr>
        <w:ind w:right="60" w:firstLine="459"/>
        <w:spacing w:after="0" w:line="257" w:lineRule="auto"/>
        <w:rPr>
          <w:sz w:val="20"/>
          <w:szCs w:val="20"/>
          <w:color w:val="auto"/>
        </w:rPr>
      </w:pPr>
      <w:r>
        <w:rPr>
          <w:rFonts w:ascii="Arial" w:cs="Arial" w:eastAsia="Arial" w:hAnsi="Arial"/>
          <w:sz w:val="18"/>
          <w:szCs w:val="18"/>
          <w:color w:val="auto"/>
        </w:rPr>
        <w:t>During the first quarter of 2019, $2.1 million in cash was released to us from escrow to cover certain agreed upon indemnification claims. During the fourth quarter of 2018, $10.4 million in cash, 2.2 million common shares and 637 Preferred Shares were released to us, and $1.2 million in cash, 0.2 million common shares and 55 Preferred Shares were released to the sellers, from escrow to cover purchase price adjustments related to employee compensation cost increases. During the third quarter of 2018, $3.6 million in cash was released to us from escrow to cover purchase price adjustments related to a working capital shortfall at closing.</w:t>
      </w:r>
    </w:p>
    <w:p>
      <w:pPr>
        <w:spacing w:after="0" w:line="188" w:lineRule="exact"/>
        <w:rPr>
          <w:sz w:val="20"/>
          <w:szCs w:val="20"/>
          <w:color w:val="auto"/>
        </w:rPr>
      </w:pPr>
    </w:p>
    <w:p>
      <w:pPr>
        <w:ind w:right="80" w:firstLine="459"/>
        <w:spacing w:after="0" w:line="259" w:lineRule="auto"/>
        <w:rPr>
          <w:sz w:val="20"/>
          <w:szCs w:val="20"/>
          <w:color w:val="auto"/>
        </w:rPr>
      </w:pPr>
      <w:r>
        <w:rPr>
          <w:rFonts w:ascii="Arial" w:cs="Arial" w:eastAsia="Arial" w:hAnsi="Arial"/>
          <w:sz w:val="18"/>
          <w:szCs w:val="18"/>
          <w:color w:val="auto"/>
        </w:rPr>
        <w:t>The Noralta Acquisition was accounted for in accordance with the acquisition method of accounting for business combinations, and accordingly, the results of operations of Noralta were reported in our financial statements as part of our Canada reporting business segment beginning on April 2, 2018, the date of acquisition. During the year ended December 31, 2018, we recorded approximately $85.8 million of revenue and $31.5 million of gross margin in the accompanying consolidated statements of operations related to the Noralta Acquisition.</w:t>
      </w:r>
    </w:p>
    <w:p>
      <w:pPr>
        <w:spacing w:after="0" w:line="187" w:lineRule="exact"/>
        <w:rPr>
          <w:sz w:val="20"/>
          <w:szCs w:val="20"/>
          <w:color w:val="auto"/>
        </w:rPr>
      </w:pPr>
    </w:p>
    <w:p>
      <w:pPr>
        <w:ind w:firstLine="459"/>
        <w:spacing w:after="0" w:line="302" w:lineRule="auto"/>
        <w:rPr>
          <w:sz w:val="20"/>
          <w:szCs w:val="20"/>
          <w:color w:val="auto"/>
        </w:rPr>
      </w:pPr>
      <w:r>
        <w:rPr>
          <w:rFonts w:ascii="Arial" w:cs="Arial" w:eastAsia="Arial" w:hAnsi="Arial"/>
          <w:sz w:val="16"/>
          <w:szCs w:val="16"/>
          <w:b w:val="1"/>
          <w:bCs w:val="1"/>
          <w:i w:val="1"/>
          <w:iCs w:val="1"/>
          <w:color w:val="auto"/>
        </w:rPr>
        <w:t>Calculation of Purchase Consideration</w:t>
      </w:r>
      <w:r>
        <w:rPr>
          <w:rFonts w:ascii="Arial" w:cs="Arial" w:eastAsia="Arial" w:hAnsi="Arial"/>
          <w:sz w:val="16"/>
          <w:szCs w:val="16"/>
          <w:color w:val="auto"/>
        </w:rPr>
        <w:t>. The total purchase consideration received by the Noralta shareholders was based on the cash consideration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fair value of our common shares and Preferred Shares issued on April 2, 2018. The purchase consideration below reflects the fair value of common shares issued, which is based on the closing price on March 29, 2018 (the last business day prior to April 2, 2018) of our common shares of $3.77 per share and the estimated fair value of Preferred Shares issued, which are valued at 61% of the initial liquidation preference of the Preferred Shares of $96.8 million.</w:t>
      </w:r>
    </w:p>
    <w:p>
      <w:pPr>
        <w:spacing w:after="0" w:line="154" w:lineRule="exact"/>
        <w:rPr>
          <w:sz w:val="20"/>
          <w:szCs w:val="20"/>
          <w:color w:val="auto"/>
        </w:rPr>
      </w:pPr>
    </w:p>
    <w:p>
      <w:pPr>
        <w:ind w:right="220" w:firstLine="459"/>
        <w:spacing w:after="0" w:line="272" w:lineRule="auto"/>
        <w:rPr>
          <w:sz w:val="20"/>
          <w:szCs w:val="20"/>
          <w:color w:val="auto"/>
        </w:rPr>
      </w:pPr>
      <w:r>
        <w:rPr>
          <w:rFonts w:ascii="Arial" w:cs="Arial" w:eastAsia="Arial" w:hAnsi="Arial"/>
          <w:sz w:val="17"/>
          <w:szCs w:val="17"/>
          <w:color w:val="auto"/>
        </w:rPr>
        <w:t>A portion of the consideration paid, $11.6 million cash, 2.4 million common shares and 692 Preferred Shares, was initially held in escrow to support certain obligations of the sellers to compensate us for certain increased employee compensation costs expected to be incurred as a result of the union certification of certain classes of Noralta employees. As of April 2, 2018, we expected the escrowed amounts to be released to us within 12 months, and therefore, a receivable of $11.6 million related to the cash expected to be released was established. Additionally, no fair value has been allocated to such common shares or Preferred Shares portion of the consideration. As the $10.4 million of cash released to us during the fourth quarter of 2018 was less than the cash expected to be released as of April 2, 2018, we recognized a loss equal to the difference, adjusted for exchange rate changes, totaling $0.8 million. The loss is included in Other income in the accompanying consolidated statement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25"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purchase consideration and estimated fair value of Noralta’s net assets acquired as of April 2, 2018 is presented as follows: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(In thousands, except per share data)</w:t>
      </w:r>
    </w:p>
    <w:p>
      <w:pPr>
        <w:spacing w:after="0" w:line="55" w:lineRule="exact"/>
        <w:rPr>
          <w:sz w:val="20"/>
          <w:szCs w:val="20"/>
          <w:color w:val="auto"/>
        </w:rPr>
      </w:pPr>
    </w:p>
    <w:tbl>
      <w:tblPr>
        <w:tblLayout w:type="fixed"/>
        <w:tblInd w:w="300" w:type="dxa"/>
        <w:tblCellMar>
          <w:top w:w="0" w:type="dxa"/>
          <w:left w:w="0" w:type="dxa"/>
          <w:bottom w:w="0" w:type="dxa"/>
          <w:right w:w="0" w:type="dxa"/>
        </w:tblCellMar>
      </w:tblP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shares issued</w:t>
            </w:r>
          </w:p>
        </w:tc>
        <w:tc>
          <w:tcPr>
            <w:tcW w:w="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32,791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7280" w:type="dxa"/>
            <w:vAlign w:val="bottom"/>
          </w:tcPr>
          <w:p>
            <w:pPr>
              <w:ind w:left="20"/>
              <w:spacing w:after="0"/>
              <w:rPr>
                <w:sz w:val="20"/>
                <w:szCs w:val="20"/>
                <w:color w:val="auto"/>
              </w:rPr>
            </w:pPr>
            <w:r>
              <w:rPr>
                <w:rFonts w:ascii="Arial" w:cs="Arial" w:eastAsia="Arial" w:hAnsi="Arial"/>
                <w:sz w:val="16"/>
                <w:szCs w:val="16"/>
                <w:color w:val="auto"/>
              </w:rPr>
              <w:t>Common share price as of March 29, 2018</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72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Common share consideration</w:t>
            </w:r>
          </w:p>
        </w:tc>
        <w:tc>
          <w:tcPr>
            <w:tcW w:w="6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123,622</w:t>
            </w:r>
          </w:p>
        </w:tc>
      </w:tr>
      <w:tr>
        <w:trPr>
          <w:trHeight w:val="237"/>
        </w:trPr>
        <w:tc>
          <w:tcPr>
            <w:tcW w:w="7280" w:type="dxa"/>
            <w:vAlign w:val="bottom"/>
          </w:tcPr>
          <w:p>
            <w:pPr>
              <w:ind w:left="160"/>
              <w:spacing w:after="0"/>
              <w:rPr>
                <w:sz w:val="20"/>
                <w:szCs w:val="20"/>
                <w:color w:val="auto"/>
              </w:rPr>
            </w:pPr>
            <w:r>
              <w:rPr>
                <w:rFonts w:ascii="Arial" w:cs="Arial" w:eastAsia="Arial" w:hAnsi="Arial"/>
                <w:sz w:val="16"/>
                <w:szCs w:val="16"/>
                <w:color w:val="auto"/>
              </w:rPr>
              <w:t>Cash consideration (1)</w:t>
            </w: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157,539</w:t>
            </w:r>
          </w:p>
        </w:tc>
      </w:tr>
      <w:tr>
        <w:trPr>
          <w:trHeight w:val="33"/>
        </w:trPr>
        <w:tc>
          <w:tcPr>
            <w:tcW w:w="7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Preferred Share consideration</w:t>
            </w:r>
          </w:p>
        </w:tc>
        <w:tc>
          <w:tcPr>
            <w:tcW w:w="6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59,042</w:t>
            </w:r>
          </w:p>
        </w:tc>
      </w:tr>
      <w:tr>
        <w:trPr>
          <w:trHeight w:val="217"/>
        </w:trPr>
        <w:tc>
          <w:tcPr>
            <w:tcW w:w="7280" w:type="dxa"/>
            <w:vAlign w:val="bottom"/>
          </w:tcPr>
          <w:p>
            <w:pPr>
              <w:ind w:left="20"/>
              <w:spacing w:after="0"/>
              <w:rPr>
                <w:sz w:val="20"/>
                <w:szCs w:val="20"/>
                <w:color w:val="auto"/>
              </w:rPr>
            </w:pPr>
            <w:r>
              <w:rPr>
                <w:rFonts w:ascii="Arial" w:cs="Arial" w:eastAsia="Arial" w:hAnsi="Arial"/>
                <w:sz w:val="16"/>
                <w:szCs w:val="16"/>
                <w:color w:val="auto"/>
              </w:rPr>
              <w:t>Total purchase consideration</w:t>
            </w:r>
          </w:p>
        </w:tc>
        <w:tc>
          <w:tcPr>
            <w:tcW w:w="6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340,203</w:t>
            </w:r>
          </w:p>
        </w:tc>
      </w:tr>
      <w:tr>
        <w:trPr>
          <w:trHeight w:val="33"/>
        </w:trPr>
        <w:tc>
          <w:tcPr>
            <w:tcW w:w="7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Less: Common shares held in escrow</w:t>
            </w:r>
          </w:p>
        </w:tc>
        <w:tc>
          <w:tcPr>
            <w:tcW w:w="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(8,825)</w:t>
            </w:r>
          </w:p>
        </w:tc>
      </w:tr>
      <w:tr>
        <w:trPr>
          <w:trHeight w:val="237"/>
        </w:trPr>
        <w:tc>
          <w:tcPr>
            <w:tcW w:w="7280" w:type="dxa"/>
            <w:vAlign w:val="bottom"/>
          </w:tcPr>
          <w:p>
            <w:pPr>
              <w:ind w:left="160"/>
              <w:spacing w:after="0"/>
              <w:rPr>
                <w:sz w:val="20"/>
                <w:szCs w:val="20"/>
                <w:color w:val="auto"/>
              </w:rPr>
            </w:pPr>
            <w:r>
              <w:rPr>
                <w:rFonts w:ascii="Arial" w:cs="Arial" w:eastAsia="Arial" w:hAnsi="Arial"/>
                <w:sz w:val="16"/>
                <w:szCs w:val="16"/>
                <w:color w:val="auto"/>
              </w:rPr>
              <w:t>Less: Cash held in escrow</w:t>
            </w: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(11,607)</w:t>
            </w:r>
          </w:p>
        </w:tc>
      </w:tr>
      <w:tr>
        <w:trPr>
          <w:trHeight w:val="33"/>
        </w:trPr>
        <w:tc>
          <w:tcPr>
            <w:tcW w:w="7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Less: Preferred Shares held in escrow</w:t>
            </w:r>
          </w:p>
        </w:tc>
        <w:tc>
          <w:tcPr>
            <w:tcW w:w="6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(4,221)</w:t>
            </w:r>
          </w:p>
        </w:tc>
      </w:tr>
      <w:tr>
        <w:trPr>
          <w:trHeight w:val="244"/>
        </w:trPr>
        <w:tc>
          <w:tcPr>
            <w:tcW w:w="7280" w:type="dxa"/>
            <w:vAlign w:val="bottom"/>
          </w:tcPr>
          <w:p>
            <w:pPr>
              <w:ind w:left="20"/>
              <w:spacing w:after="0"/>
              <w:rPr>
                <w:sz w:val="20"/>
                <w:szCs w:val="20"/>
                <w:color w:val="auto"/>
              </w:rPr>
            </w:pPr>
            <w:r>
              <w:rPr>
                <w:rFonts w:ascii="Arial" w:cs="Arial" w:eastAsia="Arial" w:hAnsi="Arial"/>
                <w:sz w:val="16"/>
                <w:szCs w:val="16"/>
                <w:color w:val="auto"/>
              </w:rPr>
              <w:t>Total purchase consideration</w:t>
            </w:r>
          </w:p>
        </w:tc>
        <w:tc>
          <w:tcPr>
            <w:tcW w:w="62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315,550</w:t>
            </w:r>
          </w:p>
        </w:tc>
      </w:tr>
      <w:tr>
        <w:trPr>
          <w:trHeight w:val="20"/>
        </w:trPr>
        <w:tc>
          <w:tcPr>
            <w:tcW w:w="7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860" w:hanging="528"/>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of $3.6 million in cash released to us to cover purchase price adjustments related to a working capital shortfall at closing.</w:t>
      </w:r>
    </w:p>
    <w:p>
      <w:pPr>
        <w:spacing w:after="0" w:line="225"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b w:val="1"/>
          <w:bCs w:val="1"/>
          <w:i w:val="1"/>
          <w:iCs w:val="1"/>
          <w:color w:val="auto"/>
        </w:rPr>
        <w:t xml:space="preserve">Purchase Price Allocation. </w:t>
      </w:r>
      <w:r>
        <w:rPr>
          <w:rFonts w:ascii="Arial" w:cs="Arial" w:eastAsia="Arial" w:hAnsi="Arial"/>
          <w:sz w:val="18"/>
          <w:szCs w:val="18"/>
          <w:color w:val="auto"/>
        </w:rPr>
        <w:t>The application of purchase accounting under ASC 805 requires that the total purchase price be allocated to the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assets acquired and liabilities assumed based on their fair values at April 2, 2018, with amounts exceeding the fair values being recorded as goodwill. The allocation process requires an analysis of acquired fixed assets, contracts, and contingencies to identify and record the fair value of all assets acquired and liabilities assumed. Our allocation of the purchase price, which we finalized in the first quarter of 2019, to specific assets and liabilities is based, in part, upon outside appraisals using customary valuation procedures and techniques. The following table summarizes the fair values of the assets acquired and liabilities assumed at April 2, 2018 (in thousands):</w:t>
      </w:r>
    </w:p>
    <w:p>
      <w:pPr>
        <w:spacing w:after="0" w:line="126" w:lineRule="exact"/>
        <w:rPr>
          <w:sz w:val="20"/>
          <w:szCs w:val="20"/>
          <w:color w:val="auto"/>
        </w:rPr>
      </w:pPr>
    </w:p>
    <w:tbl>
      <w:tblPr>
        <w:tblLayout w:type="fixed"/>
        <w:tblInd w:w="140" w:type="dxa"/>
        <w:tblCellMar>
          <w:top w:w="0" w:type="dxa"/>
          <w:left w:w="0" w:type="dxa"/>
          <w:bottom w:w="0" w:type="dxa"/>
          <w:right w:w="0" w:type="dxa"/>
        </w:tblCellMar>
      </w:tblPr>
      <w:tr>
        <w:trPr>
          <w:trHeight w:val="237"/>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r>
      <w:tr>
        <w:trPr>
          <w:trHeight w:val="224"/>
        </w:trPr>
        <w:tc>
          <w:tcPr>
            <w:tcW w:w="9380" w:type="dxa"/>
            <w:vAlign w:val="bottom"/>
          </w:tcPr>
          <w:p>
            <w:pPr>
              <w:ind w:left="20"/>
              <w:spacing w:after="0"/>
              <w:rPr>
                <w:sz w:val="20"/>
                <w:szCs w:val="20"/>
                <w:color w:val="auto"/>
              </w:rPr>
            </w:pPr>
            <w:r>
              <w:rPr>
                <w:rFonts w:ascii="Arial" w:cs="Arial" w:eastAsia="Arial" w:hAnsi="Arial"/>
                <w:sz w:val="16"/>
                <w:szCs w:val="16"/>
                <w:color w:val="auto"/>
              </w:rPr>
              <w:t>Accounts receivable (1)</w:t>
            </w:r>
          </w:p>
        </w:tc>
        <w:tc>
          <w:tcPr>
            <w:tcW w:w="6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21,456</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6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w:t>
            </w:r>
          </w:p>
        </w:tc>
      </w:tr>
      <w:tr>
        <w:trPr>
          <w:trHeight w:val="224"/>
        </w:trPr>
        <w:tc>
          <w:tcPr>
            <w:tcW w:w="938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6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4,266</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6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129,424</w:t>
            </w:r>
          </w:p>
        </w:tc>
      </w:tr>
      <w:tr>
        <w:trPr>
          <w:trHeight w:val="224"/>
        </w:trPr>
        <w:tc>
          <w:tcPr>
            <w:tcW w:w="9380" w:type="dxa"/>
            <w:vAlign w:val="bottom"/>
          </w:tcPr>
          <w:p>
            <w:pPr>
              <w:ind w:left="20"/>
              <w:spacing w:after="0"/>
              <w:rPr>
                <w:sz w:val="20"/>
                <w:szCs w:val="20"/>
                <w:color w:val="auto"/>
              </w:rPr>
            </w:pPr>
            <w:r>
              <w:rPr>
                <w:rFonts w:ascii="Arial" w:cs="Arial" w:eastAsia="Arial" w:hAnsi="Arial"/>
                <w:sz w:val="16"/>
                <w:szCs w:val="16"/>
                <w:color w:val="auto"/>
              </w:rPr>
              <w:t>Goodwill</w:t>
            </w:r>
          </w:p>
        </w:tc>
        <w:tc>
          <w:tcPr>
            <w:tcW w:w="6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123,569</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6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110,736</w:t>
            </w:r>
          </w:p>
        </w:tc>
      </w:tr>
      <w:tr>
        <w:trPr>
          <w:trHeight w:val="217"/>
        </w:trPr>
        <w:tc>
          <w:tcPr>
            <w:tcW w:w="9380" w:type="dxa"/>
            <w:vAlign w:val="bottom"/>
          </w:tcPr>
          <w:p>
            <w:pPr>
              <w:ind w:left="160"/>
              <w:spacing w:after="0"/>
              <w:rPr>
                <w:sz w:val="20"/>
                <w:szCs w:val="20"/>
                <w:color w:val="auto"/>
              </w:rPr>
            </w:pPr>
            <w:r>
              <w:rPr>
                <w:rFonts w:ascii="Arial" w:cs="Arial" w:eastAsia="Arial" w:hAnsi="Arial"/>
                <w:sz w:val="16"/>
                <w:szCs w:val="16"/>
                <w:color w:val="auto"/>
              </w:rPr>
              <w:t>Total assets acquired</w:t>
            </w:r>
          </w:p>
        </w:tc>
        <w:tc>
          <w:tcPr>
            <w:tcW w:w="6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390,314</w:t>
            </w:r>
          </w:p>
        </w:tc>
      </w:tr>
      <w:tr>
        <w:trPr>
          <w:trHeight w:val="33"/>
        </w:trPr>
        <w:tc>
          <w:tcPr>
            <w:tcW w:w="93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93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4"/>
        </w:trPr>
        <w:tc>
          <w:tcPr>
            <w:tcW w:w="9380" w:type="dxa"/>
            <w:vAlign w:val="bottom"/>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6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15,023</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6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1,038</w:t>
            </w:r>
          </w:p>
        </w:tc>
      </w:tr>
      <w:tr>
        <w:trPr>
          <w:trHeight w:val="224"/>
        </w:trPr>
        <w:tc>
          <w:tcPr>
            <w:tcW w:w="938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6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2,027</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6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51,543</w:t>
            </w:r>
          </w:p>
        </w:tc>
      </w:tr>
      <w:tr>
        <w:trPr>
          <w:trHeight w:val="224"/>
        </w:trPr>
        <w:tc>
          <w:tcPr>
            <w:tcW w:w="938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6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5,133</w:t>
            </w:r>
          </w:p>
        </w:tc>
      </w:tr>
      <w:tr>
        <w:trPr>
          <w:trHeight w:val="33"/>
        </w:trPr>
        <w:tc>
          <w:tcPr>
            <w:tcW w:w="93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liabilities assumed</w:t>
            </w: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74,764</w:t>
            </w:r>
          </w:p>
        </w:tc>
      </w:tr>
      <w:tr>
        <w:trPr>
          <w:trHeight w:val="244"/>
        </w:trPr>
        <w:tc>
          <w:tcPr>
            <w:tcW w:w="9380" w:type="dxa"/>
            <w:vAlign w:val="bottom"/>
          </w:tcPr>
          <w:p>
            <w:pPr>
              <w:ind w:left="380"/>
              <w:spacing w:after="0"/>
              <w:rPr>
                <w:sz w:val="20"/>
                <w:szCs w:val="20"/>
                <w:color w:val="auto"/>
              </w:rPr>
            </w:pPr>
            <w:r>
              <w:rPr>
                <w:rFonts w:ascii="Arial" w:cs="Arial" w:eastAsia="Arial" w:hAnsi="Arial"/>
                <w:sz w:val="16"/>
                <w:szCs w:val="16"/>
                <w:color w:val="auto"/>
              </w:rPr>
              <w:t>Net assets acquired</w:t>
            </w: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315,550</w:t>
            </w:r>
          </w:p>
        </w:tc>
      </w:tr>
      <w:tr>
        <w:trPr>
          <w:trHeight w:val="20"/>
        </w:trPr>
        <w:tc>
          <w:tcPr>
            <w:tcW w:w="9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 aggregate fair value of the acquired accounts receivable approximated the aggregate gross contractual amount.</w:t>
      </w:r>
    </w:p>
    <w:p>
      <w:pPr>
        <w:spacing w:after="0" w:line="225" w:lineRule="exact"/>
        <w:rPr>
          <w:sz w:val="20"/>
          <w:szCs w:val="20"/>
          <w:color w:val="auto"/>
        </w:rPr>
      </w:pPr>
    </w:p>
    <w:p>
      <w:pPr>
        <w:ind w:firstLine="459"/>
        <w:spacing w:after="0" w:line="288" w:lineRule="auto"/>
        <w:rPr>
          <w:sz w:val="20"/>
          <w:szCs w:val="20"/>
          <w:color w:val="auto"/>
        </w:rPr>
      </w:pPr>
      <w:r>
        <w:rPr>
          <w:rFonts w:ascii="Arial" w:cs="Arial" w:eastAsia="Arial" w:hAnsi="Arial"/>
          <w:sz w:val="16"/>
          <w:szCs w:val="16"/>
          <w:color w:val="auto"/>
        </w:rPr>
        <w:t>Goodwill has been recorded based on the amount by which the purchase price exceeded the fair value of the net assets acquired. The goodwill is primarily attributable to synergies expected to arise from the Noralta Acquisition. The goodwill is not expected to be deductible for tax purposes. The fair value of the assets acquired and liabilities assumed were determined using income, market and cost valuation methodologies. The fair value measurements were estimated using significant inputs that are not observable in the market and thus represent a Level 3 measurement. Fair values of property, plant and equipment, excluding land, were determined using the cost approach. The cost approach estimates value by determining the current cost of replacing an asset with another of equivalent economic utility. The cost to replace a given asset reflects the estimated reproduction or replacement cost for the asset, less an allowance for loss in value due to depreciation. Fair values of land were determined using the market approach. The market approach is a valuation technique that uses prices and other relevant information generated by market transactions involving identical or comparable assets. The income approach was used to value the intangible assets, consisting primarily of customer contracts, trade name and favorable/unfavorable lease contracts. The income approach indicates value for an asset or liability based on present value of cash flows projected to be generated over the</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125" w:right="2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remaining economic life of the asset or liability being measured. Projected cash flows are discounted at a required market rate of return that reflects the relative risk of achieving the cash flows and the time value of money.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purchase price allocation to the identifiable intangible assets and liabilities is as follows (in thousands):</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9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b w:val="1"/>
                <w:bCs w:val="1"/>
                <w:color w:val="auto"/>
              </w:rPr>
              <w:t>Fair Value at</w:t>
            </w:r>
          </w:p>
        </w:tc>
      </w:tr>
      <w:tr>
        <w:trPr>
          <w:trHeight w:val="210"/>
        </w:trPr>
        <w:tc>
          <w:tcPr>
            <w:tcW w:w="9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b w:val="1"/>
                <w:bCs w:val="1"/>
                <w:color w:val="auto"/>
              </w:rPr>
              <w:t>April 2, 2018</w:t>
            </w:r>
          </w:p>
        </w:tc>
      </w:tr>
      <w:tr>
        <w:trPr>
          <w:trHeight w:val="33"/>
        </w:trPr>
        <w:tc>
          <w:tcPr>
            <w:tcW w:w="9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Amortizable Intangible Assets</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24"/>
        </w:trPr>
        <w:tc>
          <w:tcPr>
            <w:tcW w:w="9320" w:type="dxa"/>
            <w:vAlign w:val="bottom"/>
          </w:tcPr>
          <w:p>
            <w:pPr>
              <w:ind w:left="360"/>
              <w:spacing w:after="0"/>
              <w:rPr>
                <w:sz w:val="20"/>
                <w:szCs w:val="20"/>
                <w:color w:val="auto"/>
              </w:rPr>
            </w:pPr>
            <w:r>
              <w:rPr>
                <w:rFonts w:ascii="Arial" w:cs="Arial" w:eastAsia="Arial" w:hAnsi="Arial"/>
                <w:sz w:val="16"/>
                <w:szCs w:val="16"/>
                <w:color w:val="auto"/>
              </w:rPr>
              <w:t>Trade name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1,474</w:t>
            </w:r>
          </w:p>
        </w:tc>
      </w:tr>
      <w:tr>
        <w:trPr>
          <w:trHeight w:val="33"/>
        </w:trPr>
        <w:tc>
          <w:tcPr>
            <w:tcW w:w="9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9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Contracts</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106,766</w:t>
            </w:r>
          </w:p>
        </w:tc>
      </w:tr>
      <w:tr>
        <w:trPr>
          <w:trHeight w:val="224"/>
        </w:trPr>
        <w:tc>
          <w:tcPr>
            <w:tcW w:w="9320" w:type="dxa"/>
            <w:vAlign w:val="bottom"/>
          </w:tcPr>
          <w:p>
            <w:pPr>
              <w:ind w:left="360"/>
              <w:spacing w:after="0"/>
              <w:rPr>
                <w:sz w:val="20"/>
                <w:szCs w:val="20"/>
                <w:color w:val="auto"/>
              </w:rPr>
            </w:pPr>
            <w:r>
              <w:rPr>
                <w:rFonts w:ascii="Arial" w:cs="Arial" w:eastAsia="Arial" w:hAnsi="Arial"/>
                <w:sz w:val="16"/>
                <w:szCs w:val="16"/>
                <w:color w:val="auto"/>
              </w:rPr>
              <w:t>Favorable lease contract</w:t>
            </w:r>
          </w:p>
        </w:tc>
        <w:tc>
          <w:tcPr>
            <w:tcW w:w="28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2,496</w:t>
            </w:r>
          </w:p>
        </w:tc>
      </w:tr>
      <w:tr>
        <w:trPr>
          <w:trHeight w:val="33"/>
        </w:trPr>
        <w:tc>
          <w:tcPr>
            <w:tcW w:w="9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9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amortizable intangible assets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110,736</w:t>
            </w:r>
          </w:p>
        </w:tc>
      </w:tr>
      <w:tr>
        <w:trPr>
          <w:trHeight w:val="270"/>
        </w:trPr>
        <w:tc>
          <w:tcPr>
            <w:tcW w:w="9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Amortizable Intangible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4"/>
        </w:trPr>
        <w:tc>
          <w:tcPr>
            <w:tcW w:w="9320" w:type="dxa"/>
            <w:vAlign w:val="bottom"/>
          </w:tcPr>
          <w:p>
            <w:pPr>
              <w:ind w:left="360"/>
              <w:spacing w:after="0"/>
              <w:rPr>
                <w:sz w:val="20"/>
                <w:szCs w:val="20"/>
                <w:color w:val="auto"/>
              </w:rPr>
            </w:pPr>
            <w:r>
              <w:rPr>
                <w:rFonts w:ascii="Arial" w:cs="Arial" w:eastAsia="Arial" w:hAnsi="Arial"/>
                <w:sz w:val="16"/>
                <w:szCs w:val="16"/>
                <w:color w:val="auto"/>
              </w:rPr>
              <w:t>Unfavorable lease contracts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2,456</w:t>
            </w:r>
          </w:p>
        </w:tc>
      </w:tr>
      <w:tr>
        <w:trPr>
          <w:trHeight w:val="33"/>
        </w:trPr>
        <w:tc>
          <w:tcPr>
            <w:tcW w:w="9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9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amortizable intangible liabilities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2,456</w:t>
            </w:r>
          </w:p>
        </w:tc>
      </w:tr>
      <w:tr>
        <w:trPr>
          <w:trHeight w:val="270"/>
        </w:trPr>
        <w:tc>
          <w:tcPr>
            <w:tcW w:w="93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r>
      <w:tr>
        <w:trPr>
          <w:trHeight w:val="244"/>
        </w:trPr>
        <w:tc>
          <w:tcPr>
            <w:tcW w:w="93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Net intangible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108,280</w:t>
            </w:r>
          </w:p>
        </w:tc>
      </w:tr>
      <w:tr>
        <w:trPr>
          <w:trHeight w:val="20"/>
        </w:trPr>
        <w:tc>
          <w:tcPr>
            <w:tcW w:w="9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The contracts acquired consist of accommodations contracts with two major investment grade oil sands producers which are subject to amortization over an estimated useful life of 20 years at the time of acquisition. The trade name was assigned to Noralta’s name recognition with an estimated useful life of 9 months at the time of acquisition. The favorable/unfavorable intangible contracts are related to leases that will be amortized over the remaining lease terms, which range from 3.8 years to 9.3 years at the time of acquisition. The unfavorable contracts are included in Other noncurrent liabilities in the accompanying consolidated balance sheet.</w:t>
      </w:r>
    </w:p>
    <w:p>
      <w:pPr>
        <w:spacing w:after="0" w:line="188" w:lineRule="exact"/>
        <w:rPr>
          <w:sz w:val="20"/>
          <w:szCs w:val="20"/>
          <w:color w:val="auto"/>
        </w:rPr>
      </w:pPr>
    </w:p>
    <w:p>
      <w:pPr>
        <w:ind w:firstLine="459"/>
        <w:spacing w:after="0" w:line="271" w:lineRule="auto"/>
        <w:rPr>
          <w:sz w:val="20"/>
          <w:szCs w:val="20"/>
          <w:color w:val="auto"/>
        </w:rPr>
      </w:pPr>
      <w:r>
        <w:rPr>
          <w:rFonts w:ascii="Arial" w:cs="Arial" w:eastAsia="Arial" w:hAnsi="Arial"/>
          <w:sz w:val="17"/>
          <w:szCs w:val="17"/>
          <w:b w:val="1"/>
          <w:bCs w:val="1"/>
          <w:i w:val="1"/>
          <w:iCs w:val="1"/>
          <w:color w:val="auto"/>
        </w:rPr>
        <w:t xml:space="preserve">Supplemental Pro Forma Financial Information (Unaudited). </w:t>
      </w:r>
      <w:r>
        <w:rPr>
          <w:rFonts w:ascii="Arial" w:cs="Arial" w:eastAsia="Arial" w:hAnsi="Arial"/>
          <w:sz w:val="17"/>
          <w:szCs w:val="17"/>
          <w:color w:val="auto"/>
        </w:rPr>
        <w:t>The following unaudited pro forma supplemental financial information presents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consolidated results of operations of the Company and Noralta as if the Noralta Acquisition had occurred on January 1, 2017. We have adjusted historical financial information to give effect to pro forma items that are directly attributable to the Noralta Acquisition and are expected to have a continuing impact on the consolidated results. These items include adjustments to record the incremental amortization and depreciation expense related to the increase in fair values of the acquired assets, interest expense related to borrowings under the Credit Agreement to fund the Noralta Acquisition and to reclassify certain items to conform to our financial reporting presentation. However, pro forma results do not include any anticipated cost savings or other effects of the planned integration of Noralta. The unaudited pro forma results do not purport to be indicative of the results of operations had the transaction occurred on the date indicated or of future results for the combined entities (in thousands, except per share data):</w:t>
      </w:r>
    </w:p>
    <w:p>
      <w:pPr>
        <w:spacing w:after="0" w:line="125" w:lineRule="exact"/>
        <w:rPr>
          <w:sz w:val="20"/>
          <w:szCs w:val="20"/>
          <w:color w:val="auto"/>
        </w:rPr>
      </w:pPr>
    </w:p>
    <w:p>
      <w:pPr>
        <w:jc w:val="center"/>
        <w:ind w:left="3400"/>
        <w:spacing w:after="0"/>
        <w:rPr>
          <w:sz w:val="20"/>
          <w:szCs w:val="20"/>
          <w:color w:val="auto"/>
        </w:rPr>
      </w:pPr>
      <w:r>
        <w:rPr>
          <w:rFonts w:ascii="Arial" w:cs="Arial" w:eastAsia="Arial" w:hAnsi="Arial"/>
          <w:sz w:val="16"/>
          <w:szCs w:val="16"/>
          <w:b w:val="1"/>
          <w:bCs w:val="1"/>
          <w:color w:val="auto"/>
        </w:rPr>
        <w:t>Years Ended December 31,</w:t>
      </w:r>
    </w:p>
    <w:p>
      <w:pPr>
        <w:spacing w:after="0" w:line="26" w:lineRule="exact"/>
        <w:rPr>
          <w:sz w:val="20"/>
          <w:szCs w:val="20"/>
          <w:color w:val="auto"/>
        </w:rPr>
      </w:pPr>
    </w:p>
    <w:p>
      <w:pPr>
        <w:jc w:val="center"/>
        <w:ind w:left="340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33020</wp:posOffset>
            </wp:positionV>
            <wp:extent cx="16294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5">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Pro forma</w:t>
            </w:r>
          </w:p>
        </w:tc>
        <w:tc>
          <w:tcPr>
            <w:tcW w:w="200" w:type="dxa"/>
            <w:vAlign w:val="bottom"/>
          </w:tcPr>
          <w:p>
            <w:pPr>
              <w:spacing w:after="0"/>
              <w:rPr>
                <w:sz w:val="18"/>
                <w:szCs w:val="18"/>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b w:val="1"/>
                <w:bCs w:val="1"/>
                <w:color w:val="auto"/>
              </w:rPr>
              <w:t>Pro forma</w:t>
            </w:r>
          </w:p>
        </w:tc>
      </w:tr>
      <w:tr>
        <w:trPr>
          <w:trHeight w:val="33"/>
        </w:trPr>
        <w:tc>
          <w:tcPr>
            <w:tcW w:w="6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r>
      <w:tr>
        <w:trPr>
          <w:trHeight w:val="33"/>
        </w:trPr>
        <w:tc>
          <w:tcPr>
            <w:tcW w:w="6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501,275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506,040</w:t>
            </w: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Net loss attributable to Civeo Corporation common shareholders</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(129,900)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(91,420)</w:t>
            </w:r>
          </w:p>
        </w:tc>
      </w:tr>
      <w:tr>
        <w:trPr>
          <w:trHeight w:val="33"/>
        </w:trPr>
        <w:tc>
          <w:tcPr>
            <w:tcW w:w="6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loss per share attributable to Civeo Corporation common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(0.57)</w:t>
            </w: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Diluted net loss per share attributable to Civeo Corporation common shareholders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(0.57)</w:t>
            </w:r>
          </w:p>
        </w:tc>
      </w:tr>
    </w:tbl>
    <w:p>
      <w:pPr>
        <w:spacing w:after="0" w:line="235" w:lineRule="exact"/>
        <w:rPr>
          <w:sz w:val="20"/>
          <w:szCs w:val="20"/>
          <w:color w:val="auto"/>
        </w:rPr>
      </w:pPr>
    </w:p>
    <w:p>
      <w:pPr>
        <w:jc w:val="both"/>
        <w:ind w:right="440" w:firstLine="459"/>
        <w:spacing w:after="0" w:line="264" w:lineRule="auto"/>
        <w:rPr>
          <w:sz w:val="20"/>
          <w:szCs w:val="20"/>
          <w:color w:val="auto"/>
        </w:rPr>
      </w:pPr>
      <w:r>
        <w:rPr>
          <w:rFonts w:ascii="Arial" w:cs="Arial" w:eastAsia="Arial" w:hAnsi="Arial"/>
          <w:sz w:val="18"/>
          <w:szCs w:val="18"/>
          <w:color w:val="auto"/>
        </w:rPr>
        <w:t>Included in the pro forma results above are certain adjustments due to the following: (i) increases in depreciation and amortization expense due to acquired intangibles and the increased recorded value of property, plant and equipment, (ii) increases in interest expense due to additional credit facility borrowings to fund the Noralta Acquisition, and (iii) decreases due to the exclusion of transaction costs.</w:t>
      </w:r>
    </w:p>
    <w:p>
      <w:pPr>
        <w:spacing w:after="0" w:line="181" w:lineRule="exact"/>
        <w:rPr>
          <w:sz w:val="20"/>
          <w:szCs w:val="20"/>
          <w:color w:val="auto"/>
        </w:rPr>
      </w:pPr>
    </w:p>
    <w:p>
      <w:pPr>
        <w:ind w:right="80" w:firstLine="459"/>
        <w:spacing w:after="0" w:line="259" w:lineRule="auto"/>
        <w:rPr>
          <w:sz w:val="20"/>
          <w:szCs w:val="20"/>
          <w:color w:val="auto"/>
        </w:rPr>
      </w:pPr>
      <w:r>
        <w:rPr>
          <w:rFonts w:ascii="Arial" w:cs="Arial" w:eastAsia="Arial" w:hAnsi="Arial"/>
          <w:sz w:val="18"/>
          <w:szCs w:val="18"/>
          <w:b w:val="1"/>
          <w:bCs w:val="1"/>
          <w:i w:val="1"/>
          <w:iCs w:val="1"/>
          <w:color w:val="auto"/>
        </w:rPr>
        <w:t xml:space="preserve">Transaction Costs. </w:t>
      </w:r>
      <w:r>
        <w:rPr>
          <w:rFonts w:ascii="Arial" w:cs="Arial" w:eastAsia="Arial" w:hAnsi="Arial"/>
          <w:sz w:val="18"/>
          <w:szCs w:val="18"/>
          <w:color w:val="auto"/>
        </w:rPr>
        <w:t>During the year ended December 31, 2018, we recognized $9.1 million of costs in connection with the Noralta Acquisition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in Service and other costs ($1.0 million), Selling, general and administrative expenses ($7.2 million) and Other income ($0.9 million). During the year ended December 31, 2017, we recognized $2.3 million of costs in connection with the Noralta Acquisition that are included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125"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Acadian Acres</w:t>
      </w:r>
    </w:p>
    <w:p>
      <w:pPr>
        <w:spacing w:after="0" w:line="225" w:lineRule="exact"/>
        <w:rPr>
          <w:sz w:val="20"/>
          <w:szCs w:val="20"/>
          <w:color w:val="auto"/>
        </w:rPr>
      </w:pPr>
    </w:p>
    <w:p>
      <w:pPr>
        <w:ind w:right="280" w:firstLine="459"/>
        <w:spacing w:after="0" w:line="257" w:lineRule="auto"/>
        <w:rPr>
          <w:sz w:val="20"/>
          <w:szCs w:val="20"/>
          <w:color w:val="auto"/>
        </w:rPr>
      </w:pPr>
      <w:r>
        <w:rPr>
          <w:rFonts w:ascii="Arial" w:cs="Arial" w:eastAsia="Arial" w:hAnsi="Arial"/>
          <w:sz w:val="18"/>
          <w:szCs w:val="18"/>
          <w:color w:val="auto"/>
        </w:rPr>
        <w:t>On February 28, 2018, we acquired the assets of Lakeland, L.L.C. (Lakeland), located near Lake Charles, Louisiana, for total consideration of $28.0 million, composed of $23.5 million in cash and $4.5 million of our common shares. The asset purchase agreement also includes potential future earn-out payments through December 2020 of up to 1.2 million Civeo common shares, based upon satisfaction of certain future revenue targets. The acquisition included a 400 room lodge, 40 acres of land and related assets. We funded the cash consideration with cash on hand. Lakeland’s operations are reported as Acadian Acres in our U.S. reporting business segment.</w:t>
      </w:r>
    </w:p>
    <w:p>
      <w:pPr>
        <w:spacing w:after="0" w:line="188" w:lineRule="exact"/>
        <w:rPr>
          <w:sz w:val="20"/>
          <w:szCs w:val="20"/>
          <w:color w:val="auto"/>
        </w:rPr>
      </w:pPr>
    </w:p>
    <w:p>
      <w:pPr>
        <w:ind w:right="100" w:firstLine="459"/>
        <w:spacing w:after="0" w:line="277" w:lineRule="auto"/>
        <w:rPr>
          <w:sz w:val="20"/>
          <w:szCs w:val="20"/>
          <w:color w:val="auto"/>
        </w:rPr>
      </w:pPr>
      <w:r>
        <w:rPr>
          <w:rFonts w:ascii="Arial" w:cs="Arial" w:eastAsia="Arial" w:hAnsi="Arial"/>
          <w:sz w:val="18"/>
          <w:szCs w:val="18"/>
          <w:color w:val="auto"/>
        </w:rPr>
        <w:t>Intangible assets acquired in the Acadian Acres acquisition totaled $8.2 million and consisted of a customer contract. The customer contract intangible is being amortized over the remaining contract term, which was 16 months at the time of acquisition.</w:t>
      </w:r>
    </w:p>
    <w:p>
      <w:pPr>
        <w:spacing w:after="0" w:line="170" w:lineRule="exact"/>
        <w:rPr>
          <w:sz w:val="20"/>
          <w:szCs w:val="20"/>
          <w:color w:val="auto"/>
        </w:rPr>
      </w:pPr>
    </w:p>
    <w:p>
      <w:pPr>
        <w:ind w:right="140" w:firstLine="459"/>
        <w:spacing w:after="0" w:line="257" w:lineRule="auto"/>
        <w:rPr>
          <w:sz w:val="20"/>
          <w:szCs w:val="20"/>
          <w:color w:val="auto"/>
        </w:rPr>
      </w:pPr>
      <w:r>
        <w:rPr>
          <w:rFonts w:ascii="Arial" w:cs="Arial" w:eastAsia="Arial" w:hAnsi="Arial"/>
          <w:sz w:val="18"/>
          <w:szCs w:val="18"/>
          <w:color w:val="auto"/>
        </w:rPr>
        <w:t>This acquisition was accounted for as an asset acquisition based on the principles described in ASC 805, which provides a screen to determine when a set of transferred assets is not a business. The screen requires that when substantially all of the fair value of the gross assets acquired is concentrated in a single identifiable asset or a group of similarly identifiable assets, the set of transferred assets is not a business. Accordingly, we allocated the excess consideration over the fair value of the assets acquired to the acquired assets, pro rata, on the basis of relative fair values to increase the related assets acquired.</w:t>
      </w:r>
    </w:p>
    <w:p>
      <w:pPr>
        <w:spacing w:after="0" w:line="184"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20" w:firstLine="459"/>
        <w:spacing w:after="0" w:line="259" w:lineRule="auto"/>
        <w:rPr>
          <w:sz w:val="20"/>
          <w:szCs w:val="20"/>
          <w:color w:val="auto"/>
        </w:rPr>
      </w:pPr>
      <w:r>
        <w:rPr>
          <w:rFonts w:ascii="Arial" w:cs="Arial" w:eastAsia="Arial" w:hAnsi="Arial"/>
          <w:sz w:val="18"/>
          <w:szCs w:val="18"/>
          <w:color w:val="auto"/>
        </w:rPr>
        <w:t>We calculate basic and diluted earnings per share by applying the two-class method because we have participating securities in the form of Preferred Shares. Participating securities are allocated a proportional share of net income determined by dividing total weighted average participating securities by the sum of total weighted average common shares and participating securities. We also apply the treasury stock method with respect to certain share based awards in the calculation of diluted earnings per share, if dilutive.</w:t>
      </w:r>
    </w:p>
    <w:p>
      <w:pPr>
        <w:spacing w:after="0" w:line="187" w:lineRule="exact"/>
        <w:rPr>
          <w:sz w:val="20"/>
          <w:szCs w:val="20"/>
          <w:color w:val="auto"/>
        </w:rPr>
      </w:pPr>
    </w:p>
    <w:p>
      <w:pPr>
        <w:ind w:right="100" w:firstLine="459"/>
        <w:spacing w:after="0" w:line="277" w:lineRule="auto"/>
        <w:rPr>
          <w:sz w:val="20"/>
          <w:szCs w:val="20"/>
          <w:color w:val="auto"/>
        </w:rPr>
      </w:pPr>
      <w:r>
        <w:rPr>
          <w:rFonts w:ascii="Arial" w:cs="Arial" w:eastAsia="Arial" w:hAnsi="Arial"/>
          <w:sz w:val="18"/>
          <w:szCs w:val="18"/>
          <w:color w:val="auto"/>
        </w:rPr>
        <w:t>The calculation of earnings per share attributable to Civeo common shareholders is presented below for the periods indicated (in thousands, except per share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8"/>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8"/>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8"/>
              <w:spacing w:after="0"/>
              <w:rPr>
                <w:sz w:val="20"/>
                <w:szCs w:val="20"/>
                <w:color w:val="auto"/>
              </w:rPr>
            </w:pPr>
            <w:r>
              <w:rPr>
                <w:rFonts w:ascii="Arial" w:cs="Arial" w:eastAsia="Arial" w:hAnsi="Arial"/>
                <w:sz w:val="18"/>
                <w:szCs w:val="18"/>
                <w:b w:val="1"/>
                <w:bCs w:val="1"/>
                <w:color w:val="auto"/>
              </w:rPr>
              <w:t>2017</w:t>
            </w:r>
          </w:p>
        </w:tc>
      </w:tr>
      <w:tr>
        <w:trPr>
          <w:trHeight w:val="27"/>
        </w:trPr>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Net loss attributable to Civeo common shareholders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(60,340)</w:t>
            </w:r>
          </w:p>
        </w:tc>
        <w:tc>
          <w:tcPr>
            <w:tcW w:w="12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(131,832)</w:t>
            </w:r>
          </w:p>
        </w:tc>
        <w:tc>
          <w:tcPr>
            <w:tcW w:w="10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(105,713)</w:t>
            </w:r>
          </w:p>
        </w:tc>
      </w:tr>
      <w:tr>
        <w:trPr>
          <w:trHeight w:val="27"/>
        </w:trPr>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Less: income allocated to participating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2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Basic net income loss attributable to Civeo Corporation common shareholders</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(60,340)</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(131,832)</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(105,713)</w:t>
            </w:r>
          </w:p>
        </w:tc>
      </w:tr>
      <w:tr>
        <w:trPr>
          <w:trHeight w:val="27"/>
        </w:trPr>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Add: undistributed income attributable to participating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43"/>
        </w:trPr>
        <w:tc>
          <w:tcPr>
            <w:tcW w:w="6740" w:type="dxa"/>
            <w:vAlign w:val="bottom"/>
            <w:gridSpan w:val="3"/>
          </w:tcPr>
          <w:p>
            <w:pPr>
              <w:ind w:left="180"/>
              <w:spacing w:after="0"/>
              <w:rPr>
                <w:sz w:val="20"/>
                <w:szCs w:val="20"/>
                <w:color w:val="auto"/>
              </w:rPr>
            </w:pPr>
            <w:r>
              <w:rPr>
                <w:rFonts w:ascii="Arial" w:cs="Arial" w:eastAsia="Arial" w:hAnsi="Arial"/>
                <w:sz w:val="18"/>
                <w:szCs w:val="18"/>
                <w:color w:val="auto"/>
              </w:rPr>
              <w:t>Less: undistributed income reallocated to participating securities</w:t>
            </w:r>
          </w:p>
        </w:tc>
        <w:tc>
          <w:tcPr>
            <w:tcW w:w="3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27"/>
        </w:trPr>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 net loss attributable to Civeo Corporation common shareholders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(105,713)</w:t>
            </w:r>
          </w:p>
        </w:tc>
      </w:tr>
      <w:tr>
        <w:trPr>
          <w:trHeight w:val="20"/>
        </w:trPr>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49"/>
        </w:trPr>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340" w:type="dxa"/>
            <w:vAlign w:val="bottom"/>
          </w:tcPr>
          <w:p>
            <w:pPr>
              <w:spacing w:after="0"/>
              <w:rPr>
                <w:sz w:val="21"/>
                <w:szCs w:val="21"/>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167,047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157,231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128,365</w:t>
            </w:r>
          </w:p>
        </w:tc>
      </w:tr>
      <w:tr>
        <w:trPr>
          <w:trHeight w:val="27"/>
        </w:trPr>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Dilutive shares - share based awards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84"/>
        </w:trPr>
        <w:tc>
          <w:tcPr>
            <w:tcW w:w="67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167,047</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157,231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128,365</w:t>
            </w:r>
          </w:p>
        </w:tc>
      </w:tr>
      <w:tr>
        <w:trPr>
          <w:trHeight w:val="149"/>
        </w:trPr>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Basic net loss per share attributable to Civeo Corporation common shareholders (1)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(0.84)</w:t>
            </w:r>
          </w:p>
        </w:tc>
        <w:tc>
          <w:tcPr>
            <w:tcW w:w="10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(0.82)</w:t>
            </w:r>
          </w:p>
        </w:tc>
      </w:tr>
      <w:tr>
        <w:trPr>
          <w:trHeight w:val="27"/>
        </w:trPr>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62"/>
        </w:trPr>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w w:val="98"/>
              </w:rPr>
              <w:t>Diluted net loss per share attributable to Civeo Corporation common shareholders (1)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(0.84)</w:t>
            </w:r>
          </w:p>
        </w:tc>
        <w:tc>
          <w:tcPr>
            <w:tcW w:w="10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(0.82)</w:t>
            </w:r>
          </w:p>
        </w:tc>
      </w:tr>
      <w:tr>
        <w:trPr>
          <w:trHeight w:val="203"/>
        </w:trPr>
        <w:tc>
          <w:tcPr>
            <w:tcW w:w="2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7"/>
        </w:trPr>
        <w:tc>
          <w:tcPr>
            <w:tcW w:w="6740" w:type="dxa"/>
            <w:vAlign w:val="bottom"/>
            <w:gridSpan w:val="3"/>
          </w:tcPr>
          <w:p>
            <w:pPr>
              <w:ind w:left="120"/>
              <w:spacing w:after="0"/>
              <w:rPr>
                <w:sz w:val="20"/>
                <w:szCs w:val="20"/>
                <w:color w:val="auto"/>
              </w:rPr>
            </w:pPr>
            <w:r>
              <w:rPr>
                <w:rFonts w:ascii="Arial" w:cs="Arial" w:eastAsia="Arial" w:hAnsi="Arial"/>
                <w:sz w:val="18"/>
                <w:szCs w:val="18"/>
                <w:color w:val="auto"/>
              </w:rPr>
              <w:t>(1) Computations may reflect rounding adjustments.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2" w:lineRule="exact"/>
        <w:rPr>
          <w:sz w:val="20"/>
          <w:szCs w:val="20"/>
          <w:color w:val="auto"/>
        </w:rPr>
      </w:pPr>
    </w:p>
    <w:p>
      <w:pPr>
        <w:ind w:right="180" w:firstLine="459"/>
        <w:spacing w:after="0" w:line="259" w:lineRule="auto"/>
        <w:rPr>
          <w:sz w:val="20"/>
          <w:szCs w:val="20"/>
          <w:color w:val="auto"/>
        </w:rPr>
      </w:pPr>
      <w:r>
        <w:rPr>
          <w:rFonts w:ascii="Arial" w:cs="Arial" w:eastAsia="Arial" w:hAnsi="Arial"/>
          <w:sz w:val="18"/>
          <w:szCs w:val="18"/>
          <w:color w:val="auto"/>
        </w:rPr>
        <w:t>When an entity has a net loss from continuing operations, it is prohibited from including potential common shares in the computation of diluted per share amounts. For the years ended December 31, 2019, 2018 and 2017, we excluded from the computation of diluted loss per share 6.4 million, 9.6 million and 7.3 million share based awards, respectively, since the effect would have been anti-dilutive. Additionally, for the years ended December 31, 2019 and 2018, we excluded from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calculation the impact of converting the Preferred Shares into 28.4 million and 29.8 million common shares, respectively, since the effect would have been anti-dilutive.</w:t>
      </w:r>
    </w:p>
    <w:p>
      <w:pPr>
        <w:spacing w:after="0" w:line="166"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w:t>
      </w:r>
    </w:p>
    <w:p>
      <w:pPr>
        <w:spacing w:after="0" w:line="229" w:lineRule="exact"/>
        <w:rPr>
          <w:sz w:val="20"/>
          <w:szCs w:val="20"/>
          <w:color w:val="auto"/>
        </w:rPr>
      </w:pPr>
    </w:p>
    <w:p>
      <w:pPr>
        <w:ind w:right="180" w:firstLine="459"/>
        <w:spacing w:after="0" w:line="312" w:lineRule="auto"/>
        <w:rPr>
          <w:sz w:val="20"/>
          <w:szCs w:val="20"/>
          <w:color w:val="auto"/>
        </w:rPr>
      </w:pPr>
      <w:r>
        <w:rPr>
          <w:rFonts w:ascii="Arial" w:cs="Arial" w:eastAsia="Arial" w:hAnsi="Arial"/>
          <w:sz w:val="16"/>
          <w:szCs w:val="16"/>
          <w:color w:val="auto"/>
        </w:rPr>
        <w:t>During the fourth quarter of 2017, we made the decision to dispose of our modular construction and manufacturing plant near Edmonton, Alberta, Canada due to changing geographic and market needs. Accordingly, the facility met the criteria of held for sale. Its estimated fair value (less the cost to sell) of $4.8 million exceeded its carrying value. Additionally, we have discontinued depreciation of the facility. The facility is part of our Canada segment.</w:t>
      </w:r>
    </w:p>
    <w:p>
      <w:pPr>
        <w:spacing w:after="0" w:line="147" w:lineRule="exact"/>
        <w:rPr>
          <w:sz w:val="20"/>
          <w:szCs w:val="20"/>
          <w:color w:val="auto"/>
        </w:rPr>
      </w:pPr>
    </w:p>
    <w:p>
      <w:pPr>
        <w:ind w:right="80" w:firstLine="459"/>
        <w:spacing w:after="0" w:line="264" w:lineRule="auto"/>
        <w:rPr>
          <w:sz w:val="20"/>
          <w:szCs w:val="20"/>
          <w:color w:val="auto"/>
        </w:rPr>
      </w:pPr>
      <w:r>
        <w:rPr>
          <w:rFonts w:ascii="Arial" w:cs="Arial" w:eastAsia="Arial" w:hAnsi="Arial"/>
          <w:sz w:val="18"/>
          <w:szCs w:val="18"/>
          <w:color w:val="auto"/>
        </w:rPr>
        <w:t>Certain undeveloped land positions in the British Columbia LNG market in our Canada segment previously met the criteria of held for sale. During the first quarter of 2019, we received $4.0 million in proceeds from the sale of four different land positions. The remaining assets are recorded at the estimated fair value (less costs to sell) of approximately $1.7 million.</w:t>
      </w:r>
    </w:p>
    <w:p>
      <w:pPr>
        <w:spacing w:after="0" w:line="181" w:lineRule="exact"/>
        <w:rPr>
          <w:sz w:val="20"/>
          <w:szCs w:val="20"/>
          <w:color w:val="auto"/>
        </w:rPr>
      </w:pPr>
    </w:p>
    <w:p>
      <w:pPr>
        <w:ind w:right="300" w:firstLine="459"/>
        <w:spacing w:after="0" w:line="264" w:lineRule="auto"/>
        <w:rPr>
          <w:sz w:val="20"/>
          <w:szCs w:val="20"/>
          <w:color w:val="auto"/>
        </w:rPr>
      </w:pPr>
      <w:r>
        <w:rPr>
          <w:rFonts w:ascii="Arial" w:cs="Arial" w:eastAsia="Arial" w:hAnsi="Arial"/>
          <w:sz w:val="18"/>
          <w:szCs w:val="18"/>
          <w:color w:val="auto"/>
        </w:rPr>
        <w:t>In addition, as a result of the Noralta Acquisition, Noralta’s corporate offices located on two adjacent property titles in Nisku, Alberta, Canada were closed. During the fourth quarter of 2018, we sold one property. The remaining property is recorded at the estimated fair value (less costs to sell) of approximately $1.1 million.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carrying amount as of December 31, 2019 and 2018 of the assets classified as held for sale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10,297</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held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10,297</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SUPPLEMENTAL CASH FLOW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paid during the years ended December 31, 2019, 2018 and 2017 for interest and income taxes was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(net of amounts capitalized)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17,362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taxes paid (refunds received)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(7,755)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 AND OTHER INTANGIBLE ASSETS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from December 31, 2018 to December 31, 2019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Canada</w:t>
            </w: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Australia</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U.S.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Noralta Acquisition (1)</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120,893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5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120,893</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(6,686)</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Balance as of December 31, 2018</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114,207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114,207</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Action acquisition (1)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7,923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7,923</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Measurement period adjustments for Noralta Acquisition (2)</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2,676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5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2,676</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5,267</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Goodwill impairment (3)</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(19,900)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5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(19,900)</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2019</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102,238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7,935</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110,173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Please see Note 7 – Acquisitions for further information.</w:t>
      </w:r>
    </w:p>
    <w:p>
      <w:pPr>
        <w:spacing w:after="0" w:line="23" w:lineRule="exact"/>
        <w:rPr>
          <w:rFonts w:ascii="Arial" w:cs="Arial" w:eastAsia="Arial" w:hAnsi="Arial"/>
          <w:sz w:val="18"/>
          <w:szCs w:val="18"/>
          <w:color w:val="auto"/>
        </w:rPr>
      </w:pPr>
    </w:p>
    <w:p>
      <w:pPr>
        <w:ind w:left="340" w:right="180" w:hanging="332"/>
        <w:spacing w:after="0" w:line="250"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measurement period adjustment related to the Noralta Acquisition was a result of the first quarter 2019 finalization of our purchase price allocation and valuation related to intangible assets acquired.</w:t>
      </w: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Please see Note 4 – Impairment Charges for further information.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total amount of other intangible assets and the related accumulated amortization for major intangible asset classes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78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20"/>
                <w:szCs w:val="20"/>
                <w:color w:val="auto"/>
              </w:rPr>
            </w:pPr>
          </w:p>
        </w:tc>
        <w:tc>
          <w:tcPr>
            <w:tcW w:w="280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5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30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Amortizable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41,693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(38,104)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41,809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(34,754)</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name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Contracts / agreements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155,063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(48,765)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147,090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(36,930)</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Favorable lease contract</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97"/>
        </w:trPr>
        <w:tc>
          <w:tcPr>
            <w:tcW w:w="51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amortizable intangible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200,206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(88,398)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192,650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(73,270)</w:t>
            </w:r>
          </w:p>
        </w:tc>
      </w:tr>
      <w:tr>
        <w:trPr>
          <w:trHeight w:val="163"/>
        </w:trPr>
        <w:tc>
          <w:tcPr>
            <w:tcW w:w="5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w w:val="96"/>
              </w:rPr>
              <w:t>Indefinite-Lived Intangible Assets Not Subject to Amortization</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Licenses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indefinite-lived intangible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200,235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192,679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(73,270)</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59"/>
        <w:spacing w:after="0" w:line="264" w:lineRule="auto"/>
        <w:rPr>
          <w:sz w:val="20"/>
          <w:szCs w:val="20"/>
          <w:color w:val="auto"/>
        </w:rPr>
      </w:pPr>
      <w:r>
        <w:rPr>
          <w:rFonts w:ascii="Arial" w:cs="Arial" w:eastAsia="Arial" w:hAnsi="Arial"/>
          <w:sz w:val="18"/>
          <w:szCs w:val="18"/>
          <w:color w:val="auto"/>
        </w:rPr>
        <w:t>The weighted average remaining amortization period for all intangible assets, other than indefinite-lived intangibles, was 16.8 years as of December 31, 2019 and 16.6 years as of December 31, 2018. Amortization expense was $14.8 million, $17.6 million and $7.3 million in the years ended December 31, 2019, 2018 and 2017,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2019, the estimated remaining amortization of our amortizable intangible assets was as follows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jc w:val="right"/>
              <w:ind w:right="519"/>
              <w:spacing w:after="0"/>
              <w:rPr>
                <w:sz w:val="20"/>
                <w:szCs w:val="20"/>
                <w:color w:val="auto"/>
              </w:rPr>
            </w:pPr>
            <w:r>
              <w:rPr>
                <w:rFonts w:ascii="Arial" w:cs="Arial" w:eastAsia="Arial" w:hAnsi="Arial"/>
                <w:sz w:val="16"/>
                <w:szCs w:val="16"/>
                <w:b w:val="1"/>
                <w:bCs w:val="1"/>
                <w:color w:val="auto"/>
              </w:rPr>
              <w:t>Year Ending</w:t>
            </w:r>
          </w:p>
        </w:tc>
      </w:tr>
      <w:tr>
        <w:trPr>
          <w:trHeight w:val="210"/>
        </w:trPr>
        <w:tc>
          <w:tcPr>
            <w:tcW w:w="9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jc w:val="right"/>
              <w:ind w:right="479"/>
              <w:spacing w:after="0"/>
              <w:rPr>
                <w:sz w:val="20"/>
                <w:szCs w:val="20"/>
                <w:color w:val="auto"/>
              </w:rPr>
            </w:pPr>
            <w:r>
              <w:rPr>
                <w:rFonts w:ascii="Arial" w:cs="Arial" w:eastAsia="Arial" w:hAnsi="Arial"/>
                <w:sz w:val="16"/>
                <w:szCs w:val="16"/>
                <w:b w:val="1"/>
                <w:bCs w:val="1"/>
                <w:color w:val="auto"/>
              </w:rPr>
              <w:t>December 31,</w:t>
            </w:r>
          </w:p>
        </w:tc>
      </w:tr>
      <w:tr>
        <w:trPr>
          <w:trHeight w:val="33"/>
        </w:trPr>
        <w:tc>
          <w:tcPr>
            <w:tcW w:w="9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12,671</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2021</w:t>
            </w:r>
          </w:p>
        </w:tc>
        <w:tc>
          <w:tcPr>
            <w:tcW w:w="340" w:type="dxa"/>
            <w:vAlign w:val="bottom"/>
          </w:tcPr>
          <w:p>
            <w:pPr>
              <w:spacing w:after="0"/>
              <w:rPr>
                <w:sz w:val="19"/>
                <w:szCs w:val="19"/>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6,098</w:t>
            </w:r>
          </w:p>
        </w:tc>
      </w:tr>
      <w:tr>
        <w:trPr>
          <w:trHeight w:val="33"/>
        </w:trPr>
        <w:tc>
          <w:tcPr>
            <w:tcW w:w="9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3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6,098</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2023</w:t>
            </w:r>
          </w:p>
        </w:tc>
        <w:tc>
          <w:tcPr>
            <w:tcW w:w="340" w:type="dxa"/>
            <w:vAlign w:val="bottom"/>
          </w:tcPr>
          <w:p>
            <w:pPr>
              <w:spacing w:after="0"/>
              <w:rPr>
                <w:sz w:val="19"/>
                <w:szCs w:val="19"/>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5,943</w:t>
            </w:r>
          </w:p>
        </w:tc>
      </w:tr>
      <w:tr>
        <w:trPr>
          <w:trHeight w:val="33"/>
        </w:trPr>
        <w:tc>
          <w:tcPr>
            <w:tcW w:w="9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3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5,943</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40" w:type="dxa"/>
            <w:vAlign w:val="bottom"/>
          </w:tcPr>
          <w:p>
            <w:pPr>
              <w:spacing w:after="0"/>
              <w:rPr>
                <w:sz w:val="19"/>
                <w:szCs w:val="19"/>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75,055</w:t>
            </w:r>
          </w:p>
        </w:tc>
      </w:tr>
      <w:tr>
        <w:trPr>
          <w:trHeight w:val="33"/>
        </w:trPr>
        <w:tc>
          <w:tcPr>
            <w:tcW w:w="9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111,808</w:t>
            </w:r>
          </w:p>
        </w:tc>
      </w:tr>
      <w:tr>
        <w:trPr>
          <w:trHeight w:val="20"/>
        </w:trPr>
        <w:tc>
          <w:tcPr>
            <w:tcW w:w="9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12. DEBT</w:t>
            </w:r>
          </w:p>
        </w:tc>
        <w:tc>
          <w:tcPr>
            <w:tcW w:w="7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ind w:left="460"/>
              <w:spacing w:after="0"/>
              <w:rPr>
                <w:sz w:val="20"/>
                <w:szCs w:val="20"/>
                <w:color w:val="auto"/>
              </w:rPr>
            </w:pPr>
            <w:r>
              <w:rPr>
                <w:rFonts w:ascii="Arial" w:cs="Arial" w:eastAsia="Arial" w:hAnsi="Arial"/>
                <w:sz w:val="18"/>
                <w:szCs w:val="18"/>
                <w:color w:val="auto"/>
              </w:rPr>
              <w:t>As of December 31, 2019 and 2018, long-term debt consisted of the following (in thousands):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Canadian term loan, which matures on November 30, 2021 (except for non-extending lenders - see below);</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rPr>
              <w:t>3.125% of aggregate principal repayable per quarter; weighted average interest rate of 5.8% for the twelve-month</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period ended December 31, 2019</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247,910</w:t>
            </w:r>
          </w:p>
        </w:tc>
        <w:tc>
          <w:tcPr>
            <w:tcW w:w="0" w:type="dxa"/>
            <w:vAlign w:val="bottom"/>
          </w:tcPr>
          <w:p>
            <w:pPr>
              <w:spacing w:after="0"/>
              <w:rPr>
                <w:sz w:val="1"/>
                <w:szCs w:val="1"/>
                <w:color w:val="auto"/>
              </w:rPr>
            </w:pPr>
          </w:p>
        </w:tc>
      </w:tr>
      <w:tr>
        <w:trPr>
          <w:trHeight w:val="229"/>
        </w:trPr>
        <w:tc>
          <w:tcPr>
            <w:tcW w:w="8340" w:type="dxa"/>
            <w:vAlign w:val="bottom"/>
            <w:gridSpan w:val="2"/>
          </w:tcPr>
          <w:p>
            <w:pPr>
              <w:ind w:left="40"/>
              <w:spacing w:after="0"/>
              <w:rPr>
                <w:sz w:val="20"/>
                <w:szCs w:val="20"/>
                <w:color w:val="auto"/>
              </w:rPr>
            </w:pPr>
            <w:r>
              <w:rPr>
                <w:rFonts w:ascii="Arial" w:cs="Arial" w:eastAsia="Arial" w:hAnsi="Arial"/>
                <w:sz w:val="18"/>
                <w:szCs w:val="18"/>
                <w:color w:val="auto"/>
                <w:w w:val="97"/>
              </w:rPr>
              <w:t>U.S. revolving credit facility, which matures on November 30, 2021 (except for non-extending lenders - see</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below), weighted average interest rate of 7.6% for the twelve-month period ended December 31, 2019</w:t>
            </w:r>
          </w:p>
        </w:tc>
        <w:tc>
          <w:tcPr>
            <w:tcW w:w="180" w:type="dxa"/>
            <w:vAlign w:val="bottom"/>
          </w:tcPr>
          <w:p>
            <w:pPr>
              <w:spacing w:after="0"/>
              <w:rPr>
                <w:sz w:val="20"/>
                <w:szCs w:val="20"/>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Canadian revolving credit facility, which matures on November 30, 2021 (except for non-extending lenders - see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below), weighted average interest rate of 6.7% for the twelve-month period ended December 31, 2019</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114,348</w:t>
            </w:r>
          </w:p>
        </w:tc>
        <w:tc>
          <w:tcPr>
            <w:tcW w:w="0" w:type="dxa"/>
            <w:vAlign w:val="bottom"/>
          </w:tcPr>
          <w:p>
            <w:pPr>
              <w:spacing w:after="0"/>
              <w:rPr>
                <w:sz w:val="1"/>
                <w:szCs w:val="1"/>
                <w:color w:val="auto"/>
              </w:rPr>
            </w:pPr>
          </w:p>
        </w:tc>
      </w:tr>
      <w:tr>
        <w:trPr>
          <w:trHeight w:val="229"/>
        </w:trPr>
        <w:tc>
          <w:tcPr>
            <w:tcW w:w="8340" w:type="dxa"/>
            <w:vAlign w:val="bottom"/>
            <w:gridSpan w:val="2"/>
          </w:tcPr>
          <w:p>
            <w:pPr>
              <w:ind w:left="40"/>
              <w:spacing w:after="0"/>
              <w:rPr>
                <w:sz w:val="20"/>
                <w:szCs w:val="20"/>
                <w:color w:val="auto"/>
              </w:rPr>
            </w:pPr>
            <w:r>
              <w:rPr>
                <w:rFonts w:ascii="Arial" w:cs="Arial" w:eastAsia="Arial" w:hAnsi="Arial"/>
                <w:sz w:val="18"/>
                <w:szCs w:val="18"/>
                <w:color w:val="auto"/>
                <w:w w:val="92"/>
              </w:rPr>
              <w:t>Australian revolving credit facility, which matures on November 30, 2021 (except for non-extending lenders - see</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below), weighted average interest rate of 5.3% for the twelve-month period ended December 31, 2019</w:t>
            </w:r>
          </w:p>
        </w:tc>
        <w:tc>
          <w:tcPr>
            <w:tcW w:w="180" w:type="dxa"/>
            <w:vAlign w:val="bottom"/>
          </w:tcPr>
          <w:p>
            <w:pPr>
              <w:spacing w:after="0"/>
              <w:rPr>
                <w:sz w:val="20"/>
                <w:szCs w:val="20"/>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16,918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359,080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379,176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356,872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376,237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Less: Current portion of long-term debt, including unamortized debt issuance costs, net</w:t>
            </w:r>
          </w:p>
        </w:tc>
        <w:tc>
          <w:tcPr>
            <w:tcW w:w="18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35,080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33,329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Long-term debt, less current maturities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342,908</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ind w:left="460"/>
              <w:spacing w:after="0"/>
              <w:rPr>
                <w:sz w:val="20"/>
                <w:szCs w:val="20"/>
                <w:color w:val="auto"/>
              </w:rPr>
            </w:pPr>
            <w:r>
              <w:rPr>
                <w:rFonts w:ascii="Arial" w:cs="Arial" w:eastAsia="Arial" w:hAnsi="Arial"/>
                <w:sz w:val="18"/>
                <w:szCs w:val="18"/>
                <w:color w:val="auto"/>
              </w:rPr>
              <w:t>Scheduled maturities of long-term debt as of December 31, 2019 are as follows (in thousands):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w w:val="91"/>
              </w:rPr>
              <w:t>Year Ending</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35,427</w:t>
            </w: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2021</w:t>
            </w:r>
          </w:p>
        </w:tc>
        <w:tc>
          <w:tcPr>
            <w:tcW w:w="7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323,653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359,080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2018, our credit agreement, as then amended, provided for: (i) a $239.5 million revolving credit facility scheduled to mature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November 30, 2020, allocated as follows: (A) a $20.0 million senior secured revolving credit facility in favor of certain of our U.S. subsidiaries, as borrowers;</w:t>
      </w:r>
    </w:p>
    <w:p>
      <w:pPr>
        <w:spacing w:after="0" w:line="32" w:lineRule="exact"/>
        <w:rPr>
          <w:sz w:val="20"/>
          <w:szCs w:val="20"/>
          <w:color w:val="auto"/>
        </w:rPr>
      </w:pPr>
    </w:p>
    <w:p>
      <w:pPr>
        <w:ind w:right="100" w:firstLine="8"/>
        <w:spacing w:after="0" w:line="255" w:lineRule="auto"/>
        <w:tabs>
          <w:tab w:leader="none" w:pos="2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$159.5 million senior secured revolving credit facility in favor of Civeo and certain of our Canadian subsidiaries, as borrowers; and (C) a $60.0 million senior secured revolving credit facility in favor of one of our Australian subsidiaries, as borrower; and (ii) a $285.4 million term loan facility scheduled to mature on November 30, 2020 in favor of Civeo.</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On September 30, 2019, we amended our credit agreement (as so amended, from time to time, the Credit Agreement), which, among other things: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08"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820" w:right="340" w:hanging="326"/>
        <w:spacing w:after="0" w:line="264" w:lineRule="auto"/>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increased the aggregate revolving loan commitments by $24.0 million under the Credit Agreement, to a maximum principal amount of $183.5 million under the Canadian revolving credit facility until November 30, 2020, which will be reduced thereafter to reflect the termination of the commitments of the non-extending lenders described below;</w:t>
      </w:r>
    </w:p>
    <w:p>
      <w:pPr>
        <w:spacing w:after="0" w:line="181" w:lineRule="exact"/>
        <w:rPr>
          <w:rFonts w:ascii="Arial" w:cs="Arial" w:eastAsia="Arial" w:hAnsi="Arial"/>
          <w:sz w:val="18"/>
          <w:szCs w:val="18"/>
          <w:color w:val="auto"/>
        </w:rPr>
      </w:pPr>
    </w:p>
    <w:p>
      <w:pPr>
        <w:ind w:left="820" w:hanging="326"/>
        <w:spacing w:after="0" w:line="257" w:lineRule="auto"/>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extended the maturity date of the commitments and loans of certain lenders to November 30, 2021. Two lenders did not extend the maturity date of their commitments and loans. At the date of the amendment, one non-extending lender has outstanding Canadian term loans of $6.9 million, a Canadian revolving commitment of $15.7 million and an Australian revolving commitment of $10.4 million that matures on November 30, 2020. The other non-extending lender has a U.S. revolving commitment of $7.4 million and a Canadian revolving commitment of $22.5 million that matures on November 30, 2020; and</w:t>
      </w:r>
    </w:p>
    <w:p>
      <w:pPr>
        <w:spacing w:after="0" w:line="188" w:lineRule="exact"/>
        <w:rPr>
          <w:rFonts w:ascii="Arial" w:cs="Arial" w:eastAsia="Arial" w:hAnsi="Arial"/>
          <w:sz w:val="18"/>
          <w:szCs w:val="18"/>
          <w:color w:val="auto"/>
        </w:rPr>
      </w:pPr>
    </w:p>
    <w:p>
      <w:pPr>
        <w:ind w:left="820" w:hanging="326"/>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225" w:lineRule="exact"/>
        <w:rPr>
          <w:sz w:val="20"/>
          <w:szCs w:val="20"/>
          <w:color w:val="auto"/>
        </w:rPr>
      </w:pPr>
    </w:p>
    <w:p>
      <w:pPr>
        <w:ind w:right="300" w:firstLine="486"/>
        <w:spacing w:after="0" w:line="342" w:lineRule="auto"/>
        <w:rPr>
          <w:sz w:val="20"/>
          <w:szCs w:val="20"/>
          <w:color w:val="auto"/>
        </w:rPr>
      </w:pPr>
      <w:r>
        <w:rPr>
          <w:rFonts w:ascii="Arial" w:cs="Arial" w:eastAsia="Arial" w:hAnsi="Arial"/>
          <w:sz w:val="16"/>
          <w:szCs w:val="16"/>
          <w:color w:val="auto"/>
        </w:rPr>
        <w:t>If a qualified offering of indebtedness with gross proceeds in excess of $150.0 million has been consummated, a maximum leverage ratio of 4.00 to 1.00 and, if such qualified offering has not been consummated, a maximum leverage ratio not to exceed the ratios set forth in the following table:</w:t>
      </w:r>
    </w:p>
    <w:p>
      <w:pPr>
        <w:spacing w:after="0" w:line="70"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Leverage</w:t>
            </w:r>
          </w:p>
        </w:tc>
      </w:tr>
      <w:tr>
        <w:trPr>
          <w:trHeight w:val="176"/>
        </w:trPr>
        <w:tc>
          <w:tcPr>
            <w:tcW w:w="9980" w:type="dxa"/>
            <w:vAlign w:val="bottom"/>
            <w:gridSpan w:val="3"/>
          </w:tcPr>
          <w:p>
            <w:pPr>
              <w:ind w:left="4500"/>
              <w:spacing w:after="0" w:line="176" w:lineRule="exact"/>
              <w:rPr>
                <w:sz w:val="20"/>
                <w:szCs w:val="20"/>
                <w:color w:val="auto"/>
              </w:rPr>
            </w:pPr>
            <w:r>
              <w:rPr>
                <w:rFonts w:ascii="Arial" w:cs="Arial" w:eastAsia="Arial" w:hAnsi="Arial"/>
                <w:sz w:val="16"/>
                <w:szCs w:val="16"/>
                <w:b w:val="1"/>
                <w:bCs w:val="1"/>
                <w:color w:val="auto"/>
              </w:rPr>
              <w:t>Period Ended</w:t>
            </w: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Ratio</w:t>
            </w:r>
          </w:p>
        </w:tc>
      </w:tr>
      <w:tr>
        <w:trPr>
          <w:trHeight w:val="48"/>
        </w:trPr>
        <w:tc>
          <w:tcPr>
            <w:tcW w:w="4500" w:type="dxa"/>
            <w:vAlign w:val="bottom"/>
            <w:tcBorders>
              <w:bottom w:val="single" w:sz="8" w:color="CCEEFF"/>
            </w:tcBorders>
          </w:tcPr>
          <w:p>
            <w:pPr>
              <w:spacing w:after="0"/>
              <w:rPr>
                <w:sz w:val="4"/>
                <w:szCs w:val="4"/>
                <w:color w:val="auto"/>
              </w:rPr>
            </w:pPr>
          </w:p>
        </w:tc>
        <w:tc>
          <w:tcPr>
            <w:tcW w:w="960" w:type="dxa"/>
            <w:vAlign w:val="bottom"/>
            <w:tcBorders>
              <w:top w:val="single" w:sz="8" w:color="auto"/>
              <w:bottom w:val="single" w:sz="8" w:color="CCEEFF"/>
            </w:tcBorders>
          </w:tcPr>
          <w:p>
            <w:pPr>
              <w:spacing w:after="0"/>
              <w:rPr>
                <w:sz w:val="4"/>
                <w:szCs w:val="4"/>
                <w:color w:val="auto"/>
              </w:rPr>
            </w:pPr>
          </w:p>
        </w:tc>
        <w:tc>
          <w:tcPr>
            <w:tcW w:w="45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9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December 31, 2019</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4.00 : 1:00</w:t>
            </w:r>
          </w:p>
        </w:tc>
      </w:tr>
      <w:tr>
        <w:trPr>
          <w:trHeight w:val="243"/>
        </w:trPr>
        <w:tc>
          <w:tcPr>
            <w:tcW w:w="9980" w:type="dxa"/>
            <w:vAlign w:val="bottom"/>
            <w:gridSpan w:val="3"/>
          </w:tcPr>
          <w:p>
            <w:pPr>
              <w:ind w:left="20"/>
              <w:spacing w:after="0"/>
              <w:rPr>
                <w:sz w:val="20"/>
                <w:szCs w:val="20"/>
                <w:color w:val="auto"/>
              </w:rPr>
            </w:pPr>
            <w:r>
              <w:rPr>
                <w:rFonts w:ascii="Arial" w:cs="Arial" w:eastAsia="Arial" w:hAnsi="Arial"/>
                <w:sz w:val="16"/>
                <w:szCs w:val="16"/>
                <w:color w:val="auto"/>
              </w:rPr>
              <w:t>March 31, 2020, June 30, 2020 &amp; September 30, 2020</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3:75 : 1:00</w:t>
            </w:r>
          </w:p>
        </w:tc>
      </w:tr>
      <w:tr>
        <w:trPr>
          <w:trHeight w:val="27"/>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99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December 31, 2020 &amp; thereafter</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 : 1:00</w:t>
            </w:r>
          </w:p>
        </w:tc>
      </w:tr>
      <w:tr>
        <w:trPr>
          <w:trHeight w:val="27"/>
        </w:trPr>
        <w:tc>
          <w:tcPr>
            <w:tcW w:w="45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486"/>
        <w:spacing w:after="0" w:line="302" w:lineRule="auto"/>
        <w:rPr>
          <w:sz w:val="20"/>
          <w:szCs w:val="20"/>
          <w:color w:val="auto"/>
        </w:rPr>
      </w:pPr>
      <w:r>
        <w:rPr>
          <w:rFonts w:ascii="Arial" w:cs="Arial" w:eastAsia="Arial" w:hAnsi="Arial"/>
          <w:sz w:val="16"/>
          <w:szCs w:val="16"/>
          <w:color w:val="auto"/>
        </w:rPr>
        <w:t>As of December 31, 2019, one non-extending lender had outstanding Canadian term loans of $6.8 million and an outstanding Canadian revolver loan of $11.5 million that matures on November 30, 2020. The other non-extending lender had an outstanding Canadian revolver loan of $16.4 million that matures on November 30, 2020. Maturities in 2020 are not classified as current as of December 31, 2019, since we are able and have the intent to extend the stated maturities by borrowing amounts equal to the 2020 maturities under the revolving credit facility, with a maturity date after one year.</w:t>
      </w:r>
    </w:p>
    <w:p>
      <w:pPr>
        <w:spacing w:after="0" w:line="154" w:lineRule="exact"/>
        <w:rPr>
          <w:sz w:val="20"/>
          <w:szCs w:val="20"/>
          <w:color w:val="auto"/>
        </w:rPr>
      </w:pPr>
    </w:p>
    <w:p>
      <w:pPr>
        <w:ind w:right="20" w:firstLine="459"/>
        <w:spacing w:after="0" w:line="270" w:lineRule="auto"/>
        <w:rPr>
          <w:sz w:val="20"/>
          <w:szCs w:val="20"/>
          <w:color w:val="auto"/>
        </w:rPr>
      </w:pPr>
      <w:r>
        <w:rPr>
          <w:rFonts w:ascii="Arial" w:cs="Arial" w:eastAsia="Arial" w:hAnsi="Arial"/>
          <w:sz w:val="17"/>
          <w:szCs w:val="17"/>
          <w:color w:val="auto"/>
        </w:rPr>
        <w:t>U.S. dollar amounts outstanding under the facilities provided by the Credit Agreement bear interest at a variable rate equal to LIBOR plus a margin of 2.25% to 4.00%, or a base rate plus 1.25% to 3.00%, in each case based on a ratio of our total debt to consolidated EBITDA (as defined in the Credit Agreement). Canadian dollar amounts outstanding bear interest at a variable rate equal to a B/A Discount Rate based on the Canadian Dollar Offered Rate plus a margin of 2.25% to 4.00%, or a Canadian Prime rate plus a margin of 1.25% to 3.00%, in each case based on a ratio of our total debt to consolidated EBITDA. Australian dollar amounts outstanding under the Credit Agreement bear interest at a variable rate equal to the Bank Bill Swap Bid Rate plus a margin of 2.25% to 4.00%, based on a ratio of our total debt to consolidated EBITDA. The future transitions from LIBOR and CDOR as interest rate benchmarks is addressed in the Credit Agreement and at such time the transition from LIBOR or CDOR takes place, we will endeavor with the administrative agent to establish an alternate rate of interest to LIBOR or CDOR that gives due consideration to (1) the then prevailing market convention for determining a rate of interest for syndicated loans in the United States at such time for the replacement of LIBOR and (2) any evolving or then existing convention for similar Canadian Dollar denominated syndicated credit facilities for the replacement of CDOR.</w:t>
      </w:r>
    </w:p>
    <w:p>
      <w:pPr>
        <w:spacing w:after="0" w:line="178" w:lineRule="exact"/>
        <w:rPr>
          <w:sz w:val="20"/>
          <w:szCs w:val="20"/>
          <w:color w:val="auto"/>
        </w:rPr>
      </w:pPr>
    </w:p>
    <w:p>
      <w:pPr>
        <w:ind w:right="40" w:firstLine="459"/>
        <w:spacing w:after="0" w:line="270" w:lineRule="auto"/>
        <w:rPr>
          <w:sz w:val="20"/>
          <w:szCs w:val="20"/>
          <w:color w:val="auto"/>
        </w:rPr>
      </w:pPr>
      <w:r>
        <w:rPr>
          <w:rFonts w:ascii="Arial" w:cs="Arial" w:eastAsia="Arial" w:hAnsi="Arial"/>
          <w:sz w:val="17"/>
          <w:szCs w:val="17"/>
          <w:color w:val="auto"/>
        </w:rPr>
        <w:t>The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4.0 to 1.0 (as of December 31, 2019). As noted above, the permitted maximum leverage ratio changes over time. Following a qualified offering of indebtedness with gross proceeds in excess of $150 million, we will be required to maintain a maximum senior secured ratio less than 2.50 to 1.0. Each of the factors considered in the calculations of these ratios are defined in the Credit Agreement. EBITDA and consolidated interest, as defined, exclude goodwill and asset impairments, debt discount amortization, amortization of intangibles and other non-cash charges. We were in compliance with our covenants as of December 31, 2019.</w:t>
      </w:r>
    </w:p>
    <w:p>
      <w:pPr>
        <w:spacing w:after="0" w:line="18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Borrowings under the Credit Agreement are secured by a pledge of substantially all of our assets and the assets of our subsidiaries. The obligations under the Credit Agreement are guaranteed by our significant subsidiaries. As of December 31, 2019, we had ten lenders that were parties to the Credit Agreement, with total commitments (including both revolving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commitments and term commitments) ranging from $24.9 million to $85.4 million. As of December 31, 2019, we had outstanding letters of credit of $0.3 million under the U.S facility, $0.5 million under the Australian facility and $1.2 million under the Canadian facility.</w:t>
      </w:r>
    </w:p>
    <w:p>
      <w:pPr>
        <w:spacing w:after="0" w:line="170" w:lineRule="exact"/>
        <w:rPr>
          <w:sz w:val="20"/>
          <w:szCs w:val="20"/>
          <w:color w:val="auto"/>
        </w:rPr>
      </w:pPr>
    </w:p>
    <w:p>
      <w:pPr>
        <w:ind w:right="80" w:firstLine="459"/>
        <w:spacing w:after="0" w:line="277" w:lineRule="auto"/>
        <w:rPr>
          <w:sz w:val="20"/>
          <w:szCs w:val="20"/>
          <w:color w:val="auto"/>
        </w:rPr>
      </w:pPr>
      <w:r>
        <w:rPr>
          <w:rFonts w:ascii="Arial" w:cs="Arial" w:eastAsia="Arial" w:hAnsi="Arial"/>
          <w:sz w:val="18"/>
          <w:szCs w:val="18"/>
          <w:color w:val="auto"/>
        </w:rPr>
        <w:t>In addition to the Credit Agreement, we have an A$2.0 million bank guarantee facility, which matures March 31, 2020. There were bank guarantees of A$0.7 million under this facility outstanding as of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229" w:lineRule="exact"/>
        <w:rPr>
          <w:sz w:val="20"/>
          <w:szCs w:val="20"/>
          <w:color w:val="auto"/>
        </w:rPr>
      </w:pPr>
    </w:p>
    <w:p>
      <w:pPr>
        <w:ind w:firstLine="459"/>
        <w:spacing w:after="0" w:line="264" w:lineRule="auto"/>
        <w:rPr>
          <w:sz w:val="20"/>
          <w:szCs w:val="20"/>
          <w:color w:val="auto"/>
        </w:rPr>
      </w:pPr>
      <w:r>
        <w:rPr>
          <w:rFonts w:ascii="Arial" w:cs="Arial" w:eastAsia="Arial" w:hAnsi="Arial"/>
          <w:sz w:val="18"/>
          <w:szCs w:val="18"/>
          <w:color w:val="auto"/>
        </w:rPr>
        <w:t xml:space="preserve">We have operating leases covering certain land locations and various office facilities and equipment in our three reporting business segments. Our leases have remaining lease terms of one year to </w:t>
      </w:r>
      <w:r>
        <w:rPr>
          <w:rFonts w:ascii="Arial" w:cs="Arial" w:eastAsia="Arial" w:hAnsi="Arial"/>
          <w:sz w:val="18"/>
          <w:szCs w:val="18"/>
          <w:u w:val="single" w:color="auto"/>
          <w:color w:val="0000FF"/>
        </w:rPr>
        <w:t>eight years</w:t>
      </w:r>
      <w:r>
        <w:rPr>
          <w:rFonts w:ascii="Arial" w:cs="Arial" w:eastAsia="Arial" w:hAnsi="Arial"/>
          <w:sz w:val="18"/>
          <w:szCs w:val="18"/>
          <w:color w:val="auto"/>
        </w:rPr>
        <w:t>, some of which include options to extend the leases for up to 10 years, and some of which include options to terminate the leases within 90 days.</w:t>
      </w:r>
    </w:p>
    <w:p>
      <w:pPr>
        <w:spacing w:after="0" w:line="181" w:lineRule="exact"/>
        <w:rPr>
          <w:sz w:val="20"/>
          <w:szCs w:val="20"/>
          <w:color w:val="auto"/>
        </w:rPr>
      </w:pPr>
    </w:p>
    <w:p>
      <w:pPr>
        <w:ind w:right="20" w:firstLine="459"/>
        <w:spacing w:after="0" w:line="259" w:lineRule="auto"/>
        <w:rPr>
          <w:sz w:val="20"/>
          <w:szCs w:val="20"/>
          <w:color w:val="auto"/>
        </w:rPr>
      </w:pPr>
      <w:r>
        <w:rPr>
          <w:rFonts w:ascii="Arial" w:cs="Arial" w:eastAsia="Arial" w:hAnsi="Arial"/>
          <w:sz w:val="18"/>
          <w:szCs w:val="18"/>
          <w:color w:val="auto"/>
        </w:rPr>
        <w:t>The components of lease expense were $6.8 million, $6.8 million and $5.6 million under operating leases for the years ended December 31, 2019, 2018 and 2017, respectively. Included in the measurement of lease liabilities, we paid $6.6 million in cash related to operating leases during the year ended December 31, 2019. Right-of-use assets obtained in exchange for new lease obligations related to operating leases during the year ended December 31, 2019 were $5.3 million.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balance sheet information related to leases were as follows (in thousands):</w:t>
      </w:r>
    </w:p>
    <w:p>
      <w:pPr>
        <w:spacing w:after="0" w:line="383"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ind w:right="173"/>
              <w:spacing w:after="0"/>
              <w:rPr>
                <w:sz w:val="20"/>
                <w:szCs w:val="20"/>
                <w:color w:val="auto"/>
              </w:rPr>
            </w:pPr>
            <w:r>
              <w:rPr>
                <w:rFonts w:ascii="Arial" w:cs="Arial" w:eastAsia="Arial" w:hAnsi="Arial"/>
                <w:sz w:val="18"/>
                <w:szCs w:val="18"/>
                <w:b w:val="1"/>
                <w:bCs w:val="1"/>
                <w:color w:val="auto"/>
                <w:w w:val="91"/>
              </w:rPr>
              <w:t>December 31, 2019</w:t>
            </w:r>
          </w:p>
        </w:tc>
      </w:tr>
      <w:tr>
        <w:trPr>
          <w:trHeight w:val="27"/>
        </w:trPr>
        <w:tc>
          <w:tcPr>
            <w:tcW w:w="960" w:type="dxa"/>
            <w:vAlign w:val="bottom"/>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96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24"/>
        </w:trPr>
        <w:tc>
          <w:tcPr>
            <w:tcW w:w="96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73"/>
              <w:spacing w:after="0"/>
              <w:rPr>
                <w:sz w:val="20"/>
                <w:szCs w:val="20"/>
                <w:color w:val="auto"/>
              </w:rPr>
            </w:pPr>
            <w:r>
              <w:rPr>
                <w:rFonts w:ascii="Arial" w:cs="Arial" w:eastAsia="Arial" w:hAnsi="Arial"/>
                <w:sz w:val="16"/>
                <w:szCs w:val="16"/>
                <w:color w:val="auto"/>
              </w:rPr>
              <w:t>24,876</w:t>
            </w:r>
          </w:p>
        </w:tc>
      </w:tr>
      <w:tr>
        <w:trPr>
          <w:trHeight w:val="33"/>
        </w:trPr>
        <w:tc>
          <w:tcPr>
            <w:tcW w:w="9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960" w:type="dxa"/>
            <w:vAlign w:val="bottom"/>
          </w:tcPr>
          <w:p>
            <w:pPr>
              <w:spacing w:after="0"/>
              <w:rPr>
                <w:sz w:val="23"/>
                <w:szCs w:val="23"/>
                <w:color w:val="auto"/>
              </w:rPr>
            </w:pPr>
          </w:p>
        </w:tc>
        <w:tc>
          <w:tcPr>
            <w:tcW w:w="6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24"/>
        </w:trPr>
        <w:tc>
          <w:tcPr>
            <w:tcW w:w="96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73"/>
              <w:spacing w:after="0"/>
              <w:rPr>
                <w:sz w:val="20"/>
                <w:szCs w:val="20"/>
                <w:color w:val="auto"/>
              </w:rPr>
            </w:pPr>
            <w:r>
              <w:rPr>
                <w:rFonts w:ascii="Arial" w:cs="Arial" w:eastAsia="Arial" w:hAnsi="Arial"/>
                <w:sz w:val="16"/>
                <w:szCs w:val="16"/>
                <w:color w:val="auto"/>
              </w:rPr>
              <w:t>5,543</w:t>
            </w:r>
          </w:p>
        </w:tc>
      </w:tr>
      <w:tr>
        <w:trPr>
          <w:trHeight w:val="33"/>
        </w:trPr>
        <w:tc>
          <w:tcPr>
            <w:tcW w:w="9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7"/>
        </w:trPr>
        <w:tc>
          <w:tcPr>
            <w:tcW w:w="960" w:type="dxa"/>
            <w:vAlign w:val="bottom"/>
          </w:tcPr>
          <w:p>
            <w:pPr>
              <w:spacing w:after="0"/>
              <w:rPr>
                <w:sz w:val="22"/>
                <w:szCs w:val="22"/>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6"/>
                <w:szCs w:val="16"/>
                <w:color w:val="auto"/>
              </w:rPr>
              <w:t>21,231</w:t>
            </w:r>
          </w:p>
        </w:tc>
      </w:tr>
      <w:tr>
        <w:trPr>
          <w:trHeight w:val="284"/>
        </w:trPr>
        <w:tc>
          <w:tcPr>
            <w:tcW w:w="960" w:type="dxa"/>
            <w:vAlign w:val="bottom"/>
          </w:tcPr>
          <w:p>
            <w:pPr>
              <w:spacing w:after="0"/>
              <w:rPr>
                <w:sz w:val="24"/>
                <w:szCs w:val="24"/>
                <w:color w:val="auto"/>
              </w:rPr>
            </w:pPr>
          </w:p>
        </w:tc>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operating lease liabilities</w:t>
            </w: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6"/>
                <w:szCs w:val="16"/>
                <w:color w:val="auto"/>
              </w:rPr>
              <w:t>26,774</w:t>
            </w:r>
          </w:p>
        </w:tc>
      </w:tr>
      <w:tr>
        <w:trPr>
          <w:trHeight w:val="257"/>
        </w:trPr>
        <w:tc>
          <w:tcPr>
            <w:tcW w:w="960" w:type="dxa"/>
            <w:vAlign w:val="bottom"/>
          </w:tcPr>
          <w:p>
            <w:pPr>
              <w:spacing w:after="0"/>
              <w:rPr>
                <w:sz w:val="22"/>
                <w:szCs w:val="22"/>
                <w:color w:val="auto"/>
              </w:rPr>
            </w:pPr>
          </w:p>
        </w:tc>
        <w:tc>
          <w:tcPr>
            <w:tcW w:w="6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37"/>
        </w:trPr>
        <w:tc>
          <w:tcPr>
            <w:tcW w:w="96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3"/>
        </w:trPr>
        <w:tc>
          <w:tcPr>
            <w:tcW w:w="9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6.2 years</w:t>
            </w:r>
          </w:p>
        </w:tc>
      </w:tr>
      <w:tr>
        <w:trPr>
          <w:trHeight w:val="237"/>
        </w:trPr>
        <w:tc>
          <w:tcPr>
            <w:tcW w:w="96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3"/>
        </w:trPr>
        <w:tc>
          <w:tcPr>
            <w:tcW w:w="9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960" w:type="dxa"/>
            <w:vAlign w:val="bottom"/>
          </w:tcPr>
          <w:p>
            <w:pPr>
              <w:spacing w:after="0"/>
              <w:rPr>
                <w:sz w:val="20"/>
                <w:szCs w:val="20"/>
                <w:color w:val="auto"/>
              </w:rPr>
            </w:pPr>
          </w:p>
        </w:tc>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432"/>
        </w:trPr>
        <w:tc>
          <w:tcPr>
            <w:tcW w:w="758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at December 31, 2019, were as follows (in thousands):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588"/>
        </w:trPr>
        <w:tc>
          <w:tcPr>
            <w:tcW w:w="960" w:type="dxa"/>
            <w:vAlign w:val="bottom"/>
          </w:tcPr>
          <w:p>
            <w:pPr>
              <w:spacing w:after="0"/>
              <w:rPr>
                <w:sz w:val="24"/>
                <w:szCs w:val="24"/>
                <w:color w:val="auto"/>
              </w:rPr>
            </w:pPr>
          </w:p>
        </w:tc>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For the years ending 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3"/>
        </w:trPr>
        <w:tc>
          <w:tcPr>
            <w:tcW w:w="75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6,979</w:t>
            </w:r>
          </w:p>
        </w:tc>
      </w:tr>
      <w:tr>
        <w:trPr>
          <w:trHeight w:val="243"/>
        </w:trPr>
        <w:tc>
          <w:tcPr>
            <w:tcW w:w="7580" w:type="dxa"/>
            <w:vAlign w:val="bottom"/>
            <w:gridSpan w:val="2"/>
          </w:tcPr>
          <w:p>
            <w:pPr>
              <w:ind w:left="980"/>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5,074</w:t>
            </w:r>
          </w:p>
        </w:tc>
      </w:tr>
      <w:tr>
        <w:trPr>
          <w:trHeight w:val="27"/>
        </w:trPr>
        <w:tc>
          <w:tcPr>
            <w:tcW w:w="75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4,501</w:t>
            </w:r>
          </w:p>
        </w:tc>
      </w:tr>
      <w:tr>
        <w:trPr>
          <w:trHeight w:val="243"/>
        </w:trPr>
        <w:tc>
          <w:tcPr>
            <w:tcW w:w="7580" w:type="dxa"/>
            <w:vAlign w:val="bottom"/>
            <w:gridSpan w:val="2"/>
          </w:tcPr>
          <w:p>
            <w:pPr>
              <w:ind w:left="980"/>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3,882</w:t>
            </w:r>
          </w:p>
        </w:tc>
      </w:tr>
      <w:tr>
        <w:trPr>
          <w:trHeight w:val="27"/>
        </w:trPr>
        <w:tc>
          <w:tcPr>
            <w:tcW w:w="75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3,405</w:t>
            </w:r>
          </w:p>
        </w:tc>
      </w:tr>
      <w:tr>
        <w:trPr>
          <w:trHeight w:val="243"/>
        </w:trPr>
        <w:tc>
          <w:tcPr>
            <w:tcW w:w="96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8,141</w:t>
            </w:r>
          </w:p>
        </w:tc>
      </w:tr>
      <w:tr>
        <w:trPr>
          <w:trHeight w:val="27"/>
        </w:trPr>
        <w:tc>
          <w:tcPr>
            <w:tcW w:w="960" w:type="dxa"/>
            <w:vAlign w:val="bottom"/>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96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lease payments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31,982</w:t>
            </w:r>
          </w:p>
        </w:tc>
      </w:tr>
      <w:tr>
        <w:trPr>
          <w:trHeight w:val="243"/>
        </w:trPr>
        <w:tc>
          <w:tcPr>
            <w:tcW w:w="96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5,208</w:t>
            </w:r>
          </w:p>
        </w:tc>
      </w:tr>
      <w:tr>
        <w:trPr>
          <w:trHeight w:val="27"/>
        </w:trPr>
        <w:tc>
          <w:tcPr>
            <w:tcW w:w="960" w:type="dxa"/>
            <w:vAlign w:val="bottom"/>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960" w:type="dxa"/>
            <w:vAlign w:val="bottom"/>
          </w:tcPr>
          <w:p>
            <w:pPr>
              <w:spacing w:after="0"/>
              <w:rPr>
                <w:sz w:val="22"/>
                <w:szCs w:val="22"/>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26,774</w:t>
            </w:r>
          </w:p>
        </w:tc>
      </w:tr>
      <w:tr>
        <w:trPr>
          <w:trHeight w:val="20"/>
        </w:trPr>
        <w:tc>
          <w:tcPr>
            <w:tcW w:w="96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RETIREMENT PLANS</w:t>
      </w:r>
    </w:p>
    <w:p>
      <w:pPr>
        <w:spacing w:after="0" w:line="229" w:lineRule="exact"/>
        <w:rPr>
          <w:sz w:val="20"/>
          <w:szCs w:val="20"/>
          <w:color w:val="auto"/>
        </w:rPr>
      </w:pPr>
    </w:p>
    <w:p>
      <w:pPr>
        <w:ind w:right="20" w:firstLine="459"/>
        <w:spacing w:after="0" w:line="276" w:lineRule="auto"/>
        <w:rPr>
          <w:sz w:val="20"/>
          <w:szCs w:val="20"/>
          <w:color w:val="auto"/>
        </w:rPr>
      </w:pPr>
      <w:r>
        <w:rPr>
          <w:rFonts w:ascii="Arial" w:cs="Arial" w:eastAsia="Arial" w:hAnsi="Arial"/>
          <w:sz w:val="17"/>
          <w:szCs w:val="17"/>
          <w:color w:val="auto"/>
        </w:rPr>
        <w:t>We sponsor defined contribution plans. Participation in these plans is available to substantially all employees. We recognized expense of $5.3 million, $4.9 million and $4.8 million related to matching contributions under our various defined contribution plans during the years ended December 31, 2019, 2018 and 2017, respectively. A defined contribution plan is a post-employment benefit plan under which an entity pays fixed contributions into a separate entity and will generally have no legal or constructive obligation to pay further amounts. Obligations for contributions to defined contribution plans are recognized as an employee benefit expense in profit or loss in the periods during which services are rendered by employees.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00"/>
          </w:cols>
          <w:pgMar w:left="240" w:top="125" w:right="25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Retirement Savings Plan</w:t>
      </w:r>
    </w:p>
    <w:p>
      <w:pPr>
        <w:spacing w:after="0" w:line="225" w:lineRule="exact"/>
        <w:rPr>
          <w:sz w:val="20"/>
          <w:szCs w:val="20"/>
          <w:color w:val="auto"/>
        </w:rPr>
      </w:pPr>
    </w:p>
    <w:p>
      <w:pPr>
        <w:ind w:right="20" w:firstLine="459"/>
        <w:spacing w:after="0" w:line="271" w:lineRule="auto"/>
        <w:rPr>
          <w:sz w:val="20"/>
          <w:szCs w:val="20"/>
          <w:color w:val="auto"/>
        </w:rPr>
      </w:pPr>
      <w:r>
        <w:rPr>
          <w:rFonts w:ascii="Arial" w:cs="Arial" w:eastAsia="Arial" w:hAnsi="Arial"/>
          <w:sz w:val="17"/>
          <w:szCs w:val="17"/>
          <w:color w:val="auto"/>
        </w:rPr>
        <w:t>We offer a defined contribution retirement plan to our Canadian employees. In Canada, we contribute, on a matched basis, an amount up to 5% of each Canadian based, salaried employee’s earnings (base salary plus annual incentive compensation) to the legislated maximum for a Deferred Profit Sharing Plan (DPSP). The maximum for 2019 was C$13,615. DPSP is a form of defined contribution retirement savings plan governed by Canadian federal tax legislation which provides for the deferral of tax on deposits and investment returns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 Contributions to the “Retirement Savings Plan” for Canadian employees are subject to the annual maximum total registered savings limit of C$26,500 in 2019 as set out in the Canadian Tax Act.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Retirement Savings Plan</w:t>
      </w:r>
    </w:p>
    <w:p>
      <w:pPr>
        <w:spacing w:after="0" w:line="225" w:lineRule="exact"/>
        <w:rPr>
          <w:sz w:val="20"/>
          <w:szCs w:val="20"/>
          <w:color w:val="auto"/>
        </w:rPr>
      </w:pPr>
    </w:p>
    <w:p>
      <w:pPr>
        <w:ind w:firstLine="459"/>
        <w:spacing w:after="0" w:line="264" w:lineRule="auto"/>
        <w:rPr>
          <w:sz w:val="20"/>
          <w:szCs w:val="20"/>
          <w:color w:val="auto"/>
        </w:rPr>
      </w:pPr>
      <w:r>
        <w:rPr>
          <w:rFonts w:ascii="Arial" w:cs="Arial" w:eastAsia="Arial" w:hAnsi="Arial"/>
          <w:sz w:val="18"/>
          <w:szCs w:val="18"/>
          <w:color w:val="auto"/>
        </w:rPr>
        <w:t>Our Australian subsidiary contributes to various defined contribution plans for its employees in accordance with legislation governing the calculation of the Superannuation Guarantee Surcharge (SGC). SGC is contributed by the employer at a rate of 9.5% of the base salary of an employee, capped at the legislated maximum contribution base which is indexed annually.</w:t>
      </w:r>
    </w:p>
    <w:p>
      <w:pPr>
        <w:spacing w:after="0" w:line="181"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Our Australian subsidiary makes no investment decisions on behalf of the employee and has no obligations other than to remit the defined contributions to the plan selected by each individual employee.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Retirement Savings Plan</w:t>
      </w:r>
    </w:p>
    <w:p>
      <w:pPr>
        <w:spacing w:after="0" w:line="225" w:lineRule="exact"/>
        <w:rPr>
          <w:sz w:val="20"/>
          <w:szCs w:val="20"/>
          <w:color w:val="auto"/>
        </w:rPr>
      </w:pPr>
    </w:p>
    <w:p>
      <w:pPr>
        <w:ind w:right="120" w:firstLine="459"/>
        <w:spacing w:after="0" w:line="257" w:lineRule="auto"/>
        <w:rPr>
          <w:sz w:val="20"/>
          <w:szCs w:val="20"/>
          <w:color w:val="auto"/>
        </w:rPr>
      </w:pPr>
      <w:r>
        <w:rPr>
          <w:rFonts w:ascii="Arial" w:cs="Arial" w:eastAsia="Arial" w:hAnsi="Arial"/>
          <w:sz w:val="18"/>
          <w:szCs w:val="18"/>
          <w:color w:val="auto"/>
        </w:rPr>
        <w:t>We offer a defined contribution 401(k) retirement plan to substantially all of our U.S. employees. Participants may contribute from 1% to 75% of their base and cash incentive compensation (subject to Internal Revenue Service limitations), and we make matching contributions under this plan on the first 6% of the participant’s compensation (100% match of the first 4% employee contribution and 50% match on the next 2% contribution). Our matching contributions vest at a rate of 40% after two years of service and 20% per year for each of the employee’s next three years of service and are fully vested thereafter.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15. ASSET RETIREMENT OBLIGATIONS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8340" w:type="dxa"/>
            <w:vAlign w:val="bottom"/>
            <w:gridSpan w:val="2"/>
          </w:tcPr>
          <w:p>
            <w:pPr>
              <w:ind w:left="460"/>
              <w:spacing w:after="0"/>
              <w:rPr>
                <w:sz w:val="20"/>
                <w:szCs w:val="20"/>
                <w:color w:val="auto"/>
              </w:rPr>
            </w:pPr>
            <w:r>
              <w:rPr>
                <w:rFonts w:ascii="Arial" w:cs="Arial" w:eastAsia="Arial" w:hAnsi="Arial"/>
                <w:sz w:val="18"/>
                <w:szCs w:val="18"/>
                <w:color w:val="auto"/>
              </w:rPr>
              <w:t>AROs at December 31, 2019 and 2018 were (in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12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126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18,381</w:t>
            </w: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Less: Asset retirement obligations due within one year*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4,443</w:t>
            </w:r>
          </w:p>
        </w:tc>
      </w:tr>
      <w:tr>
        <w:trPr>
          <w:trHeight w:val="27"/>
        </w:trPr>
        <w:tc>
          <w:tcPr>
            <w:tcW w:w="126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asset retirement obligations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13,938</w:t>
            </w:r>
          </w:p>
        </w:tc>
      </w:tr>
      <w:tr>
        <w:trPr>
          <w:trHeight w:val="20"/>
        </w:trPr>
        <w:tc>
          <w:tcPr>
            <w:tcW w:w="12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1260" w:type="dxa"/>
            <w:vAlign w:val="bottom"/>
            <w:tcBorders>
              <w:bottom w:val="single" w:sz="8" w:color="auto"/>
            </w:tcBorders>
          </w:tcPr>
          <w:p>
            <w:pPr>
              <w:spacing w:after="0"/>
              <w:rPr>
                <w:sz w:val="14"/>
                <w:szCs w:val="14"/>
                <w:color w:val="auto"/>
              </w:rPr>
            </w:pPr>
          </w:p>
        </w:tc>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175" w:lineRule="exact"/>
        <w:rPr>
          <w:sz w:val="20"/>
          <w:szCs w:val="20"/>
          <w:color w:val="auto"/>
        </w:rPr>
      </w:pPr>
    </w:p>
    <w:p>
      <w:pPr>
        <w:ind w:left="380" w:right="80" w:hanging="345"/>
        <w:spacing w:after="0" w:line="277"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Classified as a current liability on the consolidated balance sheets, under the caption “Other current liabilities.” Related to remediation work planned for 2020.</w:t>
      </w:r>
    </w:p>
    <w:p>
      <w:pPr>
        <w:spacing w:after="0" w:line="197" w:lineRule="exact"/>
        <w:rPr>
          <w:sz w:val="20"/>
          <w:szCs w:val="20"/>
          <w:color w:val="auto"/>
        </w:rPr>
      </w:pPr>
    </w:p>
    <w:p>
      <w:pPr>
        <w:ind w:right="240" w:firstLine="459"/>
        <w:spacing w:after="0" w:line="277" w:lineRule="auto"/>
        <w:rPr>
          <w:sz w:val="20"/>
          <w:szCs w:val="20"/>
          <w:color w:val="auto"/>
        </w:rPr>
      </w:pPr>
      <w:r>
        <w:rPr>
          <w:rFonts w:ascii="Arial" w:cs="Arial" w:eastAsia="Arial" w:hAnsi="Arial"/>
          <w:sz w:val="18"/>
          <w:szCs w:val="18"/>
          <w:color w:val="auto"/>
        </w:rPr>
        <w:t>Total accretion expense related to AROs was $1.5 million, $1.7 million and $1.4 million during the years ended December 31, 2019, 2018 and 2017,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3"/>
        </w:trPr>
        <w:tc>
          <w:tcPr>
            <w:tcW w:w="8360" w:type="dxa"/>
            <w:vAlign w:val="bottom"/>
            <w:gridSpan w:val="5"/>
          </w:tcPr>
          <w:p>
            <w:pPr>
              <w:ind w:left="460"/>
              <w:spacing w:after="0"/>
              <w:rPr>
                <w:sz w:val="20"/>
                <w:szCs w:val="20"/>
                <w:color w:val="auto"/>
              </w:rPr>
            </w:pPr>
            <w:r>
              <w:rPr>
                <w:rFonts w:ascii="Arial" w:cs="Arial" w:eastAsia="Arial" w:hAnsi="Arial"/>
                <w:sz w:val="18"/>
                <w:szCs w:val="18"/>
                <w:color w:val="auto"/>
                <w:w w:val="93"/>
              </w:rPr>
              <w:t>During the years ended December 31, 2019, 2018 and 2017, our ARO changed as follows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17,584</w:t>
            </w: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Accretion of discount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1,353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New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Change in estimates of existing obligations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Settlement of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Foreign currency translation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879</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17,185</w:t>
            </w:r>
          </w:p>
        </w:tc>
      </w:tr>
      <w:tr>
        <w:trPr>
          <w:trHeight w:val="20"/>
        </w:trPr>
        <w:tc>
          <w:tcPr>
            <w:tcW w:w="1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ind w:right="180" w:firstLine="459"/>
        <w:spacing w:after="0" w:line="277" w:lineRule="auto"/>
        <w:rPr>
          <w:sz w:val="20"/>
          <w:szCs w:val="20"/>
          <w:color w:val="auto"/>
        </w:rPr>
      </w:pPr>
      <w:r>
        <w:rPr>
          <w:rFonts w:ascii="Arial" w:cs="Arial" w:eastAsia="Arial" w:hAnsi="Arial"/>
          <w:sz w:val="18"/>
          <w:szCs w:val="18"/>
          <w:color w:val="auto"/>
        </w:rPr>
        <w:t>The Company’s operations are conducted through various subsidiaries in a number of countries throughout the world. The Company has provided for income taxes based upon the tax laws and rates in the countries in which operations are conducted and income is earned.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Pre-tax loss for the years ended December 31, 2019, 2018 and 2017 consisted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(87,143)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operations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(31,601)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(118,744)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components of the income tax expense (benefit) for the years ended December 31, 2019, 2018 and 2017 consisted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jc w:val="right"/>
              <w:ind w:right="2790"/>
              <w:spacing w:after="0"/>
              <w:rPr>
                <w:sz w:val="20"/>
                <w:szCs w:val="20"/>
                <w:color w:val="auto"/>
              </w:rPr>
            </w:pPr>
            <w:r>
              <w:rPr>
                <w:rFonts w:ascii="Arial" w:cs="Arial" w:eastAsia="Arial" w:hAnsi="Arial"/>
                <w:sz w:val="18"/>
                <w:szCs w:val="18"/>
                <w:color w:val="auto"/>
              </w:rPr>
              <w:t>Canada</w:t>
            </w:r>
          </w:p>
        </w:tc>
        <w:tc>
          <w:tcPr>
            <w:tcW w:w="3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(5,986)</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jc w:val="right"/>
              <w:ind w:right="2790"/>
              <w:spacing w:after="0"/>
              <w:rPr>
                <w:sz w:val="20"/>
                <w:szCs w:val="20"/>
                <w:color w:val="auto"/>
              </w:rPr>
            </w:pPr>
            <w:r>
              <w:rPr>
                <w:rFonts w:ascii="Arial" w:cs="Arial" w:eastAsia="Arial" w:hAnsi="Arial"/>
                <w:sz w:val="18"/>
                <w:szCs w:val="18"/>
                <w:color w:val="auto"/>
              </w:rPr>
              <w:t>Foreign</w:t>
            </w:r>
          </w:p>
        </w:tc>
        <w:tc>
          <w:tcPr>
            <w:tcW w:w="3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97"/>
        </w:trPr>
        <w:tc>
          <w:tcPr>
            <w:tcW w:w="3620" w:type="dxa"/>
            <w:vAlign w:val="bottom"/>
            <w:tcBorders>
              <w:bottom w:val="single" w:sz="8" w:color="CCEEFF"/>
            </w:tcBorders>
          </w:tcPr>
          <w:p>
            <w:pPr>
              <w:jc w:val="right"/>
              <w:ind w:right="2770"/>
              <w:spacing w:after="0"/>
              <w:rPr>
                <w:sz w:val="20"/>
                <w:szCs w:val="20"/>
                <w:color w:val="auto"/>
              </w:rPr>
            </w:pPr>
            <w:r>
              <w:rPr>
                <w:rFonts w:ascii="Arial" w:cs="Arial" w:eastAsia="Arial" w:hAnsi="Arial"/>
                <w:sz w:val="18"/>
                <w:szCs w:val="18"/>
                <w:color w:val="auto"/>
              </w:rPr>
              <w:t>Total</w:t>
            </w:r>
          </w:p>
        </w:tc>
        <w:tc>
          <w:tcPr>
            <w:tcW w:w="3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163"/>
        </w:trPr>
        <w:tc>
          <w:tcPr>
            <w:tcW w:w="362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620" w:type="dxa"/>
            <w:vAlign w:val="bottom"/>
          </w:tcPr>
          <w:p>
            <w:pPr>
              <w:jc w:val="right"/>
              <w:ind w:right="2810"/>
              <w:spacing w:after="0"/>
              <w:rPr>
                <w:sz w:val="20"/>
                <w:szCs w:val="20"/>
                <w:color w:val="auto"/>
              </w:rPr>
            </w:pPr>
            <w:r>
              <w:rPr>
                <w:rFonts w:ascii="Arial" w:cs="Arial" w:eastAsia="Arial" w:hAnsi="Arial"/>
                <w:sz w:val="18"/>
                <w:szCs w:val="18"/>
                <w:color w:val="auto"/>
                <w:w w:val="93"/>
              </w:rPr>
              <w:t>Deferred:</w:t>
            </w:r>
          </w:p>
        </w:tc>
        <w:tc>
          <w:tcPr>
            <w:tcW w:w="3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jc w:val="right"/>
              <w:ind w:right="2790"/>
              <w:spacing w:after="0"/>
              <w:rPr>
                <w:sz w:val="20"/>
                <w:szCs w:val="20"/>
                <w:color w:val="auto"/>
              </w:rPr>
            </w:pPr>
            <w:r>
              <w:rPr>
                <w:rFonts w:ascii="Arial" w:cs="Arial" w:eastAsia="Arial" w:hAnsi="Arial"/>
                <w:sz w:val="18"/>
                <w:szCs w:val="18"/>
                <w:color w:val="auto"/>
              </w:rPr>
              <w:t>Canada</w:t>
            </w:r>
          </w:p>
        </w:tc>
        <w:tc>
          <w:tcPr>
            <w:tcW w:w="3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43"/>
        </w:trPr>
        <w:tc>
          <w:tcPr>
            <w:tcW w:w="3620" w:type="dxa"/>
            <w:vAlign w:val="bottom"/>
          </w:tcPr>
          <w:p>
            <w:pPr>
              <w:jc w:val="right"/>
              <w:ind w:right="2790"/>
              <w:spacing w:after="0"/>
              <w:rPr>
                <w:sz w:val="20"/>
                <w:szCs w:val="20"/>
                <w:color w:val="auto"/>
              </w:rPr>
            </w:pPr>
            <w:r>
              <w:rPr>
                <w:rFonts w:ascii="Arial" w:cs="Arial" w:eastAsia="Arial" w:hAnsi="Arial"/>
                <w:sz w:val="18"/>
                <w:szCs w:val="18"/>
                <w:color w:val="auto"/>
              </w:rPr>
              <w:t>Foreign</w:t>
            </w:r>
          </w:p>
        </w:tc>
        <w:tc>
          <w:tcPr>
            <w:tcW w:w="3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jc w:val="right"/>
              <w:ind w:right="2770"/>
              <w:spacing w:after="0"/>
              <w:rPr>
                <w:sz w:val="20"/>
                <w:szCs w:val="20"/>
                <w:color w:val="auto"/>
              </w:rPr>
            </w:pPr>
            <w:r>
              <w:rPr>
                <w:rFonts w:ascii="Arial" w:cs="Arial" w:eastAsia="Arial" w:hAnsi="Arial"/>
                <w:sz w:val="18"/>
                <w:szCs w:val="18"/>
                <w:color w:val="auto"/>
              </w:rPr>
              <w:t>Total</w:t>
            </w:r>
          </w:p>
        </w:tc>
        <w:tc>
          <w:tcPr>
            <w:tcW w:w="3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tax benefit</w:t>
            </w:r>
          </w:p>
        </w:tc>
        <w:tc>
          <w:tcPr>
            <w:tcW w:w="3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Arial" w:cs="Arial" w:eastAsia="Arial" w:hAnsi="Arial"/>
                <w:sz w:val="18"/>
                <w:szCs w:val="18"/>
                <w:color w:val="auto"/>
              </w:rPr>
              <w:t>105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6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459"/>
        <w:spacing w:after="0" w:line="277" w:lineRule="auto"/>
        <w:rPr>
          <w:sz w:val="20"/>
          <w:szCs w:val="20"/>
          <w:color w:val="auto"/>
        </w:rPr>
      </w:pPr>
      <w:r>
        <w:rPr>
          <w:rFonts w:ascii="Arial" w:cs="Arial" w:eastAsia="Arial" w:hAnsi="Arial"/>
          <w:sz w:val="18"/>
          <w:szCs w:val="18"/>
          <w:color w:val="auto"/>
        </w:rPr>
        <w:t>The net income tax benefit differs from an amount computed at Canadian statutory rates as follows for the years ended December 31, 2019, 2018 and 2017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2019</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2018</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2017</w:t>
            </w:r>
          </w:p>
        </w:tc>
        <w:tc>
          <w:tcPr>
            <w:tcW w:w="880" w:type="dxa"/>
            <w:vAlign w:val="bottom"/>
          </w:tcPr>
          <w:p>
            <w:pPr>
              <w:spacing w:after="0"/>
              <w:rPr>
                <w:sz w:val="20"/>
                <w:szCs w:val="20"/>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Canadian federal tax benefit at statutory</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Canadian provincial income tax</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income tax, net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Valuation allowance – Other</w:t>
            </w: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19,131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Enacted tax rate change - Canada</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U.S tax reform rate change</w:t>
            </w:r>
          </w:p>
        </w:tc>
        <w:tc>
          <w:tcPr>
            <w:tcW w:w="340" w:type="dxa"/>
            <w:vAlign w:val="bottom"/>
          </w:tcPr>
          <w:p>
            <w:pPr>
              <w:spacing w:after="0"/>
              <w:rPr>
                <w:sz w:val="21"/>
                <w:szCs w:val="21"/>
                <w:color w:val="auto"/>
              </w:rPr>
            </w:pPr>
          </w:p>
        </w:tc>
        <w:tc>
          <w:tcPr>
            <w:tcW w:w="15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21"/>
                <w:szCs w:val="21"/>
                <w:color w:val="auto"/>
              </w:rPr>
            </w:pPr>
          </w:p>
        </w:tc>
        <w:tc>
          <w:tcPr>
            <w:tcW w:w="14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9,047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 U.S. tax reform</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21"/>
                <w:szCs w:val="21"/>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3160" w:type="dxa"/>
            <w:vAlign w:val="bottom"/>
          </w:tcPr>
          <w:p>
            <w:pPr>
              <w:ind w:left="40"/>
              <w:spacing w:after="0"/>
              <w:rPr>
                <w:sz w:val="20"/>
                <w:szCs w:val="20"/>
                <w:color w:val="auto"/>
              </w:rPr>
            </w:pPr>
            <w:r>
              <w:rPr>
                <w:rFonts w:ascii="Arial" w:cs="Arial" w:eastAsia="Arial" w:hAnsi="Arial"/>
                <w:sz w:val="18"/>
                <w:szCs w:val="18"/>
                <w:color w:val="auto"/>
                <w:w w:val="93"/>
              </w:rPr>
              <w:t>Unrealized intercompany foreign currency</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160" w:type="dxa"/>
            <w:vAlign w:val="bottom"/>
          </w:tcPr>
          <w:p>
            <w:pPr>
              <w:ind w:left="40"/>
              <w:spacing w:after="0"/>
              <w:rPr>
                <w:sz w:val="20"/>
                <w:szCs w:val="20"/>
                <w:color w:val="auto"/>
              </w:rPr>
            </w:pPr>
            <w:r>
              <w:rPr>
                <w:rFonts w:ascii="Arial" w:cs="Arial" w:eastAsia="Arial" w:hAnsi="Arial"/>
                <w:sz w:val="18"/>
                <w:szCs w:val="18"/>
                <w:color w:val="auto"/>
              </w:rPr>
              <w:t>translation gain</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20"/>
                <w:szCs w:val="20"/>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3160" w:type="dxa"/>
            <w:vAlign w:val="bottom"/>
          </w:tcPr>
          <w:p>
            <w:pPr>
              <w:ind w:left="180"/>
              <w:spacing w:after="0"/>
              <w:rPr>
                <w:sz w:val="20"/>
                <w:szCs w:val="20"/>
                <w:color w:val="auto"/>
              </w:rPr>
            </w:pPr>
            <w:r>
              <w:rPr>
                <w:rFonts w:ascii="Arial" w:cs="Arial" w:eastAsia="Arial" w:hAnsi="Arial"/>
                <w:sz w:val="18"/>
                <w:szCs w:val="18"/>
                <w:color w:val="auto"/>
              </w:rPr>
              <w:t>Net income tax benefit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15.5 %</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27.7 %</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(13,490)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11.4 %</w:t>
            </w:r>
          </w:p>
        </w:tc>
      </w:tr>
      <w:tr>
        <w:trPr>
          <w:trHeight w:val="20"/>
        </w:trPr>
        <w:tc>
          <w:tcPr>
            <w:tcW w:w="3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40" w:firstLine="459"/>
        <w:spacing w:after="0" w:line="312" w:lineRule="auto"/>
        <w:rPr>
          <w:sz w:val="20"/>
          <w:szCs w:val="20"/>
          <w:color w:val="auto"/>
        </w:rPr>
      </w:pPr>
      <w:r>
        <w:rPr>
          <w:rFonts w:ascii="Arial" w:cs="Arial" w:eastAsia="Arial" w:hAnsi="Arial"/>
          <w:sz w:val="16"/>
          <w:szCs w:val="16"/>
          <w:b w:val="1"/>
          <w:bCs w:val="1"/>
          <w:i w:val="1"/>
          <w:iCs w:val="1"/>
          <w:color w:val="auto"/>
        </w:rPr>
        <w:t xml:space="preserve">Canadian Rate Change. </w:t>
      </w:r>
      <w:r>
        <w:rPr>
          <w:rFonts w:ascii="Arial" w:cs="Arial" w:eastAsia="Arial" w:hAnsi="Arial"/>
          <w:sz w:val="16"/>
          <w:szCs w:val="16"/>
          <w:color w:val="auto"/>
        </w:rPr>
        <w:t>Effective July 1, 2019, the Province of Alberta introduced a four-year graduated decrease in the income tax rate from 12%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 resulting in a decrease of our net deferred tax liability of $2.5 million. Our rate reconciliation for the years ended December 31, 2018 and 2017 has been recast to reconcile to the federal Canadian tax rate of 15% with the Canadian provincial income taxes reported separately from the federal income taxes.</w:t>
      </w:r>
    </w:p>
    <w:p>
      <w:pPr>
        <w:spacing w:after="0" w:line="147" w:lineRule="exact"/>
        <w:rPr>
          <w:sz w:val="20"/>
          <w:szCs w:val="20"/>
          <w:color w:val="auto"/>
        </w:rPr>
      </w:pPr>
    </w:p>
    <w:p>
      <w:pPr>
        <w:jc w:val="both"/>
        <w:ind w:firstLine="459"/>
        <w:spacing w:after="0" w:line="264" w:lineRule="auto"/>
        <w:rPr>
          <w:sz w:val="20"/>
          <w:szCs w:val="20"/>
          <w:color w:val="auto"/>
        </w:rPr>
      </w:pPr>
      <w:r>
        <w:rPr>
          <w:rFonts w:ascii="Arial" w:cs="Arial" w:eastAsia="Arial" w:hAnsi="Arial"/>
          <w:sz w:val="18"/>
          <w:szCs w:val="18"/>
          <w:b w:val="1"/>
          <w:bCs w:val="1"/>
          <w:i w:val="1"/>
          <w:iCs w:val="1"/>
          <w:color w:val="auto"/>
        </w:rPr>
        <w:t xml:space="preserve">US Tax Reform. </w:t>
      </w:r>
      <w:r>
        <w:rPr>
          <w:rFonts w:ascii="Arial" w:cs="Arial" w:eastAsia="Arial" w:hAnsi="Arial"/>
          <w:sz w:val="18"/>
          <w:szCs w:val="18"/>
          <w:color w:val="auto"/>
        </w:rPr>
        <w:t>The Tax Cuts and Jobs Act of 2017 (U.S. Tax Reform) was enacted in December 2017, resulting in a reduction to the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rate from 35% to 21%. The impact of this reduction was a decrease of the U.S. net deferred tax asset of $9.0 million fully offset by a decrease in the U.S. valuation allowance of $9.0 million.</w:t>
      </w:r>
    </w:p>
    <w:p>
      <w:pPr>
        <w:spacing w:after="0" w:line="87"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8"/>
          <w:szCs w:val="18"/>
          <w:b w:val="1"/>
          <w:bCs w:val="1"/>
          <w:i w:val="1"/>
          <w:iCs w:val="1"/>
          <w:color w:val="auto"/>
        </w:rPr>
        <w:t xml:space="preserve">Deferred Tax Liabilities and Assets. </w:t>
      </w:r>
      <w:r>
        <w:rPr>
          <w:rFonts w:ascii="Arial" w:cs="Arial" w:eastAsia="Arial" w:hAnsi="Arial"/>
          <w:sz w:val="18"/>
          <w:szCs w:val="18"/>
          <w:color w:val="auto"/>
        </w:rPr>
        <w:t>The significant items giving rise to the deferred tax assets and liabilities as of December 31, 2019 and 2018 are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0"/>
              <w:spacing w:after="0"/>
              <w:rPr>
                <w:sz w:val="20"/>
                <w:szCs w:val="20"/>
                <w:color w:val="auto"/>
              </w:rPr>
            </w:pPr>
            <w:r>
              <w:rPr>
                <w:rFonts w:ascii="Arial" w:cs="Arial" w:eastAsia="Arial" w:hAnsi="Arial"/>
                <w:sz w:val="18"/>
                <w:szCs w:val="18"/>
                <w:color w:val="auto"/>
              </w:rPr>
              <w:t>Net operating loss</w:t>
            </w:r>
          </w:p>
        </w:tc>
        <w:tc>
          <w:tcPr>
            <w:tcW w:w="42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97,920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92,600</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Employee benefits</w:t>
            </w:r>
          </w:p>
        </w:tc>
        <w:tc>
          <w:tcPr>
            <w:tcW w:w="3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43"/>
        </w:trPr>
        <w:tc>
          <w:tcPr>
            <w:tcW w:w="4400" w:type="dxa"/>
            <w:vAlign w:val="bottom"/>
          </w:tcPr>
          <w:p>
            <w:pPr>
              <w:ind w:left="200"/>
              <w:spacing w:after="0"/>
              <w:rPr>
                <w:sz w:val="20"/>
                <w:szCs w:val="20"/>
                <w:color w:val="auto"/>
              </w:rPr>
            </w:pPr>
            <w:r>
              <w:rPr>
                <w:rFonts w:ascii="Arial" w:cs="Arial" w:eastAsia="Arial" w:hAnsi="Arial"/>
                <w:sz w:val="18"/>
                <w:szCs w:val="18"/>
                <w:color w:val="auto"/>
              </w:rPr>
              <w:t>Deductible goodwill and other intangibles</w:t>
            </w:r>
          </w:p>
        </w:tc>
        <w:tc>
          <w:tcPr>
            <w:tcW w:w="3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26,030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20,142</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reserves</w:t>
            </w:r>
          </w:p>
        </w:tc>
        <w:tc>
          <w:tcPr>
            <w:tcW w:w="3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43"/>
        </w:trPr>
        <w:tc>
          <w:tcPr>
            <w:tcW w:w="4400" w:type="dxa"/>
            <w:vAlign w:val="bottom"/>
          </w:tcPr>
          <w:p>
            <w:pPr>
              <w:ind w:left="200"/>
              <w:spacing w:after="0"/>
              <w:rPr>
                <w:sz w:val="20"/>
                <w:szCs w:val="20"/>
                <w:color w:val="auto"/>
              </w:rPr>
            </w:pPr>
            <w:r>
              <w:rPr>
                <w:rFonts w:ascii="Arial" w:cs="Arial" w:eastAsia="Arial" w:hAnsi="Arial"/>
                <w:sz w:val="18"/>
                <w:szCs w:val="18"/>
                <w:color w:val="auto"/>
              </w:rPr>
              <w:t>Unearned revenue</w:t>
            </w:r>
          </w:p>
        </w:tc>
        <w:tc>
          <w:tcPr>
            <w:tcW w:w="3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lease liabilities</w:t>
            </w:r>
          </w:p>
        </w:tc>
        <w:tc>
          <w:tcPr>
            <w:tcW w:w="3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00" w:type="dxa"/>
            <w:vAlign w:val="bottom"/>
          </w:tcPr>
          <w:p>
            <w:pPr>
              <w:ind w:left="200"/>
              <w:spacing w:after="0"/>
              <w:rPr>
                <w:sz w:val="20"/>
                <w:szCs w:val="20"/>
                <w:color w:val="auto"/>
              </w:rPr>
            </w:pPr>
            <w:r>
              <w:rPr>
                <w:rFonts w:ascii="Arial" w:cs="Arial" w:eastAsia="Arial" w:hAnsi="Arial"/>
                <w:sz w:val="18"/>
                <w:szCs w:val="18"/>
                <w:color w:val="auto"/>
              </w:rPr>
              <w:t>Other</w:t>
            </w:r>
          </w:p>
        </w:tc>
        <w:tc>
          <w:tcPr>
            <w:tcW w:w="3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tax assets</w:t>
            </w:r>
          </w:p>
        </w:tc>
        <w:tc>
          <w:tcPr>
            <w:tcW w:w="3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143,364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125,485</w:t>
            </w:r>
          </w:p>
        </w:tc>
        <w:tc>
          <w:tcPr>
            <w:tcW w:w="0" w:type="dxa"/>
            <w:vAlign w:val="bottom"/>
          </w:tcPr>
          <w:p>
            <w:pPr>
              <w:spacing w:after="0"/>
              <w:rPr>
                <w:sz w:val="1"/>
                <w:szCs w:val="1"/>
                <w:color w:val="auto"/>
              </w:rPr>
            </w:pPr>
          </w:p>
        </w:tc>
      </w:tr>
      <w:tr>
        <w:trPr>
          <w:trHeight w:val="243"/>
        </w:trPr>
        <w:tc>
          <w:tcPr>
            <w:tcW w:w="4400" w:type="dxa"/>
            <w:vAlign w:val="bottom"/>
          </w:tcPr>
          <w:p>
            <w:pPr>
              <w:ind w:left="520"/>
              <w:spacing w:after="0"/>
              <w:rPr>
                <w:sz w:val="20"/>
                <w:szCs w:val="20"/>
                <w:color w:val="auto"/>
              </w:rPr>
            </w:pPr>
            <w:r>
              <w:rPr>
                <w:rFonts w:ascii="Arial" w:cs="Arial" w:eastAsia="Arial" w:hAnsi="Arial"/>
                <w:sz w:val="18"/>
                <w:szCs w:val="18"/>
                <w:color w:val="auto"/>
              </w:rPr>
              <w:t>Valuation allowance</w:t>
            </w:r>
          </w:p>
        </w:tc>
        <w:tc>
          <w:tcPr>
            <w:tcW w:w="3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(84,503)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(82,833)</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tax assets, net</w:t>
            </w:r>
          </w:p>
        </w:tc>
        <w:tc>
          <w:tcPr>
            <w:tcW w:w="42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42,652</w:t>
            </w: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9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2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(61,094)</w:t>
            </w:r>
          </w:p>
        </w:tc>
        <w:tc>
          <w:tcPr>
            <w:tcW w:w="0" w:type="dxa"/>
            <w:vAlign w:val="bottom"/>
          </w:tcPr>
          <w:p>
            <w:pPr>
              <w:spacing w:after="0"/>
              <w:rPr>
                <w:sz w:val="1"/>
                <w:szCs w:val="1"/>
                <w:color w:val="auto"/>
              </w:rPr>
            </w:pPr>
          </w:p>
        </w:tc>
      </w:tr>
      <w:tr>
        <w:trPr>
          <w:trHeight w:val="243"/>
        </w:trPr>
        <w:tc>
          <w:tcPr>
            <w:tcW w:w="4400" w:type="dxa"/>
            <w:vAlign w:val="bottom"/>
          </w:tcPr>
          <w:p>
            <w:pPr>
              <w:ind w:left="200"/>
              <w:spacing w:after="0"/>
              <w:rPr>
                <w:sz w:val="20"/>
                <w:szCs w:val="20"/>
                <w:color w:val="auto"/>
              </w:rPr>
            </w:pPr>
            <w:r>
              <w:rPr>
                <w:rFonts w:ascii="Arial" w:cs="Arial" w:eastAsia="Arial" w:hAnsi="Arial"/>
                <w:sz w:val="18"/>
                <w:szCs w:val="18"/>
                <w:color w:val="auto"/>
              </w:rPr>
              <w:t>Operating lease right-of-use assets</w:t>
            </w:r>
          </w:p>
        </w:tc>
        <w:tc>
          <w:tcPr>
            <w:tcW w:w="3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tax liabilities</w:t>
            </w:r>
          </w:p>
        </w:tc>
        <w:tc>
          <w:tcPr>
            <w:tcW w:w="3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(61,094)</w:t>
            </w:r>
          </w:p>
        </w:tc>
        <w:tc>
          <w:tcPr>
            <w:tcW w:w="0" w:type="dxa"/>
            <w:vAlign w:val="bottom"/>
          </w:tcPr>
          <w:p>
            <w:pPr>
              <w:spacing w:after="0"/>
              <w:rPr>
                <w:sz w:val="1"/>
                <w:szCs w:val="1"/>
                <w:color w:val="auto"/>
              </w:rPr>
            </w:pPr>
          </w:p>
        </w:tc>
      </w:tr>
      <w:tr>
        <w:trPr>
          <w:trHeight w:val="257"/>
        </w:trPr>
        <w:tc>
          <w:tcPr>
            <w:tcW w:w="4400" w:type="dxa"/>
            <w:vAlign w:val="bottom"/>
          </w:tcPr>
          <w:p>
            <w:pPr>
              <w:ind w:left="520"/>
              <w:spacing w:after="0"/>
              <w:rPr>
                <w:sz w:val="20"/>
                <w:szCs w:val="20"/>
                <w:color w:val="auto"/>
              </w:rPr>
            </w:pPr>
            <w:r>
              <w:rPr>
                <w:rFonts w:ascii="Arial" w:cs="Arial" w:eastAsia="Arial" w:hAnsi="Arial"/>
                <w:sz w:val="18"/>
                <w:szCs w:val="18"/>
                <w:color w:val="auto"/>
              </w:rPr>
              <w:t>Net deferred tax liability</w:t>
            </w:r>
          </w:p>
        </w:tc>
        <w:tc>
          <w:tcPr>
            <w:tcW w:w="39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940" w:type="dxa"/>
            <w:vAlign w:val="bottom"/>
            <w:vMerge w:val="restart"/>
          </w:tcPr>
          <w:p>
            <w:pPr>
              <w:jc w:val="right"/>
              <w:ind w:right="2410"/>
              <w:spacing w:after="0"/>
              <w:rPr>
                <w:sz w:val="20"/>
                <w:szCs w:val="20"/>
                <w:color w:val="auto"/>
              </w:rPr>
            </w:pPr>
            <w:r>
              <w:rPr>
                <w:rFonts w:ascii="Arial" w:cs="Arial" w:eastAsia="Arial" w:hAnsi="Arial"/>
                <w:sz w:val="18"/>
                <w:szCs w:val="18"/>
                <w:color w:val="auto"/>
              </w:rPr>
              <w:t>106</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4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NOL Carryforwards. </w:t>
      </w:r>
      <w:r>
        <w:rPr>
          <w:rFonts w:ascii="Arial" w:cs="Arial" w:eastAsia="Arial" w:hAnsi="Arial"/>
          <w:sz w:val="18"/>
          <w:szCs w:val="18"/>
          <w:color w:val="auto"/>
        </w:rPr>
        <w:t>The following table summarizes net operating loss (NOL) carryforwards at December 31, 2019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2400" w:type="dxa"/>
            <w:vAlign w:val="bottom"/>
          </w:tcPr>
          <w:p>
            <w:pPr>
              <w:ind w:left="520"/>
              <w:spacing w:after="0"/>
              <w:rPr>
                <w:sz w:val="20"/>
                <w:szCs w:val="20"/>
                <w:color w:val="auto"/>
              </w:rPr>
            </w:pPr>
            <w:r>
              <w:rPr>
                <w:rFonts w:ascii="Arial" w:cs="Arial" w:eastAsia="Arial" w:hAnsi="Arial"/>
                <w:sz w:val="18"/>
                <w:szCs w:val="18"/>
                <w:b w:val="1"/>
                <w:bCs w:val="1"/>
                <w:color w:val="auto"/>
              </w:rPr>
              <w:t>Expiration Period</w:t>
            </w: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Canada – Federal and provincial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207,606</w:t>
            </w:r>
          </w:p>
        </w:tc>
        <w:tc>
          <w:tcPr>
            <w:tcW w:w="100" w:type="dxa"/>
            <w:vAlign w:val="bottom"/>
          </w:tcPr>
          <w:p>
            <w:pPr>
              <w:spacing w:after="0"/>
              <w:rPr>
                <w:sz w:val="21"/>
                <w:szCs w:val="21"/>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Begins to expire in 2035</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Australia</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109,355</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Does not expire</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U.S. – Federal</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36,030</w:t>
            </w:r>
          </w:p>
        </w:tc>
        <w:tc>
          <w:tcPr>
            <w:tcW w:w="100" w:type="dxa"/>
            <w:vAlign w:val="bottom"/>
          </w:tcPr>
          <w:p>
            <w:pPr>
              <w:spacing w:after="0"/>
              <w:rPr>
                <w:sz w:val="21"/>
                <w:szCs w:val="21"/>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Begins to expire in 2036</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 Federal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14,416</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Does not expire</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U.S. – State, tax effected</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21"/>
                <w:szCs w:val="21"/>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Begins to expire in 2020</w:t>
            </w:r>
          </w:p>
        </w:tc>
      </w:tr>
    </w:tbl>
    <w:p>
      <w:pPr>
        <w:spacing w:after="0" w:line="229" w:lineRule="exact"/>
        <w:rPr>
          <w:sz w:val="20"/>
          <w:szCs w:val="20"/>
          <w:color w:val="auto"/>
        </w:rPr>
      </w:pPr>
    </w:p>
    <w:p>
      <w:pPr>
        <w:jc w:val="both"/>
        <w:ind w:right="20" w:firstLine="459"/>
        <w:spacing w:after="0" w:line="277" w:lineRule="auto"/>
        <w:rPr>
          <w:sz w:val="20"/>
          <w:szCs w:val="20"/>
          <w:color w:val="auto"/>
        </w:rPr>
      </w:pPr>
      <w:r>
        <w:rPr>
          <w:rFonts w:ascii="Arial" w:cs="Arial" w:eastAsia="Arial" w:hAnsi="Arial"/>
          <w:sz w:val="18"/>
          <w:szCs w:val="18"/>
          <w:b w:val="1"/>
          <w:bCs w:val="1"/>
          <w:i w:val="1"/>
          <w:iCs w:val="1"/>
          <w:color w:val="auto"/>
        </w:rPr>
        <w:t xml:space="preserve">Change in Valuation Allowance. </w:t>
      </w:r>
      <w:r>
        <w:rPr>
          <w:rFonts w:ascii="Arial" w:cs="Arial" w:eastAsia="Arial" w:hAnsi="Arial"/>
          <w:sz w:val="18"/>
          <w:szCs w:val="18"/>
          <w:color w:val="auto"/>
        </w:rPr>
        <w:t>Realization of our deferred tax assets is dependent upon, among other things, our ability to generate taxable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appropriate character in the future.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our valuation allowance for the years ended December 31, 2019 and 2018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Federal /</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Net Deferred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State NOLs</w:t>
            </w: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Tax Assets</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(90,663)</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Change in income tax provision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622</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change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6,089</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(82,833)</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Change in income tax provision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(2,257)</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change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(84,503)</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59"/>
        <w:spacing w:after="0" w:line="264" w:lineRule="auto"/>
        <w:rPr>
          <w:sz w:val="20"/>
          <w:szCs w:val="20"/>
          <w:color w:val="auto"/>
        </w:rPr>
      </w:pPr>
      <w:r>
        <w:rPr>
          <w:rFonts w:ascii="Arial" w:cs="Arial" w:eastAsia="Arial" w:hAnsi="Arial"/>
          <w:sz w:val="18"/>
          <w:szCs w:val="18"/>
          <w:color w:val="auto"/>
        </w:rPr>
        <w:t>During 2018, the addition of $51.5 million of deferred tax liabilities due to the Noralta Acquisition resulted in Canada no longer being considered a loss jurisdiction. Accordingly, a benefit of $4.9 million was recorded in the second quarter of 2018 to reverse the valuation allowance against the Canadian net deferred tax asset that was recorded in 2017.</w:t>
      </w:r>
    </w:p>
    <w:p>
      <w:pPr>
        <w:spacing w:after="0" w:line="181" w:lineRule="exact"/>
        <w:rPr>
          <w:sz w:val="20"/>
          <w:szCs w:val="20"/>
          <w:color w:val="auto"/>
        </w:rPr>
      </w:pPr>
    </w:p>
    <w:p>
      <w:pPr>
        <w:ind w:right="40" w:firstLine="459"/>
        <w:spacing w:after="0" w:line="277" w:lineRule="auto"/>
        <w:rPr>
          <w:sz w:val="20"/>
          <w:szCs w:val="20"/>
          <w:color w:val="auto"/>
        </w:rPr>
      </w:pPr>
      <w:r>
        <w:rPr>
          <w:rFonts w:ascii="Arial" w:cs="Arial" w:eastAsia="Arial" w:hAnsi="Arial"/>
          <w:sz w:val="18"/>
          <w:szCs w:val="18"/>
          <w:b w:val="1"/>
          <w:bCs w:val="1"/>
          <w:i w:val="1"/>
          <w:iCs w:val="1"/>
          <w:color w:val="auto"/>
        </w:rPr>
        <w:t xml:space="preserve">Indefinite Reinvestment of Earnings. </w:t>
      </w:r>
      <w:r>
        <w:rPr>
          <w:rFonts w:ascii="Arial" w:cs="Arial" w:eastAsia="Arial" w:hAnsi="Arial"/>
          <w:sz w:val="18"/>
          <w:szCs w:val="18"/>
          <w:color w:val="auto"/>
        </w:rPr>
        <w:t>At December 31, 2019 and 2018, we had no undistributed earnings of foreign subsidiaries subject to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Canada.</w:t>
      </w:r>
    </w:p>
    <w:p>
      <w:pPr>
        <w:spacing w:after="0" w:line="170" w:lineRule="exact"/>
        <w:rPr>
          <w:sz w:val="20"/>
          <w:szCs w:val="20"/>
          <w:color w:val="auto"/>
        </w:rPr>
      </w:pPr>
    </w:p>
    <w:p>
      <w:pPr>
        <w:ind w:right="200" w:firstLine="459"/>
        <w:spacing w:after="0" w:line="312" w:lineRule="auto"/>
        <w:rPr>
          <w:sz w:val="20"/>
          <w:szCs w:val="20"/>
          <w:color w:val="auto"/>
        </w:rPr>
      </w:pPr>
      <w:r>
        <w:rPr>
          <w:rFonts w:ascii="Arial" w:cs="Arial" w:eastAsia="Arial" w:hAnsi="Arial"/>
          <w:sz w:val="16"/>
          <w:szCs w:val="16"/>
          <w:b w:val="1"/>
          <w:bCs w:val="1"/>
          <w:i w:val="1"/>
          <w:iCs w:val="1"/>
          <w:color w:val="auto"/>
        </w:rPr>
        <w:t xml:space="preserve">Unrecognized Tax Benefits. </w:t>
      </w:r>
      <w:r>
        <w:rPr>
          <w:rFonts w:ascii="Arial" w:cs="Arial" w:eastAsia="Arial" w:hAnsi="Arial"/>
          <w:sz w:val="16"/>
          <w:szCs w:val="16"/>
          <w:color w:val="auto"/>
        </w:rPr>
        <w:t>We file tax returns in the jurisdictions in which they are required. All of these returns are subject to examination or audit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possible adjustment as a result of assessments by taxing authorities. We believe that we have recorded sufficient tax liabilities and do not expect the resolution of any examination or audit of our tax returns to have a material adverse effect on our operating results, financial condition or liquidity.</w:t>
      </w:r>
    </w:p>
    <w:p>
      <w:pPr>
        <w:spacing w:after="0" w:line="147" w:lineRule="exact"/>
        <w:rPr>
          <w:sz w:val="20"/>
          <w:szCs w:val="20"/>
          <w:color w:val="auto"/>
        </w:rPr>
      </w:pPr>
    </w:p>
    <w:p>
      <w:pPr>
        <w:ind w:right="60" w:firstLine="459"/>
        <w:spacing w:after="0" w:line="264" w:lineRule="auto"/>
        <w:rPr>
          <w:sz w:val="20"/>
          <w:szCs w:val="20"/>
          <w:color w:val="auto"/>
        </w:rPr>
      </w:pPr>
      <w:r>
        <w:rPr>
          <w:rFonts w:ascii="Arial" w:cs="Arial" w:eastAsia="Arial" w:hAnsi="Arial"/>
          <w:sz w:val="18"/>
          <w:szCs w:val="18"/>
          <w:color w:val="auto"/>
        </w:rPr>
        <w:t>Our Canadian federal tax returns subsequent to 2012 are subject to audit by the Canada Revenue Agency. Our Australian subsidiary’s federal income tax returns subsequent to 2015 are open for review by the Australian Taxation Office. Our U.S. subsidiary’s federal tax returns subsequent to 2017 are subject to audit by the US Internal Revenue Service.</w:t>
      </w:r>
    </w:p>
    <w:p>
      <w:pPr>
        <w:spacing w:after="0" w:line="181" w:lineRule="exact"/>
        <w:rPr>
          <w:sz w:val="20"/>
          <w:szCs w:val="20"/>
          <w:color w:val="auto"/>
        </w:rPr>
      </w:pPr>
    </w:p>
    <w:p>
      <w:pPr>
        <w:jc w:val="both"/>
        <w:ind w:right="380" w:firstLine="459"/>
        <w:spacing w:after="0" w:line="264" w:lineRule="auto"/>
        <w:rPr>
          <w:sz w:val="20"/>
          <w:szCs w:val="20"/>
          <w:color w:val="auto"/>
        </w:rPr>
      </w:pPr>
      <w:r>
        <w:rPr>
          <w:rFonts w:ascii="Arial" w:cs="Arial" w:eastAsia="Arial" w:hAnsi="Arial"/>
          <w:sz w:val="18"/>
          <w:szCs w:val="18"/>
          <w:color w:val="auto"/>
        </w:rPr>
        <w:t>The total amount of unrecognized tax benefits as of December 31, 2019, 2018 and 2017 was zero. Unrecognized tax benefits, if recognized, would affect the effective tax rate. We accrue interest and penalties related to unrecognized tax benefits as a component of our provision for income taxes. As of December 31, 2019, 2018 and 2017, we had accrued zero of interest expense and penalties.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ind w:right="340" w:firstLine="459"/>
        <w:spacing w:after="0" w:line="297"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ACCUMULATED OTHER COMPREHENSIVE LOSS</w:t>
      </w:r>
    </w:p>
    <w:p>
      <w:pPr>
        <w:spacing w:after="0" w:line="229" w:lineRule="exact"/>
        <w:rPr>
          <w:sz w:val="20"/>
          <w:szCs w:val="20"/>
          <w:color w:val="auto"/>
        </w:rPr>
      </w:pPr>
    </w:p>
    <w:p>
      <w:pPr>
        <w:ind w:right="60" w:firstLine="459"/>
        <w:spacing w:after="0" w:line="259" w:lineRule="auto"/>
        <w:rPr>
          <w:sz w:val="20"/>
          <w:szCs w:val="20"/>
          <w:color w:val="auto"/>
        </w:rPr>
      </w:pPr>
      <w:r>
        <w:rPr>
          <w:rFonts w:ascii="Arial" w:cs="Arial" w:eastAsia="Arial" w:hAnsi="Arial"/>
          <w:sz w:val="18"/>
          <w:szCs w:val="18"/>
          <w:color w:val="auto"/>
        </w:rPr>
        <w:t>Our accumulated other comprehensive loss decreased $8.1 million from $371.2 million at December 31, 2018 to $363.2 million at December 31, 2019, as a result of foreign currency exchange rate fluctuations. Changes in other comprehensive loss during 2019 were primarily driven by the Canadian dollar increasing in value compared to the U.S. dollar. Excluding intercompany balances, our Canadian dollar and Australian dollar functional currency net assets totaled approximately C$0.3 billion and A$0.4 billion, respectively, at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BASED COMPENSATION</w:t>
      </w:r>
    </w:p>
    <w:p>
      <w:pPr>
        <w:spacing w:after="0" w:line="229" w:lineRule="exact"/>
        <w:rPr>
          <w:sz w:val="20"/>
          <w:szCs w:val="20"/>
          <w:color w:val="auto"/>
        </w:rPr>
      </w:pPr>
    </w:p>
    <w:p>
      <w:pPr>
        <w:ind w:right="120" w:firstLine="459"/>
        <w:spacing w:after="0" w:line="302" w:lineRule="auto"/>
        <w:rPr>
          <w:sz w:val="20"/>
          <w:szCs w:val="20"/>
          <w:color w:val="auto"/>
        </w:rPr>
      </w:pPr>
      <w:r>
        <w:rPr>
          <w:rFonts w:ascii="Arial" w:cs="Arial" w:eastAsia="Arial" w:hAnsi="Arial"/>
          <w:sz w:val="16"/>
          <w:szCs w:val="16"/>
          <w:color w:val="auto"/>
        </w:rPr>
        <w:t>Certain key employees and non-employee directors participate in the Amended and Restated 2014 Equity Participation Plan of Civeo Corporation (the Civeo Plan). The Civeo Plan authorizes our Board of Directors and the Compensation Committee of our Board of Directors to approve grants of options, awards of restricted shares, performance awards, phantom share awards and dividend equivalents, awards of deferred shares, and share payments to our employees and non-employee directors. No more than 18.7 million Civeo common shares may be issued under the Civeo Plan.</w:t>
      </w:r>
    </w:p>
    <w:p>
      <w:pPr>
        <w:spacing w:after="0" w:line="154" w:lineRule="exact"/>
        <w:rPr>
          <w:sz w:val="20"/>
          <w:szCs w:val="20"/>
          <w:color w:val="auto"/>
        </w:rPr>
      </w:pPr>
    </w:p>
    <w:p>
      <w:pPr>
        <w:ind w:right="20" w:firstLine="459"/>
        <w:spacing w:after="0" w:line="279" w:lineRule="auto"/>
        <w:rPr>
          <w:sz w:val="20"/>
          <w:szCs w:val="20"/>
          <w:color w:val="auto"/>
        </w:rPr>
      </w:pPr>
      <w:r>
        <w:rPr>
          <w:rFonts w:ascii="Arial" w:cs="Arial" w:eastAsia="Arial" w:hAnsi="Arial"/>
          <w:sz w:val="17"/>
          <w:szCs w:val="17"/>
          <w:color w:val="auto"/>
        </w:rPr>
        <w:t>Share-based compensation expense recognized in the years ended December 31, 2019, 2018 and 2017 totaled $13.9 million, $16.4 million and $15.4 million, respectively. Share-based compensation expense is reflected in Selling, general and administrative (SG&amp;A) expense in our consolidated statements of operations. The total income tax benefit recognized in the consolidated statements of operations for share based compensation arrangements was approximately $0.7 million, $1.2 million and zero for the years ended December 31, 2019, 2018 and 2017,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to Purchase Common Shares</w:t>
      </w:r>
    </w:p>
    <w:p>
      <w:pPr>
        <w:spacing w:after="0" w:line="225" w:lineRule="exact"/>
        <w:rPr>
          <w:sz w:val="20"/>
          <w:szCs w:val="20"/>
          <w:color w:val="auto"/>
        </w:rPr>
      </w:pPr>
    </w:p>
    <w:p>
      <w:pPr>
        <w:ind w:right="100" w:firstLine="459"/>
        <w:spacing w:after="0" w:line="277" w:lineRule="auto"/>
        <w:rPr>
          <w:sz w:val="20"/>
          <w:szCs w:val="20"/>
          <w:color w:val="auto"/>
        </w:rPr>
      </w:pPr>
      <w:r>
        <w:rPr>
          <w:rFonts w:ascii="Arial" w:cs="Arial" w:eastAsia="Arial" w:hAnsi="Arial"/>
          <w:sz w:val="18"/>
          <w:szCs w:val="18"/>
          <w:color w:val="auto"/>
        </w:rPr>
        <w:t>No options were awarded in 2019, 2018 or 2017. The following table presents the changes in stock options outstanding and related information for our employees during the years ended December 31, 2019, 2018 and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33"/>
              <w:spacing w:after="0"/>
              <w:rPr>
                <w:sz w:val="20"/>
                <w:szCs w:val="20"/>
                <w:color w:val="auto"/>
              </w:rPr>
            </w:pPr>
            <w:r>
              <w:rPr>
                <w:rFonts w:ascii="Arial" w:cs="Arial" w:eastAsia="Arial" w:hAnsi="Arial"/>
                <w:sz w:val="16"/>
                <w:szCs w:val="16"/>
                <w:b w:val="1"/>
                <w:bCs w:val="1"/>
                <w:color w:val="auto"/>
                <w:w w:val="91"/>
              </w:rPr>
              <w:t>Weighted</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13"/>
              <w:spacing w:after="0"/>
              <w:rPr>
                <w:sz w:val="20"/>
                <w:szCs w:val="20"/>
                <w:color w:val="auto"/>
              </w:rPr>
            </w:pPr>
            <w:r>
              <w:rPr>
                <w:rFonts w:ascii="Arial" w:cs="Arial" w:eastAsia="Arial" w:hAnsi="Arial"/>
                <w:sz w:val="16"/>
                <w:szCs w:val="16"/>
                <w:b w:val="1"/>
                <w:bCs w:val="1"/>
                <w:color w:val="auto"/>
                <w:w w:val="88"/>
              </w:rPr>
              <w:t>Average</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33"/>
              <w:spacing w:after="0"/>
              <w:rPr>
                <w:sz w:val="20"/>
                <w:szCs w:val="20"/>
                <w:color w:val="auto"/>
              </w:rPr>
            </w:pPr>
            <w:r>
              <w:rPr>
                <w:rFonts w:ascii="Arial" w:cs="Arial" w:eastAsia="Arial" w:hAnsi="Arial"/>
                <w:sz w:val="16"/>
                <w:szCs w:val="16"/>
                <w:b w:val="1"/>
                <w:bCs w:val="1"/>
                <w:color w:val="auto"/>
                <w:w w:val="88"/>
              </w:rPr>
              <w:t>Exercise</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3"/>
              </w:rPr>
              <w:t>Intrinsic</w:t>
            </w:r>
          </w:p>
        </w:tc>
      </w:tr>
      <w:tr>
        <w:trPr>
          <w:trHeight w:val="203"/>
        </w:trPr>
        <w:tc>
          <w:tcPr>
            <w:tcW w:w="6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13"/>
              <w:spacing w:after="0"/>
              <w:rPr>
                <w:sz w:val="20"/>
                <w:szCs w:val="20"/>
                <w:color w:val="auto"/>
              </w:rPr>
            </w:pPr>
            <w:r>
              <w:rPr>
                <w:rFonts w:ascii="Arial" w:cs="Arial" w:eastAsia="Arial" w:hAnsi="Arial"/>
                <w:sz w:val="16"/>
                <w:szCs w:val="16"/>
                <w:b w:val="1"/>
                <w:bCs w:val="1"/>
                <w:color w:val="auto"/>
                <w:w w:val="92"/>
              </w:rPr>
              <w:t>Price Per</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20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88"/>
              </w:rPr>
              <w:t>Value</w:t>
            </w:r>
          </w:p>
        </w:tc>
      </w:tr>
      <w:tr>
        <w:trPr>
          <w:trHeight w:val="210"/>
        </w:trPr>
        <w:tc>
          <w:tcPr>
            <w:tcW w:w="6060" w:type="dxa"/>
            <w:vAlign w:val="bottom"/>
          </w:tcPr>
          <w:p>
            <w:pPr>
              <w:spacing w:after="0"/>
              <w:rPr>
                <w:sz w:val="18"/>
                <w:szCs w:val="18"/>
                <w:color w:val="auto"/>
              </w:rPr>
            </w:pPr>
          </w:p>
        </w:tc>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Options</w:t>
            </w:r>
          </w:p>
        </w:tc>
        <w:tc>
          <w:tcPr>
            <w:tcW w:w="220" w:type="dxa"/>
            <w:vAlign w:val="bottom"/>
          </w:tcPr>
          <w:p>
            <w:pPr>
              <w:spacing w:after="0"/>
              <w:rPr>
                <w:sz w:val="18"/>
                <w:szCs w:val="18"/>
                <w:color w:val="auto"/>
              </w:rPr>
            </w:pPr>
          </w:p>
        </w:tc>
        <w:tc>
          <w:tcPr>
            <w:tcW w:w="104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Share</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4"/>
              </w:rPr>
              <w:t>Life (Years)</w:t>
            </w:r>
          </w:p>
        </w:tc>
        <w:tc>
          <w:tcPr>
            <w:tcW w:w="200" w:type="dxa"/>
            <w:vAlign w:val="bottom"/>
          </w:tcPr>
          <w:p>
            <w:pPr>
              <w:spacing w:after="0"/>
              <w:rPr>
                <w:sz w:val="18"/>
                <w:szCs w:val="18"/>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(Thousands)</w:t>
            </w:r>
          </w:p>
        </w:tc>
      </w:tr>
      <w:tr>
        <w:trPr>
          <w:trHeight w:val="33"/>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Options at December 31, 2016</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165,886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17.98</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Forfeited / Expired</w:t>
            </w:r>
          </w:p>
        </w:tc>
        <w:tc>
          <w:tcPr>
            <w:tcW w:w="1260" w:type="dxa"/>
            <w:vAlign w:val="bottom"/>
          </w:tcPr>
          <w:p>
            <w:pPr>
              <w:jc w:val="right"/>
              <w:spacing w:after="0"/>
              <w:rPr>
                <w:sz w:val="20"/>
                <w:szCs w:val="20"/>
                <w:color w:val="auto"/>
              </w:rPr>
            </w:pPr>
            <w:r>
              <w:rPr>
                <w:rFonts w:ascii="Arial" w:cs="Arial" w:eastAsia="Arial" w:hAnsi="Arial"/>
                <w:sz w:val="18"/>
                <w:szCs w:val="18"/>
                <w:color w:val="auto"/>
              </w:rPr>
              <w:t>(20,085)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18.10</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Options at December 31, 2017</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145,801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17.97</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Outstanding Options at December 31, 2018</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145,801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17.97</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Options at December 31, 2019</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145,801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17.97</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189"/>
        </w:trPr>
        <w:tc>
          <w:tcPr>
            <w:tcW w:w="6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Options at December 31, 2017</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139,491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17.79</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Exercisable Options at December 31, 2018</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145,801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17.97</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Options at December 31, 2019</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145,801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17.97</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ind w:right="300" w:firstLine="459"/>
        <w:spacing w:after="0" w:line="308" w:lineRule="auto"/>
        <w:rPr>
          <w:sz w:val="20"/>
          <w:szCs w:val="20"/>
          <w:color w:val="auto"/>
        </w:rPr>
      </w:pPr>
      <w:r>
        <w:rPr>
          <w:rFonts w:ascii="Arial" w:cs="Arial" w:eastAsia="Arial" w:hAnsi="Arial"/>
          <w:sz w:val="17"/>
          <w:szCs w:val="17"/>
          <w:color w:val="auto"/>
        </w:rPr>
        <w:t>As no options were exercised in the last three years, the total intrinsic value of options exercised by our employees during 2019, 2018 and 2017 was zero. Additionally, the tax benefits realized for the tax deduction from options exercised during 2019, 2018 and 2017 totaled zero.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2019, unrecognized compensation cost related to options was zero.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for outstanding options of our employees at December 31,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33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15"/>
        </w:trPr>
        <w:tc>
          <w:tcPr>
            <w:tcW w:w="128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0" w:type="dxa"/>
            <w:vAlign w:val="bottom"/>
            <w:gridSpan w:val="4"/>
          </w:tcPr>
          <w:p>
            <w:pPr>
              <w:ind w:left="40"/>
              <w:spacing w:after="0"/>
              <w:rPr>
                <w:sz w:val="20"/>
                <w:szCs w:val="20"/>
                <w:color w:val="auto"/>
              </w:rPr>
            </w:pPr>
            <w:r>
              <w:rPr>
                <w:rFonts w:ascii="Arial" w:cs="Arial" w:eastAsia="Arial" w:hAnsi="Arial"/>
                <w:sz w:val="18"/>
                <w:szCs w:val="18"/>
                <w:b w:val="1"/>
                <w:bCs w:val="1"/>
                <w:color w:val="auto"/>
                <w:w w:val="97"/>
              </w:rPr>
              <w:t>Options Outstanding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Options Exercisable</w:t>
            </w:r>
          </w:p>
        </w:tc>
      </w:tr>
      <w:tr>
        <w:trPr>
          <w:trHeight w:val="27"/>
        </w:trPr>
        <w:tc>
          <w:tcPr>
            <w:tcW w:w="1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Exercisable</w:t>
            </w:r>
          </w:p>
        </w:tc>
        <w:tc>
          <w:tcPr>
            <w:tcW w:w="24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Outstanding as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as of</w:t>
            </w:r>
          </w:p>
        </w:tc>
        <w:tc>
          <w:tcPr>
            <w:tcW w:w="24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Range of Exercise</w:t>
            </w:r>
          </w:p>
        </w:tc>
        <w:tc>
          <w:tcPr>
            <w:tcW w:w="16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of 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1280" w:type="dxa"/>
            <w:vAlign w:val="bottom"/>
          </w:tcPr>
          <w:p>
            <w:pPr>
              <w:spacing w:after="0"/>
              <w:rPr>
                <w:sz w:val="20"/>
                <w:szCs w:val="20"/>
                <w:color w:val="auto"/>
              </w:rPr>
            </w:pPr>
          </w:p>
        </w:tc>
        <w:tc>
          <w:tcPr>
            <w:tcW w:w="204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8"/>
              </w:rPr>
              <w:t>Prices</w:t>
            </w:r>
          </w:p>
        </w:tc>
        <w:tc>
          <w:tcPr>
            <w:tcW w:w="16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Life</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Price</w:t>
            </w:r>
          </w:p>
        </w:tc>
      </w:tr>
      <w:tr>
        <w:trPr>
          <w:trHeight w:val="27"/>
        </w:trPr>
        <w:tc>
          <w:tcPr>
            <w:tcW w:w="1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$16.43</w:t>
            </w: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63,142</w:t>
            </w: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16.43</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$17.48</w:t>
            </w: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29,849</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29,849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17.48</w:t>
            </w: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$18.43</w:t>
            </w: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27,553</w:t>
            </w: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$21.87</w:t>
            </w: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25,257</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25,257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21.87</w:t>
            </w:r>
          </w:p>
        </w:tc>
      </w:tr>
      <w:tr>
        <w:trPr>
          <w:trHeight w:val="27"/>
        </w:trPr>
        <w:tc>
          <w:tcPr>
            <w:tcW w:w="1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1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16.43 -21.87</w:t>
            </w: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145,801</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17.97</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145,801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Awards/ Restricted Share Units/ Deferred Share Awards</w:t>
      </w:r>
    </w:p>
    <w:p>
      <w:pPr>
        <w:spacing w:after="0" w:line="225"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The following table presents the changes in restricted share awards, restricted share units and deferred share awards outstanding and related information for our employees and non-employee directors during the years ended December 31, 2019, 2018 and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834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Date Fair Value</w:t>
            </w:r>
          </w:p>
        </w:tc>
      </w:tr>
      <w:tr>
        <w:trPr>
          <w:trHeight w:val="234"/>
        </w:trPr>
        <w:tc>
          <w:tcPr>
            <w:tcW w:w="834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Awards/Units</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Per Share</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1,298,372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1,655,067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3.14</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(49,968)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2,170,324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2,861,775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(1,247,522)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(101,839)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3.69</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3,682,738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1,725,018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2.29</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(97,643)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3,681,536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The weighted average grant date fair value per share for restricted share awards, restricted share units and deferred share awards granted during 2019, 2018 and 2017 was $2.29, $3.42 and $3.14, respectively. The total fair value of restricted share awards, restricted share units and deferred share awards vested during 2019, 2018 and 2017 was $4.0 million, $3.8 million and $2.0 million, respectively. At December 31, 2019, unrecognized compensation cost related to restricted share awards, restricted share units and deferred share awards was $5.3 million, which is expected to be recognized over a weighted average period of 1.5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Share Awards</w:t>
      </w:r>
    </w:p>
    <w:p>
      <w:pPr>
        <w:spacing w:after="0" w:line="225" w:lineRule="exact"/>
        <w:rPr>
          <w:sz w:val="20"/>
          <w:szCs w:val="20"/>
          <w:color w:val="auto"/>
        </w:rPr>
      </w:pPr>
    </w:p>
    <w:p>
      <w:pPr>
        <w:ind w:right="60" w:firstLine="459"/>
        <w:spacing w:after="0" w:line="264" w:lineRule="auto"/>
        <w:rPr>
          <w:sz w:val="20"/>
          <w:szCs w:val="20"/>
          <w:color w:val="auto"/>
        </w:rPr>
      </w:pPr>
      <w:r>
        <w:rPr>
          <w:rFonts w:ascii="Arial" w:cs="Arial" w:eastAsia="Arial" w:hAnsi="Arial"/>
          <w:sz w:val="18"/>
          <w:szCs w:val="18"/>
          <w:color w:val="auto"/>
        </w:rPr>
        <w:t>Each phantom share award is equal in value to one common share. Upon vesting, each recipient will receive a lump sum cash payment equal to the fair market value of a common share on the respective vesting date. These awards are accounted for as a liability that is remeasured at each reporting date until paid.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changes in phantom share awards outstanding and related information for our employees during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08"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99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480" w:type="dxa"/>
            <w:vAlign w:val="bottom"/>
          </w:tcPr>
          <w:p>
            <w:pPr>
              <w:spacing w:after="0"/>
              <w:rPr>
                <w:sz w:val="17"/>
                <w:szCs w:val="17"/>
                <w:color w:val="auto"/>
              </w:rPr>
            </w:pPr>
          </w:p>
        </w:tc>
      </w:tr>
      <w:tr>
        <w:trPr>
          <w:trHeight w:val="596"/>
        </w:trPr>
        <w:tc>
          <w:tcPr>
            <w:tcW w:w="1280" w:type="dxa"/>
            <w:vAlign w:val="bottom"/>
            <w:tcBorders>
              <w:top w:val="single" w:sz="8" w:color="0000EE"/>
            </w:tcBorders>
          </w:tcPr>
          <w:p>
            <w:pPr>
              <w:spacing w:after="0"/>
              <w:rPr>
                <w:sz w:val="24"/>
                <w:szCs w:val="24"/>
                <w:color w:val="auto"/>
              </w:rPr>
            </w:pPr>
          </w:p>
        </w:tc>
        <w:tc>
          <w:tcPr>
            <w:tcW w:w="866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128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Awards</w:t>
            </w:r>
          </w:p>
        </w:tc>
      </w:tr>
      <w:tr>
        <w:trPr>
          <w:trHeight w:val="27"/>
        </w:trPr>
        <w:tc>
          <w:tcPr>
            <w:tcW w:w="1280" w:type="dxa"/>
            <w:vAlign w:val="bottom"/>
            <w:tcBorders>
              <w:bottom w:val="single" w:sz="8" w:color="CCEEFF"/>
            </w:tcBorders>
          </w:tcPr>
          <w:p>
            <w:pPr>
              <w:spacing w:after="0"/>
              <w:rPr>
                <w:sz w:val="2"/>
                <w:szCs w:val="2"/>
                <w:color w:val="auto"/>
              </w:rPr>
            </w:pPr>
          </w:p>
        </w:tc>
        <w:tc>
          <w:tcPr>
            <w:tcW w:w="86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2016</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6,269,964</w:t>
            </w:r>
          </w:p>
        </w:tc>
      </w:tr>
      <w:tr>
        <w:trPr>
          <w:trHeight w:val="243"/>
        </w:trPr>
        <w:tc>
          <w:tcPr>
            <w:tcW w:w="994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750,525</w:t>
            </w: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(2,207,589)</w:t>
            </w:r>
          </w:p>
        </w:tc>
      </w:tr>
      <w:tr>
        <w:trPr>
          <w:trHeight w:val="243"/>
        </w:trPr>
        <w:tc>
          <w:tcPr>
            <w:tcW w:w="9940" w:type="dxa"/>
            <w:vAlign w:val="bottom"/>
            <w:gridSpan w:val="2"/>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(263,161)</w:t>
            </w:r>
          </w:p>
        </w:tc>
      </w:tr>
      <w:tr>
        <w:trPr>
          <w:trHeight w:val="27"/>
        </w:trPr>
        <w:tc>
          <w:tcPr>
            <w:tcW w:w="1280" w:type="dxa"/>
            <w:vAlign w:val="bottom"/>
            <w:tcBorders>
              <w:bottom w:val="single" w:sz="8" w:color="CCEEFF"/>
            </w:tcBorders>
          </w:tcPr>
          <w:p>
            <w:pPr>
              <w:spacing w:after="0"/>
              <w:rPr>
                <w:sz w:val="2"/>
                <w:szCs w:val="2"/>
                <w:color w:val="auto"/>
              </w:rPr>
            </w:pPr>
          </w:p>
        </w:tc>
        <w:tc>
          <w:tcPr>
            <w:tcW w:w="86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2017</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4,549,739</w:t>
            </w:r>
          </w:p>
        </w:tc>
      </w:tr>
      <w:tr>
        <w:trPr>
          <w:trHeight w:val="243"/>
        </w:trPr>
        <w:tc>
          <w:tcPr>
            <w:tcW w:w="994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(2,270,214)</w:t>
            </w:r>
          </w:p>
        </w:tc>
      </w:tr>
      <w:tr>
        <w:trPr>
          <w:trHeight w:val="243"/>
        </w:trPr>
        <w:tc>
          <w:tcPr>
            <w:tcW w:w="9940" w:type="dxa"/>
            <w:vAlign w:val="bottom"/>
            <w:gridSpan w:val="2"/>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(12,951)</w:t>
            </w:r>
          </w:p>
        </w:tc>
      </w:tr>
      <w:tr>
        <w:trPr>
          <w:trHeight w:val="27"/>
        </w:trPr>
        <w:tc>
          <w:tcPr>
            <w:tcW w:w="1280" w:type="dxa"/>
            <w:vAlign w:val="bottom"/>
            <w:tcBorders>
              <w:bottom w:val="single" w:sz="8" w:color="CCEEFF"/>
            </w:tcBorders>
          </w:tcPr>
          <w:p>
            <w:pPr>
              <w:spacing w:after="0"/>
              <w:rPr>
                <w:sz w:val="2"/>
                <w:szCs w:val="2"/>
                <w:color w:val="auto"/>
              </w:rPr>
            </w:pPr>
          </w:p>
        </w:tc>
        <w:tc>
          <w:tcPr>
            <w:tcW w:w="86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2018</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2,266,574</w:t>
            </w:r>
          </w:p>
        </w:tc>
      </w:tr>
      <w:tr>
        <w:trPr>
          <w:trHeight w:val="243"/>
        </w:trPr>
        <w:tc>
          <w:tcPr>
            <w:tcW w:w="994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1,415,277</w:t>
            </w: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(2,059,656)</w:t>
            </w:r>
          </w:p>
        </w:tc>
      </w:tr>
      <w:tr>
        <w:trPr>
          <w:trHeight w:val="243"/>
        </w:trPr>
        <w:tc>
          <w:tcPr>
            <w:tcW w:w="9940" w:type="dxa"/>
            <w:vAlign w:val="bottom"/>
            <w:gridSpan w:val="2"/>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(12,687)</w:t>
            </w:r>
          </w:p>
        </w:tc>
      </w:tr>
      <w:tr>
        <w:trPr>
          <w:trHeight w:val="27"/>
        </w:trPr>
        <w:tc>
          <w:tcPr>
            <w:tcW w:w="1280" w:type="dxa"/>
            <w:vAlign w:val="bottom"/>
            <w:tcBorders>
              <w:bottom w:val="single" w:sz="8" w:color="CCEEFF"/>
            </w:tcBorders>
          </w:tcPr>
          <w:p>
            <w:pPr>
              <w:spacing w:after="0"/>
              <w:rPr>
                <w:sz w:val="2"/>
                <w:szCs w:val="2"/>
                <w:color w:val="auto"/>
              </w:rPr>
            </w:pPr>
          </w:p>
        </w:tc>
        <w:tc>
          <w:tcPr>
            <w:tcW w:w="86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2019</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1,609,508</w:t>
            </w:r>
          </w:p>
        </w:tc>
      </w:tr>
      <w:tr>
        <w:trPr>
          <w:trHeight w:val="20"/>
        </w:trPr>
        <w:tc>
          <w:tcPr>
            <w:tcW w:w="128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59"/>
        <w:spacing w:after="0" w:line="257" w:lineRule="auto"/>
        <w:rPr>
          <w:sz w:val="20"/>
          <w:szCs w:val="20"/>
          <w:color w:val="auto"/>
        </w:rPr>
      </w:pPr>
      <w:r>
        <w:rPr>
          <w:rFonts w:ascii="Arial" w:cs="Arial" w:eastAsia="Arial" w:hAnsi="Arial"/>
          <w:sz w:val="18"/>
          <w:szCs w:val="18"/>
          <w:color w:val="auto"/>
        </w:rPr>
        <w:t>At December 31, 2019, the balance of the liability for the phantom share awards was $0.8 million. For the years ended December 31, 2019, 2018 and 2017, we made phantom share cash payments of $5.3 million, $8.2 million and $7.1 million, respectively. At December 31, 2019, unrecognized compensation cost related to phantom shares was $1.3 million, as remeasured at December 31, 2019, which is expected to be recognized over a weighted average period of 2.1 years. The weighted average grant date fair value of phantom shares granted during the years ended December 31, 2019, 2018 and 2017 was $2.53, zero and $3.27,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ind w:right="60" w:firstLine="459"/>
        <w:spacing w:after="0" w:line="259" w:lineRule="auto"/>
        <w:rPr>
          <w:sz w:val="20"/>
          <w:szCs w:val="20"/>
          <w:color w:val="auto"/>
        </w:rPr>
      </w:pPr>
      <w:r>
        <w:rPr>
          <w:rFonts w:ascii="Arial" w:cs="Arial" w:eastAsia="Arial" w:hAnsi="Arial"/>
          <w:sz w:val="18"/>
          <w:szCs w:val="18"/>
          <w:color w:val="auto"/>
        </w:rPr>
        <w:t>We grant performance awards, which cliff vest in three years subject to attainment of applicable performance criteria. These awards are earned in amounts between 0% and 200% of the participant’s target performance share award, based on the payout percentage associated with Civeo’s relative total shareholder return (TSR) rank among a peer group of other companies. The resulting cost is recognized over the period during which an employee is required to provide service in exchange for the awards, usually the vesting period.</w:t>
      </w:r>
    </w:p>
    <w:p>
      <w:pPr>
        <w:spacing w:after="0" w:line="187" w:lineRule="exact"/>
        <w:rPr>
          <w:sz w:val="20"/>
          <w:szCs w:val="20"/>
          <w:color w:val="auto"/>
        </w:rPr>
      </w:pPr>
    </w:p>
    <w:p>
      <w:pPr>
        <w:ind w:right="80" w:firstLine="459"/>
        <w:spacing w:after="0" w:line="255" w:lineRule="auto"/>
        <w:rPr>
          <w:sz w:val="20"/>
          <w:szCs w:val="20"/>
          <w:color w:val="auto"/>
        </w:rPr>
      </w:pPr>
      <w:r>
        <w:rPr>
          <w:rFonts w:ascii="Arial" w:cs="Arial" w:eastAsia="Arial" w:hAnsi="Arial"/>
          <w:sz w:val="18"/>
          <w:szCs w:val="18"/>
          <w:color w:val="auto"/>
        </w:rPr>
        <w:t>The fair value of each performance share award was estimated using a Monte Carlo simulation pricing model that uses the assumptions noted in the following table. The risk-free interest rate is based on the U.S. Treasury yield curve in effect for the expected term of the performance share at the time of grant. The dividend yield on our common shares was assumed to be zero since we do not currently pay dividends. The expected market price volatility of our common shares was based on an estimate that considers the historical and implied volatility of our common shares as well as a peer group of companies over a time period equal to the expected term of the option. The initial TSR performance was based on historical performance of our common shares and the peer group’s common shares.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37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5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r>
      <w:tr>
        <w:trPr>
          <w:trHeight w:val="27"/>
        </w:trPr>
        <w:tc>
          <w:tcPr>
            <w:tcW w:w="39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weighted interest rate</w:t>
            </w:r>
          </w:p>
        </w:tc>
        <w:tc>
          <w:tcPr>
            <w:tcW w:w="3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3720" w:type="dxa"/>
            <w:vAlign w:val="bottom"/>
            <w:gridSpan w:val="2"/>
          </w:tcPr>
          <w:p>
            <w:pPr>
              <w:jc w:val="right"/>
              <w:ind w:right="40"/>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79.0 %</w:t>
            </w:r>
          </w:p>
        </w:tc>
        <w:tc>
          <w:tcPr>
            <w:tcW w:w="106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7"/>
        </w:trPr>
        <w:tc>
          <w:tcPr>
            <w:tcW w:w="39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TSR</w:t>
            </w:r>
          </w:p>
        </w:tc>
        <w:tc>
          <w:tcPr>
            <w:tcW w:w="3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648"/>
        </w:trPr>
        <w:tc>
          <w:tcPr>
            <w:tcW w:w="3940" w:type="dxa"/>
            <w:vAlign w:val="bottom"/>
          </w:tcPr>
          <w:p>
            <w:pPr>
              <w:spacing w:after="0"/>
              <w:rPr>
                <w:sz w:val="24"/>
                <w:szCs w:val="24"/>
                <w:color w:val="auto"/>
              </w:rPr>
            </w:pPr>
          </w:p>
        </w:tc>
        <w:tc>
          <w:tcPr>
            <w:tcW w:w="2540" w:type="dxa"/>
            <w:vAlign w:val="bottom"/>
          </w:tcPr>
          <w:p>
            <w:pPr>
              <w:jc w:val="right"/>
              <w:ind w:right="550"/>
              <w:spacing w:after="0"/>
              <w:rPr>
                <w:sz w:val="20"/>
                <w:szCs w:val="20"/>
                <w:color w:val="auto"/>
              </w:rPr>
            </w:pPr>
            <w:r>
              <w:rPr>
                <w:rFonts w:ascii="Arial" w:cs="Arial" w:eastAsia="Arial" w:hAnsi="Arial"/>
                <w:sz w:val="18"/>
                <w:szCs w:val="18"/>
                <w:color w:val="auto"/>
              </w:rPr>
              <w:t>110</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changes in performance share awards outstanding and related information for our employees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834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Date Fair Value</w:t>
            </w:r>
          </w:p>
        </w:tc>
      </w:tr>
      <w:tr>
        <w:trPr>
          <w:trHeight w:val="234"/>
        </w:trPr>
        <w:tc>
          <w:tcPr>
            <w:tcW w:w="834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Awards</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Per Share</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1,951,684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762,497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5.20</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(38,699)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3.64</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2,675,482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848,830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5.30</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3,524,312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1,184,599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3.73</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 adjustment (1)</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1,921,865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Pr>
          <w:p>
            <w:pPr>
              <w:jc w:val="right"/>
              <w:spacing w:after="0"/>
              <w:rPr>
                <w:sz w:val="20"/>
                <w:szCs w:val="20"/>
                <w:color w:val="auto"/>
              </w:rPr>
            </w:pPr>
            <w:r>
              <w:rPr>
                <w:rFonts w:ascii="Arial" w:cs="Arial" w:eastAsia="Arial" w:hAnsi="Arial"/>
                <w:sz w:val="18"/>
                <w:szCs w:val="18"/>
                <w:color w:val="auto"/>
              </w:rPr>
              <w:t>(3,843,730)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2.93</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Nonvested shares at December 31, 2019</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2,787,046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4.61</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Related to 2016 performance share awards that vested in 2019, which were paid out at 200% based on Civeo's TSR rank.</w:t>
      </w:r>
    </w:p>
    <w:p>
      <w:pPr>
        <w:spacing w:after="0" w:line="225" w:lineRule="exact"/>
        <w:rPr>
          <w:sz w:val="20"/>
          <w:szCs w:val="20"/>
          <w:color w:val="auto"/>
        </w:rPr>
      </w:pPr>
    </w:p>
    <w:p>
      <w:pPr>
        <w:jc w:val="both"/>
        <w:ind w:right="180" w:firstLine="459"/>
        <w:spacing w:after="0" w:line="264" w:lineRule="auto"/>
        <w:rPr>
          <w:sz w:val="20"/>
          <w:szCs w:val="20"/>
          <w:color w:val="auto"/>
        </w:rPr>
      </w:pPr>
      <w:r>
        <w:rPr>
          <w:rFonts w:ascii="Arial" w:cs="Arial" w:eastAsia="Arial" w:hAnsi="Arial"/>
          <w:sz w:val="18"/>
          <w:szCs w:val="18"/>
          <w:color w:val="auto"/>
        </w:rPr>
        <w:t>During the years ended December 31, 2019, 2018 and 2017, we recognized compensation expense associated with performance share awards totaling $4.3 million, $4.6 million and $3.0 million, respectively. At December 31, 2019, unrecognized compensation cost related to performance share awards was $5.1 million, which is expected to be recognized over a weighted average period of 1.7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PREFERRED SHARES</w:t>
      </w:r>
    </w:p>
    <w:p>
      <w:pPr>
        <w:spacing w:after="0" w:line="229" w:lineRule="exact"/>
        <w:rPr>
          <w:sz w:val="20"/>
          <w:szCs w:val="20"/>
          <w:color w:val="auto"/>
        </w:rPr>
      </w:pPr>
    </w:p>
    <w:p>
      <w:pPr>
        <w:ind w:right="300" w:firstLine="459"/>
        <w:spacing w:after="0" w:line="297" w:lineRule="auto"/>
        <w:rPr>
          <w:sz w:val="20"/>
          <w:szCs w:val="20"/>
          <w:color w:val="auto"/>
        </w:rPr>
      </w:pPr>
      <w:r>
        <w:rPr>
          <w:rFonts w:ascii="Arial" w:cs="Arial" w:eastAsia="Arial" w:hAnsi="Arial"/>
          <w:sz w:val="16"/>
          <w:szCs w:val="16"/>
          <w:color w:val="auto"/>
        </w:rPr>
        <w:t>As further discussed in Note 7 – Acquisitions, on April 2, 2018, we issued 9,679 Preferred Shares as part of the Noralta Acquisition. The Preferred Shares have an initial liquidation preference of $10,000 per share. Holders of the Preferred Shares are entitled to receive a 2% annual dividend on the liquidation preference paid quarterly in cash or, at our option, by increasing the Preferred Shares’ liquidation preference or any combination thereof. As of December 31, 2019, Preferred Shares outstanding were 9,042. The decrease in Preferred Shares outstanding since the close of the Noralta Acquisition was due to the release of 637 Preferred Shares initially held in escrow to support certain obligations of the Noralta Acquisition.</w:t>
      </w:r>
    </w:p>
    <w:p>
      <w:pPr>
        <w:spacing w:after="0" w:line="158" w:lineRule="exact"/>
        <w:rPr>
          <w:sz w:val="20"/>
          <w:szCs w:val="20"/>
          <w:color w:val="auto"/>
        </w:rPr>
      </w:pPr>
    </w:p>
    <w:p>
      <w:pPr>
        <w:ind w:right="40" w:firstLine="459"/>
        <w:spacing w:after="0" w:line="273" w:lineRule="auto"/>
        <w:rPr>
          <w:sz w:val="20"/>
          <w:szCs w:val="20"/>
          <w:color w:val="auto"/>
        </w:rPr>
      </w:pPr>
      <w:r>
        <w:rPr>
          <w:rFonts w:ascii="Arial" w:cs="Arial" w:eastAsia="Arial" w:hAnsi="Arial"/>
          <w:sz w:val="17"/>
          <w:szCs w:val="17"/>
          <w:color w:val="auto"/>
        </w:rPr>
        <w:t>The Preferred Shares are convertible into our common shares at a conversion price of $3.30 per Preferred Share, subject to certain anti-dilution adjustments (the Conversion Price). We have the right to elect to convert the Preferred Shares into our common shares if the 15-day volume weighted average price of our common shares is equal to or exceeds the Conversion Price. Holders of the Preferred Shares will have the right to convert the Preferred Shares into our common shares at any time after 2 years from the date of issuance, and the Preferred Shares mandatorily convert after 5 years from the date of issuance. The Preferred Shares also convert automatically into our common shares upon a change of control of Civeo. We may, at any time and from time to time, redeem any or all of the Preferred Shares for cash at the liquidation preference, plus accrued and unpaid dividends.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Preferred Shares do not have voting rights, except as statutorily required.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years ended December 31, 2019 and 2018, we recognized preferred dividends on the Preferred Shares as follows (in thousands):</w:t>
      </w:r>
    </w:p>
    <w:p>
      <w:pPr>
        <w:spacing w:after="0" w:line="197"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68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r>
      <w:tr>
        <w:trPr>
          <w:trHeight w:val="33"/>
        </w:trPr>
        <w:tc>
          <w:tcPr>
            <w:tcW w:w="68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Deemed dividend on beneficial conversion feature at April 2, 2018</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47,849</w:t>
            </w:r>
          </w:p>
        </w:tc>
      </w:tr>
      <w:tr>
        <w:trPr>
          <w:trHeight w:val="237"/>
        </w:trPr>
        <w:tc>
          <w:tcPr>
            <w:tcW w:w="6880" w:type="dxa"/>
            <w:vAlign w:val="bottom"/>
          </w:tcPr>
          <w:p>
            <w:pPr>
              <w:ind w:left="40"/>
              <w:spacing w:after="0"/>
              <w:rPr>
                <w:sz w:val="20"/>
                <w:szCs w:val="20"/>
                <w:color w:val="auto"/>
              </w:rPr>
            </w:pPr>
            <w:r>
              <w:rPr>
                <w:rFonts w:ascii="Arial" w:cs="Arial" w:eastAsia="Arial" w:hAnsi="Arial"/>
                <w:sz w:val="16"/>
                <w:szCs w:val="16"/>
                <w:color w:val="auto"/>
              </w:rPr>
              <w:t>In-kind dividends</w:t>
            </w:r>
          </w:p>
        </w:tc>
        <w:tc>
          <w:tcPr>
            <w:tcW w:w="9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1,849</w:t>
            </w:r>
          </w:p>
        </w:tc>
        <w:tc>
          <w:tcPr>
            <w:tcW w:w="4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1,459</w:t>
            </w:r>
          </w:p>
        </w:tc>
      </w:tr>
      <w:tr>
        <w:trPr>
          <w:trHeight w:val="33"/>
        </w:trPr>
        <w:tc>
          <w:tcPr>
            <w:tcW w:w="6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Deemed dividend on beneficial conversion feature related to in-kind dividend</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r>
      <w:tr>
        <w:trPr>
          <w:trHeight w:val="257"/>
        </w:trPr>
        <w:tc>
          <w:tcPr>
            <w:tcW w:w="6880" w:type="dxa"/>
            <w:vAlign w:val="bottom"/>
          </w:tcPr>
          <w:p>
            <w:pPr>
              <w:ind w:left="160"/>
              <w:spacing w:after="0"/>
              <w:rPr>
                <w:sz w:val="20"/>
                <w:szCs w:val="20"/>
                <w:color w:val="auto"/>
              </w:rPr>
            </w:pPr>
            <w:r>
              <w:rPr>
                <w:rFonts w:ascii="Arial" w:cs="Arial" w:eastAsia="Arial" w:hAnsi="Arial"/>
                <w:sz w:val="16"/>
                <w:szCs w:val="16"/>
                <w:color w:val="auto"/>
              </w:rPr>
              <w:t>Total preferred dividends</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1,849</w:t>
            </w:r>
          </w:p>
        </w:tc>
        <w:tc>
          <w:tcPr>
            <w:tcW w:w="4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49,589</w:t>
            </w:r>
          </w:p>
        </w:tc>
      </w:tr>
      <w:tr>
        <w:trPr>
          <w:trHeight w:val="20"/>
        </w:trPr>
        <w:tc>
          <w:tcPr>
            <w:tcW w:w="6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color w:val="auto"/>
        </w:rPr>
        <w:t>At the time the Preferred Shares were issued, we determined that a beneficial conversion feature existed as the fair value of the securities into which the Preferred Shares were convertible was greater than the effective conversion price on the issuance date. Accordingly, we recorded a beneficial conversion feature of $47.8 million. As the Preferred Shares do not have a stated redemption date, the discount is required to be recognized as a dividend over the minimum period from the date of issuance through the date of earliest conversion. Because the 15-day volume weighted average price of our common shares was greater than $3.30 on April 2, 2018, the earliest conversion date was determined to be April 2, 2018. Accordingly, we recorded a deemed dividend on April 2, 2018 totaling the discount of $47.8 million.</w:t>
      </w:r>
    </w:p>
    <w:p>
      <w:pPr>
        <w:spacing w:after="0" w:line="193" w:lineRule="exact"/>
        <w:rPr>
          <w:sz w:val="20"/>
          <w:szCs w:val="20"/>
          <w:color w:val="auto"/>
        </w:rPr>
      </w:pPr>
    </w:p>
    <w:p>
      <w:pPr>
        <w:ind w:right="60" w:firstLine="459"/>
        <w:spacing w:after="0" w:line="264" w:lineRule="auto"/>
        <w:rPr>
          <w:sz w:val="20"/>
          <w:szCs w:val="20"/>
          <w:color w:val="auto"/>
        </w:rPr>
      </w:pPr>
      <w:r>
        <w:rPr>
          <w:rFonts w:ascii="Arial" w:cs="Arial" w:eastAsia="Arial" w:hAnsi="Arial"/>
          <w:sz w:val="18"/>
          <w:szCs w:val="18"/>
          <w:color w:val="auto"/>
        </w:rPr>
        <w:t>The Board of Directors elected to pay the dividends for the quarterly period beginning June 30, 2018 and ending December 31, 2019 through an increase in the liquidation preference rather than in cash. The paid-in-kind dividend of $1.8 million and $1.5 million is included in Preferred dividends on the consolidated statement of operations for the years ended December 31, 2019 and 2018,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SEGMENT AND RELATED INFORMATION</w:t>
      </w:r>
    </w:p>
    <w:p>
      <w:pPr>
        <w:spacing w:after="0" w:line="229" w:lineRule="exact"/>
        <w:rPr>
          <w:sz w:val="20"/>
          <w:szCs w:val="20"/>
          <w:color w:val="auto"/>
        </w:rPr>
      </w:pPr>
    </w:p>
    <w:p>
      <w:pPr>
        <w:ind w:right="120" w:firstLine="459"/>
        <w:spacing w:after="0" w:line="342" w:lineRule="auto"/>
        <w:rPr>
          <w:sz w:val="20"/>
          <w:szCs w:val="20"/>
          <w:color w:val="auto"/>
        </w:rPr>
      </w:pPr>
      <w:r>
        <w:rPr>
          <w:rFonts w:ascii="Arial" w:cs="Arial" w:eastAsia="Arial" w:hAnsi="Arial"/>
          <w:sz w:val="16"/>
          <w:szCs w:val="16"/>
          <w:color w:val="auto"/>
        </w:rPr>
        <w:t>In accordance with current accounting standards regarding disclosures about segments of an enterprise and related information, we have identified the following reporting segments: Canada, Australia and U.S., which represent our strategic focus on hospitality services and workforce accommodations.</w:t>
      </w:r>
    </w:p>
    <w:p>
      <w:pPr>
        <w:spacing w:after="0" w:line="124" w:lineRule="exact"/>
        <w:rPr>
          <w:sz w:val="20"/>
          <w:szCs w:val="20"/>
          <w:color w:val="auto"/>
        </w:rPr>
      </w:pPr>
    </w:p>
    <w:p>
      <w:pPr>
        <w:ind w:right="160" w:firstLine="459"/>
        <w:spacing w:after="0" w:line="277" w:lineRule="auto"/>
        <w:rPr>
          <w:sz w:val="20"/>
          <w:szCs w:val="20"/>
          <w:color w:val="auto"/>
        </w:rPr>
      </w:pPr>
      <w:r>
        <w:rPr>
          <w:rFonts w:ascii="Arial" w:cs="Arial" w:eastAsia="Arial" w:hAnsi="Arial"/>
          <w:sz w:val="18"/>
          <w:szCs w:val="18"/>
          <w:color w:val="auto"/>
        </w:rPr>
        <w:t>Financial information by business segment for each of the three years ended December 31, 2019, 2018 and 2017 is summarized in the following table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Depreciation and</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Operating (loss)</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Revenues</w:t>
            </w: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amortization</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expenditures</w:t>
            </w:r>
          </w:p>
        </w:tc>
        <w:tc>
          <w:tcPr>
            <w:tcW w:w="220" w:type="dxa"/>
            <w:vAlign w:val="bottom"/>
          </w:tcPr>
          <w:p>
            <w:pPr>
              <w:spacing w:after="0"/>
              <w:rPr>
                <w:sz w:val="18"/>
                <w:szCs w:val="18"/>
                <w:color w:val="auto"/>
              </w:rPr>
            </w:pPr>
          </w:p>
        </w:tc>
        <w:tc>
          <w:tcPr>
            <w:tcW w:w="12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Total assets</w:t>
            </w:r>
          </w:p>
        </w:tc>
      </w:tr>
      <w:tr>
        <w:trPr>
          <w:trHeight w:val="33"/>
        </w:trPr>
        <w:tc>
          <w:tcPr>
            <w:tcW w:w="2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325,651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66,557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(32,313)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22,124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850,361</w:t>
            </w: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278,268</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10,987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46,862</w:t>
            </w: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(205,579)</w:t>
            </w:r>
          </w:p>
        </w:tc>
      </w:tr>
      <w:tr>
        <w:trPr>
          <w:trHeight w:val="297"/>
        </w:trPr>
        <w:tc>
          <w:tcPr>
            <w:tcW w:w="2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527,555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123,768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(49,051)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29,812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969,912</w:t>
            </w:r>
          </w:p>
        </w:tc>
      </w:tr>
      <w:tr>
        <w:trPr>
          <w:trHeight w:val="163"/>
        </w:trPr>
        <w:tc>
          <w:tcPr>
            <w:tcW w:w="2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296,012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804,618</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119,238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40,441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292,271</w:t>
            </w: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60,282</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Corporate and eliminations</w:t>
            </w: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7,799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(155,494)</w:t>
            </w:r>
          </w:p>
        </w:tc>
      </w:tr>
      <w:tr>
        <w:trPr>
          <w:trHeight w:val="27"/>
        </w:trPr>
        <w:tc>
          <w:tcPr>
            <w:tcW w:w="2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2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466,692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125,846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1,001,677</w:t>
            </w:r>
          </w:p>
        </w:tc>
      </w:tr>
      <w:tr>
        <w:trPr>
          <w:trHeight w:val="20"/>
        </w:trPr>
        <w:tc>
          <w:tcPr>
            <w:tcW w:w="2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3"/>
        </w:trPr>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245,595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69,983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(63,211)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550,378</w:t>
            </w: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353,840</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33,128</w:t>
            </w: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(83,434)</w:t>
            </w:r>
          </w:p>
        </w:tc>
      </w:tr>
      <w:tr>
        <w:trPr>
          <w:trHeight w:val="257"/>
        </w:trPr>
        <w:tc>
          <w:tcPr>
            <w:tcW w:w="276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382,276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126,443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11,194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853,912</w:t>
            </w:r>
          </w:p>
        </w:tc>
      </w:tr>
      <w:tr>
        <w:trPr>
          <w:trHeight w:val="20"/>
        </w:trPr>
        <w:tc>
          <w:tcPr>
            <w:tcW w:w="2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80" w:firstLine="459"/>
        <w:spacing w:after="0" w:line="277" w:lineRule="auto"/>
        <w:rPr>
          <w:sz w:val="20"/>
          <w:szCs w:val="20"/>
          <w:color w:val="auto"/>
        </w:rPr>
      </w:pPr>
      <w:r>
        <w:rPr>
          <w:rFonts w:ascii="Arial" w:cs="Arial" w:eastAsia="Arial" w:hAnsi="Arial"/>
          <w:sz w:val="18"/>
          <w:szCs w:val="18"/>
          <w:color w:val="auto"/>
        </w:rPr>
        <w:t>Financial information by geographic segment for each of the three years ended December 31, 2019, 2018 and 2017, is summarized below (in thousands). Revenues in the U.S. include export sales. Revenues are attributable to countries based 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125" w:right="25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location of the entity selling the products or performing the services. Long-lived assets are attributable to countries based on the physical location of the entity and its operating assets and do not include intercompany balances.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U.S. and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Canada</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Australia</w:t>
            </w:r>
          </w:p>
        </w:tc>
        <w:tc>
          <w:tcPr>
            <w:tcW w:w="28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 from unaffiliated customers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325,651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156,093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45,811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527,555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558,310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242,002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838,471</w:t>
            </w:r>
          </w:p>
        </w:tc>
      </w:tr>
      <w:tr>
        <w:trPr>
          <w:trHeight w:val="176"/>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 from unaffiliated customers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296,012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119,238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51,442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466,692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580,644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263,094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893,880</w:t>
            </w:r>
          </w:p>
        </w:tc>
      </w:tr>
      <w:tr>
        <w:trPr>
          <w:trHeight w:val="176"/>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 from unaffiliated customers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245,595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111,221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25,460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382,276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353,710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331,511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32,280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717,501</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VALUATION ACCOUNTS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in the valuation accounts was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Charged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Balance at</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(Reduction) to</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Deductions</w:t>
            </w:r>
          </w:p>
        </w:tc>
        <w:tc>
          <w:tcPr>
            <w:tcW w:w="180" w:type="dxa"/>
            <w:vAlign w:val="bottom"/>
          </w:tcPr>
          <w:p>
            <w:pPr>
              <w:spacing w:after="0"/>
              <w:rPr>
                <w:sz w:val="17"/>
                <w:szCs w:val="17"/>
                <w:color w:val="auto"/>
              </w:rPr>
            </w:pPr>
          </w:p>
        </w:tc>
        <w:tc>
          <w:tcPr>
            <w:tcW w:w="1080" w:type="dxa"/>
            <w:vAlign w:val="bottom"/>
          </w:tcPr>
          <w:p>
            <w:pPr>
              <w:jc w:val="center"/>
              <w:ind w:right="113"/>
              <w:spacing w:after="0"/>
              <w:rPr>
                <w:sz w:val="20"/>
                <w:szCs w:val="20"/>
                <w:color w:val="auto"/>
              </w:rPr>
            </w:pPr>
            <w:r>
              <w:rPr>
                <w:rFonts w:ascii="Arial" w:cs="Arial" w:eastAsia="Arial" w:hAnsi="Arial"/>
                <w:sz w:val="16"/>
                <w:szCs w:val="16"/>
                <w:b w:val="1"/>
                <w:bCs w:val="1"/>
                <w:color w:val="auto"/>
                <w:w w:val="92"/>
              </w:rPr>
              <w:t>Translation</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33"/>
              <w:spacing w:after="0"/>
              <w:rPr>
                <w:sz w:val="20"/>
                <w:szCs w:val="20"/>
                <w:color w:val="auto"/>
              </w:rPr>
            </w:pPr>
            <w:r>
              <w:rPr>
                <w:rFonts w:ascii="Arial" w:cs="Arial" w:eastAsia="Arial" w:hAnsi="Arial"/>
                <w:sz w:val="16"/>
                <w:szCs w:val="16"/>
                <w:b w:val="1"/>
                <w:bCs w:val="1"/>
                <w:color w:val="auto"/>
                <w:w w:val="87"/>
              </w:rPr>
              <w:t>Balance</w:t>
            </w:r>
          </w:p>
        </w:tc>
      </w:tr>
      <w:tr>
        <w:trPr>
          <w:trHeight w:val="203"/>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Beginning</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Costs and</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(Net of</w:t>
            </w:r>
          </w:p>
        </w:tc>
        <w:tc>
          <w:tcPr>
            <w:tcW w:w="180" w:type="dxa"/>
            <w:vAlign w:val="bottom"/>
          </w:tcPr>
          <w:p>
            <w:pPr>
              <w:spacing w:after="0"/>
              <w:rPr>
                <w:sz w:val="17"/>
                <w:szCs w:val="17"/>
                <w:color w:val="auto"/>
              </w:rPr>
            </w:pPr>
          </w:p>
        </w:tc>
        <w:tc>
          <w:tcPr>
            <w:tcW w:w="1080" w:type="dxa"/>
            <w:vAlign w:val="bottom"/>
          </w:tcPr>
          <w:p>
            <w:pPr>
              <w:jc w:val="center"/>
              <w:ind w:right="93"/>
              <w:spacing w:after="0"/>
              <w:rPr>
                <w:sz w:val="20"/>
                <w:szCs w:val="20"/>
                <w:color w:val="auto"/>
              </w:rPr>
            </w:pPr>
            <w:r>
              <w:rPr>
                <w:rFonts w:ascii="Arial" w:cs="Arial" w:eastAsia="Arial" w:hAnsi="Arial"/>
                <w:sz w:val="16"/>
                <w:szCs w:val="16"/>
                <w:b w:val="1"/>
                <w:bCs w:val="1"/>
                <w:color w:val="auto"/>
                <w:w w:val="92"/>
              </w:rPr>
              <w:t>and Other,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13"/>
              <w:spacing w:after="0"/>
              <w:rPr>
                <w:sz w:val="20"/>
                <w:szCs w:val="20"/>
                <w:color w:val="auto"/>
              </w:rPr>
            </w:pPr>
            <w:r>
              <w:rPr>
                <w:rFonts w:ascii="Arial" w:cs="Arial" w:eastAsia="Arial" w:hAnsi="Arial"/>
                <w:sz w:val="16"/>
                <w:szCs w:val="16"/>
                <w:b w:val="1"/>
                <w:bCs w:val="1"/>
                <w:color w:val="auto"/>
                <w:w w:val="93"/>
              </w:rPr>
              <w:t>at End of</w:t>
            </w:r>
          </w:p>
        </w:tc>
      </w:tr>
      <w:tr>
        <w:trPr>
          <w:trHeight w:val="210"/>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of Period</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Expenses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Recoveries)</w:t>
            </w:r>
          </w:p>
        </w:tc>
        <w:tc>
          <w:tcPr>
            <w:tcW w:w="180" w:type="dxa"/>
            <w:vAlign w:val="bottom"/>
          </w:tcPr>
          <w:p>
            <w:pPr>
              <w:spacing w:after="0"/>
              <w:rPr>
                <w:sz w:val="18"/>
                <w:szCs w:val="18"/>
                <w:color w:val="auto"/>
              </w:rPr>
            </w:pPr>
          </w:p>
        </w:tc>
        <w:tc>
          <w:tcPr>
            <w:tcW w:w="1080" w:type="dxa"/>
            <w:vAlign w:val="bottom"/>
          </w:tcPr>
          <w:p>
            <w:pPr>
              <w:jc w:val="center"/>
              <w:ind w:right="113"/>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33"/>
              <w:spacing w:after="0"/>
              <w:rPr>
                <w:sz w:val="20"/>
                <w:szCs w:val="20"/>
                <w:color w:val="auto"/>
              </w:rPr>
            </w:pPr>
            <w:r>
              <w:rPr>
                <w:rFonts w:ascii="Arial" w:cs="Arial" w:eastAsia="Arial" w:hAnsi="Arial"/>
                <w:sz w:val="16"/>
                <w:szCs w:val="16"/>
                <w:b w:val="1"/>
                <w:bCs w:val="1"/>
                <w:color w:val="auto"/>
                <w:w w:val="92"/>
              </w:rPr>
              <w:t>Period</w:t>
            </w:r>
          </w:p>
        </w:tc>
      </w:tr>
      <w:tr>
        <w:trPr>
          <w:trHeight w:val="33"/>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2019:</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Allowance for doubtful accounts receivable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253</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for 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2,257</w:t>
            </w:r>
          </w:p>
        </w:tc>
        <w:tc>
          <w:tcPr>
            <w:tcW w:w="1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84,503</w:t>
            </w:r>
          </w:p>
        </w:tc>
      </w:tr>
      <w:tr>
        <w:trPr>
          <w:trHeight w:val="176"/>
        </w:trPr>
        <w:tc>
          <w:tcPr>
            <w:tcW w:w="4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Allowance for doubtful accounts receivable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376</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 for 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90,663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82,833</w:t>
            </w:r>
          </w:p>
        </w:tc>
      </w:tr>
      <w:tr>
        <w:trPr>
          <w:trHeight w:val="176"/>
        </w:trPr>
        <w:tc>
          <w:tcPr>
            <w:tcW w:w="4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Allowance for doubtful accounts receivable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675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1,338</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 for 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76,157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90,663</w:t>
            </w:r>
          </w:p>
        </w:tc>
      </w:tr>
      <w:tr>
        <w:trPr>
          <w:trHeight w:val="648"/>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QUARTERLY FINANCIAL INFORMATION (UNAUDITED)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quarterly financial information for 2019 and 2018 (in thousands, except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First</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Second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Third</w:t>
            </w:r>
          </w:p>
        </w:tc>
        <w:tc>
          <w:tcPr>
            <w:tcW w:w="22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Fourth</w:t>
            </w:r>
          </w:p>
        </w:tc>
      </w:tr>
      <w:tr>
        <w:trPr>
          <w:trHeight w:val="261"/>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jc w:val="center"/>
              <w:ind w:right="340"/>
              <w:spacing w:after="0" w:line="262" w:lineRule="exact"/>
              <w:rPr>
                <w:sz w:val="20"/>
                <w:szCs w:val="20"/>
                <w:color w:val="auto"/>
              </w:rPr>
            </w:pPr>
            <w:r>
              <w:rPr>
                <w:rFonts w:ascii="Arial" w:cs="Arial" w:eastAsia="Arial" w:hAnsi="Arial"/>
                <w:sz w:val="18"/>
                <w:szCs w:val="18"/>
                <w:b w:val="1"/>
                <w:bCs w:val="1"/>
                <w:color w:val="auto"/>
                <w:w w:val="90"/>
              </w:rPr>
              <w:t xml:space="preserve">Quarter </w:t>
            </w:r>
            <w:r>
              <w:rPr>
                <w:rFonts w:ascii="Arial" w:cs="Arial" w:eastAsia="Arial" w:hAnsi="Arial"/>
                <w:sz w:val="25"/>
                <w:szCs w:val="25"/>
                <w:b w:val="1"/>
                <w:bCs w:val="1"/>
                <w:color w:val="auto"/>
                <w:w w:val="90"/>
                <w:vertAlign w:val="superscript"/>
              </w:rPr>
              <w:t>(2)</w:t>
            </w:r>
          </w:p>
        </w:tc>
        <w:tc>
          <w:tcPr>
            <w:tcW w:w="220" w:type="dxa"/>
            <w:vAlign w:val="bottom"/>
          </w:tcPr>
          <w:p>
            <w:pPr>
              <w:spacing w:after="0"/>
              <w:rPr>
                <w:sz w:val="22"/>
                <w:szCs w:val="22"/>
                <w:color w:val="auto"/>
              </w:rPr>
            </w:pPr>
          </w:p>
        </w:tc>
        <w:tc>
          <w:tcPr>
            <w:tcW w:w="1360" w:type="dxa"/>
            <w:vAlign w:val="bottom"/>
            <w:gridSpan w:val="2"/>
          </w:tcPr>
          <w:p>
            <w:pPr>
              <w:jc w:val="center"/>
              <w:ind w:right="300"/>
              <w:spacing w:after="0" w:line="262" w:lineRule="exact"/>
              <w:rPr>
                <w:sz w:val="20"/>
                <w:szCs w:val="20"/>
                <w:color w:val="auto"/>
              </w:rPr>
            </w:pPr>
            <w:r>
              <w:rPr>
                <w:rFonts w:ascii="Arial" w:cs="Arial" w:eastAsia="Arial" w:hAnsi="Arial"/>
                <w:sz w:val="18"/>
                <w:szCs w:val="18"/>
                <w:b w:val="1"/>
                <w:bCs w:val="1"/>
                <w:color w:val="auto"/>
                <w:w w:val="90"/>
              </w:rPr>
              <w:t xml:space="preserve">Quarter </w:t>
            </w:r>
            <w:r>
              <w:rPr>
                <w:rFonts w:ascii="Arial" w:cs="Arial" w:eastAsia="Arial" w:hAnsi="Arial"/>
                <w:sz w:val="25"/>
                <w:szCs w:val="25"/>
                <w:b w:val="1"/>
                <w:bCs w:val="1"/>
                <w:color w:val="auto"/>
                <w:w w:val="90"/>
                <w:vertAlign w:val="superscript"/>
              </w:rPr>
              <w:t>(3)</w:t>
            </w:r>
          </w:p>
        </w:tc>
        <w:tc>
          <w:tcPr>
            <w:tcW w:w="220" w:type="dxa"/>
            <w:vAlign w:val="bottom"/>
          </w:tcPr>
          <w:p>
            <w:pPr>
              <w:spacing w:after="0"/>
              <w:rPr>
                <w:sz w:val="22"/>
                <w:szCs w:val="22"/>
                <w:color w:val="auto"/>
              </w:rPr>
            </w:pPr>
          </w:p>
        </w:tc>
        <w:tc>
          <w:tcPr>
            <w:tcW w:w="1360" w:type="dxa"/>
            <w:vAlign w:val="bottom"/>
            <w:gridSpan w:val="2"/>
          </w:tcPr>
          <w:p>
            <w:pPr>
              <w:jc w:val="center"/>
              <w:ind w:right="300"/>
              <w:spacing w:after="0" w:line="262" w:lineRule="exact"/>
              <w:rPr>
                <w:sz w:val="20"/>
                <w:szCs w:val="20"/>
                <w:color w:val="auto"/>
              </w:rPr>
            </w:pPr>
            <w:r>
              <w:rPr>
                <w:rFonts w:ascii="Arial" w:cs="Arial" w:eastAsia="Arial" w:hAnsi="Arial"/>
                <w:sz w:val="18"/>
                <w:szCs w:val="18"/>
                <w:b w:val="1"/>
                <w:bCs w:val="1"/>
                <w:color w:val="auto"/>
                <w:w w:val="90"/>
              </w:rPr>
              <w:t xml:space="preserve">Quarter </w:t>
            </w:r>
            <w:r>
              <w:rPr>
                <w:rFonts w:ascii="Arial" w:cs="Arial" w:eastAsia="Arial" w:hAnsi="Arial"/>
                <w:sz w:val="25"/>
                <w:szCs w:val="25"/>
                <w:b w:val="1"/>
                <w:bCs w:val="1"/>
                <w:color w:val="auto"/>
                <w:w w:val="90"/>
                <w:vertAlign w:val="superscript"/>
              </w:rPr>
              <w:t>(4)</w:t>
            </w:r>
          </w:p>
        </w:tc>
        <w:tc>
          <w:tcPr>
            <w:tcW w:w="220" w:type="dxa"/>
            <w:vAlign w:val="bottom"/>
          </w:tcPr>
          <w:p>
            <w:pPr>
              <w:spacing w:after="0"/>
              <w:rPr>
                <w:sz w:val="22"/>
                <w:szCs w:val="22"/>
                <w:color w:val="auto"/>
              </w:rPr>
            </w:pPr>
          </w:p>
        </w:tc>
        <w:tc>
          <w:tcPr>
            <w:tcW w:w="1260" w:type="dxa"/>
            <w:vAlign w:val="bottom"/>
          </w:tcPr>
          <w:p>
            <w:pPr>
              <w:jc w:val="right"/>
              <w:ind w:right="230"/>
              <w:spacing w:after="0" w:line="262" w:lineRule="exact"/>
              <w:rPr>
                <w:sz w:val="20"/>
                <w:szCs w:val="20"/>
                <w:color w:val="auto"/>
              </w:rPr>
            </w:pPr>
            <w:r>
              <w:rPr>
                <w:rFonts w:ascii="Arial" w:cs="Arial" w:eastAsia="Arial" w:hAnsi="Arial"/>
                <w:sz w:val="18"/>
                <w:szCs w:val="18"/>
                <w:b w:val="1"/>
                <w:bCs w:val="1"/>
                <w:color w:val="auto"/>
              </w:rPr>
              <w:t xml:space="preserve">Quarter </w:t>
            </w:r>
            <w:r>
              <w:rPr>
                <w:rFonts w:ascii="Arial" w:cs="Arial" w:eastAsia="Arial" w:hAnsi="Arial"/>
                <w:sz w:val="25"/>
                <w:szCs w:val="25"/>
                <w:b w:val="1"/>
                <w:bCs w:val="1"/>
                <w:color w:val="auto"/>
                <w:vertAlign w:val="superscript"/>
              </w:rPr>
              <w:t>(5)</w:t>
            </w:r>
          </w:p>
        </w:tc>
      </w:tr>
      <w:tr>
        <w:trPr>
          <w:trHeight w:val="24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108,550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122,153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148,163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148,689</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Gross profit</w:t>
            </w:r>
            <w:r>
              <w:rPr>
                <w:rFonts w:ascii="Arial" w:cs="Arial" w:eastAsia="Arial" w:hAnsi="Arial"/>
                <w:sz w:val="14"/>
                <w:szCs w:val="14"/>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46,225</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Net (loss) income attributable to Civeo</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(32,064)</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(loss) income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Diluted (loss) income per share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76"/>
        </w:trPr>
        <w:tc>
          <w:tcPr>
            <w:tcW w:w="5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101,504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114,520</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Gross profit</w:t>
            </w:r>
            <w:r>
              <w:rPr>
                <w:rFonts w:ascii="Arial" w:cs="Arial" w:eastAsia="Arial" w:hAnsi="Arial"/>
                <w:sz w:val="14"/>
                <w:szCs w:val="14"/>
                <w:color w:val="auto"/>
              </w:rPr>
              <w:t>(1)</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23,803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40,722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31,489</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attributable to Civeo</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(13,804)</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Basic loss per share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loss per share</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7"/>
        </w:trPr>
        <w:tc>
          <w:tcPr>
            <w:tcW w:w="5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hanging="324"/>
        <w:spacing w:after="0"/>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"revenues" less "product costs" and "service and other costs" included in our consolidated statements of operations.</w:t>
      </w:r>
    </w:p>
    <w:p>
      <w:pPr>
        <w:spacing w:after="0" w:line="225" w:lineRule="exact"/>
        <w:rPr>
          <w:rFonts w:ascii="Arial" w:cs="Arial" w:eastAsia="Arial" w:hAnsi="Arial"/>
          <w:sz w:val="18"/>
          <w:szCs w:val="18"/>
          <w:color w:val="auto"/>
        </w:rPr>
      </w:pPr>
    </w:p>
    <w:p>
      <w:pPr>
        <w:ind w:left="440" w:right="5880" w:hanging="324"/>
        <w:spacing w:after="0" w:line="432" w:lineRule="auto"/>
        <w:tabs>
          <w:tab w:leader="none" w:pos="4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the first quarter of 2019, there were no significant items recognized. In the first quarter of 2018, we recognized the following items:</w:t>
      </w:r>
    </w:p>
    <w:p>
      <w:pPr>
        <w:ind w:left="980" w:right="140" w:hanging="324"/>
        <w:spacing w:after="0" w:line="250"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charge of $28.7 million ($20.9 million after-tax, or $0.16 per diluted share), related to certain lodge assets in the Canadian oil sands which carrying values we determined not to be recoverable. The charge, which is related to our Canadian segment, is included in Impairment expense on the accompanying consolidated statements of operations.</w:t>
      </w:r>
    </w:p>
    <w:p>
      <w:pPr>
        <w:spacing w:after="0" w:line="1" w:lineRule="exact"/>
        <w:rPr>
          <w:rFonts w:ascii="Arial" w:cs="Arial" w:eastAsia="Arial" w:hAnsi="Arial"/>
          <w:sz w:val="18"/>
          <w:szCs w:val="18"/>
          <w:color w:val="auto"/>
        </w:rPr>
      </w:pPr>
    </w:p>
    <w:p>
      <w:pPr>
        <w:ind w:left="980" w:right="40" w:hanging="324"/>
        <w:spacing w:after="0" w:line="261"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Costs associated with the Noralta Acquisition of $1.0 million ($1.0 million after-tax, or $0.01 per diluted share), included in Selling, general and administrative expenses on the accompanying consolidated statements of operations.</w:t>
      </w:r>
    </w:p>
    <w:p>
      <w:pPr>
        <w:spacing w:after="0" w:line="183" w:lineRule="exact"/>
        <w:rPr>
          <w:rFonts w:ascii="Arial" w:cs="Arial" w:eastAsia="Arial" w:hAnsi="Arial"/>
          <w:sz w:val="18"/>
          <w:szCs w:val="18"/>
          <w:color w:val="auto"/>
        </w:rPr>
      </w:pPr>
    </w:p>
    <w:p>
      <w:pPr>
        <w:ind w:left="440" w:hanging="324"/>
        <w:spacing w:after="0"/>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second quarter of 2019, we recognized the following items:</w:t>
      </w:r>
    </w:p>
    <w:p>
      <w:pPr>
        <w:spacing w:after="0" w:line="23" w:lineRule="exact"/>
        <w:rPr>
          <w:rFonts w:ascii="Arial" w:cs="Arial" w:eastAsia="Arial" w:hAnsi="Arial"/>
          <w:sz w:val="18"/>
          <w:szCs w:val="18"/>
          <w:color w:val="auto"/>
        </w:rPr>
      </w:pPr>
    </w:p>
    <w:p>
      <w:pPr>
        <w:ind w:left="980" w:right="180" w:hanging="324"/>
        <w:spacing w:after="0" w:line="250"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charge of $4.5 million ($4.5 million after-tax, or $0.03 per diluted share), related to assets in our Australian segment. The charge is included in Impairment expense on the accompanying consolidated statements of operations.</w:t>
      </w:r>
    </w:p>
    <w:p>
      <w:pPr>
        <w:ind w:left="980" w:right="40" w:hanging="324"/>
        <w:spacing w:after="0" w:line="270" w:lineRule="auto"/>
        <w:tabs>
          <w:tab w:leader="none" w:pos="9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We identified a liability related to an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 Specifically, we recorded: (1) additional accretion expense related to the ARO of $0.9 million, (2) additional depreciation and amortization expense of $0.5 million related to amortization of the related asset retirement cost and (3) additional impairment expense related to the impairment of the asset retirement cost of $1.0 million offset by recognition of an ARO liability totaling $2.3 million as of June 30, 2019.</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second quarter of 2018, we recognized the following items:</w:t>
      </w:r>
    </w:p>
    <w:p>
      <w:pPr>
        <w:spacing w:after="0" w:line="23" w:lineRule="exact"/>
        <w:rPr>
          <w:sz w:val="20"/>
          <w:szCs w:val="20"/>
          <w:color w:val="auto"/>
        </w:rPr>
      </w:pPr>
    </w:p>
    <w:p>
      <w:pPr>
        <w:ind w:left="980" w:right="200" w:hanging="324"/>
        <w:spacing w:after="0" w:line="261"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Costs associated with the Noralta Acquisition of $5.6 million ($5.1 million after-tax, or $0.03 per diluted share), included primarily in Selling, general and administrative expenses on the accompanying consolidated statements of operations.</w:t>
      </w:r>
    </w:p>
    <w:p>
      <w:pPr>
        <w:spacing w:after="0" w:line="183" w:lineRule="exact"/>
        <w:rPr>
          <w:rFonts w:ascii="Arial" w:cs="Arial" w:eastAsia="Arial" w:hAnsi="Arial"/>
          <w:sz w:val="18"/>
          <w:szCs w:val="18"/>
          <w:color w:val="auto"/>
        </w:rPr>
      </w:pPr>
    </w:p>
    <w:p>
      <w:pPr>
        <w:ind w:left="440" w:hanging="324"/>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third quarter of 2019, we recognized the following items: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 gain on sale of assets related to the sale of a village in Australia and related $2.2 million release of an ARO liability assumed by the buyer.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2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Costs associated with the Action acquisition of $0.2 million ($0.2 million after-tax, or $0.00 per diluted share), included primarily in Selling, general and administrative expenses on the accompanying consolidated statements of operations.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the third quarter of 2018, we recognized the following items:</w:t>
      </w:r>
    </w:p>
    <w:p>
      <w:pPr>
        <w:spacing w:after="0" w:line="23" w:lineRule="exact"/>
        <w:rPr>
          <w:sz w:val="20"/>
          <w:szCs w:val="20"/>
          <w:color w:val="auto"/>
        </w:rPr>
      </w:pPr>
    </w:p>
    <w:p>
      <w:pPr>
        <w:ind w:left="980" w:right="180" w:hanging="324"/>
        <w:spacing w:after="0" w:line="261"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Costs associated with the Noralta Acquisition of $0.5 million ($0.4 million after-tax, or $0.00 per diluted share), included primarily in Selling, general and administrative expenses on the accompanying consolidated statements of operations.</w:t>
      </w:r>
    </w:p>
    <w:p>
      <w:pPr>
        <w:spacing w:after="0" w:line="183" w:lineRule="exact"/>
        <w:rPr>
          <w:rFonts w:ascii="Arial" w:cs="Arial" w:eastAsia="Arial" w:hAnsi="Arial"/>
          <w:sz w:val="18"/>
          <w:szCs w:val="18"/>
          <w:color w:val="auto"/>
        </w:rPr>
      </w:pPr>
    </w:p>
    <w:p>
      <w:pPr>
        <w:ind w:left="440" w:hanging="324"/>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fourth quarter of 2019, we recognized the following items:</w:t>
      </w:r>
    </w:p>
    <w:p>
      <w:pPr>
        <w:spacing w:after="0" w:line="23" w:lineRule="exact"/>
        <w:rPr>
          <w:rFonts w:ascii="Arial" w:cs="Arial" w:eastAsia="Arial" w:hAnsi="Arial"/>
          <w:sz w:val="18"/>
          <w:szCs w:val="18"/>
          <w:color w:val="auto"/>
        </w:rPr>
      </w:pPr>
    </w:p>
    <w:p>
      <w:pPr>
        <w:ind w:left="980" w:right="100" w:hanging="324"/>
        <w:spacing w:after="0" w:line="250"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Goodwill impairment loss of $19.9 million ($19.9 million after-tax, or $0.12 per diluted share) related to our Canada reporting unit. The charge is included in Impairment expense on the accompanying consolidated statements of operations.</w:t>
      </w:r>
    </w:p>
    <w:p>
      <w:pPr>
        <w:ind w:left="980" w:right="180" w:hanging="324"/>
        <w:spacing w:after="0" w:line="250"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charge of $0.7 million ($0.5 million after-tax, or $0.00 per diluted share), related to assets in our Canada segment. The charge is included in Impairment expense on the accompanying consolidated statements of operations.</w:t>
      </w:r>
    </w:p>
    <w:p>
      <w:pPr>
        <w:ind w:left="980" w:right="280" w:hanging="324"/>
        <w:spacing w:after="0" w:line="261"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Costs associated with the Action acquisition of $0.2 million ($0.2 million after-tax, or $0.00 per diluted share), included primarily in Selling, general and administrative expenses on the accompanying consolidated statements of operations.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the fourth quarter of 2018, we recognized the following items:</w:t>
      </w:r>
    </w:p>
    <w:p>
      <w:pPr>
        <w:spacing w:after="0" w:line="23" w:lineRule="exact"/>
        <w:rPr>
          <w:sz w:val="20"/>
          <w:szCs w:val="20"/>
          <w:color w:val="auto"/>
        </w:rPr>
      </w:pPr>
    </w:p>
    <w:p>
      <w:pPr>
        <w:ind w:left="980" w:right="180" w:hanging="324"/>
        <w:spacing w:after="0" w:line="250"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associated with the Noralta Acquisition of $2.1 million ($1.7 million after-tax, or $0.01 per diluted share), included in Service and other costs ($0.6 million), Selling, general and administrative expenses ($0.6 million) and Other income ($0.9 million) on the accompanying consolidated statements of operations.</w:t>
      </w:r>
    </w:p>
    <w:p>
      <w:pPr>
        <w:spacing w:after="0" w:line="1" w:lineRule="exact"/>
        <w:rPr>
          <w:rFonts w:ascii="Arial" w:cs="Arial" w:eastAsia="Arial" w:hAnsi="Arial"/>
          <w:sz w:val="18"/>
          <w:szCs w:val="18"/>
          <w:color w:val="auto"/>
        </w:rPr>
      </w:pPr>
    </w:p>
    <w:p>
      <w:pPr>
        <w:ind w:left="980" w:hanging="324"/>
        <w:spacing w:after="0" w:line="255"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Reversal of depreciation expense of $2.8 million that should not have been recorded in the first, second and third quarters of 2018. We determined that the overstatement of depreciation expense was not material to our financial statements for the periods ended September 30, June 30 or March 31, 2018 and therefore corrected the error in the fourth quarter of 2018.</w:t>
      </w:r>
    </w:p>
    <w:p>
      <w:pPr>
        <w:spacing w:after="0" w:line="190" w:lineRule="exact"/>
        <w:rPr>
          <w:sz w:val="20"/>
          <w:szCs w:val="20"/>
          <w:color w:val="auto"/>
        </w:rPr>
      </w:pPr>
    </w:p>
    <w:p>
      <w:pPr>
        <w:ind w:right="60" w:firstLine="392"/>
        <w:spacing w:after="0" w:line="277" w:lineRule="auto"/>
        <w:rPr>
          <w:sz w:val="20"/>
          <w:szCs w:val="20"/>
          <w:color w:val="auto"/>
        </w:rPr>
      </w:pPr>
      <w:r>
        <w:rPr>
          <w:rFonts w:ascii="Arial" w:cs="Arial" w:eastAsia="Arial" w:hAnsi="Arial"/>
          <w:sz w:val="18"/>
          <w:szCs w:val="18"/>
          <w:color w:val="auto"/>
        </w:rPr>
        <w:t>Amounts are calculated independently for each of the quarters presented. Therefore, the sum of the quarterly amounts may not equal the total calculated for the year.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125" w:right="259" w:bottom="1440" w:gutter="0" w:footer="0" w:header="0"/>
        </w:sectPr>
      </w:pPr>
    </w:p>
    <w:bookmarkStart w:id="118" w:name="page119"/>
    <w:bookmarkEnd w:id="118"/>
    <w:p>
      <w:pPr>
        <w:spacing w:after="0" w:line="1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4.3</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jc w:val="center"/>
        <w:spacing w:after="0" w:line="203" w:lineRule="auto"/>
        <w:rPr>
          <w:sz w:val="20"/>
          <w:szCs w:val="20"/>
          <w:color w:val="auto"/>
        </w:rPr>
      </w:pPr>
      <w:r>
        <w:rPr>
          <w:rFonts w:ascii="Arial" w:cs="Arial" w:eastAsia="Arial" w:hAnsi="Arial"/>
          <w:sz w:val="18"/>
          <w:szCs w:val="18"/>
          <w:b w:val="1"/>
          <w:bCs w:val="1"/>
          <w:color w:val="auto"/>
        </w:rPr>
        <w:t>REGISTERED PURSUANT TO SECTION 12 OF THE</w:t>
      </w:r>
    </w:p>
    <w:p>
      <w:pPr>
        <w:jc w:val="center"/>
        <w:spacing w:after="0"/>
        <w:rPr>
          <w:sz w:val="20"/>
          <w:szCs w:val="20"/>
          <w:color w:val="auto"/>
        </w:rPr>
      </w:pPr>
      <w:r>
        <w:rPr>
          <w:rFonts w:ascii="Arial" w:cs="Arial" w:eastAsia="Arial" w:hAnsi="Arial"/>
          <w:sz w:val="18"/>
          <w:szCs w:val="18"/>
          <w:b w:val="1"/>
          <w:bCs w:val="1"/>
          <w:color w:val="auto"/>
        </w:rPr>
        <w:t>SECURITIES ACT OF 1934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The authorized shares of Civeo Corporation (“Civeo,” “us,” “our” or “we”) consist of (i) 550,000,000 common shares, no par value, (ii) up to 50,000,000 Class A preferred shares, no par value, to be issued in one or more series, and (iii) up to 50,000,000 Class B preferred shares, no par value, to be issued in one or more series, provided that the authorized limit of the Class A preferred shares and the Class B preferred shares is 50,000,000 shares in the aggregate. The first series of Class A preferred shares are designated as the “Class A Series 1 Preferred Shares” and up to 50,000,000 Class A Series 1 Preferred Shares are authorized for issuance, and the first series of Class B preferred shares are designated as the “Class B Series 1 Preferred Shares” and up to 50,000,000 Class B Series 1 Preferred Shares are authorized for issuance, provided that no more than 50,000,000 Class A Series 1 Preferred Shares and Class B Series 1 Preferred Shares are issued in the aggregate. We have outstanding 9,042 Class A Series 1 Preferred Shares that were issued in connection with our 2018 acquisition of Noralta Lodge Ltd.</w:t>
      </w:r>
    </w:p>
    <w:p>
      <w:pPr>
        <w:spacing w:after="0" w:line="17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may issue shares subject to the maximum authorized share capital contained in our notice of articles. The maximum number of shares that we are authorized to issue out of any class or series of shares may be increased or decreased by a resolution passed at a general meeting of shareholders by two thirds of the votes cast on such resolution by shareholders voting shares that carry the right to vote at general meetings. Our directors are authorized to issue new common shares, Class A preferred shares or Class B preferred shares without shareholder approval.</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rights and restrictions to which the common shares and Class A Series 1 Preferred Shares are subject are set out in our amended and restated articles (“articles”). Our notice of articles and articles permit the board of directors, without shareholder approval, to alter and attach special rights and restrictions to the Class B Series 1 Preferred Shares, including the number of shares, dividend rights, liquidation preferences, voting rights, conversion rights, preemptive rights and redemption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Shares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following description sets forth certain material terms and provisions of our common shares, which are registered under Section 12 of the Securities Exchange Act of 1934, as amended. The following description of our common shares is not complete and is qualified in its entirety by reference to our notice of articles and articles, which are filed as exhibits to our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 xml:space="preserve">Except as provided by law or pursuant to the rights that the directors may attach to the Class B Series 1 Preferred Shares or any future outstanding series of preferred shares, holders of common shares are entitled to one vote for each share held of record on all matters submitted to a vote of the shareholders, have the right to vote for the election of directors and do not have cumulative voting rights. Except as otherwise required by law, holders of common shares are not entitled to vote on any amendment to the notice of articles or articles that prejudices or interferes with the rights and special rights of the Class A Series 1 Preferred Shares, Class B Series 1 Preferred Shares or any future outstanding series of preferred shares if the holders of such affected series are entitled, either separately or together with the holders of one or more other such series, to vote thereon pursuant to the notice of articles and articles or pursuant to British Columbia law or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(British Columbia) (the “BCA”).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Subject to prior rights and preferences that are applicable to the Class A Series 1 Preferred Shares and that may be applicable to the Class B Series 1 Preferred Shares or any future outstanding series of preferred shares, holders of common shares are entitled to receive ratably in proportion to the number of common shares held by them such dividends (payable in cash, shares or otherwise), if any, as may be declared from time to time by the board of directors out of funds available for dividend payments. Dividends will not be declared where there are reasonable grounds for believing the company is insolvent or the payment of dividends would render the company insolvent. There is not a fixed rate of dividends.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Sinking Fund, Redemption, Liquidation and Preemption Rights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holders of common shares have no preferences or rights of conversion, exchange, pre-emption or other subscription rights. There are no redemption or sinking fund provisions applicable to the common shares. In the event of any voluntary or involuntary liquidation, dissolution or winding-up of our affairs, holders of common shares will be entitled to share ratably in our assets in proportion to the common shares held by them that are remaining after payment or provision for payment of all of our debts and obligations and after distribution in full of preferential amounts to be distributed to holders of outstanding shares of the Class A Series 1 Preferred Shares, the Class B Series 1 Preferred Shares or any other outstanding preferred shares, if 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of Articles and Articles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Provisions of our notice of articles and articles may delay or discourage transactions involving an actual or potential change in control or change in our management, including transactions in which shareholders might otherwise receive a premium for their shares, or transactions that our shareholders might otherwise deem to be in their best interests. Therefore, these provisions could adversely affect the price of our shares.</w:t>
      </w:r>
    </w:p>
    <w:p>
      <w:pPr>
        <w:spacing w:after="0" w:line="16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Among other things, our notice of articles and articles:</w:t>
      </w:r>
    </w:p>
    <w:p>
      <w:pPr>
        <w:spacing w:after="0" w:line="225" w:lineRule="exact"/>
        <w:rPr>
          <w:sz w:val="20"/>
          <w:szCs w:val="20"/>
          <w:color w:val="auto"/>
        </w:rPr>
      </w:pPr>
    </w:p>
    <w:p>
      <w:pPr>
        <w:ind w:left="980" w:right="240" w:hanging="324"/>
        <w:spacing w:after="0" w:line="286"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provide that our directors are divided into three classes serving staggered three-year terms, with only one class being elected each year by our shareholders. This classified board may discourage a third party from making a tender offer or otherwise attempting to obtain control of us because it generally makes it more difficult for shareholders to replace a majority of our directors;</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provide that our directors may only be removed by shareholders passing a resolution with the requisite majority of three-quarters of the votes</w:t>
      </w:r>
    </w:p>
    <w:p>
      <w:pPr>
        <w:sectPr>
          <w:pgSz w:w="11900" w:h="16851" w:orient="portrait"/>
          <w:cols w:equalWidth="0" w:num="1">
            <w:col w:w="11420"/>
          </w:cols>
          <w:pgMar w:left="240" w:top="125" w:right="239" w:bottom="0" w:gutter="0" w:footer="0" w:header="0"/>
        </w:sectPr>
      </w:pPr>
    </w:p>
    <w:bookmarkStart w:id="119" w:name="page120"/>
    <w:bookmarkEnd w:id="119"/>
    <w:p>
      <w:pPr>
        <w:ind w:left="980"/>
        <w:spacing w:after="0"/>
        <w:rPr>
          <w:sz w:val="20"/>
          <w:szCs w:val="20"/>
          <w:color w:val="auto"/>
        </w:rPr>
      </w:pPr>
      <w:r>
        <w:rPr>
          <w:rFonts w:ascii="Arial" w:cs="Arial" w:eastAsia="Arial" w:hAnsi="Arial"/>
          <w:sz w:val="18"/>
          <w:szCs w:val="18"/>
          <w:color w:val="auto"/>
        </w:rPr>
        <w:t>cast at a meeting of shareholders entitled to vote in the election of directors, voting together as a single class;</w:t>
      </w:r>
    </w:p>
    <w:p>
      <w:pPr>
        <w:spacing w:after="0" w:line="225" w:lineRule="exact"/>
        <w:rPr>
          <w:sz w:val="20"/>
          <w:szCs w:val="20"/>
          <w:color w:val="auto"/>
        </w:rPr>
      </w:pPr>
    </w:p>
    <w:p>
      <w:pPr>
        <w:ind w:left="980" w:hanging="324"/>
        <w:spacing w:after="0" w:line="273" w:lineRule="auto"/>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establish advance notice procedures with regard to shareholder proposals relating to the nomination of candidates for election as directors or new business to be brought before meetings of our shareholders. These procedures provide that notice of shareholder proposals must be timely given in writing to our corporate secretary prior to the meeting at which the action is to be taken. Generally, to be timely, notice must be received at our principal executive offices not later than 120 days prior to the first anniversary date of the annual meeting for the preceding year. Our articles specify the requirements as to form and content of all shareholders’ notices. These requirements may preclude shareholders from bringing matters before the shareholders at an annual or special meeting;</w:t>
      </w:r>
    </w:p>
    <w:p>
      <w:pPr>
        <w:spacing w:after="0" w:line="178" w:lineRule="exact"/>
        <w:rPr>
          <w:rFonts w:ascii="Arial" w:cs="Arial" w:eastAsia="Arial" w:hAnsi="Arial"/>
          <w:sz w:val="17"/>
          <w:szCs w:val="17"/>
          <w:color w:val="auto"/>
        </w:rPr>
      </w:pPr>
    </w:p>
    <w:p>
      <w:pPr>
        <w:ind w:left="980" w:right="240" w:hanging="324"/>
        <w:spacing w:after="0" w:line="259"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our board of directors the ability to issue the Class A Series 1 Preferred Shares and the Class B Series 1 Preferred Shares. This ability makes it possible for our board of directors to issue, without shareholder approval, preferred shares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only be set by the board of directors;</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or, if applicable, the rights of holders of a series of preferred shares, be filled by the affirmative vote of a majority of directors then in office;</w:t>
      </w:r>
    </w:p>
    <w:p>
      <w:pPr>
        <w:spacing w:after="0" w:line="170" w:lineRule="exact"/>
        <w:rPr>
          <w:rFonts w:ascii="Arial" w:cs="Arial" w:eastAsia="Arial" w:hAnsi="Arial"/>
          <w:sz w:val="18"/>
          <w:szCs w:val="18"/>
          <w:color w:val="auto"/>
        </w:rPr>
      </w:pPr>
    </w:p>
    <w:p>
      <w:pPr>
        <w:ind w:left="980" w:right="180" w:hanging="324"/>
        <w:spacing w:after="0" w:line="264"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that any action required or permitted to be taken by the shareholders must be effected at a duly called annual or special meeting of shareholders and may not be effected by any consent in writing in lieu of a meeting of such shareholders, subject to the rights of the holders of any series of preferred shares with respect to such series;</w:t>
      </w:r>
    </w:p>
    <w:p>
      <w:pPr>
        <w:spacing w:after="0" w:line="181"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that our notice of articles and articles can be amended or repealed at any annual or special meeting of shareholders or amended by the board of directors in certain circumstances, including the requirement that certain amendments by the shareholders to the articles at a meeting be upon a resolution passed by the affirmative vote of the holders of 66 2/3% of the voting power of the issued and outstanding shares entitled to vote on such matters, voting together as a single class; and</w:t>
      </w:r>
    </w:p>
    <w:p>
      <w:pPr>
        <w:spacing w:after="0" w:line="183" w:lineRule="exact"/>
        <w:rPr>
          <w:rFonts w:ascii="Arial" w:cs="Arial" w:eastAsia="Arial" w:hAnsi="Arial"/>
          <w:sz w:val="18"/>
          <w:szCs w:val="18"/>
          <w:color w:val="auto"/>
        </w:rPr>
      </w:pPr>
    </w:p>
    <w:p>
      <w:pPr>
        <w:ind w:left="980" w:right="100" w:hanging="324"/>
        <w:spacing w:after="0" w:line="25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that, if a meeting of shareholders has been adjourned one or more times due to insufficient attendance required to pass any resolution, and at such adjourned meeting, less than the number of holders required to pass any resolution requiring 66 2/3% of the voting power of the issued and outstanding shares is present in person or by proxy, with the approval of the board, the holders holding at least 66 2/3% of the shares present in person or by proxy at such adjourned meeting and entitled to vote on the matter, voting together as a single class, may alter the articles.</w:t>
      </w:r>
    </w:p>
    <w:p>
      <w:pPr>
        <w:spacing w:after="0" w:line="18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When interpreting a director’s duties under British Columbia law, Canadian courts have generally interpreted a director’s duty to act in “the best interest of the company” to include a duty to treat all stakeholders affected by corporate actions equitably and fairly, including in the context of a change of control transaction. Accordingly, in determining what is in “the best interests of the company”, it may be legitimate for our directors to consider the interests of not only the company’s shareholders, but other stakeholders, such as employees and creditors, as well.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of Liability and Indemnification Matters</w:t>
      </w:r>
    </w:p>
    <w:p>
      <w:pPr>
        <w:spacing w:after="0" w:line="225"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Our articles allow us to indemnify our directors to the fullest extent authorized by the BCA against all expenses, liabilities and losses (including judgments and fines) which may be reasonably incurred by reason of being or having been a director of the company, except for liability that cannot be indemnified under British Columbia law. British Columbia law provides that a company must not indemnify its directors if any of the following circumstances apply:</w:t>
      </w:r>
    </w:p>
    <w:p>
      <w:pPr>
        <w:spacing w:after="0" w:line="187" w:lineRule="exact"/>
        <w:rPr>
          <w:sz w:val="20"/>
          <w:szCs w:val="20"/>
          <w:color w:val="auto"/>
        </w:rPr>
      </w:pPr>
    </w:p>
    <w:p>
      <w:pPr>
        <w:ind w:left="980" w:hanging="324"/>
        <w:spacing w:after="0" w:line="308" w:lineRule="auto"/>
        <w:tabs>
          <w:tab w:leader="none" w:pos="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the indemnity or payment is made under an earlier agreement to indemnify or pay expenses and, at the time that the agreement to indemnify or pay expenses was made, the company was prohibited from giving the indemnity or paying the expenses by its articles;</w:t>
      </w:r>
    </w:p>
    <w:p>
      <w:pPr>
        <w:spacing w:after="0" w:line="146" w:lineRule="exact"/>
        <w:rPr>
          <w:rFonts w:ascii="Arial" w:cs="Arial" w:eastAsia="Arial" w:hAnsi="Arial"/>
          <w:sz w:val="17"/>
          <w:szCs w:val="17"/>
          <w:color w:val="auto"/>
        </w:rPr>
      </w:pPr>
    </w:p>
    <w:p>
      <w:pPr>
        <w:ind w:left="980" w:right="8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indemnity or payment is made otherwise than under an earlier agreement to indemnify or pay expenses and, at the time that the indemnity or payment is made, the company is prohibited from giving the indemnity or paying the expenses by its articles;</w:t>
      </w:r>
    </w:p>
    <w:p>
      <w:pPr>
        <w:spacing w:after="0" w:line="170" w:lineRule="exact"/>
        <w:rPr>
          <w:rFonts w:ascii="Arial" w:cs="Arial" w:eastAsia="Arial" w:hAnsi="Arial"/>
          <w:sz w:val="18"/>
          <w:szCs w:val="18"/>
          <w:color w:val="auto"/>
        </w:rPr>
      </w:pPr>
    </w:p>
    <w:p>
      <w:pPr>
        <w:ind w:left="980" w:right="20" w:hanging="324"/>
        <w:spacing w:after="0" w:line="259"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in relation to the subject matter of the relevant proceeding, the director did not act honestly and in good faith with a view to the best interests of the company or the associated corporation, as the case may be, with such associated corporation being an affiliate of the company or a partnership, trust, joint venture or other unincorporated entity in which the director served in the capacity as a director or a position equivalent to that thereof, at the request of the company; or</w:t>
      </w:r>
    </w:p>
    <w:p>
      <w:pPr>
        <w:spacing w:after="0" w:line="186"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case of the relevant proceeding other than a civil proceeding, if the director did not have reasonable grounds for believing that the director’s conduct in respect of which the proceeding was brought was lawful.</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Notwithstanding any of the above prohibitions, the company or a director may apply to court for an order that the company must indemnify the director for any liability or expenses incurred by the director or for any other related obligations of the company.</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articles also provide that we will indemnify our directors and officers to the fullest extent permitted by British Columbia law. The articles also permit us to purchase insurance on behalf of any officer, director, employee or other agent of our company or, at our request, of another entity, for any liability arising out of that person’s actions in such capacity. We have entered into indemnification agreements with each of our current directors and executive officers requiring us to indemnify these individuals to the fullest extent permitted under British Columbia law against liability that may arise by reason of their service to us, and to advance expenses incurred as a result of any proceeding against them as to which they could be indemnified, and have received a written undertaking from each such director and officer as required under British Columbia law.</w:t>
      </w:r>
    </w:p>
    <w:p>
      <w:pPr>
        <w:sectPr>
          <w:pgSz w:w="11900" w:h="16838" w:orient="portrait"/>
          <w:cols w:equalWidth="0" w:num="1">
            <w:col w:w="11420"/>
          </w:cols>
          <w:pgMar w:left="240" w:top="125" w:right="239" w:bottom="1440" w:gutter="0" w:footer="0" w:header="0"/>
        </w:sectPr>
      </w:pPr>
    </w:p>
    <w:bookmarkStart w:id="120" w:name="page121"/>
    <w:bookmarkEnd w:id="120"/>
    <w:p>
      <w:pPr>
        <w:spacing w:after="0" w:line="273" w:lineRule="auto"/>
        <w:rPr>
          <w:sz w:val="20"/>
          <w:szCs w:val="20"/>
          <w:color w:val="auto"/>
        </w:rPr>
      </w:pPr>
    </w:p>
    <w:p>
      <w:pPr>
        <w:sectPr>
          <w:pgSz w:w="11900" w:h="16838" w:orient="portrait"/>
          <w:cols w:equalWidth="1" w:num="1" w:space="0"/>
          <w:pgMar w:left="1440" w:top="1440" w:right="1440" w:bottom="875"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840"/>
        <w:spacing w:after="0"/>
        <w:rPr>
          <w:sz w:val="20"/>
          <w:szCs w:val="20"/>
          <w:color w:val="auto"/>
        </w:rPr>
      </w:pPr>
      <w:r>
        <w:rPr>
          <w:rFonts w:ascii="Arial" w:cs="Arial" w:eastAsia="Arial" w:hAnsi="Arial"/>
          <w:sz w:val="20"/>
          <w:szCs w:val="20"/>
          <w:b w:val="1"/>
          <w:bCs w:val="1"/>
          <w:color w:val="auto"/>
        </w:rPr>
        <w:t>SIGNIFICANT SUBSIDIARIES OF CIVEO CORPORATION</w:t>
      </w:r>
    </w:p>
    <w:p>
      <w:pPr>
        <w:sectPr>
          <w:pgSz w:w="11900" w:h="16838" w:orient="portrait"/>
          <w:cols w:equalWidth="0" w:num="1">
            <w:col w:w="10220"/>
          </w:cols>
          <w:pgMar w:left="1440" w:top="150" w:right="239" w:bottom="1440" w:gutter="0" w:footer="0" w:header="0"/>
        </w:sectPr>
      </w:pPr>
    </w:p>
    <w:p>
      <w:pPr>
        <w:spacing w:after="0" w:line="35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Name of Entity</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 of Organization</w:t>
      </w:r>
    </w:p>
    <w:p>
      <w:pPr>
        <w:spacing w:after="0" w:line="200" w:lineRule="exact"/>
        <w:rPr>
          <w:sz w:val="20"/>
          <w:szCs w:val="20"/>
          <w:color w:val="auto"/>
        </w:rPr>
      </w:pPr>
    </w:p>
    <w:p>
      <w:pPr>
        <w:sectPr>
          <w:pgSz w:w="11900" w:h="16838" w:orient="portrait"/>
          <w:cols w:equalWidth="0" w:num="2">
            <w:col w:w="5240" w:space="720"/>
            <w:col w:w="4260"/>
          </w:cols>
          <w:pgMar w:left="1440" w:top="150" w:right="239" w:bottom="1440" w:gutter="0" w:footer="0" w:header="0"/>
          <w:type w:val="continuous"/>
        </w:sectPr>
      </w:pPr>
    </w:p>
    <w:p>
      <w:pPr>
        <w:spacing w:after="0" w:line="20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Civeo Holding Company 1 Pty Ltd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77" w:lineRule="exact"/>
        <w:rPr>
          <w:sz w:val="20"/>
          <w:szCs w:val="20"/>
          <w:color w:val="auto"/>
        </w:rPr>
      </w:pPr>
    </w:p>
    <w:p>
      <w:pPr>
        <w:sectPr>
          <w:pgSz w:w="11900" w:h="16838" w:orient="portrait"/>
          <w:cols w:equalWidth="0" w:num="2">
            <w:col w:w="5240" w:space="720"/>
            <w:col w:w="4260"/>
          </w:cols>
          <w:pgMar w:left="1440" w:top="150" w:right="23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Civeo Canada Limited Partnership</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color w:val="auto"/>
        </w:rPr>
        <w:t>Alberta, Canada</w:t>
      </w:r>
    </w:p>
    <w:p>
      <w:pPr>
        <w:spacing w:after="0" w:line="99" w:lineRule="exact"/>
        <w:rPr>
          <w:sz w:val="20"/>
          <w:szCs w:val="20"/>
          <w:color w:val="auto"/>
        </w:rPr>
      </w:pPr>
    </w:p>
    <w:p>
      <w:pPr>
        <w:sectPr>
          <w:pgSz w:w="11900" w:h="16838" w:orient="portrait"/>
          <w:cols w:equalWidth="0" w:num="2">
            <w:col w:w="5240" w:space="720"/>
            <w:col w:w="4260"/>
          </w:cols>
          <w:pgMar w:left="1440" w:top="150" w:right="23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Civeo Management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 U.S.</w:t>
      </w:r>
    </w:p>
    <w:p>
      <w:pPr>
        <w:spacing w:after="0" w:line="99" w:lineRule="exact"/>
        <w:rPr>
          <w:sz w:val="20"/>
          <w:szCs w:val="20"/>
          <w:color w:val="auto"/>
        </w:rPr>
      </w:pPr>
    </w:p>
    <w:p>
      <w:pPr>
        <w:sectPr>
          <w:pgSz w:w="11900" w:h="16838" w:orient="portrait"/>
          <w:cols w:equalWidth="0" w:num="2">
            <w:col w:w="5240" w:space="720"/>
            <w:col w:w="4260"/>
          </w:cols>
          <w:pgMar w:left="1440" w:top="150" w:right="23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Civeo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Australia</w:t>
      </w:r>
    </w:p>
    <w:p>
      <w:pPr>
        <w:spacing w:after="0" w:line="77" w:lineRule="exact"/>
        <w:rPr>
          <w:sz w:val="20"/>
          <w:szCs w:val="20"/>
          <w:color w:val="auto"/>
        </w:rPr>
      </w:pPr>
    </w:p>
    <w:p>
      <w:pPr>
        <w:sectPr>
          <w:pgSz w:w="11900" w:h="16838" w:orient="portrait"/>
          <w:cols w:equalWidth="0" w:num="2">
            <w:col w:w="5240" w:space="720"/>
            <w:col w:w="4260"/>
          </w:cols>
          <w:pgMar w:left="1440" w:top="150" w:right="239" w:bottom="1440" w:gutter="0" w:footer="0" w:header="0"/>
          <w:type w:val="continuous"/>
        </w:sectPr>
      </w:pPr>
    </w:p>
    <w:p>
      <w:pPr>
        <w:ind w:left="480"/>
        <w:spacing w:after="0"/>
        <w:rPr>
          <w:sz w:val="20"/>
          <w:szCs w:val="20"/>
          <w:color w:val="auto"/>
        </w:rPr>
      </w:pPr>
      <w:r>
        <w:rPr>
          <w:rFonts w:ascii="Arial" w:cs="Arial" w:eastAsia="Arial" w:hAnsi="Arial"/>
          <w:sz w:val="19"/>
          <w:szCs w:val="19"/>
          <w:color w:val="auto"/>
        </w:rPr>
        <w:t>Civeo USA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 U.S.</w:t>
      </w:r>
    </w:p>
    <w:p>
      <w:pPr>
        <w:sectPr>
          <w:pgSz w:w="11900" w:h="16838" w:orient="portrait"/>
          <w:cols w:equalWidth="0" w:num="2">
            <w:col w:w="5240" w:space="720"/>
            <w:col w:w="4260"/>
          </w:cols>
          <w:pgMar w:left="1440" w:top="150" w:right="239" w:bottom="1440" w:gutter="0" w:footer="0" w:header="0"/>
          <w:type w:val="continuous"/>
        </w:sectPr>
      </w:pPr>
    </w:p>
    <w:bookmarkStart w:id="122" w:name="page123"/>
    <w:bookmarkEnd w:id="122"/>
    <w:p>
      <w:pPr>
        <w:ind w:left="8440"/>
        <w:spacing w:after="0"/>
        <w:rPr>
          <w:sz w:val="20"/>
          <w:szCs w:val="20"/>
          <w:color w:val="auto"/>
        </w:rPr>
      </w:pPr>
      <w:r>
        <w:rPr>
          <w:rFonts w:ascii="Arial" w:cs="Arial" w:eastAsia="Arial" w:hAnsi="Arial"/>
          <w:sz w:val="20"/>
          <w:szCs w:val="20"/>
          <w:color w:val="auto"/>
        </w:rPr>
        <w:t>Exhibit 23.1</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29" w:lineRule="exact"/>
        <w:rPr>
          <w:sz w:val="20"/>
          <w:szCs w:val="20"/>
          <w:color w:val="auto"/>
        </w:rPr>
      </w:pPr>
    </w:p>
    <w:p>
      <w:pPr>
        <w:ind w:left="980" w:hanging="648"/>
        <w:spacing w:after="0" w:line="260" w:lineRule="auto"/>
        <w:tabs>
          <w:tab w:leader="none" w:pos="9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Registration Statement (Form S-8 No. 333-196292, as amended) pertaining to the 2014 Equity Participation Plan of Civeo Corporation,</w:t>
      </w:r>
    </w:p>
    <w:p>
      <w:pPr>
        <w:spacing w:after="0" w:line="190" w:lineRule="exact"/>
        <w:rPr>
          <w:rFonts w:ascii="Arial" w:cs="Arial" w:eastAsia="Arial" w:hAnsi="Arial"/>
          <w:sz w:val="20"/>
          <w:szCs w:val="20"/>
          <w:color w:val="auto"/>
        </w:rPr>
      </w:pPr>
    </w:p>
    <w:p>
      <w:pPr>
        <w:ind w:left="980" w:right="20" w:hanging="648"/>
        <w:spacing w:after="0" w:line="260" w:lineRule="auto"/>
        <w:tabs>
          <w:tab w:leader="none" w:pos="9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Registration Statement (Form S-8 No. 333-211393) pertaining to the Amended and Restated 2014 Equity Participation Plan of Civeo Corporation,</w:t>
      </w:r>
    </w:p>
    <w:p>
      <w:pPr>
        <w:spacing w:after="0" w:line="190" w:lineRule="exact"/>
        <w:rPr>
          <w:rFonts w:ascii="Arial" w:cs="Arial" w:eastAsia="Arial" w:hAnsi="Arial"/>
          <w:sz w:val="20"/>
          <w:szCs w:val="20"/>
          <w:color w:val="auto"/>
        </w:rPr>
      </w:pPr>
    </w:p>
    <w:p>
      <w:pPr>
        <w:ind w:left="980" w:hanging="648"/>
        <w:spacing w:after="0" w:line="260" w:lineRule="auto"/>
        <w:tabs>
          <w:tab w:leader="none" w:pos="9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Registration Statement (Form S-8 No. 333-226388) pertaining to the Amended and Restated 2014 Equity Participation Plan of Civeo Corporation, and</w:t>
      </w:r>
    </w:p>
    <w:p>
      <w:pPr>
        <w:spacing w:after="0" w:line="190" w:lineRule="exact"/>
        <w:rPr>
          <w:rFonts w:ascii="Arial" w:cs="Arial" w:eastAsia="Arial" w:hAnsi="Arial"/>
          <w:sz w:val="20"/>
          <w:szCs w:val="20"/>
          <w:color w:val="auto"/>
        </w:rPr>
      </w:pPr>
    </w:p>
    <w:p>
      <w:pPr>
        <w:ind w:left="980" w:hanging="648"/>
        <w:spacing w:after="0" w:line="260" w:lineRule="auto"/>
        <w:tabs>
          <w:tab w:leader="none" w:pos="9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Registration Statement (Form S-3 No. 333-233444) pertaining to the registration of common shares, preferred shares, debt securities and warrants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of our reports dated February 27, 2020, with respect to the consolidated financial statements of Civeo Corporation and the effectiveness of internal control over financial reporting of Civeo Corporation, included in this Annual Report (Form 10-K) for the year ended December 31, 2019.</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i w:val="1"/>
          <w:iCs w:val="1"/>
          <w:color w:val="auto"/>
        </w:rPr>
        <w:t>Ernst &amp; Young LLP</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27, 2020</w:t>
      </w:r>
    </w:p>
    <w:p>
      <w:pPr>
        <w:sectPr>
          <w:pgSz w:w="11900" w:h="16838" w:orient="portrait"/>
          <w:cols w:equalWidth="0" w:num="1">
            <w:col w:w="11420"/>
          </w:cols>
          <w:pgMar w:left="240" w:top="339"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Bradley J. Dodson, certify that:</w:t>
      </w:r>
    </w:p>
    <w:p>
      <w:pPr>
        <w:spacing w:after="0" w:line="225" w:lineRule="exact"/>
        <w:rPr>
          <w:sz w:val="20"/>
          <w:szCs w:val="20"/>
          <w:color w:val="auto"/>
        </w:rPr>
      </w:pPr>
    </w:p>
    <w:p>
      <w:pPr>
        <w:ind w:left="520" w:hanging="328"/>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Civeo Corporation (“Registrant");</w:t>
      </w:r>
    </w:p>
    <w:p>
      <w:pPr>
        <w:spacing w:after="0" w:line="225" w:lineRule="exact"/>
        <w:rPr>
          <w:rFonts w:ascii="Arial" w:cs="Arial" w:eastAsia="Arial" w:hAnsi="Arial"/>
          <w:sz w:val="18"/>
          <w:szCs w:val="18"/>
          <w:color w:val="auto"/>
        </w:rPr>
      </w:pPr>
    </w:p>
    <w:p>
      <w:pPr>
        <w:jc w:val="both"/>
        <w:ind w:left="520" w:right="300" w:hanging="328"/>
        <w:spacing w:after="0" w:line="264"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60" w:hanging="328"/>
        <w:spacing w:after="0" w:line="308" w:lineRule="auto"/>
        <w:tabs>
          <w:tab w:leader="none" w:pos="5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328"/>
        <w:spacing w:after="0" w:line="264"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00" w:right="80" w:hanging="322"/>
        <w:spacing w:after="0" w:line="264" w:lineRule="auto"/>
        <w:tabs>
          <w:tab w:leader="none" w:pos="10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380" w:hanging="322"/>
        <w:spacing w:after="0" w:line="264" w:lineRule="auto"/>
        <w:tabs>
          <w:tab w:leader="none" w:pos="10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540" w:hanging="322"/>
        <w:spacing w:after="0" w:line="342" w:lineRule="auto"/>
        <w:tabs>
          <w:tab w:leader="none" w:pos="10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hanging="322"/>
        <w:spacing w:after="0" w:line="264" w:lineRule="auto"/>
        <w:tabs>
          <w:tab w:leader="none" w:pos="10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80"/>
          </w:cols>
          <w:pgMar w:left="380" w:top="553" w:right="239" w:bottom="1440" w:gutter="0" w:footer="0" w:header="0"/>
        </w:sectPr>
      </w:pPr>
    </w:p>
    <w:bookmarkStart w:id="124" w:name="page125"/>
    <w:bookmarkEnd w:id="124"/>
    <w:p>
      <w:pPr>
        <w:ind w:left="520" w:right="100" w:hanging="328"/>
        <w:spacing w:after="0" w:line="308" w:lineRule="auto"/>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hanging="322"/>
        <w:spacing w:after="0" w:line="308" w:lineRule="auto"/>
        <w:tabs>
          <w:tab w:leader="none" w:pos="10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00" w:right="460" w:hanging="322"/>
        <w:spacing w:after="0" w:line="277" w:lineRule="auto"/>
        <w:tabs>
          <w:tab w:leader="none" w:pos="10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17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4779010</wp:posOffset>
            </wp:positionH>
            <wp:positionV relativeFrom="paragraph">
              <wp:posOffset>31750</wp:posOffset>
            </wp:positionV>
            <wp:extent cx="23837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Bradley J. Dodson</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60"/>
          </w:cols>
          <w:pgMar w:left="380" w:top="557" w:right="25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Carolyn J. Stone, certify that:</w:t>
      </w:r>
    </w:p>
    <w:p>
      <w:pPr>
        <w:spacing w:after="0" w:line="225" w:lineRule="exact"/>
        <w:rPr>
          <w:sz w:val="20"/>
          <w:szCs w:val="20"/>
          <w:color w:val="auto"/>
        </w:rPr>
      </w:pPr>
    </w:p>
    <w:p>
      <w:pPr>
        <w:ind w:left="1000" w:hanging="322"/>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Civeo Corporation (“Registrant”);</w:t>
      </w:r>
    </w:p>
    <w:p>
      <w:pPr>
        <w:spacing w:after="0" w:line="225" w:lineRule="exact"/>
        <w:rPr>
          <w:rFonts w:ascii="Arial" w:cs="Arial" w:eastAsia="Arial" w:hAnsi="Arial"/>
          <w:sz w:val="18"/>
          <w:szCs w:val="18"/>
          <w:color w:val="auto"/>
        </w:rPr>
      </w:pPr>
    </w:p>
    <w:p>
      <w:pPr>
        <w:jc w:val="both"/>
        <w:ind w:left="1000" w:right="80" w:hanging="322"/>
        <w:spacing w:after="0" w:line="264"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00" w:right="40" w:hanging="322"/>
        <w:spacing w:after="0" w:line="308" w:lineRule="auto"/>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000" w:right="120" w:hanging="322"/>
        <w:spacing w:after="0" w:line="264"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20" w:right="80" w:hanging="318"/>
        <w:spacing w:after="0" w:line="264" w:lineRule="auto"/>
        <w:tabs>
          <w:tab w:leader="none" w:pos="13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20" w:right="60" w:hanging="318"/>
        <w:spacing w:after="0" w:line="264" w:lineRule="auto"/>
        <w:tabs>
          <w:tab w:leader="none" w:pos="13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20" w:right="220" w:hanging="318"/>
        <w:spacing w:after="0" w:line="342" w:lineRule="auto"/>
        <w:tabs>
          <w:tab w:leader="none" w:pos="13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20" w:right="140" w:hanging="318"/>
        <w:spacing w:after="0" w:line="264" w:lineRule="auto"/>
        <w:tabs>
          <w:tab w:leader="none" w:pos="13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80"/>
          </w:cols>
          <w:pgMar w:left="380" w:top="553" w:right="239" w:bottom="1440" w:gutter="0" w:footer="0" w:header="0"/>
        </w:sectPr>
      </w:pPr>
    </w:p>
    <w:bookmarkStart w:id="126" w:name="page127"/>
    <w:bookmarkEnd w:id="126"/>
    <w:p>
      <w:pPr>
        <w:ind w:left="1000" w:hanging="322"/>
        <w:spacing w:after="0" w:line="342" w:lineRule="auto"/>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20" w:right="440" w:hanging="318"/>
        <w:spacing w:after="0" w:line="342" w:lineRule="auto"/>
        <w:tabs>
          <w:tab w:leader="none" w:pos="13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20" w:right="60" w:hanging="318"/>
        <w:spacing w:after="0" w:line="277" w:lineRule="auto"/>
        <w:tabs>
          <w:tab w:leader="none" w:pos="13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387"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4779010</wp:posOffset>
            </wp:positionH>
            <wp:positionV relativeFrom="paragraph">
              <wp:posOffset>31750</wp:posOffset>
            </wp:positionV>
            <wp:extent cx="23837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Carolyn J. Stone</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Senior Vice President, Chief Financial Officer and</w:t>
      </w:r>
    </w:p>
    <w:p>
      <w:pPr>
        <w:spacing w:after="0" w:line="32"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200"/>
          </w:cols>
          <w:pgMar w:left="380" w:top="557" w:right="3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In connection with the Annual Report on Form 10-K of Civeo Corporation (the “Company”) for the twelve month period ended December 31, 2019,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187"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tabs>
          <w:tab w:leader="none" w:pos="7560" w:val="left"/>
        </w:tabs>
        <w:rPr>
          <w:sz w:val="20"/>
          <w:szCs w:val="20"/>
          <w:color w:val="auto"/>
        </w:rPr>
      </w:pPr>
      <w:r>
        <w:rPr>
          <w:rFonts w:ascii="Arial" w:cs="Arial" w:eastAsia="Arial" w:hAnsi="Arial"/>
          <w:sz w:val="18"/>
          <w:szCs w:val="18"/>
          <w:color w:val="auto"/>
        </w:rPr>
        <w:t>Name:</w:t>
        <w:tab/>
        <w:t>Bradley J. Dodson</w:t>
      </w:r>
    </w:p>
    <w:p>
      <w:pPr>
        <w:spacing w:after="0" w:line="63" w:lineRule="exact"/>
        <w:rPr>
          <w:sz w:val="20"/>
          <w:szCs w:val="20"/>
          <w:color w:val="auto"/>
        </w:rPr>
      </w:pPr>
    </w:p>
    <w:p>
      <w:pPr>
        <w:ind w:left="6900"/>
        <w:spacing w:after="0"/>
        <w:tabs>
          <w:tab w:leader="none" w:pos="7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2020</w:t>
      </w:r>
    </w:p>
    <w:p>
      <w:pPr>
        <w:sectPr>
          <w:pgSz w:w="11900" w:h="16838" w:orient="portrait"/>
          <w:cols w:equalWidth="0" w:num="1">
            <w:col w:w="11420"/>
          </w:cols>
          <w:pgMar w:left="240" w:top="553"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In connection with the Annual Report on Form 10-K of Civeo Corporation (the “Company”) for the twelve month period ended December 31, 2019, as filed with the Securities and Exchange Commission on the date hereof (the “Report”), I, Carolyn J. Stone, Senior Vice President, Chief Financial Officer and Treasurer of the Company, hereby certify, pursuant to 18 U.S.C. Section 1350, as adopted pursuant to Section 906 of the Sarbanes-Oxley Act of 2002, to the best of my knowledge, that:</w:t>
      </w:r>
    </w:p>
    <w:p>
      <w:pPr>
        <w:spacing w:after="0" w:line="187"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727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57" w:lineRule="exact"/>
        <w:rPr>
          <w:sz w:val="20"/>
          <w:szCs w:val="20"/>
          <w:color w:val="auto"/>
        </w:rPr>
      </w:pPr>
    </w:p>
    <w:p>
      <w:pPr>
        <w:ind w:left="6900"/>
        <w:spacing w:after="0"/>
        <w:tabs>
          <w:tab w:leader="none" w:pos="7560" w:val="left"/>
        </w:tabs>
        <w:rPr>
          <w:sz w:val="20"/>
          <w:szCs w:val="20"/>
          <w:color w:val="auto"/>
        </w:rPr>
      </w:pPr>
      <w:r>
        <w:rPr>
          <w:rFonts w:ascii="Arial" w:cs="Arial" w:eastAsia="Arial" w:hAnsi="Arial"/>
          <w:sz w:val="18"/>
          <w:szCs w:val="18"/>
          <w:color w:val="auto"/>
        </w:rPr>
        <w:t>Name:</w:t>
        <w:tab/>
        <w:t>Carolyn J. Stone</w:t>
      </w:r>
    </w:p>
    <w:p>
      <w:pPr>
        <w:spacing w:after="0" w:line="63" w:lineRule="exact"/>
        <w:rPr>
          <w:sz w:val="20"/>
          <w:szCs w:val="20"/>
          <w:color w:val="auto"/>
        </w:rPr>
      </w:pPr>
    </w:p>
    <w:p>
      <w:pPr>
        <w:ind w:left="6900"/>
        <w:spacing w:after="0"/>
        <w:tabs>
          <w:tab w:leader="none" w:pos="7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2020</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upperLetter"/>
      <w:start w:val="24"/>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decimal"/>
      <w:start w:val="1"/>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1)"/>
      <w:numFmt w:val="lowerRoman"/>
      <w:start w:val="2"/>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1)"/>
      <w:numFmt w:val="decimal"/>
      <w:start w:val="1"/>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upperLetter"/>
      <w:start w:val="2"/>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1)"/>
      <w:numFmt w:val="decimal"/>
      <w:start w:val="1"/>
    </w:lvl>
  </w:abstractNum>
  <w:abstractNum w:abstractNumId="34">
    <w:nsid w:val="70C6A529"/>
    <w:multiLevelType w:val="hybridMultilevel"/>
    <w:lvl w:ilvl="0">
      <w:lvlJc w:val="left"/>
      <w:lvlText w:val="•"/>
      <w:numFmt w:val="bullet"/>
      <w:start w:val="1"/>
    </w:lvl>
    <w:lvl w:ilvl="1">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lvl w:ilvl="1">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1."/>
      <w:numFmt w:val="decimal"/>
      <w:start w:val="2"/>
    </w:lvl>
  </w:abstractNum>
  <w:abstractNum w:abstractNumId="44">
    <w:nsid w:val="235BA861"/>
    <w:multiLevelType w:val="hybridMultilevel"/>
    <w:lvl w:ilvl="0">
      <w:lvlJc w:val="left"/>
      <w:lvlText w:val="%1."/>
      <w:numFmt w:val="decimal"/>
      <w:start w:val="3"/>
    </w:lvl>
  </w:abstractNum>
  <w:abstractNum w:abstractNumId="45">
    <w:nsid w:val="47398C89"/>
    <w:multiLevelType w:val="hybridMultilevel"/>
    <w:lvl w:ilvl="0">
      <w:lvlJc w:val="left"/>
      <w:lvlText w:val="%1."/>
      <w:numFmt w:val="decimal"/>
      <w:start w:val="4"/>
    </w:lvl>
  </w:abstractNum>
  <w:abstractNum w:abstractNumId="46">
    <w:nsid w:val="354FE9F9"/>
    <w:multiLevelType w:val="hybridMultilevel"/>
    <w:lvl w:ilvl="0">
      <w:lvlJc w:val="left"/>
      <w:lvlText w:val="%1."/>
      <w:numFmt w:val="decimal"/>
      <w:start w:val="5"/>
    </w:lvl>
  </w:abstractNum>
  <w:abstractNum w:abstractNumId="47">
    <w:nsid w:val="15B5AF5C"/>
    <w:multiLevelType w:val="hybridMultilevel"/>
    <w:lvl w:ilvl="0">
      <w:lvlJc w:val="left"/>
      <w:lvlText w:val="%1."/>
      <w:numFmt w:val="decimal"/>
      <w:start w:val="6"/>
    </w:lvl>
  </w:abstractNum>
  <w:abstractNum w:abstractNumId="48">
    <w:nsid w:val="741226BB"/>
    <w:multiLevelType w:val="hybridMultilevel"/>
    <w:lvl w:ilvl="0">
      <w:lvlJc w:val="left"/>
      <w:lvlText w:val="%1."/>
      <w:numFmt w:val="decimal"/>
      <w:start w:val="7"/>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1."/>
      <w:numFmt w:val="decimal"/>
      <w:start w:val="8"/>
    </w:lvl>
  </w:abstractNum>
  <w:abstractNum w:abstractNumId="51">
    <w:nsid w:val="3F6AB60F"/>
    <w:multiLevelType w:val="hybridMultilevel"/>
    <w:lvl w:ilvl="0">
      <w:lvlJc w:val="left"/>
      <w:lvlText w:val="%1."/>
      <w:numFmt w:val="decimal"/>
      <w:start w:val="9"/>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1)"/>
      <w:numFmt w:val="upperLetter"/>
      <w:start w:val="2"/>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1)"/>
      <w:numFmt w:val="decimal"/>
      <w:start w:val="1"/>
    </w:lvl>
    <w:lvl w:ilvl="1">
      <w:lvlJc w:val="left"/>
      <w:lvlText w:val="•"/>
      <w:numFmt w:val="bullet"/>
      <w:start w:val="1"/>
    </w:lvl>
  </w:abstractNum>
  <w:abstractNum w:abstractNumId="57">
    <w:nsid w:val="5FF87E05"/>
    <w:multiLevelType w:val="hybridMultilevel"/>
    <w:lvl w:ilvl="0">
      <w:lvlJc w:val="left"/>
      <w:lvlText w:val="(%1)"/>
      <w:numFmt w:val="decimal"/>
      <w:start w:val="3"/>
    </w:lvl>
    <w:lvl w:ilvl="1">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1)"/>
      <w:numFmt w:val="decimal"/>
      <w:start w:val="4"/>
    </w:lvl>
    <w:lvl w:ilvl="1">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1)"/>
      <w:numFmt w:val="lowerRoman"/>
      <w:start w:val="1"/>
    </w:lvl>
  </w:abstractNum>
  <w:abstractNum w:abstractNumId="65">
    <w:nsid w:val="100F8FCA"/>
    <w:multiLevelType w:val="hybridMultilevel"/>
    <w:lvl w:ilvl="0">
      <w:lvlJc w:val="left"/>
      <w:lvlText w:val="%1."/>
      <w:numFmt w:val="decimal"/>
      <w:start w:val="1"/>
    </w:lvl>
    <w:lvl w:ilvl="1">
      <w:lvlJc w:val="left"/>
      <w:lvlText w:val="%2."/>
      <w:numFmt w:val="lowerLetter"/>
      <w:start w:val="1"/>
    </w:lvl>
  </w:abstractNum>
  <w:abstractNum w:abstractNumId="66">
    <w:nsid w:val="6590700B"/>
    <w:multiLevelType w:val="hybridMultilevel"/>
    <w:lvl w:ilvl="0">
      <w:lvlJc w:val="left"/>
      <w:lvlText w:val="%1."/>
      <w:numFmt w:val="decimal"/>
      <w:start w:val="5"/>
    </w:lvl>
    <w:lvl w:ilvl="1">
      <w:lvlJc w:val="left"/>
      <w:lvlText w:val="%2."/>
      <w:numFmt w:val="lowerLetter"/>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5"/>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63" Type="http://schemas.openxmlformats.org/officeDocument/2006/relationships/image" Target="media/image15.png"/><Relationship Id="rId64" Type="http://schemas.openxmlformats.org/officeDocument/2006/relationships/image" Target="media/image16.png"/><Relationship Id="rId65" Type="http://schemas.openxmlformats.org/officeDocument/2006/relationships/image" Target="media/image17.png"/><Relationship Id="rId66" Type="http://schemas.openxmlformats.org/officeDocument/2006/relationships/image" Target="media/image18.png"/><Relationship Id="rId67" Type="http://schemas.openxmlformats.org/officeDocument/2006/relationships/image" Target="media/image19.png"/><Relationship Id="rId68" Type="http://schemas.openxmlformats.org/officeDocument/2006/relationships/image" Target="media/image20.png"/><Relationship Id="rId69" Type="http://schemas.openxmlformats.org/officeDocument/2006/relationships/image" Target="media/image21.png"/><Relationship Id="rId22" Type="http://schemas.openxmlformats.org/officeDocument/2006/relationships/hyperlink" Target="http://www.sec.gov/Archives/edgar/data/1590584/000143774914010483/ex2-1.htm" TargetMode="External"/><Relationship Id="rId23" Type="http://schemas.openxmlformats.org/officeDocument/2006/relationships/hyperlink" Target="http://www.sec.gov/Archives/edgar/data/1590584/000143774917019804/ex_101078.htm" TargetMode="External"/><Relationship Id="rId24" Type="http://schemas.openxmlformats.org/officeDocument/2006/relationships/hyperlink" Target="http://www.sec.gov/Archives/edgar/data/1590584/000143774918004861/ex_108119.htm" TargetMode="External"/><Relationship Id="rId25" Type="http://schemas.openxmlformats.org/officeDocument/2006/relationships/hyperlink" Target="http://www.sec.gov/Archives/edgar/data/1590584/000143774918006074/ex_109485.htm" TargetMode="External"/><Relationship Id="rId26" Type="http://schemas.openxmlformats.org/officeDocument/2006/relationships/hyperlink" Target="http://www.sec.gov/Archives/edgar/data/1590584/000143774918006074/ex_109480.htm" TargetMode="External"/><Relationship Id="rId27" Type="http://schemas.openxmlformats.org/officeDocument/2006/relationships/hyperlink" Target="http://www.sec.gov/Archives/edgar/data/1590584/000143774915013719/ex4-1.htm" TargetMode="External"/><Relationship Id="rId28" Type="http://schemas.openxmlformats.org/officeDocument/2006/relationships/hyperlink" Target="http://www.sec.gov/Archives/edgar/data/1590584/000143774918006074/ex_109479.htm" TargetMode="External"/><Relationship Id="rId29" Type="http://schemas.openxmlformats.org/officeDocument/2006/relationships/hyperlink" Target="http://www.sec.gov/Archives/edgar/data/1590584/000143774914010483/ex10-1.htm" TargetMode="External"/><Relationship Id="rId30" Type="http://schemas.openxmlformats.org/officeDocument/2006/relationships/hyperlink" Target="http://www.sec.gov/Archives/edgar/data/1590584/000143774914010483/ex10-2.htm" TargetMode="External"/><Relationship Id="rId31" Type="http://schemas.openxmlformats.org/officeDocument/2006/relationships/hyperlink" Target="http://www.sec.gov/Archives/edgar/data/1590584/000143774914010483/ex10-3.htm" TargetMode="External"/><Relationship Id="rId32" Type="http://schemas.openxmlformats.org/officeDocument/2006/relationships/hyperlink" Target="http://www.sec.gov/Archives/edgar/data/1590584/000143774914010483/ex10-4.htm" TargetMode="External"/><Relationship Id="rId33" Type="http://schemas.openxmlformats.org/officeDocument/2006/relationships/hyperlink" Target="http://www.sec.gov/Archives/edgar/data/1590584/000143774915013719/ex10-1.htm" TargetMode="External"/><Relationship Id="rId34" Type="http://schemas.openxmlformats.org/officeDocument/2006/relationships/hyperlink" Target="http://www.sec.gov/Archives/edgar/data/1590584/000119312516536013/d171905ddef14a.htm#toc171905_46" TargetMode="External"/><Relationship Id="rId35" Type="http://schemas.openxmlformats.org/officeDocument/2006/relationships/hyperlink" Target="http://www.sec.gov/Archives/edgar/data/1590584/000143774916030204/ex10-2.htm" TargetMode="External"/><Relationship Id="rId36" Type="http://schemas.openxmlformats.org/officeDocument/2006/relationships/hyperlink" Target="http://www.sec.gov/Archives/edgar/data/1590584/000143774916030204/ex10-3.htm" TargetMode="External"/><Relationship Id="rId37" Type="http://schemas.openxmlformats.org/officeDocument/2006/relationships/hyperlink" Target="http://www.sec.gov/Archives/edgar/data/1590584/000143774914006955/ex10-7.htm" TargetMode="External"/><Relationship Id="rId38" Type="http://schemas.openxmlformats.org/officeDocument/2006/relationships/hyperlink" Target="http://www.sec.gov/Archives/edgar/data/1590584/000143774914006955/ex10-8.htm" TargetMode="External"/><Relationship Id="rId39" Type="http://schemas.openxmlformats.org/officeDocument/2006/relationships/hyperlink" Target="http://www.sec.gov/Archives/edgar/data/1590584/000143774914006955/ex10-9.htm" TargetMode="External"/><Relationship Id="rId40" Type="http://schemas.openxmlformats.org/officeDocument/2006/relationships/hyperlink" Target="http://www.sec.gov/Archives/edgar/data/1590584/000143774914006955/ex10-10.htm" TargetMode="External"/><Relationship Id="rId41" Type="http://schemas.openxmlformats.org/officeDocument/2006/relationships/hyperlink" Target="http://www.sec.gov/Archives/edgar/data/1590584/000143774914006955/ex10-11.htm" TargetMode="External"/><Relationship Id="rId42" Type="http://schemas.openxmlformats.org/officeDocument/2006/relationships/hyperlink" Target="http://www.sec.gov/Archives/edgar/data/1590584/000143774914006955/ex10-12.htm" TargetMode="External"/><Relationship Id="rId43" Type="http://schemas.openxmlformats.org/officeDocument/2006/relationships/hyperlink" Target="http://www.sec.gov/Archives/edgar/data/1590584/000143774914006955/ex10-13.htm" TargetMode="External"/><Relationship Id="rId44" Type="http://schemas.openxmlformats.org/officeDocument/2006/relationships/hyperlink" Target="http://www.sec.gov/Archives/edgar/data/1590584/000143774914006955/ex10-14.htm" TargetMode="External"/><Relationship Id="rId45" Type="http://schemas.openxmlformats.org/officeDocument/2006/relationships/hyperlink" Target="http://www.sec.gov/Archives/edgar/data/1590584/000143774915005012/ex10-17.htm" TargetMode="External"/><Relationship Id="rId46" Type="http://schemas.openxmlformats.org/officeDocument/2006/relationships/hyperlink" Target="http://www.sec.gov/Archives/edgar/data/1590584/000143774915009327/ex10-1.htm" TargetMode="External"/><Relationship Id="rId47" Type="http://schemas.openxmlformats.org/officeDocument/2006/relationships/hyperlink" Target="http://www.sec.gov/Archives/edgar/data/1590584/000143774915013719/ex10-3.htm" TargetMode="External"/><Relationship Id="rId48" Type="http://schemas.openxmlformats.org/officeDocument/2006/relationships/hyperlink" Target="http://www.sec.gov/Archives/edgar/data/1590584/000143774915013719/ex10-4.htm" TargetMode="External"/><Relationship Id="rId49" Type="http://schemas.openxmlformats.org/officeDocument/2006/relationships/hyperlink" Target="http://www.sec.gov/Archives/edgar/data/1590584/000143774915013719/ex10-5.htm" TargetMode="External"/><Relationship Id="rId50" Type="http://schemas.openxmlformats.org/officeDocument/2006/relationships/hyperlink" Target="http://www.sec.gov/Archives/edgar/data/1590584/000143774915016537/ex10-1.htm" TargetMode="External"/><Relationship Id="rId51" Type="http://schemas.openxmlformats.org/officeDocument/2006/relationships/hyperlink" Target="http://www.sec.gov/Archives/edgar/data/1590584/000143774915016537/ex10-2.htm" TargetMode="External"/><Relationship Id="rId52" Type="http://schemas.openxmlformats.org/officeDocument/2006/relationships/hyperlink" Target="http://www.sec.gov/Archives/edgar/data/1590584/000143774915019401/ex10-8.htm" TargetMode="External"/><Relationship Id="rId53" Type="http://schemas.openxmlformats.org/officeDocument/2006/relationships/hyperlink" Target="http://www.sec.gov/Archives/edgar/data/1590584/000143774915019401/ex10-9.htm" TargetMode="External"/><Relationship Id="rId54" Type="http://schemas.openxmlformats.org/officeDocument/2006/relationships/hyperlink" Target="http://www.sec.gov/Archives/edgar/data/1590584/000143774915019401/ex10-11.htm" TargetMode="External"/><Relationship Id="rId55" Type="http://schemas.openxmlformats.org/officeDocument/2006/relationships/hyperlink" Target="http://www.sec.gov/Archives/edgar/data/1590584/000143774915019401/ex10-12.htm" TargetMode="External"/><Relationship Id="rId56" Type="http://schemas.openxmlformats.org/officeDocument/2006/relationships/hyperlink" Target="http://www.sec.gov/Archives/edgar/data/1590584/000143774917003062/ex10-33.htm" TargetMode="External"/><Relationship Id="rId57" Type="http://schemas.openxmlformats.org/officeDocument/2006/relationships/hyperlink" Target="http://www.sec.gov/Archives/edgar/data/1590584/000143774918013879/ex_118421.htm" TargetMode="External"/><Relationship Id="rId58" Type="http://schemas.openxmlformats.org/officeDocument/2006/relationships/hyperlink" Target="http://www.sec.gov/Archives/edgar/data/1590584/000143774918006074/ex_109517.htm" TargetMode="External"/><Relationship Id="rId59" Type="http://schemas.openxmlformats.org/officeDocument/2006/relationships/hyperlink" Target="http://www.sec.gov/Archives/edgar/data/1590584/000159058418000009/civeo-firstamendmentpostin.htm" TargetMode="External"/><Relationship Id="rId60" Type="http://schemas.openxmlformats.org/officeDocument/2006/relationships/hyperlink" Target="http://www.sec.gov/Archives/edgar/data/1590584/000159058419000113/a32166363_1xciveo-secondam.htm" TargetMode="External"/><Relationship Id="rId61" Type="http://schemas.openxmlformats.org/officeDocument/2006/relationships/hyperlink" Target="http://www.sec.gov/Archives/edgar/data/1590584/000159058419000055/exhibit1032directorsdeferr.htm" TargetMode="External"/><Relationship Id="rId62" Type="http://schemas.openxmlformats.org/officeDocument/2006/relationships/hyperlink" Target="http://www.sec.gov/Archives/edgar/data/1590584/000159058419000055/exhibit1033directorsdefer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2020-02-27T17:12:44Z</dcterms:created>
  <dcterms:modified xsi:type="dcterms:W3CDTF">2020-02-27T17:12:44Z</dcterms:modified>
</cp:coreProperties>
</file>