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36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-227965</wp:posOffset>
            </wp:positionV>
            <wp:extent cx="123825" cy="1238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634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40" w:type="dxa"/>
            <w:vAlign w:val="bottom"/>
            <w:vMerge w:val="restart"/>
          </w:tcPr>
          <w:p>
            <w:pPr>
              <w:jc w:val="center"/>
              <w:ind w:right="156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4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6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4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5290820</wp:posOffset>
            </wp:positionH>
            <wp:positionV relativeFrom="paragraph">
              <wp:posOffset>-631190</wp:posOffset>
            </wp:positionV>
            <wp:extent cx="58420" cy="6445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4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4011295</wp:posOffset>
            </wp:positionH>
            <wp:positionV relativeFrom="paragraph">
              <wp:posOffset>-631190</wp:posOffset>
            </wp:positionV>
            <wp:extent cx="58420" cy="6445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4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-1609725</wp:posOffset>
            </wp:positionH>
            <wp:positionV relativeFrom="paragraph">
              <wp:posOffset>24130</wp:posOffset>
            </wp:positionV>
            <wp:extent cx="7045960" cy="49453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5960" cy="49453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260"/>
            <w:col w:w="8560"/>
          </w:cols>
          <w:pgMar w:left="460" w:top="216" w:right="359" w:bottom="1440" w:gutter="0" w:footer="0" w:header="0"/>
        </w:sectPr>
      </w:pP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Brewer Barclay</w:t>
        </w:r>
      </w:hyperlink>
    </w:p>
    <w:p>
      <w:pPr>
        <w:spacing w:after="0" w:line="29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9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333 CLAY STREET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SUITE 4980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63"/>
        </w:trPr>
        <w:tc>
          <w:tcPr>
            <w:tcW w:w="1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9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77002</w:t>
            </w: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760" w:type="dxa"/>
            <w:vAlign w:val="bottom"/>
            <w:gridSpan w:val="3"/>
          </w:tcPr>
          <w:p>
            <w:pPr>
              <w:spacing w:after="0" w:line="208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Civeo Corp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CVEO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</w:tcPr>
          <w:p>
            <w:pPr>
              <w:ind w:left="32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</w:t>
            </w:r>
          </w:p>
        </w:tc>
        <w:tc>
          <w:tcPr>
            <w:tcW w:w="36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2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1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06/11/2024</w:t>
            </w:r>
          </w:p>
        </w:tc>
        <w:tc>
          <w:tcPr>
            <w:tcW w:w="2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100" w:type="dxa"/>
            <w:vAlign w:val="bottom"/>
            <w:gridSpan w:val="2"/>
            <w:vMerge w:val="restart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Vice President and Controller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1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8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2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37" w:lineRule="exact"/>
        <w:rPr>
          <w:sz w:val="24"/>
          <w:szCs w:val="24"/>
          <w:color w:val="auto"/>
        </w:rPr>
      </w:pPr>
    </w:p>
    <w:p>
      <w:pPr>
        <w:ind w:left="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15" w:lineRule="exact"/>
        <w:rPr>
          <w:sz w:val="24"/>
          <w:szCs w:val="24"/>
          <w:color w:val="auto"/>
        </w:rPr>
      </w:pPr>
    </w:p>
    <w:p>
      <w:pPr>
        <w:ind w:left="320" w:right="600"/>
        <w:spacing w:after="0" w:line="25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9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40" w:space="100"/>
            <w:col w:w="7240"/>
          </w:cols>
          <w:pgMar w:left="460" w:top="21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80" w:type="dxa"/>
            <w:vAlign w:val="bottom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5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6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5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6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4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  <w:tr>
        <w:trPr>
          <w:trHeight w:val="168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6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42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  <w:tr>
        <w:trPr>
          <w:trHeight w:val="234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Phantom</w:t>
            </w:r>
          </w:p>
        </w:tc>
        <w:tc>
          <w:tcPr>
            <w:tcW w:w="7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06/11/2024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4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3,289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2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3,289</w:t>
            </w:r>
          </w:p>
        </w:tc>
        <w:tc>
          <w:tcPr>
            <w:tcW w:w="70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14,080</w:t>
            </w:r>
          </w:p>
        </w:tc>
        <w:tc>
          <w:tcPr>
            <w:tcW w:w="7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168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Shares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Share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</w:tbl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Phantom Share Award under the 2014 Equity Participation Plan of Civeo Corporation that vests in equal installments on each of the first three anniversaries of March 2, 2024.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96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0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/s/Barclay Brewer, by Bradley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06/26/2024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200" w:type="dxa"/>
            <w:vAlign w:val="bottom"/>
            <w:gridSpan w:val="3"/>
            <w:vMerge w:val="restart"/>
          </w:tcPr>
          <w:p>
            <w:pPr>
              <w:spacing w:after="0" w:line="18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Dodson, as Attorney-in-Fact</w:t>
            </w: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2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19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2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540" w:firstLine="3"/>
        <w:spacing w:after="0" w:line="339" w:lineRule="auto"/>
        <w:tabs>
          <w:tab w:leader="none" w:pos="177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794660" TargetMode="External"/><Relationship Id="rId13" Type="http://schemas.openxmlformats.org/officeDocument/2006/relationships/hyperlink" Target="http://www.sec.gov/cgi-bin/browse-edgar?action=getcompany&amp;CIK=000159058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2024-06-26T13:52:37Z</dcterms:created>
  <dcterms:modified xsi:type="dcterms:W3CDTF">2024-06-26T13:52:37Z</dcterms:modified>
</cp:coreProperties>
</file>