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800"/>
        <w:spacing w:after="0"/>
        <w:rPr>
          <w:sz w:val="20"/>
          <w:szCs w:val="20"/>
          <w:color w:val="auto"/>
        </w:rPr>
      </w:pPr>
      <w:r>
        <w:rPr>
          <w:rFonts w:ascii="Arial" w:cs="Arial" w:eastAsia="Arial" w:hAnsi="Arial"/>
          <w:sz w:val="18"/>
          <w:szCs w:val="18"/>
          <w:color w:val="auto"/>
        </w:rPr>
        <w:t>Washington, D.C. 20549</w:t>
      </w:r>
    </w:p>
    <w:p>
      <w:pPr>
        <w:spacing w:after="0" w:line="10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840" w:right="1720" w:hanging="792"/>
        <w:spacing w:after="0" w:line="328" w:lineRule="auto"/>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2020</w:t>
      </w:r>
    </w:p>
    <w:p>
      <w:pPr>
        <w:spacing w:after="0" w:line="1" w:lineRule="exact"/>
        <w:rPr>
          <w:sz w:val="24"/>
          <w:szCs w:val="24"/>
          <w:color w:val="auto"/>
        </w:rPr>
      </w:pPr>
    </w:p>
    <w:p>
      <w:pPr>
        <w:jc w:val="center"/>
        <w:ind w:left="46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333" w:lineRule="exact"/>
        <w:rPr>
          <w:sz w:val="24"/>
          <w:szCs w:val="24"/>
          <w:color w:val="auto"/>
        </w:rPr>
      </w:pPr>
    </w:p>
    <w:p>
      <w:pPr>
        <w:ind w:left="840"/>
        <w:spacing w:after="0"/>
        <w:rPr>
          <w:sz w:val="20"/>
          <w:szCs w:val="20"/>
          <w:color w:val="auto"/>
        </w:rPr>
      </w:pPr>
      <w:r>
        <w:rPr>
          <w:rFonts w:ascii="Arial" w:cs="Arial" w:eastAsia="Arial" w:hAnsi="Arial"/>
          <w:sz w:val="18"/>
          <w:szCs w:val="18"/>
          <w:color w:val="auto"/>
        </w:rPr>
        <w:t>For the transition period from _________________________ to _________________________</w:t>
      </w:r>
    </w:p>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96520</wp:posOffset>
            </wp:positionV>
            <wp:extent cx="1354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3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2400" w:type="dxa"/>
            <w:vAlign w:val="bottom"/>
            <w:gridSpan w:val="4"/>
          </w:tcPr>
          <w:p>
            <w:pPr>
              <w:jc w:val="center"/>
              <w:ind w:right="450"/>
              <w:spacing w:after="0"/>
              <w:rPr>
                <w:sz w:val="20"/>
                <w:szCs w:val="20"/>
                <w:color w:val="auto"/>
              </w:rPr>
            </w:pPr>
            <w:r>
              <w:rPr>
                <w:rFonts w:ascii="Arial" w:cs="Arial" w:eastAsia="Arial" w:hAnsi="Arial"/>
                <w:sz w:val="18"/>
                <w:szCs w:val="18"/>
                <w:color w:val="auto"/>
                <w:w w:val="91"/>
              </w:rPr>
              <w:t>British Columbia, Canada</w:t>
            </w:r>
          </w:p>
        </w:tc>
        <w:tc>
          <w:tcPr>
            <w:tcW w:w="2220" w:type="dxa"/>
            <w:vAlign w:val="bottom"/>
          </w:tcPr>
          <w:p>
            <w:pPr>
              <w:spacing w:after="0"/>
              <w:rPr>
                <w:sz w:val="17"/>
                <w:szCs w:val="17"/>
                <w:color w:val="auto"/>
              </w:rPr>
            </w:pPr>
          </w:p>
        </w:tc>
        <w:tc>
          <w:tcPr>
            <w:tcW w:w="3260" w:type="dxa"/>
            <w:vAlign w:val="bottom"/>
            <w:gridSpan w:val="5"/>
          </w:tcPr>
          <w:p>
            <w:pPr>
              <w:jc w:val="right"/>
              <w:ind w:right="920"/>
              <w:spacing w:after="0"/>
              <w:rPr>
                <w:sz w:val="20"/>
                <w:szCs w:val="20"/>
                <w:color w:val="auto"/>
              </w:rPr>
            </w:pPr>
            <w:r>
              <w:rPr>
                <w:rFonts w:ascii="Arial" w:cs="Arial" w:eastAsia="Arial" w:hAnsi="Arial"/>
                <w:sz w:val="18"/>
                <w:szCs w:val="18"/>
                <w:color w:val="auto"/>
              </w:rPr>
              <w:t>98-1253716</w:t>
            </w:r>
          </w:p>
        </w:tc>
      </w:tr>
      <w:tr>
        <w:trPr>
          <w:trHeight w:val="20"/>
        </w:trPr>
        <w:tc>
          <w:tcPr>
            <w:tcW w:w="1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4280" w:type="dxa"/>
            <w:vAlign w:val="bottom"/>
            <w:gridSpan w:val="5"/>
          </w:tcPr>
          <w:p>
            <w:pPr>
              <w:jc w:val="center"/>
              <w:ind w:left="1253"/>
              <w:spacing w:after="0"/>
              <w:rPr>
                <w:sz w:val="20"/>
                <w:szCs w:val="20"/>
                <w:color w:val="auto"/>
              </w:rPr>
            </w:pPr>
            <w:r>
              <w:rPr>
                <w:rFonts w:ascii="Arial" w:cs="Arial" w:eastAsia="Arial" w:hAnsi="Arial"/>
                <w:sz w:val="18"/>
                <w:szCs w:val="18"/>
                <w:color w:val="auto"/>
                <w:w w:val="93"/>
              </w:rPr>
              <w:t>(State or other jurisdiction of</w:t>
            </w:r>
          </w:p>
        </w:tc>
        <w:tc>
          <w:tcPr>
            <w:tcW w:w="2220" w:type="dxa"/>
            <w:vAlign w:val="bottom"/>
          </w:tcPr>
          <w:p>
            <w:pPr>
              <w:spacing w:after="0"/>
              <w:rPr>
                <w:sz w:val="24"/>
                <w:szCs w:val="24"/>
                <w:color w:val="auto"/>
              </w:rPr>
            </w:pPr>
          </w:p>
        </w:tc>
        <w:tc>
          <w:tcPr>
            <w:tcW w:w="3260" w:type="dxa"/>
            <w:vAlign w:val="bottom"/>
            <w:gridSpan w:val="5"/>
          </w:tcPr>
          <w:p>
            <w:pPr>
              <w:jc w:val="center"/>
              <w:ind w:left="474"/>
              <w:spacing w:after="0"/>
              <w:rPr>
                <w:sz w:val="20"/>
                <w:szCs w:val="20"/>
                <w:color w:val="auto"/>
              </w:rPr>
            </w:pPr>
            <w:r>
              <w:rPr>
                <w:rFonts w:ascii="Arial" w:cs="Arial" w:eastAsia="Arial" w:hAnsi="Arial"/>
                <w:sz w:val="18"/>
                <w:szCs w:val="18"/>
                <w:color w:val="auto"/>
                <w:w w:val="92"/>
              </w:rPr>
              <w:t>(I.R.S. Employer</w:t>
            </w:r>
          </w:p>
        </w:tc>
      </w:tr>
      <w:tr>
        <w:trPr>
          <w:trHeight w:val="270"/>
        </w:trPr>
        <w:tc>
          <w:tcPr>
            <w:tcW w:w="4280" w:type="dxa"/>
            <w:vAlign w:val="bottom"/>
            <w:gridSpan w:val="5"/>
          </w:tcPr>
          <w:p>
            <w:pPr>
              <w:jc w:val="center"/>
              <w:ind w:left="1253"/>
              <w:spacing w:after="0"/>
              <w:rPr>
                <w:sz w:val="20"/>
                <w:szCs w:val="20"/>
                <w:color w:val="auto"/>
              </w:rPr>
            </w:pPr>
            <w:r>
              <w:rPr>
                <w:rFonts w:ascii="Arial" w:cs="Arial" w:eastAsia="Arial" w:hAnsi="Arial"/>
                <w:sz w:val="18"/>
                <w:szCs w:val="18"/>
                <w:color w:val="auto"/>
                <w:w w:val="93"/>
              </w:rPr>
              <w:t>incorporation or organization)</w:t>
            </w:r>
          </w:p>
        </w:tc>
        <w:tc>
          <w:tcPr>
            <w:tcW w:w="2220" w:type="dxa"/>
            <w:vAlign w:val="bottom"/>
          </w:tcPr>
          <w:p>
            <w:pPr>
              <w:spacing w:after="0"/>
              <w:rPr>
                <w:sz w:val="23"/>
                <w:szCs w:val="23"/>
                <w:color w:val="auto"/>
              </w:rPr>
            </w:pPr>
          </w:p>
        </w:tc>
        <w:tc>
          <w:tcPr>
            <w:tcW w:w="3260" w:type="dxa"/>
            <w:vAlign w:val="bottom"/>
            <w:gridSpan w:val="5"/>
          </w:tcPr>
          <w:p>
            <w:pPr>
              <w:jc w:val="center"/>
              <w:ind w:left="474"/>
              <w:spacing w:after="0"/>
              <w:rPr>
                <w:sz w:val="20"/>
                <w:szCs w:val="20"/>
                <w:color w:val="auto"/>
              </w:rPr>
            </w:pPr>
            <w:r>
              <w:rPr>
                <w:rFonts w:ascii="Arial" w:cs="Arial" w:eastAsia="Arial" w:hAnsi="Arial"/>
                <w:sz w:val="18"/>
                <w:szCs w:val="18"/>
                <w:color w:val="auto"/>
                <w:w w:val="95"/>
              </w:rPr>
              <w:t>Identification No.)</w:t>
            </w:r>
          </w:p>
        </w:tc>
      </w:tr>
      <w:tr>
        <w:trPr>
          <w:trHeight w:val="499"/>
        </w:trPr>
        <w:tc>
          <w:tcPr>
            <w:tcW w:w="6500" w:type="dxa"/>
            <w:vAlign w:val="bottom"/>
            <w:gridSpan w:val="6"/>
          </w:tcPr>
          <w:p>
            <w:pPr>
              <w:jc w:val="center"/>
              <w:ind w:right="796"/>
              <w:spacing w:after="0"/>
              <w:rPr>
                <w:sz w:val="20"/>
                <w:szCs w:val="20"/>
                <w:color w:val="auto"/>
              </w:rPr>
            </w:pPr>
            <w:r>
              <w:rPr>
                <w:rFonts w:ascii="Arial" w:cs="Arial" w:eastAsia="Arial" w:hAnsi="Arial"/>
                <w:sz w:val="18"/>
                <w:szCs w:val="18"/>
                <w:color w:val="auto"/>
                <w:w w:val="90"/>
              </w:rPr>
              <w:t>Three Allen Center, 333 Clay Street, Suite 4980,</w:t>
            </w:r>
          </w:p>
        </w:tc>
        <w:tc>
          <w:tcPr>
            <w:tcW w:w="168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1880" w:type="dxa"/>
            <w:vAlign w:val="bottom"/>
          </w:tcPr>
          <w:p>
            <w:pPr>
              <w:spacing w:after="0"/>
              <w:rPr>
                <w:sz w:val="21"/>
                <w:szCs w:val="21"/>
                <w:color w:val="auto"/>
              </w:rPr>
            </w:pPr>
          </w:p>
        </w:tc>
        <w:tc>
          <w:tcPr>
            <w:tcW w:w="2400" w:type="dxa"/>
            <w:vAlign w:val="bottom"/>
            <w:gridSpan w:val="4"/>
          </w:tcPr>
          <w:p>
            <w:pPr>
              <w:jc w:val="center"/>
              <w:ind w:right="450"/>
              <w:spacing w:after="0"/>
              <w:rPr>
                <w:sz w:val="20"/>
                <w:szCs w:val="20"/>
                <w:color w:val="auto"/>
              </w:rPr>
            </w:pPr>
            <w:r>
              <w:rPr>
                <w:rFonts w:ascii="Arial" w:cs="Arial" w:eastAsia="Arial" w:hAnsi="Arial"/>
                <w:sz w:val="18"/>
                <w:szCs w:val="18"/>
                <w:color w:val="auto"/>
                <w:w w:val="87"/>
              </w:rPr>
              <w:t>Houston, Texas</w:t>
            </w:r>
          </w:p>
        </w:tc>
        <w:tc>
          <w:tcPr>
            <w:tcW w:w="2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78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(Zip Code)</w:t>
            </w:r>
          </w:p>
        </w:tc>
      </w:tr>
      <w:tr>
        <w:trPr>
          <w:trHeight w:val="20"/>
        </w:trPr>
        <w:tc>
          <w:tcPr>
            <w:tcW w:w="226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4280" w:type="dxa"/>
            <w:vAlign w:val="bottom"/>
            <w:gridSpan w:val="5"/>
          </w:tcPr>
          <w:p>
            <w:pPr>
              <w:jc w:val="center"/>
              <w:ind w:left="1253"/>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tcPr>
          <w:p>
            <w:pPr>
              <w:jc w:val="right"/>
              <w:ind w:right="156"/>
              <w:spacing w:after="0"/>
              <w:rPr>
                <w:sz w:val="20"/>
                <w:szCs w:val="20"/>
                <w:color w:val="auto"/>
              </w:rPr>
            </w:pPr>
            <w:r>
              <w:rPr>
                <w:rFonts w:ascii="Arial" w:cs="Arial" w:eastAsia="Arial" w:hAnsi="Arial"/>
                <w:sz w:val="18"/>
                <w:szCs w:val="18"/>
                <w:color w:val="auto"/>
              </w:rPr>
              <w:t>(713) 510-2400</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gridSpan w:val="7"/>
          </w:tcPr>
          <w:p>
            <w:pPr>
              <w:jc w:val="center"/>
              <w:ind w:right="212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32"/>
        </w:trPr>
        <w:tc>
          <w:tcPr>
            <w:tcW w:w="4280" w:type="dxa"/>
            <w:vAlign w:val="bottom"/>
            <w:gridSpan w:val="5"/>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75"/>
        </w:trPr>
        <w:tc>
          <w:tcPr>
            <w:tcW w:w="4280" w:type="dxa"/>
            <w:vAlign w:val="bottom"/>
            <w:gridSpan w:val="5"/>
          </w:tcPr>
          <w:p>
            <w:pPr>
              <w:jc w:val="center"/>
              <w:ind w:left="53"/>
              <w:spacing w:after="0"/>
              <w:rPr>
                <w:sz w:val="20"/>
                <w:szCs w:val="20"/>
                <w:color w:val="auto"/>
              </w:rPr>
            </w:pPr>
            <w:r>
              <w:rPr>
                <w:rFonts w:ascii="Arial" w:cs="Arial" w:eastAsia="Arial" w:hAnsi="Arial"/>
                <w:sz w:val="16"/>
                <w:szCs w:val="16"/>
                <w:color w:val="auto"/>
                <w:w w:val="91"/>
              </w:rPr>
              <w:t>Title of Each Class</w:t>
            </w:r>
          </w:p>
        </w:tc>
        <w:tc>
          <w:tcPr>
            <w:tcW w:w="2220" w:type="dxa"/>
            <w:vAlign w:val="bottom"/>
          </w:tcPr>
          <w:p>
            <w:pPr>
              <w:jc w:val="center"/>
              <w:ind w:right="1016"/>
              <w:spacing w:after="0"/>
              <w:rPr>
                <w:sz w:val="20"/>
                <w:szCs w:val="20"/>
                <w:color w:val="auto"/>
              </w:rPr>
            </w:pPr>
            <w:r>
              <w:rPr>
                <w:rFonts w:ascii="Arial" w:cs="Arial" w:eastAsia="Arial" w:hAnsi="Arial"/>
                <w:sz w:val="16"/>
                <w:szCs w:val="16"/>
                <w:color w:val="auto"/>
                <w:w w:val="92"/>
              </w:rPr>
              <w:t>Trading Symbol</w:t>
            </w:r>
          </w:p>
        </w:tc>
        <w:tc>
          <w:tcPr>
            <w:tcW w:w="3260" w:type="dxa"/>
            <w:vAlign w:val="bottom"/>
            <w:gridSpan w:val="5"/>
          </w:tcPr>
          <w:p>
            <w:pPr>
              <w:jc w:val="center"/>
              <w:ind w:left="154"/>
              <w:spacing w:after="0"/>
              <w:rPr>
                <w:sz w:val="20"/>
                <w:szCs w:val="20"/>
                <w:color w:val="auto"/>
              </w:rPr>
            </w:pPr>
            <w:r>
              <w:rPr>
                <w:rFonts w:ascii="Arial" w:cs="Arial" w:eastAsia="Arial" w:hAnsi="Arial"/>
                <w:sz w:val="16"/>
                <w:szCs w:val="16"/>
                <w:color w:val="auto"/>
                <w:w w:val="91"/>
              </w:rPr>
              <w:t>Name of Each Exchange on Which Registered</w:t>
            </w:r>
          </w:p>
        </w:tc>
      </w:tr>
      <w:tr>
        <w:trPr>
          <w:trHeight w:val="256"/>
        </w:trPr>
        <w:tc>
          <w:tcPr>
            <w:tcW w:w="4280" w:type="dxa"/>
            <w:vAlign w:val="bottom"/>
            <w:gridSpan w:val="5"/>
          </w:tcPr>
          <w:p>
            <w:pPr>
              <w:jc w:val="center"/>
              <w:ind w:left="53"/>
              <w:spacing w:after="0"/>
              <w:rPr>
                <w:sz w:val="20"/>
                <w:szCs w:val="20"/>
                <w:color w:val="auto"/>
              </w:rPr>
            </w:pPr>
            <w:r>
              <w:rPr>
                <w:rFonts w:ascii="Arial" w:cs="Arial" w:eastAsia="Arial" w:hAnsi="Arial"/>
                <w:sz w:val="16"/>
                <w:szCs w:val="16"/>
                <w:color w:val="auto"/>
                <w:w w:val="89"/>
              </w:rPr>
              <w:t>Common Shares, no par value</w:t>
            </w:r>
          </w:p>
        </w:tc>
        <w:tc>
          <w:tcPr>
            <w:tcW w:w="2220" w:type="dxa"/>
            <w:vAlign w:val="bottom"/>
          </w:tcPr>
          <w:p>
            <w:pPr>
              <w:jc w:val="center"/>
              <w:ind w:right="1016"/>
              <w:spacing w:after="0"/>
              <w:rPr>
                <w:sz w:val="20"/>
                <w:szCs w:val="20"/>
                <w:color w:val="auto"/>
              </w:rPr>
            </w:pPr>
            <w:r>
              <w:rPr>
                <w:rFonts w:ascii="Arial" w:cs="Arial" w:eastAsia="Arial" w:hAnsi="Arial"/>
                <w:sz w:val="16"/>
                <w:szCs w:val="16"/>
                <w:color w:val="auto"/>
                <w:w w:val="96"/>
              </w:rPr>
              <w:t>CVEO</w:t>
            </w:r>
          </w:p>
        </w:tc>
        <w:tc>
          <w:tcPr>
            <w:tcW w:w="3260" w:type="dxa"/>
            <w:vAlign w:val="bottom"/>
            <w:gridSpan w:val="5"/>
          </w:tcPr>
          <w:p>
            <w:pPr>
              <w:jc w:val="center"/>
              <w:ind w:left="174"/>
              <w:spacing w:after="0"/>
              <w:rPr>
                <w:sz w:val="20"/>
                <w:szCs w:val="20"/>
                <w:color w:val="auto"/>
              </w:rPr>
            </w:pPr>
            <w:r>
              <w:rPr>
                <w:rFonts w:ascii="Arial" w:cs="Arial" w:eastAsia="Arial" w:hAnsi="Arial"/>
                <w:sz w:val="16"/>
                <w:szCs w:val="16"/>
                <w:color w:val="auto"/>
                <w:w w:val="92"/>
              </w:rPr>
              <w:t>New York Stock Exchange</w:t>
            </w:r>
          </w:p>
        </w:tc>
      </w:tr>
    </w:tbl>
    <w:p>
      <w:pPr>
        <w:spacing w:after="0" w:line="122" w:lineRule="exact"/>
        <w:rPr>
          <w:sz w:val="24"/>
          <w:szCs w:val="24"/>
          <w:color w:val="auto"/>
        </w:rPr>
      </w:pPr>
    </w:p>
    <w:p>
      <w:pPr>
        <w:ind w:right="22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0" w:lineRule="exact"/>
        <w:rPr>
          <w:sz w:val="24"/>
          <w:szCs w:val="24"/>
          <w:color w:val="auto"/>
        </w:rPr>
      </w:pPr>
    </w:p>
    <w:p>
      <w:pPr>
        <w:ind w:left="3540"/>
        <w:spacing w:after="0"/>
        <w:tabs>
          <w:tab w:leader="none" w:pos="81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2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0" w:lineRule="exact"/>
        <w:rPr>
          <w:sz w:val="24"/>
          <w:szCs w:val="24"/>
          <w:color w:val="auto"/>
        </w:rPr>
      </w:pPr>
    </w:p>
    <w:p>
      <w:pPr>
        <w:ind w:left="3540"/>
        <w:spacing w:after="0"/>
        <w:tabs>
          <w:tab w:leader="none" w:pos="81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23" w:lineRule="exact"/>
        <w:rPr>
          <w:sz w:val="24"/>
          <w:szCs w:val="24"/>
          <w:color w:val="auto"/>
        </w:rPr>
      </w:pPr>
    </w:p>
    <w:p>
      <w:pPr>
        <w:ind w:right="4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 ]</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[X]</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 ]</w:t>
      </w:r>
    </w:p>
    <w:p>
      <w:pPr>
        <w:spacing w:after="0" w:line="200" w:lineRule="exact"/>
        <w:rPr>
          <w:sz w:val="24"/>
          <w:szCs w:val="24"/>
          <w:color w:val="auto"/>
        </w:rPr>
      </w:pPr>
    </w:p>
    <w:p>
      <w:pPr>
        <w:sectPr>
          <w:pgSz w:w="11900" w:h="16838" w:orient="portrait"/>
          <w:cols w:equalWidth="0" w:num="3">
            <w:col w:w="4600" w:space="720"/>
            <w:col w:w="2300" w:space="720"/>
            <w:col w:w="2900"/>
          </w:cols>
          <w:pgMar w:left="320" w:top="233" w:right="339" w:bottom="1440" w:gutter="0" w:footer="0" w:header="0"/>
          <w:type w:val="continuous"/>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 [ ]</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4060"/>
        <w:spacing w:after="0"/>
        <w:rPr>
          <w:sz w:val="20"/>
          <w:szCs w:val="20"/>
          <w:color w:val="auto"/>
        </w:rPr>
      </w:pPr>
      <w:r>
        <w:rPr>
          <w:rFonts w:ascii="Arial" w:cs="Arial" w:eastAsia="Arial" w:hAnsi="Arial"/>
          <w:sz w:val="13"/>
          <w:szCs w:val="13"/>
          <w:color w:val="auto"/>
        </w:rPr>
        <w:t>Smaller Reporting Company [ ]</w:t>
      </w:r>
    </w:p>
    <w:p>
      <w:pPr>
        <w:spacing w:after="0" w:line="188" w:lineRule="exact"/>
        <w:rPr>
          <w:sz w:val="24"/>
          <w:szCs w:val="24"/>
          <w:color w:val="auto"/>
        </w:rPr>
      </w:pPr>
    </w:p>
    <w:p>
      <w:pPr>
        <w:sectPr>
          <w:pgSz w:w="11900" w:h="16838" w:orient="portrait"/>
          <w:cols w:equalWidth="0" w:num="2">
            <w:col w:w="4600" w:space="720"/>
            <w:col w:w="5920"/>
          </w:cols>
          <w:pgMar w:left="320" w:top="233" w:right="339" w:bottom="1440" w:gutter="0" w:footer="0" w:header="0"/>
          <w:type w:val="continuous"/>
        </w:sectPr>
      </w:pPr>
    </w:p>
    <w:p>
      <w:pPr>
        <w:ind w:right="5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ectPr>
          <w:pgSz w:w="11900" w:h="16838" w:orient="portrait"/>
          <w:cols w:equalWidth="0" w:num="1">
            <w:col w:w="11240"/>
          </w:cols>
          <w:pgMar w:left="320" w:top="233" w:right="339" w:bottom="1440" w:gutter="0" w:footer="0" w:header="0"/>
          <w:type w:val="continuous"/>
        </w:sectPr>
      </w:pPr>
    </w:p>
    <w:bookmarkStart w:id="1" w:name="page2"/>
    <w:bookmarkEnd w:id="1"/>
    <w:p>
      <w:pPr>
        <w:jc w:val="right"/>
        <w:ind w:right="1479"/>
        <w:spacing w:after="0"/>
        <w:tabs>
          <w:tab w:leader="none" w:pos="460" w:val="left"/>
        </w:tabs>
        <w:rPr>
          <w:sz w:val="20"/>
          <w:szCs w:val="20"/>
          <w:color w:val="auto"/>
        </w:rPr>
      </w:pPr>
      <w:r>
        <w:rPr>
          <w:rFonts w:ascii="Arial" w:cs="Arial" w:eastAsia="Arial" w:hAnsi="Arial"/>
          <w:sz w:val="14"/>
          <w:szCs w:val="14"/>
          <w:color w:val="auto"/>
        </w:rPr>
        <w:t>YES[ ]</w:t>
      </w:r>
      <w:r>
        <w:rPr>
          <w:sz w:val="20"/>
          <w:szCs w:val="20"/>
          <w:color w:val="auto"/>
        </w:rPr>
        <w:tab/>
      </w:r>
      <w:r>
        <w:rPr>
          <w:rFonts w:ascii="Arial" w:cs="Arial" w:eastAsia="Arial" w:hAnsi="Arial"/>
          <w:sz w:val="14"/>
          <w:szCs w:val="14"/>
          <w:color w:val="auto"/>
        </w:rPr>
        <w:t>NO[X]</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170,640,184 common shares outstanding as of May 1, 2020.</w:t>
      </w:r>
    </w:p>
    <w:p>
      <w:pPr>
        <w:sectPr>
          <w:pgSz w:w="11900" w:h="16838" w:orient="portrait"/>
          <w:cols w:equalWidth="0" w:num="1">
            <w:col w:w="10139"/>
          </w:cols>
          <w:pgMar w:left="320" w:top="499"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CIVEO CORPORATION</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INDEX</w:t>
      </w:r>
    </w:p>
    <w:p>
      <w:pPr>
        <w:spacing w:after="0" w:line="271" w:lineRule="exact"/>
        <w:rPr>
          <w:sz w:val="20"/>
          <w:szCs w:val="20"/>
          <w:color w:val="auto"/>
        </w:rPr>
      </w:pPr>
    </w:p>
    <w:p>
      <w:pPr>
        <w:ind w:left="10440"/>
        <w:spacing w:after="0"/>
        <w:rPr>
          <w:sz w:val="20"/>
          <w:szCs w:val="20"/>
          <w:color w:val="auto"/>
        </w:rPr>
      </w:pPr>
      <w:r>
        <w:rPr>
          <w:rFonts w:ascii="Arial" w:cs="Arial" w:eastAsia="Arial" w:hAnsi="Arial"/>
          <w:sz w:val="14"/>
          <w:szCs w:val="14"/>
          <w:b w:val="1"/>
          <w:bCs w:val="1"/>
          <w:u w:val="single" w:color="auto"/>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151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9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151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151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7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9120" w:type="dxa"/>
            <w:vAlign w:val="bottom"/>
          </w:tcPr>
          <w:p>
            <w:pPr>
              <w:ind w:left="340"/>
              <w:spacing w:after="0"/>
              <w:rPr>
                <w:sz w:val="20"/>
                <w:szCs w:val="20"/>
                <w:color w:val="auto"/>
              </w:rPr>
            </w:pPr>
            <w:r>
              <w:rPr>
                <w:rFonts w:ascii="Arial" w:cs="Arial" w:eastAsia="Arial" w:hAnsi="Arial"/>
                <w:sz w:val="14"/>
                <w:szCs w:val="14"/>
                <w:color w:val="auto"/>
              </w:rPr>
              <w:t>Unaudited Consolidated Statements of Operations for the Three Months Ended March 31, 2020 and 2019</w:t>
            </w:r>
          </w:p>
        </w:tc>
        <w:tc>
          <w:tcPr>
            <w:tcW w:w="1620" w:type="dxa"/>
            <w:vAlign w:val="bottom"/>
          </w:tcPr>
          <w:p>
            <w:pPr>
              <w:jc w:val="right"/>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4</w:t>
              </w:r>
            </w:hyperlink>
          </w:p>
        </w:tc>
      </w:tr>
      <w:tr>
        <w:trPr>
          <w:trHeight w:val="208"/>
        </w:trPr>
        <w:tc>
          <w:tcPr>
            <w:tcW w:w="480" w:type="dxa"/>
            <w:vAlign w:val="bottom"/>
            <w:shd w:val="clear" w:color="auto" w:fill="CCEEFF"/>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Unaudited Consolidated Statements of Comprehensive Loss for the Three Months Ended March 31, 2020 and 2019</w:t>
            </w:r>
          </w:p>
        </w:tc>
        <w:tc>
          <w:tcPr>
            <w:tcW w:w="1620" w:type="dxa"/>
            <w:vAlign w:val="bottom"/>
            <w:shd w:val="clear" w:color="auto" w:fill="CCEEFF"/>
          </w:tcPr>
          <w:p>
            <w:pPr>
              <w:jc w:val="right"/>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5</w:t>
              </w:r>
            </w:hyperlink>
          </w:p>
        </w:tc>
      </w:tr>
      <w:tr>
        <w:trPr>
          <w:trHeight w:val="197"/>
        </w:trPr>
        <w:tc>
          <w:tcPr>
            <w:tcW w:w="480" w:type="dxa"/>
            <w:vAlign w:val="bottom"/>
          </w:tcPr>
          <w:p>
            <w:pPr>
              <w:spacing w:after="0"/>
              <w:rPr>
                <w:sz w:val="17"/>
                <w:szCs w:val="17"/>
                <w:color w:val="auto"/>
              </w:rPr>
            </w:pPr>
          </w:p>
        </w:tc>
        <w:tc>
          <w:tcPr>
            <w:tcW w:w="9120" w:type="dxa"/>
            <w:vAlign w:val="bottom"/>
          </w:tcPr>
          <w:p>
            <w:pPr>
              <w:ind w:left="340"/>
              <w:spacing w:after="0"/>
              <w:rPr>
                <w:sz w:val="20"/>
                <w:szCs w:val="20"/>
                <w:color w:val="auto"/>
              </w:rPr>
            </w:pPr>
            <w:r>
              <w:rPr>
                <w:rFonts w:ascii="Arial" w:cs="Arial" w:eastAsia="Arial" w:hAnsi="Arial"/>
                <w:sz w:val="14"/>
                <w:szCs w:val="14"/>
                <w:color w:val="auto"/>
              </w:rPr>
              <w:t>Consolidated Balance Sheets – as of March 31, 2020 (unaudited) and December 31, 2019</w:t>
            </w:r>
          </w:p>
        </w:tc>
        <w:tc>
          <w:tcPr>
            <w:tcW w:w="1620" w:type="dxa"/>
            <w:vAlign w:val="bottom"/>
          </w:tcPr>
          <w:p>
            <w:pPr>
              <w:jc w:val="right"/>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6</w:t>
              </w:r>
            </w:hyperlink>
          </w:p>
        </w:tc>
      </w:tr>
      <w:tr>
        <w:trPr>
          <w:trHeight w:val="208"/>
        </w:trPr>
        <w:tc>
          <w:tcPr>
            <w:tcW w:w="480" w:type="dxa"/>
            <w:vAlign w:val="bottom"/>
            <w:shd w:val="clear" w:color="auto" w:fill="CCEEFF"/>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Unaudited Consolidated Statements of Changes in Shareholders’ Equity for the Three Months Ended March 31, 2020 and 2019</w:t>
            </w:r>
          </w:p>
        </w:tc>
        <w:tc>
          <w:tcPr>
            <w:tcW w:w="1620" w:type="dxa"/>
            <w:vAlign w:val="bottom"/>
            <w:shd w:val="clear" w:color="auto" w:fill="CCEEFF"/>
          </w:tcPr>
          <w:p>
            <w:pPr>
              <w:jc w:val="right"/>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7</w:t>
              </w:r>
            </w:hyperlink>
          </w:p>
        </w:tc>
      </w:tr>
      <w:tr>
        <w:trPr>
          <w:trHeight w:val="197"/>
        </w:trPr>
        <w:tc>
          <w:tcPr>
            <w:tcW w:w="480" w:type="dxa"/>
            <w:vAlign w:val="bottom"/>
          </w:tcPr>
          <w:p>
            <w:pPr>
              <w:spacing w:after="0"/>
              <w:rPr>
                <w:sz w:val="17"/>
                <w:szCs w:val="17"/>
                <w:color w:val="auto"/>
              </w:rPr>
            </w:pPr>
          </w:p>
        </w:tc>
        <w:tc>
          <w:tcPr>
            <w:tcW w:w="9120" w:type="dxa"/>
            <w:vAlign w:val="bottom"/>
          </w:tcPr>
          <w:p>
            <w:pPr>
              <w:ind w:left="340"/>
              <w:spacing w:after="0"/>
              <w:rPr>
                <w:sz w:val="20"/>
                <w:szCs w:val="20"/>
                <w:color w:val="auto"/>
              </w:rPr>
            </w:pPr>
            <w:r>
              <w:rPr>
                <w:rFonts w:ascii="Arial" w:cs="Arial" w:eastAsia="Arial" w:hAnsi="Arial"/>
                <w:sz w:val="14"/>
                <w:szCs w:val="14"/>
                <w:color w:val="auto"/>
              </w:rPr>
              <w:t>Unaudited Consolidated Statements of Cash Flows for the Three Months Ended March 31, 2020 and 2019</w:t>
            </w:r>
          </w:p>
        </w:tc>
        <w:tc>
          <w:tcPr>
            <w:tcW w:w="1620" w:type="dxa"/>
            <w:vAlign w:val="bottom"/>
          </w:tcPr>
          <w:p>
            <w:pPr>
              <w:jc w:val="right"/>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8</w:t>
              </w:r>
            </w:hyperlink>
          </w:p>
        </w:tc>
      </w:tr>
      <w:tr>
        <w:trPr>
          <w:trHeight w:val="208"/>
        </w:trPr>
        <w:tc>
          <w:tcPr>
            <w:tcW w:w="480" w:type="dxa"/>
            <w:vAlign w:val="bottom"/>
            <w:shd w:val="clear" w:color="auto" w:fill="CCEEFF"/>
          </w:tcPr>
          <w:p>
            <w:pPr>
              <w:spacing w:after="0"/>
              <w:rPr>
                <w:sz w:val="18"/>
                <w:szCs w:val="18"/>
                <w:color w:val="auto"/>
              </w:rPr>
            </w:pPr>
          </w:p>
        </w:tc>
        <w:tc>
          <w:tcPr>
            <w:tcW w:w="9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Notes to Unaudited Consolidated Financial Statements</w:t>
            </w:r>
          </w:p>
        </w:tc>
        <w:tc>
          <w:tcPr>
            <w:tcW w:w="1620" w:type="dxa"/>
            <w:vAlign w:val="bottom"/>
            <w:shd w:val="clear" w:color="auto" w:fill="CCEEFF"/>
          </w:tcPr>
          <w:p>
            <w:pPr>
              <w:jc w:val="right"/>
              <w:spacing w:after="0"/>
              <w:rPr>
                <w:rFonts w:ascii="Arial" w:cs="Arial" w:eastAsia="Arial" w:hAnsi="Arial"/>
                <w:sz w:val="14"/>
                <w:szCs w:val="14"/>
                <w:u w:val="single" w:color="auto"/>
                <w:color w:val="0000EE"/>
              </w:rPr>
            </w:pPr>
            <w:hyperlink w:anchor="page9">
              <w:r>
                <w:rPr>
                  <w:rFonts w:ascii="Arial" w:cs="Arial" w:eastAsia="Arial" w:hAnsi="Arial"/>
                  <w:sz w:val="14"/>
                  <w:szCs w:val="14"/>
                  <w:u w:val="single" w:color="auto"/>
                  <w:color w:val="0000EE"/>
                </w:rPr>
                <w:t>9</w:t>
              </w:r>
            </w:hyperlink>
          </w:p>
        </w:tc>
      </w:tr>
      <w:tr>
        <w:trPr>
          <w:trHeight w:val="283"/>
        </w:trPr>
        <w:tc>
          <w:tcPr>
            <w:tcW w:w="960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Cautionary Statement Regarding Forward-Looking Statements</w:t>
            </w:r>
          </w:p>
        </w:tc>
        <w:tc>
          <w:tcPr>
            <w:tcW w:w="1620" w:type="dxa"/>
            <w:vAlign w:val="bottom"/>
            <w:shd w:val="clear" w:color="auto" w:fill="CCEEFF"/>
          </w:tcPr>
          <w:p>
            <w:pPr>
              <w:jc w:val="right"/>
              <w:spacing w:after="0"/>
              <w:rPr>
                <w:rFonts w:ascii="Arial" w:cs="Arial" w:eastAsia="Arial" w:hAnsi="Arial"/>
                <w:sz w:val="14"/>
                <w:szCs w:val="14"/>
                <w:u w:val="single" w:color="auto"/>
                <w:color w:val="0000EE"/>
              </w:rPr>
            </w:pPr>
            <w:hyperlink w:anchor="page20">
              <w:r>
                <w:rPr>
                  <w:rFonts w:ascii="Arial" w:cs="Arial" w:eastAsia="Arial" w:hAnsi="Arial"/>
                  <w:sz w:val="14"/>
                  <w:szCs w:val="14"/>
                  <w:u w:val="single" w:color="auto"/>
                  <w:color w:val="0000EE"/>
                </w:rPr>
                <w:t>20</w:t>
              </w:r>
            </w:hyperlink>
          </w:p>
        </w:tc>
      </w:tr>
      <w:tr>
        <w:trPr>
          <w:trHeight w:val="284"/>
        </w:trPr>
        <w:tc>
          <w:tcPr>
            <w:tcW w:w="960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620" w:type="dxa"/>
            <w:vAlign w:val="bottom"/>
            <w:shd w:val="clear" w:color="auto" w:fill="CCEEFF"/>
          </w:tcPr>
          <w:p>
            <w:pPr>
              <w:jc w:val="right"/>
              <w:spacing w:after="0"/>
              <w:rPr>
                <w:rFonts w:ascii="Arial" w:cs="Arial" w:eastAsia="Arial" w:hAnsi="Arial"/>
                <w:sz w:val="14"/>
                <w:szCs w:val="14"/>
                <w:u w:val="single" w:color="auto"/>
                <w:color w:val="0000EE"/>
              </w:rPr>
            </w:pPr>
            <w:hyperlink w:anchor="page20">
              <w:r>
                <w:rPr>
                  <w:rFonts w:ascii="Arial" w:cs="Arial" w:eastAsia="Arial" w:hAnsi="Arial"/>
                  <w:sz w:val="14"/>
                  <w:szCs w:val="14"/>
                  <w:u w:val="single" w:color="auto"/>
                  <w:color w:val="0000EE"/>
                </w:rPr>
                <w:t>20</w:t>
              </w:r>
            </w:hyperlink>
          </w:p>
        </w:tc>
      </w:tr>
      <w:tr>
        <w:trPr>
          <w:trHeight w:val="283"/>
        </w:trPr>
        <w:tc>
          <w:tcPr>
            <w:tcW w:w="960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620" w:type="dxa"/>
            <w:vAlign w:val="bottom"/>
            <w:shd w:val="clear" w:color="auto" w:fill="CCEEFF"/>
          </w:tcPr>
          <w:p>
            <w:pPr>
              <w:jc w:val="right"/>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32</w:t>
              </w:r>
            </w:hyperlink>
          </w:p>
        </w:tc>
      </w:tr>
      <w:tr>
        <w:trPr>
          <w:trHeight w:val="283"/>
        </w:trPr>
        <w:tc>
          <w:tcPr>
            <w:tcW w:w="4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Item 4.</w:t>
            </w:r>
          </w:p>
        </w:tc>
        <w:tc>
          <w:tcPr>
            <w:tcW w:w="9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Controls and Procedures</w:t>
            </w:r>
          </w:p>
        </w:tc>
        <w:tc>
          <w:tcPr>
            <w:tcW w:w="1620" w:type="dxa"/>
            <w:vAlign w:val="bottom"/>
            <w:shd w:val="clear" w:color="auto" w:fill="CCEEFF"/>
          </w:tcPr>
          <w:p>
            <w:pPr>
              <w:jc w:val="right"/>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32</w:t>
              </w:r>
            </w:hyperlink>
          </w:p>
        </w:tc>
      </w:tr>
      <w:tr>
        <w:trPr>
          <w:trHeight w:val="283"/>
        </w:trPr>
        <w:tc>
          <w:tcPr>
            <w:tcW w:w="4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83"/>
        </w:trPr>
        <w:tc>
          <w:tcPr>
            <w:tcW w:w="480" w:type="dxa"/>
            <w:vAlign w:val="bottom"/>
            <w:shd w:val="clear" w:color="auto" w:fill="CCEEFF"/>
          </w:tcPr>
          <w:p>
            <w:pPr>
              <w:spacing w:after="0"/>
              <w:rPr>
                <w:sz w:val="24"/>
                <w:szCs w:val="24"/>
                <w:color w:val="auto"/>
              </w:rPr>
            </w:pPr>
          </w:p>
        </w:tc>
        <w:tc>
          <w:tcPr>
            <w:tcW w:w="9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191"/>
        </w:trPr>
        <w:tc>
          <w:tcPr>
            <w:tcW w:w="480" w:type="dxa"/>
            <w:vAlign w:val="bottom"/>
          </w:tcPr>
          <w:p>
            <w:pPr>
              <w:spacing w:after="0"/>
              <w:rPr>
                <w:sz w:val="16"/>
                <w:szCs w:val="16"/>
                <w:color w:val="auto"/>
              </w:rPr>
            </w:pPr>
          </w:p>
        </w:tc>
        <w:tc>
          <w:tcPr>
            <w:tcW w:w="9120" w:type="dxa"/>
            <w:vAlign w:val="bottom"/>
          </w:tcPr>
          <w:p>
            <w:pPr>
              <w:ind w:left="980"/>
              <w:spacing w:after="0"/>
              <w:rPr>
                <w:sz w:val="20"/>
                <w:szCs w:val="20"/>
                <w:color w:val="auto"/>
              </w:rPr>
            </w:pPr>
            <w:r>
              <w:rPr>
                <w:rFonts w:ascii="Arial" w:cs="Arial" w:eastAsia="Arial" w:hAnsi="Arial"/>
                <w:sz w:val="14"/>
                <w:szCs w:val="14"/>
                <w:color w:val="auto"/>
              </w:rPr>
              <w:t>Part II -- OTHER INFORMATION</w:t>
            </w:r>
          </w:p>
        </w:tc>
        <w:tc>
          <w:tcPr>
            <w:tcW w:w="1620" w:type="dxa"/>
            <w:vAlign w:val="bottom"/>
          </w:tcPr>
          <w:p>
            <w:pPr>
              <w:spacing w:after="0"/>
              <w:rPr>
                <w:sz w:val="16"/>
                <w:szCs w:val="16"/>
                <w:color w:val="auto"/>
              </w:rPr>
            </w:pPr>
          </w:p>
        </w:tc>
      </w:tr>
      <w:tr>
        <w:trPr>
          <w:trHeight w:val="79"/>
        </w:trPr>
        <w:tc>
          <w:tcPr>
            <w:tcW w:w="480" w:type="dxa"/>
            <w:vAlign w:val="bottom"/>
          </w:tcPr>
          <w:p>
            <w:pPr>
              <w:spacing w:after="0"/>
              <w:rPr>
                <w:sz w:val="6"/>
                <w:szCs w:val="6"/>
                <w:color w:val="auto"/>
              </w:rPr>
            </w:pPr>
          </w:p>
        </w:tc>
        <w:tc>
          <w:tcPr>
            <w:tcW w:w="912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284"/>
        </w:trPr>
        <w:tc>
          <w:tcPr>
            <w:tcW w:w="480" w:type="dxa"/>
            <w:vAlign w:val="bottom"/>
            <w:shd w:val="clear" w:color="auto" w:fill="CCEEFF"/>
          </w:tcPr>
          <w:p>
            <w:pPr>
              <w:spacing w:after="0"/>
              <w:rPr>
                <w:sz w:val="24"/>
                <w:szCs w:val="24"/>
                <w:color w:val="auto"/>
              </w:rPr>
            </w:pPr>
          </w:p>
        </w:tc>
        <w:tc>
          <w:tcPr>
            <w:tcW w:w="9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196"/>
        </w:trPr>
        <w:tc>
          <w:tcPr>
            <w:tcW w:w="480" w:type="dxa"/>
            <w:vAlign w:val="bottom"/>
          </w:tcPr>
          <w:p>
            <w:pPr>
              <w:ind w:left="40"/>
              <w:spacing w:after="0"/>
              <w:rPr>
                <w:sz w:val="20"/>
                <w:szCs w:val="20"/>
                <w:color w:val="auto"/>
              </w:rPr>
            </w:pPr>
            <w:r>
              <w:rPr>
                <w:rFonts w:ascii="Arial" w:cs="Arial" w:eastAsia="Arial" w:hAnsi="Arial"/>
                <w:sz w:val="14"/>
                <w:szCs w:val="14"/>
                <w:color w:val="auto"/>
                <w:w w:val="98"/>
              </w:rPr>
              <w:t>Item 1.</w:t>
            </w:r>
          </w:p>
        </w:tc>
        <w:tc>
          <w:tcPr>
            <w:tcW w:w="9120" w:type="dxa"/>
            <w:vAlign w:val="bottom"/>
          </w:tcPr>
          <w:p>
            <w:pPr>
              <w:ind w:left="140"/>
              <w:spacing w:after="0"/>
              <w:rPr>
                <w:sz w:val="20"/>
                <w:szCs w:val="20"/>
                <w:color w:val="auto"/>
              </w:rPr>
            </w:pPr>
            <w:r>
              <w:rPr>
                <w:rFonts w:ascii="Arial" w:cs="Arial" w:eastAsia="Arial" w:hAnsi="Arial"/>
                <w:sz w:val="14"/>
                <w:szCs w:val="14"/>
                <w:color w:val="auto"/>
              </w:rPr>
              <w:t>Legal Proceedings</w:t>
            </w:r>
          </w:p>
        </w:tc>
        <w:tc>
          <w:tcPr>
            <w:tcW w:w="1620" w:type="dxa"/>
            <w:vAlign w:val="bottom"/>
          </w:tcPr>
          <w:p>
            <w:pPr>
              <w:jc w:val="right"/>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33</w:t>
              </w:r>
            </w:hyperlink>
          </w:p>
        </w:tc>
      </w:tr>
      <w:tr>
        <w:trPr>
          <w:trHeight w:val="290"/>
        </w:trPr>
        <w:tc>
          <w:tcPr>
            <w:tcW w:w="9600" w:type="dxa"/>
            <w:vAlign w:val="bottom"/>
            <w:gridSpan w:val="2"/>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196"/>
        </w:trPr>
        <w:tc>
          <w:tcPr>
            <w:tcW w:w="9600" w:type="dxa"/>
            <w:vAlign w:val="bottom"/>
            <w:gridSpan w:val="2"/>
          </w:tcPr>
          <w:p>
            <w:pPr>
              <w:ind w:left="40"/>
              <w:spacing w:after="0"/>
              <w:rPr>
                <w:sz w:val="20"/>
                <w:szCs w:val="20"/>
                <w:color w:val="auto"/>
              </w:rPr>
            </w:pPr>
            <w:r>
              <w:rPr>
                <w:rFonts w:ascii="Arial" w:cs="Arial" w:eastAsia="Arial" w:hAnsi="Arial"/>
                <w:sz w:val="14"/>
                <w:szCs w:val="14"/>
                <w:color w:val="auto"/>
              </w:rPr>
              <w:t>Item 1A. Risk Factors</w:t>
            </w:r>
          </w:p>
        </w:tc>
        <w:tc>
          <w:tcPr>
            <w:tcW w:w="1620" w:type="dxa"/>
            <w:vAlign w:val="bottom"/>
          </w:tcPr>
          <w:p>
            <w:pPr>
              <w:jc w:val="right"/>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33</w:t>
              </w:r>
            </w:hyperlink>
          </w:p>
        </w:tc>
      </w:tr>
      <w:tr>
        <w:trPr>
          <w:trHeight w:val="290"/>
        </w:trPr>
        <w:tc>
          <w:tcPr>
            <w:tcW w:w="480" w:type="dxa"/>
            <w:vAlign w:val="bottom"/>
            <w:shd w:val="clear" w:color="auto" w:fill="CCEEFF"/>
          </w:tcPr>
          <w:p>
            <w:pPr>
              <w:spacing w:after="0"/>
              <w:rPr>
                <w:sz w:val="24"/>
                <w:szCs w:val="24"/>
                <w:color w:val="auto"/>
              </w:rPr>
            </w:pPr>
          </w:p>
        </w:tc>
        <w:tc>
          <w:tcPr>
            <w:tcW w:w="9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197"/>
        </w:trPr>
        <w:tc>
          <w:tcPr>
            <w:tcW w:w="480" w:type="dxa"/>
            <w:vAlign w:val="bottom"/>
          </w:tcPr>
          <w:p>
            <w:pPr>
              <w:ind w:left="40"/>
              <w:spacing w:after="0"/>
              <w:rPr>
                <w:sz w:val="20"/>
                <w:szCs w:val="20"/>
                <w:color w:val="auto"/>
              </w:rPr>
            </w:pPr>
            <w:r>
              <w:rPr>
                <w:rFonts w:ascii="Arial" w:cs="Arial" w:eastAsia="Arial" w:hAnsi="Arial"/>
                <w:sz w:val="14"/>
                <w:szCs w:val="14"/>
                <w:color w:val="auto"/>
                <w:w w:val="98"/>
              </w:rPr>
              <w:t>Item 2.</w:t>
            </w:r>
          </w:p>
        </w:tc>
        <w:tc>
          <w:tcPr>
            <w:tcW w:w="9120" w:type="dxa"/>
            <w:vAlign w:val="bottom"/>
          </w:tcPr>
          <w:p>
            <w:pPr>
              <w:ind w:left="40"/>
              <w:spacing w:after="0"/>
              <w:rPr>
                <w:sz w:val="20"/>
                <w:szCs w:val="20"/>
                <w:color w:val="auto"/>
              </w:rPr>
            </w:pPr>
            <w:r>
              <w:rPr>
                <w:rFonts w:ascii="Arial" w:cs="Arial" w:eastAsia="Arial" w:hAnsi="Arial"/>
                <w:sz w:val="14"/>
                <w:szCs w:val="14"/>
                <w:color w:val="auto"/>
              </w:rPr>
              <w:t>Unregistered Sales of Equity Securities and Use of Proceeds</w:t>
            </w:r>
          </w:p>
        </w:tc>
        <w:tc>
          <w:tcPr>
            <w:tcW w:w="1620" w:type="dxa"/>
            <w:vAlign w:val="bottom"/>
          </w:tcPr>
          <w:p>
            <w:pPr>
              <w:jc w:val="right"/>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34</w:t>
              </w:r>
            </w:hyperlink>
          </w:p>
        </w:tc>
      </w:tr>
      <w:tr>
        <w:trPr>
          <w:trHeight w:val="290"/>
        </w:trPr>
        <w:tc>
          <w:tcPr>
            <w:tcW w:w="480" w:type="dxa"/>
            <w:vAlign w:val="bottom"/>
            <w:shd w:val="clear" w:color="auto" w:fill="CCEEFF"/>
          </w:tcPr>
          <w:p>
            <w:pPr>
              <w:spacing w:after="0"/>
              <w:rPr>
                <w:sz w:val="24"/>
                <w:szCs w:val="24"/>
                <w:color w:val="auto"/>
              </w:rPr>
            </w:pPr>
          </w:p>
        </w:tc>
        <w:tc>
          <w:tcPr>
            <w:tcW w:w="9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197"/>
        </w:trPr>
        <w:tc>
          <w:tcPr>
            <w:tcW w:w="480" w:type="dxa"/>
            <w:vAlign w:val="bottom"/>
          </w:tcPr>
          <w:p>
            <w:pPr>
              <w:ind w:left="40"/>
              <w:spacing w:after="0"/>
              <w:rPr>
                <w:sz w:val="20"/>
                <w:szCs w:val="20"/>
                <w:color w:val="auto"/>
              </w:rPr>
            </w:pPr>
            <w:r>
              <w:rPr>
                <w:rFonts w:ascii="Arial" w:cs="Arial" w:eastAsia="Arial" w:hAnsi="Arial"/>
                <w:sz w:val="14"/>
                <w:szCs w:val="14"/>
                <w:color w:val="auto"/>
                <w:w w:val="98"/>
              </w:rPr>
              <w:t>Item 6.</w:t>
            </w:r>
          </w:p>
        </w:tc>
        <w:tc>
          <w:tcPr>
            <w:tcW w:w="9120" w:type="dxa"/>
            <w:vAlign w:val="bottom"/>
          </w:tcPr>
          <w:p>
            <w:pPr>
              <w:ind w:left="140"/>
              <w:spacing w:after="0"/>
              <w:rPr>
                <w:sz w:val="20"/>
                <w:szCs w:val="20"/>
                <w:color w:val="auto"/>
              </w:rPr>
            </w:pPr>
            <w:r>
              <w:rPr>
                <w:rFonts w:ascii="Arial" w:cs="Arial" w:eastAsia="Arial" w:hAnsi="Arial"/>
                <w:sz w:val="14"/>
                <w:szCs w:val="14"/>
                <w:color w:val="auto"/>
              </w:rPr>
              <w:t>Exhibits</w:t>
            </w:r>
          </w:p>
        </w:tc>
        <w:tc>
          <w:tcPr>
            <w:tcW w:w="1620" w:type="dxa"/>
            <w:vAlign w:val="bottom"/>
          </w:tcPr>
          <w:p>
            <w:pPr>
              <w:jc w:val="right"/>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35</w:t>
              </w:r>
            </w:hyperlink>
          </w:p>
        </w:tc>
      </w:tr>
      <w:tr>
        <w:trPr>
          <w:trHeight w:val="289"/>
        </w:trPr>
        <w:tc>
          <w:tcPr>
            <w:tcW w:w="480" w:type="dxa"/>
            <w:vAlign w:val="bottom"/>
            <w:shd w:val="clear" w:color="auto" w:fill="CCEEFF"/>
          </w:tcPr>
          <w:p>
            <w:pPr>
              <w:spacing w:after="0"/>
              <w:rPr>
                <w:sz w:val="24"/>
                <w:szCs w:val="24"/>
                <w:color w:val="auto"/>
              </w:rPr>
            </w:pPr>
          </w:p>
        </w:tc>
        <w:tc>
          <w:tcPr>
            <w:tcW w:w="9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197"/>
        </w:trPr>
        <w:tc>
          <w:tcPr>
            <w:tcW w:w="480" w:type="dxa"/>
            <w:vAlign w:val="bottom"/>
          </w:tcPr>
          <w:p>
            <w:pPr>
              <w:spacing w:after="0"/>
              <w:rPr>
                <w:sz w:val="17"/>
                <w:szCs w:val="17"/>
                <w:color w:val="auto"/>
              </w:rPr>
            </w:pPr>
          </w:p>
        </w:tc>
        <w:tc>
          <w:tcPr>
            <w:tcW w:w="9120" w:type="dxa"/>
            <w:vAlign w:val="bottom"/>
          </w:tcPr>
          <w:p>
            <w:pPr>
              <w:ind w:left="340"/>
              <w:spacing w:after="0"/>
              <w:rPr>
                <w:sz w:val="20"/>
                <w:szCs w:val="20"/>
                <w:color w:val="auto"/>
              </w:rPr>
            </w:pPr>
            <w:r>
              <w:rPr>
                <w:rFonts w:ascii="Arial" w:cs="Arial" w:eastAsia="Arial" w:hAnsi="Arial"/>
                <w:sz w:val="14"/>
                <w:szCs w:val="14"/>
                <w:color w:val="auto"/>
              </w:rPr>
              <w:t>(a) Index of Exhibits</w:t>
            </w:r>
          </w:p>
        </w:tc>
        <w:tc>
          <w:tcPr>
            <w:tcW w:w="1620" w:type="dxa"/>
            <w:vAlign w:val="bottom"/>
          </w:tcPr>
          <w:p>
            <w:pPr>
              <w:jc w:val="right"/>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35</w:t>
              </w:r>
            </w:hyperlink>
          </w:p>
        </w:tc>
      </w:tr>
      <w:tr>
        <w:trPr>
          <w:trHeight w:val="289"/>
        </w:trPr>
        <w:tc>
          <w:tcPr>
            <w:tcW w:w="9600" w:type="dxa"/>
            <w:vAlign w:val="bottom"/>
            <w:gridSpan w:val="2"/>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191"/>
        </w:trPr>
        <w:tc>
          <w:tcPr>
            <w:tcW w:w="9600" w:type="dxa"/>
            <w:vAlign w:val="bottom"/>
            <w:gridSpan w:val="2"/>
          </w:tcPr>
          <w:p>
            <w:pPr>
              <w:ind w:left="40"/>
              <w:spacing w:after="0"/>
              <w:rPr>
                <w:sz w:val="20"/>
                <w:szCs w:val="20"/>
                <w:color w:val="auto"/>
              </w:rPr>
            </w:pPr>
            <w:r>
              <w:rPr>
                <w:rFonts w:ascii="Arial" w:cs="Arial" w:eastAsia="Arial" w:hAnsi="Arial"/>
                <w:sz w:val="14"/>
                <w:szCs w:val="14"/>
                <w:color w:val="auto"/>
              </w:rPr>
              <w:t>Signature Page</w:t>
            </w:r>
          </w:p>
        </w:tc>
        <w:tc>
          <w:tcPr>
            <w:tcW w:w="1620" w:type="dxa"/>
            <w:vAlign w:val="bottom"/>
          </w:tcPr>
          <w:p>
            <w:pPr>
              <w:jc w:val="right"/>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36</w:t>
              </w:r>
            </w:hyperlink>
          </w:p>
        </w:tc>
      </w:tr>
    </w:tbl>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341" w:right="359" w:bottom="1440" w:gutter="0" w:footer="0" w:header="0"/>
        </w:sectPr>
      </w:pPr>
    </w:p>
    <w:bookmarkStart w:id="3" w:name="page4"/>
    <w:bookmarkEnd w:id="3"/>
    <w:p>
      <w:pPr>
        <w:ind w:left="3960"/>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64"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4690745</wp:posOffset>
            </wp:positionH>
            <wp:positionV relativeFrom="paragraph">
              <wp:posOffset>13335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7"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6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25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4"/>
        </w:trPr>
        <w:tc>
          <w:tcPr>
            <w:tcW w:w="6140" w:type="dxa"/>
            <w:vAlign w:val="bottom"/>
          </w:tcPr>
          <w:p>
            <w:pPr>
              <w:ind w:left="160"/>
              <w:spacing w:after="0"/>
              <w:rPr>
                <w:sz w:val="20"/>
                <w:szCs w:val="20"/>
                <w:color w:val="auto"/>
              </w:rPr>
            </w:pPr>
            <w:r>
              <w:rPr>
                <w:rFonts w:ascii="Arial" w:cs="Arial" w:eastAsia="Arial" w:hAnsi="Arial"/>
                <w:sz w:val="14"/>
                <w:szCs w:val="14"/>
                <w:color w:val="auto"/>
              </w:rPr>
              <w:t>Service and other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129,399</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100,079</w:t>
            </w:r>
          </w:p>
        </w:tc>
      </w:tr>
      <w:tr>
        <w:trPr>
          <w:trHeight w:val="276"/>
        </w:trPr>
        <w:tc>
          <w:tcPr>
            <w:tcW w:w="6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Rental</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6,490</w:t>
            </w:r>
          </w:p>
        </w:tc>
      </w:tr>
      <w:tr>
        <w:trPr>
          <w:trHeight w:val="264"/>
        </w:trPr>
        <w:tc>
          <w:tcPr>
            <w:tcW w:w="61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1,981</w:t>
            </w:r>
          </w:p>
        </w:tc>
      </w:tr>
      <w:tr>
        <w:trPr>
          <w:trHeight w:val="256"/>
        </w:trPr>
        <w:tc>
          <w:tcPr>
            <w:tcW w:w="61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138,792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108,550</w:t>
            </w:r>
          </w:p>
        </w:tc>
      </w:tr>
      <w:tr>
        <w:trPr>
          <w:trHeight w:val="258"/>
        </w:trPr>
        <w:tc>
          <w:tcPr>
            <w:tcW w:w="61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 and other costs</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96,044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72,644</w:t>
            </w:r>
          </w:p>
        </w:tc>
      </w:tr>
      <w:tr>
        <w:trPr>
          <w:trHeight w:val="264"/>
        </w:trPr>
        <w:tc>
          <w:tcPr>
            <w:tcW w:w="6140" w:type="dxa"/>
            <w:vAlign w:val="bottom"/>
          </w:tcPr>
          <w:p>
            <w:pPr>
              <w:ind w:left="160"/>
              <w:spacing w:after="0"/>
              <w:rPr>
                <w:sz w:val="20"/>
                <w:szCs w:val="20"/>
                <w:color w:val="auto"/>
              </w:rPr>
            </w:pPr>
            <w:r>
              <w:rPr>
                <w:rFonts w:ascii="Arial" w:cs="Arial" w:eastAsia="Arial" w:hAnsi="Arial"/>
                <w:sz w:val="14"/>
                <w:szCs w:val="14"/>
                <w:color w:val="auto"/>
              </w:rPr>
              <w:t>Rental costs</w:t>
            </w: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5,150</w:t>
            </w:r>
          </w:p>
        </w:tc>
      </w:tr>
      <w:tr>
        <w:trPr>
          <w:trHeight w:val="276"/>
        </w:trPr>
        <w:tc>
          <w:tcPr>
            <w:tcW w:w="6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Product costs</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1,836</w:t>
            </w:r>
          </w:p>
        </w:tc>
      </w:tr>
      <w:tr>
        <w:trPr>
          <w:trHeight w:val="264"/>
        </w:trPr>
        <w:tc>
          <w:tcPr>
            <w:tcW w:w="6140" w:type="dxa"/>
            <w:vAlign w:val="bottom"/>
          </w:tcPr>
          <w:p>
            <w:pPr>
              <w:ind w:left="16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13,937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16,096</w:t>
            </w:r>
          </w:p>
        </w:tc>
      </w:tr>
      <w:tr>
        <w:trPr>
          <w:trHeight w:val="276"/>
        </w:trPr>
        <w:tc>
          <w:tcPr>
            <w:tcW w:w="6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30,782</w:t>
            </w:r>
          </w:p>
        </w:tc>
      </w:tr>
      <w:tr>
        <w:trPr>
          <w:trHeight w:val="264"/>
        </w:trPr>
        <w:tc>
          <w:tcPr>
            <w:tcW w:w="6140" w:type="dxa"/>
            <w:vAlign w:val="bottom"/>
          </w:tcPr>
          <w:p>
            <w:pPr>
              <w:ind w:left="16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144,120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50"/>
        </w:trPr>
        <w:tc>
          <w:tcPr>
            <w:tcW w:w="6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287,861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126,443</w:t>
            </w:r>
          </w:p>
        </w:tc>
      </w:tr>
      <w:tr>
        <w:trPr>
          <w:trHeight w:val="25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(149,069)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(17,893)</w:t>
            </w:r>
          </w:p>
        </w:tc>
      </w:tr>
      <w:tr>
        <w:trPr>
          <w:trHeight w:val="270"/>
        </w:trPr>
        <w:tc>
          <w:tcPr>
            <w:tcW w:w="6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(6,635)</w:t>
            </w:r>
          </w:p>
        </w:tc>
      </w:tr>
      <w:tr>
        <w:trPr>
          <w:trHeight w:val="264"/>
        </w:trPr>
        <w:tc>
          <w:tcPr>
            <w:tcW w:w="61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2,978</w:t>
            </w:r>
          </w:p>
        </w:tc>
      </w:tr>
      <w:tr>
        <w:trPr>
          <w:trHeight w:val="250"/>
        </w:trPr>
        <w:tc>
          <w:tcPr>
            <w:tcW w:w="6140" w:type="dxa"/>
            <w:vAlign w:val="bottom"/>
          </w:tcPr>
          <w:p>
            <w:pPr>
              <w:ind w:left="16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(21,523)</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8,811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4,484</w:t>
            </w:r>
          </w:p>
        </w:tc>
      </w:tr>
      <w:tr>
        <w:trPr>
          <w:trHeight w:val="250"/>
        </w:trPr>
        <w:tc>
          <w:tcPr>
            <w:tcW w:w="614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(145,812)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(17,039)</w:t>
            </w:r>
          </w:p>
        </w:tc>
      </w:tr>
      <w:tr>
        <w:trPr>
          <w:trHeight w:val="270"/>
        </w:trPr>
        <w:tc>
          <w:tcPr>
            <w:tcW w:w="6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140" w:type="dxa"/>
            <w:vAlign w:val="bottom"/>
          </w:tcPr>
          <w:p>
            <w:pPr>
              <w:ind w:left="20"/>
              <w:spacing w:after="0"/>
              <w:rPr>
                <w:sz w:val="20"/>
                <w:szCs w:val="20"/>
                <w:color w:val="auto"/>
              </w:rPr>
            </w:pPr>
            <w:r>
              <w:rPr>
                <w:rFonts w:ascii="Arial" w:cs="Arial" w:eastAsia="Arial" w:hAnsi="Arial"/>
                <w:sz w:val="14"/>
                <w:szCs w:val="14"/>
                <w:color w:val="auto"/>
              </w:rPr>
              <w:t>Net loss attributable to Civeo Corporation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(146,070)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(17,039)</w:t>
            </w:r>
          </w:p>
        </w:tc>
      </w:tr>
      <w:tr>
        <w:trPr>
          <w:trHeight w:val="270"/>
        </w:trPr>
        <w:tc>
          <w:tcPr>
            <w:tcW w:w="6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r>
      <w:tr>
        <w:trPr>
          <w:trHeight w:val="282"/>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Civeo common shareholders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(146,538)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(17,498)</w:t>
            </w:r>
          </w:p>
        </w:tc>
      </w:tr>
      <w:tr>
        <w:trPr>
          <w:trHeight w:val="251"/>
        </w:trPr>
        <w:tc>
          <w:tcPr>
            <w:tcW w:w="6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70"/>
        </w:trPr>
        <w:tc>
          <w:tcPr>
            <w:tcW w:w="6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 Share Data (see Note 9)</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140" w:type="dxa"/>
            <w:vAlign w:val="bottom"/>
          </w:tcPr>
          <w:p>
            <w:pPr>
              <w:ind w:left="20"/>
              <w:spacing w:after="0"/>
              <w:rPr>
                <w:sz w:val="20"/>
                <w:szCs w:val="20"/>
                <w:color w:val="auto"/>
              </w:rPr>
            </w:pPr>
            <w:r>
              <w:rPr>
                <w:rFonts w:ascii="Arial" w:cs="Arial" w:eastAsia="Arial" w:hAnsi="Arial"/>
                <w:sz w:val="14"/>
                <w:szCs w:val="14"/>
                <w:color w:val="auto"/>
              </w:rPr>
              <w:t>Basic net loss per share attributable to Civeo Corporation common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(0.87)</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(0.11)</w:t>
            </w:r>
          </w:p>
        </w:tc>
      </w:tr>
      <w:tr>
        <w:trPr>
          <w:trHeight w:val="276"/>
        </w:trPr>
        <w:tc>
          <w:tcPr>
            <w:tcW w:w="6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6140" w:type="dxa"/>
            <w:vAlign w:val="bottom"/>
          </w:tcPr>
          <w:p>
            <w:pPr>
              <w:ind w:left="20"/>
              <w:spacing w:after="0"/>
              <w:rPr>
                <w:sz w:val="20"/>
                <w:szCs w:val="20"/>
                <w:color w:val="auto"/>
              </w:rPr>
            </w:pPr>
            <w:r>
              <w:rPr>
                <w:rFonts w:ascii="Arial" w:cs="Arial" w:eastAsia="Arial" w:hAnsi="Arial"/>
                <w:sz w:val="14"/>
                <w:szCs w:val="14"/>
                <w:color w:val="auto"/>
              </w:rPr>
              <w:t>Diluted net loss per share attributable to Civeo Corporation common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(0.87)</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(0.11)</w:t>
            </w:r>
          </w:p>
        </w:tc>
      </w:tr>
      <w:tr>
        <w:trPr>
          <w:trHeight w:val="276"/>
        </w:trPr>
        <w:tc>
          <w:tcPr>
            <w:tcW w:w="6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614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168,519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165,330</w:t>
            </w:r>
          </w:p>
        </w:tc>
      </w:tr>
      <w:tr>
        <w:trPr>
          <w:trHeight w:val="258"/>
        </w:trPr>
        <w:tc>
          <w:tcPr>
            <w:tcW w:w="6140" w:type="dxa"/>
            <w:vAlign w:val="bottom"/>
          </w:tcPr>
          <w:p>
            <w:pPr>
              <w:ind w:left="16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168,519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165,330</w:t>
            </w:r>
          </w:p>
        </w:tc>
      </w:tr>
    </w:tbl>
    <w:p>
      <w:pPr>
        <w:spacing w:after="0" w:line="10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9999"/>
          </w:cols>
          <w:pgMar w:left="460" w:top="33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999"/>
          </w:cols>
          <w:pgMar w:left="460" w:top="337" w:right="1440" w:bottom="1440" w:gutter="0" w:footer="0" w:header="0"/>
          <w:type w:val="continuous"/>
        </w:sectPr>
      </w:pPr>
    </w:p>
    <w:bookmarkStart w:id="4" w:name="page5"/>
    <w:bookmarkEnd w:id="4"/>
    <w:p>
      <w:pPr>
        <w:jc w:val="center"/>
        <w:ind w:right="-12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w:t>
      </w:r>
    </w:p>
    <w:p>
      <w:pPr>
        <w:spacing w:after="0" w:line="364"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13335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97"/>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(145,812)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(17,039)</w:t>
            </w:r>
          </w:p>
        </w:tc>
      </w:tr>
      <w:tr>
        <w:trPr>
          <w:trHeight w:val="297"/>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taxes: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9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Foreign currency translation adjustment, net of zero taxes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(48,541)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5,379</w:t>
            </w:r>
          </w:p>
        </w:tc>
      </w:tr>
      <w:tr>
        <w:trPr>
          <w:trHeight w:val="250"/>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taxes</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(48,541)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5,379</w:t>
            </w:r>
          </w:p>
        </w:tc>
      </w:tr>
      <w:tr>
        <w:trPr>
          <w:trHeight w:val="296"/>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(194,353)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(11,660)</w:t>
            </w:r>
          </w:p>
        </w:tc>
      </w:tr>
      <w:tr>
        <w:trPr>
          <w:trHeight w:val="264"/>
        </w:trPr>
        <w:tc>
          <w:tcPr>
            <w:tcW w:w="59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Civeo Corporation</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(11,660)</w:t>
            </w: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337" w:right="1440"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Excluding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December 31, 2019</w:t>
            </w:r>
          </w:p>
        </w:tc>
      </w:tr>
      <w:tr>
        <w:trPr>
          <w:trHeight w:val="263"/>
        </w:trPr>
        <w:tc>
          <w:tcPr>
            <w:tcW w:w="2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2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29"/>
        </w:trPr>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70"/>
        </w:trPr>
        <w:tc>
          <w:tcPr>
            <w:tcW w:w="77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7740" w:type="dxa"/>
            <w:vAlign w:val="bottom"/>
            <w:gridSpan w:val="5"/>
          </w:tcPr>
          <w:p>
            <w:pPr>
              <w:ind w:left="18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5,558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3,331</w:t>
            </w:r>
          </w:p>
        </w:tc>
      </w:tr>
      <w:tr>
        <w:trPr>
          <w:trHeight w:val="276"/>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91,874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99,493</w:t>
            </w:r>
          </w:p>
        </w:tc>
      </w:tr>
      <w:tr>
        <w:trPr>
          <w:trHeight w:val="264"/>
        </w:trPr>
        <w:tc>
          <w:tcPr>
            <w:tcW w:w="7740" w:type="dxa"/>
            <w:vAlign w:val="bottom"/>
            <w:gridSpan w:val="5"/>
          </w:tcPr>
          <w:p>
            <w:pPr>
              <w:ind w:left="18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6,050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5,877</w:t>
            </w:r>
          </w:p>
        </w:tc>
      </w:tr>
      <w:tr>
        <w:trPr>
          <w:trHeight w:val="276"/>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7,247</w:t>
            </w:r>
          </w:p>
        </w:tc>
      </w:tr>
      <w:tr>
        <w:trPr>
          <w:trHeight w:val="264"/>
        </w:trPr>
        <w:tc>
          <w:tcPr>
            <w:tcW w:w="7740" w:type="dxa"/>
            <w:vAlign w:val="bottom"/>
            <w:gridSpan w:val="5"/>
          </w:tcPr>
          <w:p>
            <w:pPr>
              <w:ind w:left="18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11,378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7,904</w:t>
            </w:r>
          </w:p>
        </w:tc>
      </w:tr>
      <w:tr>
        <w:trPr>
          <w:trHeight w:val="270"/>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Assets held for sale</w:t>
            </w: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6,332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7,589</w:t>
            </w:r>
          </w:p>
        </w:tc>
      </w:tr>
      <w:tr>
        <w:trPr>
          <w:trHeight w:val="250"/>
        </w:trPr>
        <w:tc>
          <w:tcPr>
            <w:tcW w:w="7740" w:type="dxa"/>
            <w:vAlign w:val="bottom"/>
            <w:gridSpan w:val="5"/>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126,188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131,441</w:t>
            </w:r>
          </w:p>
        </w:tc>
      </w:tr>
      <w:tr>
        <w:trPr>
          <w:trHeight w:val="222"/>
        </w:trPr>
        <w:tc>
          <w:tcPr>
            <w:tcW w:w="2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64"/>
        </w:trPr>
        <w:tc>
          <w:tcPr>
            <w:tcW w:w="7740" w:type="dxa"/>
            <w:vAlign w:val="bottom"/>
            <w:gridSpan w:val="5"/>
          </w:tcPr>
          <w:p>
            <w:pPr>
              <w:ind w:left="4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465,087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590,309</w:t>
            </w:r>
          </w:p>
        </w:tc>
      </w:tr>
      <w:tr>
        <w:trPr>
          <w:trHeight w:val="276"/>
        </w:trPr>
        <w:tc>
          <w:tcPr>
            <w:tcW w:w="77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110,173</w:t>
            </w:r>
          </w:p>
        </w:tc>
      </w:tr>
      <w:tr>
        <w:trPr>
          <w:trHeight w:val="264"/>
        </w:trPr>
        <w:tc>
          <w:tcPr>
            <w:tcW w:w="7740" w:type="dxa"/>
            <w:vAlign w:val="bottom"/>
            <w:gridSpan w:val="5"/>
          </w:tcPr>
          <w:p>
            <w:pPr>
              <w:ind w:left="40"/>
              <w:spacing w:after="0"/>
              <w:rPr>
                <w:sz w:val="20"/>
                <w:szCs w:val="20"/>
                <w:color w:val="auto"/>
              </w:rPr>
            </w:pPr>
            <w:r>
              <w:rPr>
                <w:rFonts w:ascii="Arial" w:cs="Arial" w:eastAsia="Arial" w:hAnsi="Arial"/>
                <w:sz w:val="14"/>
                <w:szCs w:val="14"/>
                <w:color w:val="auto"/>
              </w:rPr>
              <w:t>Other intangible assets, net</w:t>
            </w:r>
          </w:p>
        </w:tc>
        <w:tc>
          <w:tcPr>
            <w:tcW w:w="24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98,944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111,837</w:t>
            </w:r>
          </w:p>
        </w:tc>
      </w:tr>
      <w:tr>
        <w:trPr>
          <w:trHeight w:val="276"/>
        </w:trPr>
        <w:tc>
          <w:tcPr>
            <w:tcW w:w="77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24,876</w:t>
            </w:r>
          </w:p>
        </w:tc>
      </w:tr>
      <w:tr>
        <w:trPr>
          <w:trHeight w:val="264"/>
        </w:trPr>
        <w:tc>
          <w:tcPr>
            <w:tcW w:w="774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color w:val="auto"/>
              </w:rPr>
              <w:t>Other noncurrent assets</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1,276</w:t>
            </w:r>
          </w:p>
        </w:tc>
      </w:tr>
      <w:tr>
        <w:trPr>
          <w:trHeight w:val="242"/>
        </w:trPr>
        <w:tc>
          <w:tcPr>
            <w:tcW w:w="7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719,523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969,912</w:t>
            </w:r>
          </w:p>
        </w:tc>
      </w:tr>
      <w:tr>
        <w:trPr>
          <w:trHeight w:val="20"/>
        </w:trPr>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7"/>
        </w:trPr>
        <w:tc>
          <w:tcPr>
            <w:tcW w:w="2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70"/>
        </w:trPr>
        <w:tc>
          <w:tcPr>
            <w:tcW w:w="2080" w:type="dxa"/>
            <w:vAlign w:val="bottom"/>
            <w:shd w:val="clear" w:color="auto" w:fill="CCEEFF"/>
          </w:tcPr>
          <w:p>
            <w:pPr>
              <w:spacing w:after="0"/>
              <w:rPr>
                <w:sz w:val="23"/>
                <w:szCs w:val="23"/>
                <w:color w:val="auto"/>
              </w:rPr>
            </w:pPr>
          </w:p>
        </w:tc>
        <w:tc>
          <w:tcPr>
            <w:tcW w:w="566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LIABILITIES AND SHAREHOLDERS’ EQUITY</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16"/>
        </w:trPr>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0"/>
        </w:trPr>
        <w:tc>
          <w:tcPr>
            <w:tcW w:w="77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7740" w:type="dxa"/>
            <w:vAlign w:val="bottom"/>
            <w:gridSpan w:val="5"/>
          </w:tcPr>
          <w:p>
            <w:pPr>
              <w:ind w:left="18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43,258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36,971</w:t>
            </w:r>
          </w:p>
        </w:tc>
      </w:tr>
      <w:tr>
        <w:trPr>
          <w:trHeight w:val="276"/>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21,755</w:t>
            </w:r>
          </w:p>
        </w:tc>
      </w:tr>
      <w:tr>
        <w:trPr>
          <w:trHeight w:val="264"/>
        </w:trPr>
        <w:tc>
          <w:tcPr>
            <w:tcW w:w="7740" w:type="dxa"/>
            <w:vAlign w:val="bottom"/>
            <w:gridSpan w:val="5"/>
          </w:tcPr>
          <w:p>
            <w:pPr>
              <w:ind w:left="180"/>
              <w:spacing w:after="0"/>
              <w:rPr>
                <w:sz w:val="20"/>
                <w:szCs w:val="20"/>
                <w:color w:val="auto"/>
              </w:rPr>
            </w:pPr>
            <w:r>
              <w:rPr>
                <w:rFonts w:ascii="Arial" w:cs="Arial" w:eastAsia="Arial" w:hAnsi="Arial"/>
                <w:sz w:val="14"/>
                <w:szCs w:val="14"/>
                <w:color w:val="auto"/>
              </w:rPr>
              <w:t>Income taxes</w:t>
            </w:r>
          </w:p>
        </w:tc>
        <w:tc>
          <w:tcPr>
            <w:tcW w:w="24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328</w:t>
            </w:r>
          </w:p>
        </w:tc>
      </w:tr>
      <w:tr>
        <w:trPr>
          <w:trHeight w:val="276"/>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35,080</w:t>
            </w:r>
          </w:p>
        </w:tc>
      </w:tr>
      <w:tr>
        <w:trPr>
          <w:trHeight w:val="264"/>
        </w:trPr>
        <w:tc>
          <w:tcPr>
            <w:tcW w:w="7740" w:type="dxa"/>
            <w:vAlign w:val="bottom"/>
            <w:gridSpan w:val="5"/>
          </w:tcPr>
          <w:p>
            <w:pPr>
              <w:ind w:left="18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8,250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7,165</w:t>
            </w:r>
          </w:p>
        </w:tc>
      </w:tr>
      <w:tr>
        <w:trPr>
          <w:trHeight w:val="270"/>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5,785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8,741</w:t>
            </w:r>
          </w:p>
        </w:tc>
      </w:tr>
      <w:tr>
        <w:trPr>
          <w:trHeight w:val="250"/>
        </w:trPr>
        <w:tc>
          <w:tcPr>
            <w:tcW w:w="7740" w:type="dxa"/>
            <w:vAlign w:val="bottom"/>
            <w:gridSpan w:val="5"/>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106,046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110,040</w:t>
            </w:r>
          </w:p>
        </w:tc>
      </w:tr>
      <w:tr>
        <w:trPr>
          <w:trHeight w:val="222"/>
        </w:trPr>
        <w:tc>
          <w:tcPr>
            <w:tcW w:w="2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64"/>
        </w:trPr>
        <w:tc>
          <w:tcPr>
            <w:tcW w:w="7740" w:type="dxa"/>
            <w:vAlign w:val="bottom"/>
            <w:gridSpan w:val="5"/>
          </w:tcPr>
          <w:p>
            <w:pPr>
              <w:ind w:left="40"/>
              <w:spacing w:after="0"/>
              <w:rPr>
                <w:sz w:val="20"/>
                <w:szCs w:val="20"/>
                <w:color w:val="auto"/>
              </w:rPr>
            </w:pPr>
            <w:r>
              <w:rPr>
                <w:rFonts w:ascii="Arial" w:cs="Arial" w:eastAsia="Arial" w:hAnsi="Arial"/>
                <w:sz w:val="14"/>
                <w:szCs w:val="14"/>
                <w:color w:val="auto"/>
              </w:rPr>
              <w:t>Long-term debt, less current maturities</w:t>
            </w:r>
          </w:p>
        </w:tc>
        <w:tc>
          <w:tcPr>
            <w:tcW w:w="24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280,939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321,792</w:t>
            </w:r>
          </w:p>
        </w:tc>
      </w:tr>
      <w:tr>
        <w:trPr>
          <w:trHeight w:val="276"/>
        </w:trPr>
        <w:tc>
          <w:tcPr>
            <w:tcW w:w="77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9,452</w:t>
            </w:r>
          </w:p>
        </w:tc>
      </w:tr>
      <w:tr>
        <w:trPr>
          <w:trHeight w:val="264"/>
        </w:trPr>
        <w:tc>
          <w:tcPr>
            <w:tcW w:w="7740" w:type="dxa"/>
            <w:vAlign w:val="bottom"/>
            <w:gridSpan w:val="5"/>
          </w:tcPr>
          <w:p>
            <w:pPr>
              <w:ind w:left="4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18,527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21,231</w:t>
            </w:r>
          </w:p>
        </w:tc>
      </w:tr>
      <w:tr>
        <w:trPr>
          <w:trHeight w:val="270"/>
        </w:trPr>
        <w:tc>
          <w:tcPr>
            <w:tcW w:w="77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17,066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16,592</w:t>
            </w:r>
          </w:p>
        </w:tc>
      </w:tr>
      <w:tr>
        <w:trPr>
          <w:trHeight w:val="250"/>
        </w:trPr>
        <w:tc>
          <w:tcPr>
            <w:tcW w:w="7740" w:type="dxa"/>
            <w:vAlign w:val="bottom"/>
            <w:gridSpan w:val="5"/>
          </w:tcPr>
          <w:p>
            <w:pPr>
              <w:ind w:left="180"/>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422,578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479,107</w:t>
            </w:r>
          </w:p>
        </w:tc>
      </w:tr>
      <w:tr>
        <w:trPr>
          <w:trHeight w:val="222"/>
        </w:trPr>
        <w:tc>
          <w:tcPr>
            <w:tcW w:w="2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64"/>
        </w:trPr>
        <w:tc>
          <w:tcPr>
            <w:tcW w:w="7740" w:type="dxa"/>
            <w:vAlign w:val="bottom"/>
            <w:gridSpan w:val="5"/>
          </w:tcPr>
          <w:p>
            <w:pPr>
              <w:ind w:left="40"/>
              <w:spacing w:after="0"/>
              <w:rPr>
                <w:sz w:val="20"/>
                <w:szCs w:val="20"/>
                <w:color w:val="auto"/>
              </w:rPr>
            </w:pPr>
            <w:r>
              <w:rPr>
                <w:rFonts w:ascii="Arial" w:cs="Arial" w:eastAsia="Arial" w:hAnsi="Arial"/>
                <w:sz w:val="14"/>
                <w:szCs w:val="14"/>
                <w:color w:val="auto"/>
              </w:rPr>
              <w:t>Commitments and contingencies (Note 12)</w:t>
            </w: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2"/>
        </w:trPr>
        <w:tc>
          <w:tcPr>
            <w:tcW w:w="2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64"/>
        </w:trPr>
        <w:tc>
          <w:tcPr>
            <w:tcW w:w="7740" w:type="dxa"/>
            <w:vAlign w:val="bottom"/>
            <w:gridSpan w:val="5"/>
          </w:tcPr>
          <w:p>
            <w:pPr>
              <w:ind w:left="40"/>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63"/>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w w:val="92"/>
              </w:rPr>
              <w:t>Preferred shares (Class A Series 1, no par value; 50,000,000 shares authorized, 9,042 shares issued and outstanding, respectively;</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74"/>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3"/>
              </w:rPr>
              <w:t>aggregate liquidation preference</w:t>
            </w:r>
          </w:p>
        </w:tc>
        <w:tc>
          <w:tcPr>
            <w:tcW w:w="1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of $94,096 and $93,627 as</w:t>
            </w: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of March 31, 2020 and December 31, 2019)</w:t>
            </w:r>
          </w:p>
        </w:tc>
        <w:tc>
          <w:tcPr>
            <w:tcW w:w="2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58,597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58,129</w:t>
            </w:r>
          </w:p>
        </w:tc>
      </w:tr>
      <w:tr>
        <w:trPr>
          <w:trHeight w:val="157"/>
        </w:trPr>
        <w:tc>
          <w:tcPr>
            <w:tcW w:w="7740" w:type="dxa"/>
            <w:vAlign w:val="bottom"/>
            <w:gridSpan w:val="5"/>
          </w:tcPr>
          <w:p>
            <w:pPr>
              <w:ind w:left="180"/>
              <w:spacing w:after="0" w:line="157" w:lineRule="exact"/>
              <w:rPr>
                <w:sz w:val="20"/>
                <w:szCs w:val="20"/>
                <w:color w:val="auto"/>
              </w:rPr>
            </w:pPr>
            <w:r>
              <w:rPr>
                <w:rFonts w:ascii="Arial" w:cs="Arial" w:eastAsia="Arial" w:hAnsi="Arial"/>
                <w:sz w:val="14"/>
                <w:szCs w:val="14"/>
                <w:color w:val="auto"/>
                <w:w w:val="93"/>
              </w:rPr>
              <w:t>Common shares (no par value; 550,000,000 shares authorized, 173,712,510 shares and 171,656,039 shares issued, respectively,</w:t>
            </w: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8"/>
        </w:trPr>
        <w:tc>
          <w:tcPr>
            <w:tcW w:w="7740" w:type="dxa"/>
            <w:vAlign w:val="bottom"/>
            <w:gridSpan w:val="5"/>
          </w:tcPr>
          <w:p>
            <w:pPr>
              <w:ind w:left="180"/>
              <w:spacing w:after="0"/>
              <w:rPr>
                <w:sz w:val="20"/>
                <w:szCs w:val="20"/>
                <w:color w:val="auto"/>
              </w:rPr>
            </w:pPr>
            <w:r>
              <w:rPr>
                <w:rFonts w:ascii="Arial" w:cs="Arial" w:eastAsia="Arial" w:hAnsi="Arial"/>
                <w:sz w:val="14"/>
                <w:szCs w:val="14"/>
                <w:color w:val="auto"/>
              </w:rPr>
              <w:t>and 170,592,246 shares and 169,556,403 shares outstanding, respectively)</w:t>
            </w:r>
          </w:p>
        </w:tc>
        <w:tc>
          <w:tcPr>
            <w:tcW w:w="240" w:type="dxa"/>
            <w:vAlign w:val="bottom"/>
          </w:tcPr>
          <w:p>
            <w:pPr>
              <w:spacing w:after="0"/>
              <w:rPr>
                <w:sz w:val="16"/>
                <w:szCs w:val="16"/>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1,574,457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1,572,249</w:t>
            </w:r>
          </w:p>
        </w:tc>
      </w:tr>
      <w:tr>
        <w:trPr>
          <w:trHeight w:val="264"/>
        </w:trPr>
        <w:tc>
          <w:tcPr>
            <w:tcW w:w="7740" w:type="dxa"/>
            <w:vAlign w:val="bottom"/>
            <w:gridSpan w:val="5"/>
          </w:tcPr>
          <w:p>
            <w:pPr>
              <w:ind w:left="180"/>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(918,128)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(771,590)</w:t>
            </w:r>
          </w:p>
        </w:tc>
      </w:tr>
      <w:tr>
        <w:trPr>
          <w:trHeight w:val="256"/>
        </w:trPr>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w w:val="91"/>
              </w:rPr>
              <w:t>Common shares held in treasury at cost,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shd w:val="clear" w:color="auto" w:fill="CCEEFF"/>
              </w:rPr>
              <w:t>3,120,264</w:t>
            </w:r>
          </w:p>
        </w:tc>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and 2,099,636 shares, 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(5,472)</w:t>
            </w:r>
          </w:p>
        </w:tc>
      </w:tr>
      <w:tr>
        <w:trPr>
          <w:trHeight w:val="264"/>
        </w:trPr>
        <w:tc>
          <w:tcPr>
            <w:tcW w:w="7740" w:type="dxa"/>
            <w:vAlign w:val="bottom"/>
            <w:tcBorders>
              <w:bottom w:val="single" w:sz="8" w:color="CCEEFF"/>
            </w:tcBorders>
            <w:gridSpan w:val="5"/>
          </w:tcPr>
          <w:p>
            <w:pPr>
              <w:ind w:left="18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(363,173)</w:t>
            </w:r>
          </w:p>
        </w:tc>
      </w:tr>
      <w:tr>
        <w:trPr>
          <w:trHeight w:val="250"/>
        </w:trPr>
        <w:tc>
          <w:tcPr>
            <w:tcW w:w="7740" w:type="dxa"/>
            <w:vAlign w:val="bottom"/>
            <w:gridSpan w:val="5"/>
            <w:shd w:val="clear" w:color="auto" w:fill="CCEEFF"/>
          </w:tcPr>
          <w:p>
            <w:pPr>
              <w:ind w:left="380"/>
              <w:spacing w:after="0"/>
              <w:rPr>
                <w:sz w:val="20"/>
                <w:szCs w:val="20"/>
                <w:color w:val="auto"/>
              </w:rPr>
            </w:pPr>
            <w:r>
              <w:rPr>
                <w:rFonts w:ascii="Arial" w:cs="Arial" w:eastAsia="Arial" w:hAnsi="Arial"/>
                <w:sz w:val="14"/>
                <w:szCs w:val="14"/>
                <w:color w:val="auto"/>
              </w:rPr>
              <w:t>Total Civeo Corporation 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296,393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490,143</w:t>
            </w:r>
          </w:p>
        </w:tc>
      </w:tr>
      <w:tr>
        <w:trPr>
          <w:trHeight w:val="250"/>
        </w:trPr>
        <w:tc>
          <w:tcPr>
            <w:tcW w:w="774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662</w:t>
            </w:r>
          </w:p>
        </w:tc>
      </w:tr>
      <w:tr>
        <w:trPr>
          <w:trHeight w:val="250"/>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Total 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296,945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490,805</w:t>
            </w:r>
          </w:p>
        </w:tc>
      </w:tr>
      <w:tr>
        <w:trPr>
          <w:trHeight w:val="243"/>
        </w:trPr>
        <w:tc>
          <w:tcPr>
            <w:tcW w:w="7740" w:type="dxa"/>
            <w:vAlign w:val="bottom"/>
            <w:gridSpan w:val="5"/>
          </w:tcPr>
          <w:p>
            <w:pPr>
              <w:ind w:left="380"/>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719,523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969,912</w:t>
            </w:r>
          </w:p>
        </w:tc>
      </w:tr>
      <w:tr>
        <w:trPr>
          <w:trHeight w:val="20"/>
        </w:trPr>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20"/>
          </w:cols>
          <w:pgMar w:left="320" w:top="337" w:right="359" w:bottom="663"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20"/>
          </w:cols>
          <w:pgMar w:left="320" w:top="337" w:right="359" w:bottom="663" w:gutter="0" w:footer="0" w:header="0"/>
          <w:type w:val="continuous"/>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Attributable to Civeo</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44"/>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08"/>
              <w:spacing w:after="0" w:line="144" w:lineRule="exact"/>
              <w:rPr>
                <w:sz w:val="20"/>
                <w:szCs w:val="20"/>
                <w:color w:val="auto"/>
              </w:rPr>
            </w:pPr>
            <w:r>
              <w:rPr>
                <w:rFonts w:ascii="Arial" w:cs="Arial" w:eastAsia="Arial" w:hAnsi="Arial"/>
                <w:sz w:val="13"/>
                <w:szCs w:val="13"/>
                <w:b w:val="1"/>
                <w:bCs w:val="1"/>
                <w:color w:val="auto"/>
                <w:w w:val="89"/>
              </w:rPr>
              <w:t>Preferred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208"/>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30"/>
        </w:trPr>
        <w:tc>
          <w:tcPr>
            <w:tcW w:w="2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1"/>
                <w:szCs w:val="11"/>
                <w:color w:val="auto"/>
              </w:rPr>
            </w:pPr>
          </w:p>
        </w:tc>
        <w:tc>
          <w:tcPr>
            <w:tcW w:w="90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7"/>
              </w:rPr>
              <w:t>Shareholders’</w:t>
            </w:r>
          </w:p>
        </w:tc>
      </w:tr>
      <w:tr>
        <w:trPr>
          <w:trHeight w:val="174"/>
        </w:trPr>
        <w:tc>
          <w:tcPr>
            <w:tcW w:w="27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69"/>
              <w:spacing w:after="0"/>
              <w:rPr>
                <w:sz w:val="20"/>
                <w:szCs w:val="20"/>
                <w:color w:val="auto"/>
              </w:rPr>
            </w:pPr>
            <w:r>
              <w:rPr>
                <w:rFonts w:ascii="Arial" w:cs="Arial" w:eastAsia="Arial" w:hAnsi="Arial"/>
                <w:sz w:val="13"/>
                <w:szCs w:val="13"/>
                <w:b w:val="1"/>
                <w:bCs w:val="1"/>
                <w:color w:val="auto"/>
                <w:w w:val="91"/>
              </w:rPr>
              <w:t>Par 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Interest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0"/>
              </w:rPr>
              <w:t>Equity</w:t>
            </w:r>
          </w:p>
        </w:tc>
      </w:tr>
      <w:tr>
        <w:trPr>
          <w:trHeight w:val="25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56,280</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1,562,133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(710,551)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(371,249)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535,424</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22"/>
                <w:szCs w:val="22"/>
                <w:color w:val="auto"/>
              </w:rPr>
            </w:pPr>
          </w:p>
        </w:tc>
        <w:tc>
          <w:tcPr>
            <w:tcW w:w="8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(17,039)</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5,379</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22"/>
                <w:szCs w:val="22"/>
                <w:color w:val="auto"/>
              </w:rPr>
            </w:pPr>
          </w:p>
        </w:tc>
        <w:tc>
          <w:tcPr>
            <w:tcW w:w="8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163"/>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Cumulative effect of implementation of ASU</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2014-09</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w:t>
            </w:r>
          </w:p>
        </w:tc>
      </w:tr>
      <w:tr>
        <w:trPr>
          <w:trHeight w:val="157"/>
        </w:trPr>
        <w:tc>
          <w:tcPr>
            <w:tcW w:w="2700" w:type="dxa"/>
            <w:vAlign w:val="bottom"/>
          </w:tcPr>
          <w:p>
            <w:pPr>
              <w:ind w:left="40"/>
              <w:spacing w:after="0" w:line="157" w:lineRule="exact"/>
              <w:rPr>
                <w:sz w:val="20"/>
                <w:szCs w:val="20"/>
                <w:color w:val="auto"/>
              </w:rPr>
            </w:pPr>
            <w:r>
              <w:rPr>
                <w:rFonts w:ascii="Arial" w:cs="Arial" w:eastAsia="Arial" w:hAnsi="Arial"/>
                <w:sz w:val="14"/>
                <w:szCs w:val="14"/>
                <w:color w:val="auto"/>
              </w:rPr>
              <w:t>Dividends attributable to Class A preferred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700" w:type="dxa"/>
            <w:vAlign w:val="bottom"/>
          </w:tcPr>
          <w:p>
            <w:pPr>
              <w:ind w:left="4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2,534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(1,748)</w:t>
            </w:r>
          </w:p>
        </w:tc>
      </w:tr>
      <w:tr>
        <w:trPr>
          <w:trHeight w:val="283"/>
        </w:trPr>
        <w:tc>
          <w:tcPr>
            <w:tcW w:w="2700" w:type="dxa"/>
            <w:vAlign w:val="bottom"/>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56,739</w:t>
            </w:r>
          </w:p>
        </w:tc>
        <w:tc>
          <w:tcPr>
            <w:tcW w:w="1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b w:val="1"/>
                <w:bCs w:val="1"/>
                <w:color w:val="auto"/>
              </w:rPr>
              <w:t>1,564,667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(728,748)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(5,471)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(365,870)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b w:val="1"/>
                <w:bCs w:val="1"/>
                <w:color w:val="auto"/>
              </w:rPr>
              <w:t>521,317</w:t>
            </w:r>
          </w:p>
        </w:tc>
      </w:tr>
      <w:tr>
        <w:trPr>
          <w:trHeight w:val="156"/>
        </w:trPr>
        <w:tc>
          <w:tcPr>
            <w:tcW w:w="27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2019</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58,129</w:t>
            </w:r>
          </w:p>
        </w:tc>
        <w:tc>
          <w:tcPr>
            <w:tcW w:w="12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b w:val="1"/>
                <w:bCs w:val="1"/>
                <w:color w:val="auto"/>
              </w:rPr>
              <w:t>1,572,249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(771,590)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(5,472)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(363,173)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662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b w:val="1"/>
                <w:bCs w:val="1"/>
                <w:color w:val="auto"/>
              </w:rPr>
              <w:t>490,805</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(145,812)</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160" w:type="dxa"/>
            <w:vAlign w:val="bottom"/>
          </w:tcPr>
          <w:p>
            <w:pPr>
              <w:spacing w:after="0"/>
              <w:rPr>
                <w:sz w:val="22"/>
                <w:szCs w:val="22"/>
                <w:color w:val="auto"/>
              </w:rPr>
            </w:pPr>
          </w:p>
        </w:tc>
        <w:tc>
          <w:tcPr>
            <w:tcW w:w="8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(48,446)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(48,541)</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r>
      <w:tr>
        <w:trPr>
          <w:trHeight w:val="157"/>
        </w:trPr>
        <w:tc>
          <w:tcPr>
            <w:tcW w:w="2700" w:type="dxa"/>
            <w:vAlign w:val="bottom"/>
          </w:tcPr>
          <w:p>
            <w:pPr>
              <w:ind w:left="40"/>
              <w:spacing w:after="0" w:line="157" w:lineRule="exact"/>
              <w:rPr>
                <w:sz w:val="20"/>
                <w:szCs w:val="20"/>
                <w:color w:val="auto"/>
              </w:rPr>
            </w:pPr>
            <w:r>
              <w:rPr>
                <w:rFonts w:ascii="Arial" w:cs="Arial" w:eastAsia="Arial" w:hAnsi="Arial"/>
                <w:sz w:val="14"/>
                <w:szCs w:val="14"/>
                <w:color w:val="auto"/>
              </w:rPr>
              <w:t>Dividends attributable to Class A preferred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700" w:type="dxa"/>
            <w:vAlign w:val="bottom"/>
          </w:tcPr>
          <w:p>
            <w:pPr>
              <w:ind w:left="4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2,208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766</w:t>
            </w:r>
          </w:p>
        </w:tc>
      </w:tr>
      <w:tr>
        <w:trPr>
          <w:trHeight w:val="243"/>
        </w:trPr>
        <w:tc>
          <w:tcPr>
            <w:tcW w:w="2700" w:type="dxa"/>
            <w:vAlign w:val="bottom"/>
          </w:tcPr>
          <w:p>
            <w:pPr>
              <w:ind w:left="40"/>
              <w:spacing w:after="0"/>
              <w:rPr>
                <w:sz w:val="20"/>
                <w:szCs w:val="20"/>
                <w:color w:val="auto"/>
              </w:rPr>
            </w:pPr>
            <w:r>
              <w:rPr>
                <w:rFonts w:ascii="Arial" w:cs="Arial" w:eastAsia="Arial" w:hAnsi="Arial"/>
                <w:sz w:val="14"/>
                <w:szCs w:val="14"/>
                <w:b w:val="1"/>
                <w:bCs w:val="1"/>
                <w:color w:val="auto"/>
              </w:rPr>
              <w:t>Balance, March 31, 2020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58,597</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b w:val="1"/>
                <w:bCs w:val="1"/>
                <w:color w:val="auto"/>
              </w:rPr>
              <w:t>1,574,457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(918,128)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(6,914)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(411,619)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552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b w:val="1"/>
                <w:bCs w:val="1"/>
                <w:color w:val="auto"/>
              </w:rPr>
              <w:t>296,945</w:t>
            </w:r>
          </w:p>
        </w:tc>
      </w:tr>
      <w:tr>
        <w:trPr>
          <w:trHeight w:val="20"/>
        </w:trPr>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8"/>
        </w:trPr>
        <w:tc>
          <w:tcPr>
            <w:tcW w:w="2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w w:val="93"/>
              </w:rPr>
              <w:t>Preferred</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48"/>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left="29"/>
              <w:spacing w:after="0" w:line="149" w:lineRule="exact"/>
              <w:rPr>
                <w:sz w:val="20"/>
                <w:szCs w:val="20"/>
                <w:color w:val="auto"/>
              </w:rPr>
            </w:pPr>
            <w:r>
              <w:rPr>
                <w:rFonts w:ascii="Arial" w:cs="Arial" w:eastAsia="Arial" w:hAnsi="Arial"/>
                <w:sz w:val="14"/>
                <w:szCs w:val="14"/>
                <w:b w:val="1"/>
                <w:bCs w:val="1"/>
                <w:color w:val="auto"/>
                <w:w w:val="91"/>
              </w:rPr>
              <w:t>Shares (in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left="69"/>
              <w:spacing w:after="0" w:line="149" w:lineRule="exact"/>
              <w:rPr>
                <w:sz w:val="20"/>
                <w:szCs w:val="20"/>
                <w:color w:val="auto"/>
              </w:rPr>
            </w:pPr>
            <w:r>
              <w:rPr>
                <w:rFonts w:ascii="Arial" w:cs="Arial" w:eastAsia="Arial" w:hAnsi="Arial"/>
                <w:sz w:val="14"/>
                <w:szCs w:val="14"/>
                <w:b w:val="1"/>
                <w:bCs w:val="1"/>
                <w:color w:val="auto"/>
                <w:w w:val="91"/>
              </w:rPr>
              <w:t>Shares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2"/>
        </w:trPr>
        <w:tc>
          <w:tcPr>
            <w:tcW w:w="27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ind w:left="29"/>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center"/>
              <w:ind w:left="69"/>
              <w:spacing w:after="0"/>
              <w:rPr>
                <w:sz w:val="20"/>
                <w:szCs w:val="20"/>
                <w:color w:val="auto"/>
              </w:rPr>
            </w:pPr>
            <w:r>
              <w:rPr>
                <w:rFonts w:ascii="Arial" w:cs="Arial" w:eastAsia="Arial" w:hAnsi="Arial"/>
                <w:sz w:val="14"/>
                <w:szCs w:val="14"/>
                <w:b w:val="1"/>
                <w:bCs w:val="1"/>
                <w:color w:val="auto"/>
                <w:w w:val="87"/>
              </w:rPr>
              <w:t>thousands)</w:t>
            </w:r>
          </w:p>
        </w:tc>
        <w:tc>
          <w:tcPr>
            <w:tcW w:w="120" w:type="dxa"/>
            <w:vAlign w:val="bottom"/>
            <w:tcBorders>
              <w:bottom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2019</w:t>
            </w:r>
          </w:p>
        </w:tc>
        <w:tc>
          <w:tcPr>
            <w:tcW w:w="16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9,042</w:t>
            </w:r>
          </w:p>
        </w:tc>
        <w:tc>
          <w:tcPr>
            <w:tcW w:w="6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ind w:left="500"/>
              <w:spacing w:after="0"/>
              <w:rPr>
                <w:sz w:val="20"/>
                <w:szCs w:val="20"/>
                <w:color w:val="auto"/>
              </w:rPr>
            </w:pPr>
            <w:r>
              <w:rPr>
                <w:rFonts w:ascii="Arial" w:cs="Arial" w:eastAsia="Arial" w:hAnsi="Arial"/>
                <w:sz w:val="14"/>
                <w:szCs w:val="14"/>
                <w:b w:val="1"/>
                <w:bCs w:val="1"/>
                <w:color w:val="auto"/>
                <w:w w:val="94"/>
              </w:rPr>
              <w:t>169,556</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4"/>
        </w:trPr>
        <w:tc>
          <w:tcPr>
            <w:tcW w:w="2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Stock-based compensation</w:t>
            </w:r>
          </w:p>
        </w:tc>
        <w:tc>
          <w:tcPr>
            <w:tcW w:w="16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1,036</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3"/>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2020</w:t>
            </w:r>
          </w:p>
        </w:tc>
        <w:tc>
          <w:tcPr>
            <w:tcW w:w="1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9,042</w:t>
            </w:r>
          </w:p>
        </w:tc>
        <w:tc>
          <w:tcPr>
            <w:tcW w:w="6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ind w:left="500"/>
              <w:spacing w:after="0"/>
              <w:rPr>
                <w:sz w:val="20"/>
                <w:szCs w:val="20"/>
                <w:color w:val="auto"/>
              </w:rPr>
            </w:pPr>
            <w:r>
              <w:rPr>
                <w:rFonts w:ascii="Arial" w:cs="Arial" w:eastAsia="Arial" w:hAnsi="Arial"/>
                <w:sz w:val="14"/>
                <w:szCs w:val="14"/>
                <w:b w:val="1"/>
                <w:bCs w:val="1"/>
                <w:color w:val="auto"/>
                <w:w w:val="94"/>
              </w:rPr>
              <w:t>170,592</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337" w:right="359" w:bottom="1440" w:gutter="0" w:footer="0" w:header="0"/>
        </w:sectPr>
      </w:pPr>
    </w:p>
    <w:bookmarkStart w:id="7" w:name="page8"/>
    <w:bookmarkEnd w:id="7"/>
    <w:p>
      <w:pPr>
        <w:jc w:val="center"/>
        <w:ind w:right="-4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Thousands)</w:t>
      </w:r>
    </w:p>
    <w:p>
      <w:pPr>
        <w:spacing w:after="0" w:line="36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13335</wp:posOffset>
            </wp:positionV>
            <wp:extent cx="1877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8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4"/>
        </w:trPr>
        <w:tc>
          <w:tcPr>
            <w:tcW w:w="8020" w:type="dxa"/>
            <w:vAlign w:val="bottom"/>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(145,812)</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(17,039)</w:t>
            </w:r>
          </w:p>
        </w:tc>
      </w:tr>
      <w:tr>
        <w:trPr>
          <w:trHeight w:val="276"/>
        </w:trPr>
        <w:tc>
          <w:tcPr>
            <w:tcW w:w="8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25,502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30,782</w:t>
            </w: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charges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Deferred income tax benefit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(4,745)</w:t>
            </w: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compensation charge</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2,534</w:t>
            </w: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Gains on disposals of assets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(1,452)</w:t>
            </w: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(benefit) for loss on receivables, net of recoveries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3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802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(2,377)</w:t>
            </w:r>
          </w:p>
        </w:tc>
      </w:tr>
      <w:tr>
        <w:trPr>
          <w:trHeight w:val="276"/>
        </w:trPr>
        <w:tc>
          <w:tcPr>
            <w:tcW w:w="8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264"/>
        </w:trPr>
        <w:tc>
          <w:tcPr>
            <w:tcW w:w="8020" w:type="dxa"/>
            <w:vAlign w:val="bottom"/>
          </w:tcPr>
          <w:p>
            <w:pPr>
              <w:ind w:left="380"/>
              <w:spacing w:after="0"/>
              <w:rPr>
                <w:sz w:val="20"/>
                <w:szCs w:val="20"/>
                <w:color w:val="auto"/>
              </w:rPr>
            </w:pPr>
            <w:r>
              <w:rPr>
                <w:rFonts w:ascii="Arial" w:cs="Arial" w:eastAsia="Arial" w:hAnsi="Arial"/>
                <w:sz w:val="14"/>
                <w:szCs w:val="14"/>
                <w:color w:val="auto"/>
              </w:rPr>
              <w:t>Accounts payable and accrued liabilities</w:t>
            </w:r>
          </w:p>
        </w:tc>
        <w:tc>
          <w:tcPr>
            <w:tcW w:w="3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6,280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(1,417)</w:t>
            </w:r>
          </w:p>
        </w:tc>
      </w:tr>
      <w:tr>
        <w:trPr>
          <w:trHeight w:val="276"/>
        </w:trPr>
        <w:tc>
          <w:tcPr>
            <w:tcW w:w="8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payable</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r>
      <w:tr>
        <w:trPr>
          <w:trHeight w:val="264"/>
        </w:trPr>
        <w:tc>
          <w:tcPr>
            <w:tcW w:w="80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current and noncurrent assets and liabilities, net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w:t>
            </w:r>
          </w:p>
        </w:tc>
      </w:tr>
      <w:tr>
        <w:trPr>
          <w:trHeight w:val="256"/>
        </w:trPr>
        <w:tc>
          <w:tcPr>
            <w:tcW w:w="8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flows provided by operating activities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20,837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6,341</w:t>
            </w:r>
          </w:p>
        </w:tc>
      </w:tr>
      <w:tr>
        <w:trPr>
          <w:trHeight w:val="162"/>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70"/>
        </w:trPr>
        <w:tc>
          <w:tcPr>
            <w:tcW w:w="8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(2,651)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(9,679)</w:t>
            </w: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disposition of property, plant and equipment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4,457</w:t>
            </w: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3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1,518</w:t>
            </w:r>
          </w:p>
        </w:tc>
      </w:tr>
      <w:tr>
        <w:trPr>
          <w:trHeight w:val="256"/>
        </w:trPr>
        <w:tc>
          <w:tcPr>
            <w:tcW w:w="80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cash flows used in investing activities</w:t>
            </w:r>
          </w:p>
        </w:tc>
        <w:tc>
          <w:tcPr>
            <w:tcW w:w="3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(3,704)</w:t>
            </w:r>
          </w:p>
        </w:tc>
      </w:tr>
      <w:tr>
        <w:trPr>
          <w:trHeight w:val="162"/>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70"/>
        </w:trPr>
        <w:tc>
          <w:tcPr>
            <w:tcW w:w="8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Revolving credit borrowings</w:t>
            </w:r>
          </w:p>
        </w:tc>
        <w:tc>
          <w:tcPr>
            <w:tcW w:w="3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74,287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80,324</w:t>
            </w: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Revolving credit repayments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(74,928)</w:t>
            </w: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Term loan repayments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(8,608)</w:t>
            </w:r>
          </w:p>
        </w:tc>
      </w:tr>
      <w:tr>
        <w:trPr>
          <w:trHeight w:val="27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 paid on vested shares</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(4,282)</w:t>
            </w:r>
          </w:p>
        </w:tc>
      </w:tr>
      <w:tr>
        <w:trPr>
          <w:trHeight w:val="250"/>
        </w:trPr>
        <w:tc>
          <w:tcPr>
            <w:tcW w:w="8020" w:type="dxa"/>
            <w:vAlign w:val="bottom"/>
          </w:tcPr>
          <w:p>
            <w:pPr>
              <w:ind w:left="380"/>
              <w:spacing w:after="0"/>
              <w:rPr>
                <w:sz w:val="20"/>
                <w:szCs w:val="20"/>
                <w:color w:val="auto"/>
              </w:rPr>
            </w:pPr>
            <w:r>
              <w:rPr>
                <w:rFonts w:ascii="Arial" w:cs="Arial" w:eastAsia="Arial" w:hAnsi="Arial"/>
                <w:sz w:val="14"/>
                <w:szCs w:val="14"/>
                <w:color w:val="auto"/>
              </w:rPr>
              <w:t>Net cash flows used in financing activities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(15,631)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(7,494)</w:t>
            </w:r>
          </w:p>
        </w:tc>
      </w:tr>
      <w:tr>
        <w:trPr>
          <w:trHeight w:val="168"/>
        </w:trPr>
        <w:tc>
          <w:tcPr>
            <w:tcW w:w="8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64"/>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w:t>
            </w:r>
          </w:p>
        </w:tc>
      </w:tr>
      <w:tr>
        <w:trPr>
          <w:trHeight w:val="256"/>
        </w:trPr>
        <w:tc>
          <w:tcPr>
            <w:tcW w:w="8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(4,380)</w:t>
            </w:r>
          </w:p>
        </w:tc>
      </w:tr>
      <w:tr>
        <w:trPr>
          <w:trHeight w:val="264"/>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12,372</w:t>
            </w:r>
          </w:p>
        </w:tc>
      </w:tr>
      <w:tr>
        <w:trPr>
          <w:trHeight w:val="162"/>
        </w:trPr>
        <w:tc>
          <w:tcPr>
            <w:tcW w:w="8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96"/>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7,992</w:t>
            </w:r>
          </w:p>
        </w:tc>
      </w:tr>
      <w:tr>
        <w:trPr>
          <w:trHeight w:val="251"/>
        </w:trPr>
        <w:tc>
          <w:tcPr>
            <w:tcW w:w="8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4"/>
        </w:trPr>
        <w:tc>
          <w:tcPr>
            <w:tcW w:w="8020" w:type="dxa"/>
            <w:vAlign w:val="bottom"/>
          </w:tcPr>
          <w:p>
            <w:pPr>
              <w:ind w:left="40"/>
              <w:spacing w:after="0"/>
              <w:rPr>
                <w:sz w:val="20"/>
                <w:szCs w:val="20"/>
                <w:color w:val="auto"/>
              </w:rPr>
            </w:pPr>
            <w:r>
              <w:rPr>
                <w:rFonts w:ascii="Arial" w:cs="Arial" w:eastAsia="Arial" w:hAnsi="Arial"/>
                <w:sz w:val="14"/>
                <w:szCs w:val="14"/>
                <w:color w:val="auto"/>
              </w:rPr>
              <w:t>Non-cash financing activities: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dividends paid-in-kind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r>
    </w:tbl>
    <w:p>
      <w:pPr>
        <w:spacing w:after="0" w:line="9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320" w:top="337" w:right="61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and iron ore producing regions, and our customers include major and independent oil and gas companies, mining companies, engineering companies and oilfield and mining service companies. We operate in three principal reportable business segments – Canada, Australia and the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459"/>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6" w:lineRule="exact"/>
        <w:rPr>
          <w:sz w:val="20"/>
          <w:szCs w:val="20"/>
          <w:color w:val="auto"/>
        </w:rPr>
      </w:pPr>
    </w:p>
    <w:p>
      <w:pPr>
        <w:jc w:val="both"/>
        <w:ind w:firstLine="459"/>
        <w:spacing w:after="0" w:line="293"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64"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2019.</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65" w:lineRule="exact"/>
        <w:rPr>
          <w:sz w:val="20"/>
          <w:szCs w:val="20"/>
          <w:color w:val="auto"/>
        </w:rPr>
      </w:pPr>
    </w:p>
    <w:p>
      <w:pPr>
        <w:jc w:val="both"/>
        <w:ind w:firstLine="459"/>
        <w:spacing w:after="0" w:line="301" w:lineRule="auto"/>
        <w:rPr>
          <w:sz w:val="20"/>
          <w:szCs w:val="20"/>
          <w:color w:val="auto"/>
        </w:rPr>
      </w:pPr>
      <w:r>
        <w:rPr>
          <w:rFonts w:ascii="Arial" w:cs="Arial" w:eastAsia="Arial" w:hAnsi="Arial"/>
          <w:sz w:val="16"/>
          <w:szCs w:val="16"/>
          <w:color w:val="auto"/>
        </w:rPr>
        <w:t>In June 2016, the FASB issued ASU 2016-13, “Financial Instruments – Credit Losses” (ASU 2016-13). This new standard changes how companies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adopted ASU 2016-13 as of January 1, 2020. The adoption of this new standard did not have a material impact on our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9" w:name="page10"/>
    <w:bookmarkEnd w:id="9"/>
    <w:p>
      <w:pPr>
        <w:ind w:left="47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following table disaggregates our revenue by our three reportable segments: Canada, Australia and the U.S., and major categories for the periods indicated (in thousands):</w:t>
      </w:r>
    </w:p>
    <w:p>
      <w:pPr>
        <w:spacing w:after="0" w:line="333"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33020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2"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Canada</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66,066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57,652</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Mobile facility rental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w:t>
            </w: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8,337</w:t>
            </w:r>
          </w:p>
        </w:tc>
      </w:tr>
      <w:tr>
        <w:trPr>
          <w:trHeight w:val="33"/>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Canada revenues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66,770</w:t>
            </w:r>
          </w:p>
        </w:tc>
      </w:t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Australia</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32,585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28,421</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580" w:type="dxa"/>
            <w:vAlign w:val="bottom"/>
          </w:tcPr>
          <w:p>
            <w:pPr>
              <w:ind w:left="160"/>
              <w:spacing w:after="0"/>
              <w:rPr>
                <w:sz w:val="20"/>
                <w:szCs w:val="20"/>
                <w:color w:val="auto"/>
              </w:rPr>
            </w:pPr>
            <w:r>
              <w:rPr>
                <w:rFonts w:ascii="Arial" w:cs="Arial" w:eastAsia="Arial" w:hAnsi="Arial"/>
                <w:sz w:val="16"/>
                <w:szCs w:val="16"/>
                <w:color w:val="auto"/>
              </w:rPr>
              <w:t>Total Australia revenues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49,113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28,421</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5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U.S.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4,924</w:t>
            </w: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Mobile facility rental revenues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6,597</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1,795</w:t>
            </w: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U.S. revenues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13,359</w:t>
            </w:r>
          </w:p>
        </w:tc>
      </w:tr>
      <w:tr>
        <w:trPr>
          <w:trHeight w:val="162"/>
        </w:trPr>
        <w:tc>
          <w:tcPr>
            <w:tcW w:w="55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108,550</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59"/>
        <w:spacing w:after="0" w:line="263" w:lineRule="auto"/>
        <w:rPr>
          <w:sz w:val="20"/>
          <w:szCs w:val="20"/>
          <w:color w:val="auto"/>
        </w:rPr>
      </w:pPr>
      <w:r>
        <w:rPr>
          <w:rFonts w:ascii="Arial" w:cs="Arial" w:eastAsia="Arial" w:hAnsi="Arial"/>
          <w:sz w:val="18"/>
          <w:szCs w:val="18"/>
          <w:color w:val="auto"/>
        </w:rPr>
        <w:t>Our payment terms vary by the type and location of our customer and the products or services offered. The term between invoicing and when our performance obligations are satisfied is not significant. Payment terms are generally within 30 days. We do not have significant financing components or significant payment terms.</w:t>
      </w:r>
    </w:p>
    <w:p>
      <w:pPr>
        <w:spacing w:after="0" w:line="184"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As of March 31, 2020, for contracts that are greater than one year, the table below discloses the estimated revenues related to performance obligations that are unsatisfied (or partially unsatisfied) and when we expect to recognize the revenue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8"/>
          </w:tcPr>
          <w:p>
            <w:pPr>
              <w:jc w:val="center"/>
              <w:ind w:right="440"/>
              <w:spacing w:after="0"/>
              <w:rPr>
                <w:sz w:val="20"/>
                <w:szCs w:val="20"/>
                <w:color w:val="auto"/>
              </w:rPr>
            </w:pPr>
            <w:r>
              <w:rPr>
                <w:rFonts w:ascii="Arial" w:cs="Arial" w:eastAsia="Arial" w:hAnsi="Arial"/>
                <w:sz w:val="16"/>
                <w:szCs w:val="16"/>
                <w:b w:val="1"/>
                <w:bCs w:val="1"/>
                <w:color w:val="auto"/>
                <w:w w:val="90"/>
              </w:rPr>
              <w:t>For the years ending December 31,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Thereafter</w:t>
            </w: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Revenue expected to be recognized as of March 31, 2020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93,580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169,948</w:t>
            </w:r>
          </w:p>
        </w:tc>
      </w:tr>
      <w:tr>
        <w:trPr>
          <w:trHeight w:val="33"/>
        </w:trPr>
        <w:tc>
          <w:tcPr>
            <w:tcW w:w="4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As of March 31, 2020 and December 31, 2019,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8"/>
          <w:szCs w:val="18"/>
          <w:color w:val="auto"/>
        </w:rPr>
        <w:t>During our first quarter of 2020 and the second and fourth quarter of 2019, we wrote down certain long-lived assets to fair value. We also recorded goodwill impairment charges related to one of our reporting units during the first quarter of 2020 and one of our reporting units during the fourth quarter of 2019.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We estimated the fair value when conducting the goodwill impairment and long-lived asset impairment tests primarily using an income approach.</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1" w:right="339" w:bottom="1440" w:gutter="0" w:footer="0" w:header="0"/>
          <w:type w:val="continuous"/>
        </w:sectPr>
      </w:pPr>
    </w:p>
    <w:bookmarkStart w:id="10" w:name="page11"/>
    <w:bookmarkEnd w:id="10"/>
    <w:p>
      <w:pPr>
        <w:ind w:left="47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discount rates used to value our reporting units for the interim goodwill impairment test, as well as the Canadian and U.S. segments long-lived asset impairment analysis ranged between 10.5% and 14.0%. These assumptions with respect to future circumstances included future cash flows, oil, met coal and natural gas prices, anticipated spending by our customers, the cost of capital, and industry and/or local market conditions. During the fourth quarter of 2019, our estimate of fair value of corporate office space in Canada was based on an appraisal from a third party. See Note 6 – Impairment Charges for further information.</w:t>
      </w:r>
    </w:p>
    <w:p>
      <w:pPr>
        <w:spacing w:after="0" w:line="188" w:lineRule="exact"/>
        <w:rPr>
          <w:sz w:val="20"/>
          <w:szCs w:val="20"/>
          <w:color w:val="auto"/>
        </w:rPr>
      </w:pPr>
    </w:p>
    <w:p>
      <w:pPr>
        <w:jc w:val="both"/>
        <w:ind w:firstLine="459"/>
        <w:spacing w:after="0" w:line="296" w:lineRule="auto"/>
        <w:rPr>
          <w:sz w:val="20"/>
          <w:szCs w:val="20"/>
          <w:color w:val="auto"/>
        </w:rPr>
      </w:pPr>
      <w:r>
        <w:rPr>
          <w:rFonts w:ascii="Arial" w:cs="Arial" w:eastAsia="Arial" w:hAnsi="Arial"/>
          <w:sz w:val="16"/>
          <w:szCs w:val="16"/>
          <w:color w:val="auto"/>
        </w:rPr>
        <w:t>During the third quarter of 2019, we acquired Action Industrial Catering (Action) and recorded the assets acquired and liabilities assumed at fair value. Determining the fair value of these assets and liabilities required the exercise of significant judgment, including the amount and timing of expected future cash flows, long-term growth rates and discount rates. The cash flows employed in the valuation are based on our best estimates of future sales, earnings and cash flows after considering factors such as general market conditions, expected future customer orders, contracts with suppliers, labor costs, changes in working capital, long term business plans and recent operating performance. See Note 7 – Acquisitions for further information.</w:t>
      </w:r>
    </w:p>
    <w:p>
      <w:pPr>
        <w:spacing w:after="0" w:line="1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Additional information regarding selected balance sheet accounts at March 31, 2020 and December 31, 2019 is presented below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2020</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Accounts receivable, net: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Trade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68,874</w:t>
            </w:r>
          </w:p>
        </w:tc>
        <w:tc>
          <w:tcPr>
            <w:tcW w:w="10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76,370</w:t>
            </w:r>
          </w:p>
        </w:tc>
      </w:tr>
      <w:tr>
        <w:trPr>
          <w:trHeight w:val="33"/>
        </w:trPr>
        <w:tc>
          <w:tcPr>
            <w:tcW w:w="7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Unbilled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23,041</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33"/>
        </w:trPr>
        <w:tc>
          <w:tcPr>
            <w:tcW w:w="7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accounts receivable</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99,746</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Allowance for doubtful accounts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33"/>
        </w:trPr>
        <w:tc>
          <w:tcPr>
            <w:tcW w:w="7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91,874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99,493</w:t>
            </w:r>
          </w:p>
        </w:tc>
      </w:tr>
      <w:tr>
        <w:trPr>
          <w:trHeight w:val="20"/>
        </w:trPr>
        <w:tc>
          <w:tcPr>
            <w:tcW w:w="7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2020</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Finished goods and purchased products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4,035</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3,982</w:t>
            </w:r>
          </w:p>
        </w:tc>
      </w:tr>
      <w:tr>
        <w:trPr>
          <w:trHeight w:val="33"/>
        </w:trPr>
        <w:tc>
          <w:tcPr>
            <w:tcW w:w="7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 in process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1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1,082</w:t>
            </w:r>
          </w:p>
        </w:tc>
      </w:tr>
      <w:tr>
        <w:trPr>
          <w:trHeight w:val="33"/>
        </w:trPr>
        <w:tc>
          <w:tcPr>
            <w:tcW w:w="7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5,877</w:t>
            </w:r>
          </w:p>
        </w:tc>
      </w:tr>
      <w:tr>
        <w:trPr>
          <w:trHeight w:val="20"/>
        </w:trPr>
        <w:tc>
          <w:tcPr>
            <w:tcW w:w="7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Estimated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120" w:type="dxa"/>
            <w:vAlign w:val="bottom"/>
          </w:tcPr>
          <w:p>
            <w:pPr>
              <w:spacing w:after="0"/>
              <w:rPr>
                <w:sz w:val="17"/>
                <w:szCs w:val="17"/>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Useful Life</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6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(in years)</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2020</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6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39,319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43,147</w:t>
            </w:r>
          </w:p>
        </w:tc>
      </w:tr>
      <w:tr>
        <w:trPr>
          <w:trHeight w:val="33"/>
        </w:trPr>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Accommodations assets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1,545,034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1,696,425</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300" w:type="dxa"/>
            <w:vAlign w:val="bottom"/>
          </w:tcPr>
          <w:p>
            <w:pPr>
              <w:jc w:val="right"/>
              <w:spacing w:after="0"/>
              <w:rPr>
                <w:sz w:val="20"/>
                <w:szCs w:val="20"/>
                <w:color w:val="auto"/>
              </w:rPr>
            </w:pPr>
            <w:r>
              <w:rPr>
                <w:rFonts w:ascii="Arial" w:cs="Arial" w:eastAsia="Arial" w:hAnsi="Arial"/>
                <w:sz w:val="16"/>
                <w:szCs w:val="16"/>
                <w:color w:val="auto"/>
              </w:rPr>
              <w:t>7</w:t>
            </w: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ind w:left="1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24,239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26,108</w:t>
            </w:r>
          </w:p>
        </w:tc>
      </w:tr>
      <w:tr>
        <w:trPr>
          <w:trHeight w:val="33"/>
        </w:trPr>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12,060</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ind w:left="1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55,136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58,005</w:t>
            </w:r>
          </w:p>
        </w:tc>
      </w:tr>
      <w:tr>
        <w:trPr>
          <w:trHeight w:val="33"/>
        </w:trPr>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14,604</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4,286</w:t>
            </w:r>
          </w:p>
        </w:tc>
      </w:tr>
      <w:tr>
        <w:trPr>
          <w:trHeight w:val="33"/>
        </w:trPr>
        <w:tc>
          <w:tcPr>
            <w:tcW w:w="6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property, plant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1,693,293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1,854,635</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(1,228,206)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(1,264,326)</w:t>
            </w:r>
          </w:p>
        </w:tc>
      </w:tr>
      <w:tr>
        <w:trPr>
          <w:trHeight w:val="33"/>
        </w:trPr>
        <w:tc>
          <w:tcPr>
            <w:tcW w:w="6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465,087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590,309</w:t>
            </w: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1" w:right="339" w:bottom="1440" w:gutter="0" w:footer="0" w:header="0"/>
          <w:type w:val="continuous"/>
        </w:sectPr>
      </w:pPr>
    </w:p>
    <w:bookmarkStart w:id="11" w:name="page12"/>
    <w:bookmarkEnd w:id="11"/>
    <w:p>
      <w:pPr>
        <w:ind w:left="47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7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7720" w:type="dxa"/>
            <w:vAlign w:val="bottom"/>
          </w:tcPr>
          <w:p>
            <w:pPr>
              <w:ind w:left="40"/>
              <w:spacing w:after="0"/>
              <w:rPr>
                <w:sz w:val="20"/>
                <w:szCs w:val="20"/>
                <w:color w:val="auto"/>
              </w:rPr>
            </w:pPr>
            <w:r>
              <w:rPr>
                <w:rFonts w:ascii="Arial" w:cs="Arial" w:eastAsia="Arial" w:hAnsi="Arial"/>
                <w:sz w:val="16"/>
                <w:szCs w:val="16"/>
                <w:color w:val="auto"/>
              </w:rPr>
              <w:t>Accrued compensation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17,169</w:t>
            </w:r>
          </w:p>
        </w:tc>
      </w:tr>
      <w:tr>
        <w:trPr>
          <w:trHeight w:val="33"/>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taxes, other than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3,152</w:t>
            </w:r>
          </w:p>
        </w:tc>
      </w:tr>
      <w:tr>
        <w:trPr>
          <w:trHeight w:val="237"/>
        </w:trPr>
        <w:tc>
          <w:tcPr>
            <w:tcW w:w="7720" w:type="dxa"/>
            <w:vAlign w:val="bottom"/>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1,434</w:t>
            </w:r>
          </w:p>
        </w:tc>
      </w:tr>
      <w:tr>
        <w:trPr>
          <w:trHeight w:val="33"/>
        </w:trPr>
        <w:tc>
          <w:tcPr>
            <w:tcW w:w="7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720" w:type="dxa"/>
            <w:vAlign w:val="bottom"/>
          </w:tcPr>
          <w:p>
            <w:pPr>
              <w:ind w:left="40"/>
              <w:spacing w:after="0"/>
              <w:rPr>
                <w:sz w:val="20"/>
                <w:szCs w:val="20"/>
                <w:color w:val="auto"/>
              </w:rPr>
            </w:pPr>
            <w:r>
              <w:rPr>
                <w:rFonts w:ascii="Arial" w:cs="Arial" w:eastAsia="Arial" w:hAnsi="Arial"/>
                <w:sz w:val="16"/>
                <w:szCs w:val="16"/>
                <w:color w:val="auto"/>
              </w:rPr>
              <w:t>Total accrued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16,163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21,755</w:t>
            </w:r>
          </w:p>
        </w:tc>
      </w:tr>
      <w:tr>
        <w:trPr>
          <w:trHeight w:val="20"/>
        </w:trPr>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IMPAIRMENT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Quarter ended March 31, 2020</w:t>
      </w:r>
      <w:r>
        <w:rPr>
          <w:rFonts w:ascii="Arial" w:cs="Arial" w:eastAsia="Arial" w:hAnsi="Arial"/>
          <w:sz w:val="17"/>
          <w:szCs w:val="17"/>
          <w:color w:val="auto"/>
        </w:rPr>
        <w:t>. During the first quarter of 2020, we recorded impairment expense related to goodwill and long-lived assets.</w:t>
      </w:r>
    </w:p>
    <w:p>
      <w:pPr>
        <w:spacing w:after="0" w:line="23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spread of the COVID-19 coronavirus (COVID-19) and the response thereto during the first quarter of 2020 negatively impacted the global economy. The resulting unprecedented decline in oil demand, coupled with disagreements between Saudi Arabia and Russia about production limits, resulted in a collapse of global oil prices in March 2020, thereby creating unprecedented downward pressure on stock prices in the energy industry, particularly small-cap companies with operations in the U.S. and Canada, such as Civeo. As a result, we experienced a sustained reduction of our share price during the first quarter of 2020. Our market capitalization implied an enterprise value which is significantly less than the sum of the estimated fair values of our reporting units, and we determined that an indicator of a goodwill impairment was present as of March 31, 2020. Accordingly, we performed an interim goodwill impairment test as of March 31, 2020, and the carrying amount of our Canadian reporting unit exceeded the reporting unit's fair value. Based on the results of the impairment test, we reduced the value of our goodwill in our Canadian reporting unit to zero and recognized impairment expense in the first quarter of 2020 of $93.6 million.</w:t>
      </w:r>
    </w:p>
    <w:p>
      <w:pPr>
        <w:spacing w:after="0" w:line="18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Furthermore, as a result of the decline in global oil prices and forecasts for a potentially protracted period of lower prices as well as the goodwill impairment in our Canadian segment, we determined all asset groups within this segment had experienced a trigger that indicated that the carrying values might not be recoverable. Accordingly, we assessed the carrying value of each asset group to determine if it continued to be recoverable based on estimated future cash flows. Based on the assessment, the carrying values of certain asset groups were determined to not be fully recoverable, and we proceeded to compare the estimated fair value of these asset groups to their respective carrying values. As a result, certain asset groups were written down to their estimated fair values of $43.5 million and we recorded impairment expense of $38.1 million related to long-lived assets in our Canadian segment.</w:t>
      </w:r>
    </w:p>
    <w:p>
      <w:pPr>
        <w:spacing w:after="0" w:line="1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Also, as a result of the decline in global oil prices and forecasts for a potentially protracted period of lower prices, we reviewed all asset groups in our U.S. segment to determine if an indicator of impairment had occurred that would indicate that the carrying values of the asset groups in the segment might not be recoverable. We determined that certain asset groups within the segment had experienced an indicator of impairment, and thus we assessed the carrying values of our long-lived assets in the U.S. to determine if they continued to be recoverable based on estimated future cash flows. Based on the assessment, the carrying values of certain of our U.S. asset groups were determined to not be recoverable, and we proceeded to compare the estimated fair values of the asset groups to their respective carrying values. Accordingly, these assets were written down to their estimated fair values of $12.5 million. We recorded impairment expense of $12.4 million during the first quarter of 2020 related to our U.S. segment.</w:t>
      </w:r>
    </w:p>
    <w:p>
      <w:pPr>
        <w:spacing w:after="0" w:line="16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w:t>
      </w:r>
    </w:p>
    <w:p>
      <w:pPr>
        <w:spacing w:after="0" w:line="225"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On July 1, 2019, we acquired Action, a provider of catering and managed services to the mining industry in Western Australia. We funded the purchase price of $16.9 million in cash through a combination of cash on hand and borrowings under our revolving credit facility. The acquisition expands our business into the growing integrated services opportunities in the Western Australian mining market. Action's operations are reported as part of our Australia reporting business segment beginning on July 1, 2019, the date of acquisition.</w:t>
      </w:r>
    </w:p>
    <w:p>
      <w:pPr>
        <w:spacing w:after="0" w:line="187"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This acquisition was accounted for in accordance with the acquisition method of accounting for business combinations, which required us to record the assets acquired and the liabilities assumed at their fair values at July 1, 2019. Our estimates of the fair value for such assets and liabilities require significant assumptions and judgment. Based on the final purchase price allocation, intangible assets acquired totaled $8.4 million and consisted primarily of customer contracts and a trade name. In addition, we recognized goodwill of $7.9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12" w:name="page13"/>
    <w:bookmarkEnd w:id="12"/>
    <w:p>
      <w:pPr>
        <w:ind w:left="47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229"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7"/>
          <w:szCs w:val="17"/>
          <w:color w:val="auto"/>
        </w:rPr>
        <w:t>During 2017, we made the decision to dispose of our modular construction and manufacturing plant near Edmonton, Alberta, Canada due to changing geographic and market needs. Accordingly, the facility met the criteria of held for sale. Its estimated fair value (less costs to sell) of $3.8 million exceeded its carrying value. Additionally, we discontinued depreciation of the facility. The facility is part of our Canadian segment.</w:t>
      </w:r>
    </w:p>
    <w:p>
      <w:pPr>
        <w:spacing w:after="0" w:line="165"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color w:val="auto"/>
        </w:rPr>
        <w:t>Certain undeveloped land positions in the British Columbia LNG market in our Canadian segment previously met the criteria of held for sale. During the first quarter of 2019, we received $4.0 million in proceeds from the sale of four different land positions. The remaining assets are recorded at the estimated fair value (less costs to sell) of approximately $1.5 million.</w:t>
      </w:r>
    </w:p>
    <w:p>
      <w:pPr>
        <w:spacing w:after="0" w:line="184"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color w:val="auto"/>
        </w:rPr>
        <w:t>In addition, as a result of the acquisition of Noralta Lodge Ltd. (Noralta), Noralta’s corporate offices located on two adjacent property titles in Nisku, Alberta, Canada were closed. During the fourth quarter of 2018, we sold one property. The remaining property is recorded at the estimated fair value (less costs to sell) of approximately $1.0 million.</w:t>
      </w:r>
    </w:p>
    <w:p>
      <w:pPr>
        <w:spacing w:after="0" w:line="184"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The following table summarizes the carrying amount as of March 31, 2020 and December 31, 2019 of the assets classified as held for sale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217"/>
        </w:trPr>
        <w:tc>
          <w:tcPr>
            <w:tcW w:w="7360" w:type="dxa"/>
            <w:vAlign w:val="bottom"/>
          </w:tcPr>
          <w:p>
            <w:pPr>
              <w:ind w:left="40"/>
              <w:spacing w:after="0"/>
              <w:rPr>
                <w:sz w:val="20"/>
                <w:szCs w:val="20"/>
                <w:color w:val="auto"/>
              </w:rPr>
            </w:pPr>
            <w:r>
              <w:rPr>
                <w:rFonts w:ascii="Arial" w:cs="Arial" w:eastAsia="Arial" w:hAnsi="Arial"/>
                <w:sz w:val="16"/>
                <w:szCs w:val="16"/>
                <w:color w:val="auto"/>
              </w:rPr>
              <w:t>Assets held for sale:</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33"/>
        </w:trPr>
        <w:tc>
          <w:tcPr>
            <w:tcW w:w="7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7,589</w:t>
            </w:r>
          </w:p>
        </w:tc>
      </w:tr>
      <w:tr>
        <w:trPr>
          <w:trHeight w:val="244"/>
        </w:trPr>
        <w:tc>
          <w:tcPr>
            <w:tcW w:w="7360" w:type="dxa"/>
            <w:vAlign w:val="bottom"/>
          </w:tcPr>
          <w:p>
            <w:pPr>
              <w:ind w:left="40"/>
              <w:spacing w:after="0"/>
              <w:rPr>
                <w:sz w:val="20"/>
                <w:szCs w:val="20"/>
                <w:color w:val="auto"/>
              </w:rPr>
            </w:pPr>
            <w:r>
              <w:rPr>
                <w:rFonts w:ascii="Arial" w:cs="Arial" w:eastAsia="Arial" w:hAnsi="Arial"/>
                <w:sz w:val="16"/>
                <w:szCs w:val="16"/>
                <w:color w:val="auto"/>
              </w:rPr>
              <w:t>Total assets held for sale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6,332</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7,589</w:t>
            </w:r>
          </w:p>
        </w:tc>
      </w:tr>
      <w:tr>
        <w:trPr>
          <w:trHeight w:val="20"/>
        </w:trPr>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13" w:name="page14"/>
    <w:bookmarkEnd w:id="13"/>
    <w:p>
      <w:pPr>
        <w:ind w:left="47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We calculate basic and diluted earnings per share by applying the two-class method because we have participating securities in the form of Class A preferred shares. Participating securities are allocated a proportional share of net income determined by dividing total weighted average participating securities by the sum of total weighted average common shares and participating securities. We also apply the treasury stock method with respect to certain share-based awards in the calculation of diluted earnings per share, if dilutive.</w:t>
      </w:r>
    </w:p>
    <w:p>
      <w:pPr>
        <w:spacing w:after="0" w:line="187"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The calculation of earnings per share attributable to Civeo common shareholders is presented below for the periods indicated (in thousands, except per share amounts):</w:t>
      </w:r>
    </w:p>
    <w:p>
      <w:pPr>
        <w:spacing w:after="0" w:line="333" w:lineRule="exact"/>
        <w:rPr>
          <w:sz w:val="20"/>
          <w:szCs w:val="20"/>
          <w:color w:val="auto"/>
        </w:rPr>
      </w:pPr>
    </w:p>
    <w:p>
      <w:pPr>
        <w:jc w:val="center"/>
        <w:ind w:left="6040"/>
        <w:spacing w:after="0"/>
        <w:rPr>
          <w:sz w:val="20"/>
          <w:szCs w:val="20"/>
          <w:color w:val="auto"/>
        </w:rPr>
      </w:pPr>
      <w:r>
        <w:rPr>
          <w:rFonts w:ascii="Arial" w:cs="Arial" w:eastAsia="Arial" w:hAnsi="Arial"/>
          <w:sz w:val="16"/>
          <w:szCs w:val="16"/>
          <w:b w:val="1"/>
          <w:bCs w:val="1"/>
          <w:color w:val="auto"/>
        </w:rPr>
        <w:t>Three Months Ended March</w:t>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33020</wp:posOffset>
            </wp:positionV>
            <wp:extent cx="1337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72"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r>
      <w:tr>
        <w:trPr>
          <w:trHeight w:val="33"/>
        </w:trPr>
        <w:tc>
          <w:tcPr>
            <w:tcW w:w="6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Net loss attributable to Civeo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(146,538)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(17,498)</w:t>
            </w:r>
          </w:p>
        </w:tc>
      </w:tr>
      <w:tr>
        <w:trPr>
          <w:trHeight w:val="3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040" w:type="dxa"/>
            <w:vAlign w:val="bottom"/>
          </w:tcPr>
          <w:p>
            <w:pPr>
              <w:ind w:left="20"/>
              <w:spacing w:after="0"/>
              <w:rPr>
                <w:sz w:val="20"/>
                <w:szCs w:val="20"/>
                <w:color w:val="auto"/>
              </w:rPr>
            </w:pPr>
            <w:r>
              <w:rPr>
                <w:rFonts w:ascii="Arial" w:cs="Arial" w:eastAsia="Arial" w:hAnsi="Arial"/>
                <w:sz w:val="16"/>
                <w:szCs w:val="16"/>
                <w:color w:val="auto"/>
              </w:rPr>
              <w:t>Basic net loss attributable to Civeo Corporation common shareholders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(146,538)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(17,498)</w:t>
            </w:r>
          </w:p>
        </w:tc>
      </w:tr>
      <w:tr>
        <w:trPr>
          <w:trHeight w:val="3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undistributed income attributable to participating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Less: undistributed income reallocated to participating securities</w:t>
            </w: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attributable to Civeo Corporation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(17,498)</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3"/>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168,519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165,330</w:t>
            </w:r>
          </w:p>
        </w:tc>
      </w:tr>
      <w:tr>
        <w:trPr>
          <w:trHeight w:val="3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Dilutive shares - share-based awards</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 diluted</w:t>
            </w:r>
          </w:p>
        </w:tc>
        <w:tc>
          <w:tcPr>
            <w:tcW w:w="2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168,519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165,330</w:t>
            </w:r>
          </w:p>
        </w:tc>
      </w:tr>
      <w:tr>
        <w:trPr>
          <w:trHeight w:val="163"/>
        </w:trPr>
        <w:tc>
          <w:tcPr>
            <w:tcW w:w="6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Basic net loss per share attributable to Civeo Corporation common shareholders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3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5"/>
        </w:trPr>
        <w:tc>
          <w:tcPr>
            <w:tcW w:w="6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w w:val="99"/>
              </w:rPr>
              <w:t>Diluted net loss per share attributable to Civeo Corporation common shareholders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(0.11)</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(1)  Computations may reflect rounding adjustments.</w:t>
      </w:r>
    </w:p>
    <w:p>
      <w:pPr>
        <w:spacing w:after="0" w:line="225"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When an entity has a net loss from continuing operations, it is prohibited from including potential common shares in the computation of diluted per share amounts. For the three months ended March 31, 2020 and 2019, we excluded from the computation of diluted loss per share 6.3 million and 8.5 million share-based awards, respectively, since the effect would have been anti-dilutive. Additionally, for the three months ended March 31, 2020 and 2019, we excluded from the calculation the impact of converting the Preferred Shares into 28.5 million and 28.0 million common shares, since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14" w:name="page15"/>
    <w:bookmarkEnd w:id="14"/>
    <w:p>
      <w:pPr>
        <w:ind w:left="47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2020 and December 31, 2019, long-term debt consisted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2020</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2019</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Canadian term loan, which matures on November 30, 2021; 3.125% of aggregate principal repayable per quarter;</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86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weighted average interest rate of 5.2% for the three-month period ended March 31, 2020 </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197,862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224,963</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U.S. revolving credit facility, which matures on November 30, 2021), weighted average interest rate of 7.2% for the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three-month period ended March 31, 2020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4"/>
                <w:szCs w:val="24"/>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1"/>
        </w:trPr>
        <w:tc>
          <w:tcPr>
            <w:tcW w:w="78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vMerge w:val="continue"/>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Canadian revolving credit facility, which matures on November 30, 2021, weighted average interest rate of 5.3% for the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three-month period ended March 31, 2020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4"/>
                <w:szCs w:val="24"/>
                <w:color w:val="auto"/>
              </w:rPr>
            </w:pP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117,013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134,117</w:t>
            </w:r>
          </w:p>
        </w:tc>
        <w:tc>
          <w:tcPr>
            <w:tcW w:w="0" w:type="dxa"/>
            <w:vAlign w:val="bottom"/>
          </w:tcPr>
          <w:p>
            <w:pPr>
              <w:spacing w:after="0"/>
              <w:rPr>
                <w:sz w:val="1"/>
                <w:szCs w:val="1"/>
                <w:color w:val="auto"/>
              </w:rPr>
            </w:pPr>
          </w:p>
        </w:tc>
      </w:tr>
      <w:tr>
        <w:trPr>
          <w:trHeight w:val="141"/>
        </w:trPr>
        <w:tc>
          <w:tcPr>
            <w:tcW w:w="78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Australian revolving credit facility, which matures on November 30, 2021, weighted average interest rate of 4.5% for</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the three-month period ended March 31, 2020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4"/>
                <w:szCs w:val="24"/>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78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vMerge w:val="continue"/>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314,875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359,080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Unamortized debt issuance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0" w:type="dxa"/>
            <w:vAlign w:val="bottom"/>
          </w:tcPr>
          <w:p>
            <w:pPr>
              <w:spacing w:after="0"/>
              <w:rPr>
                <w:sz w:val="1"/>
                <w:szCs w:val="1"/>
                <w:color w:val="auto"/>
              </w:rPr>
            </w:pPr>
          </w:p>
        </w:tc>
      </w:tr>
      <w:tr>
        <w:trPr>
          <w:trHeight w:val="217"/>
        </w:trPr>
        <w:tc>
          <w:tcPr>
            <w:tcW w:w="7860" w:type="dxa"/>
            <w:vAlign w:val="bottom"/>
          </w:tcPr>
          <w:p>
            <w:pPr>
              <w:ind w:left="180"/>
              <w:spacing w:after="0"/>
              <w:rPr>
                <w:sz w:val="20"/>
                <w:szCs w:val="20"/>
                <w:color w:val="auto"/>
              </w:rPr>
            </w:pPr>
            <w:r>
              <w:rPr>
                <w:rFonts w:ascii="Arial" w:cs="Arial" w:eastAsia="Arial" w:hAnsi="Arial"/>
                <w:sz w:val="16"/>
                <w:szCs w:val="16"/>
                <w:color w:val="auto"/>
              </w:rPr>
              <w:t>Total debt</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313,081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356,872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32,142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35,080</w:t>
            </w: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280,939</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321,792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12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March 31, 2020, one lender had an outstanding Canadian term loan of $6.0 million and an outstanding Canadian revolver loan of $10.0 million that matures on November 30, 2020. Another lender had an outstanding Canadian revolver loan of $14.3 million that matures on November 30, 2020.</w:t>
      </w:r>
    </w:p>
    <w:p>
      <w:pPr>
        <w:spacing w:after="0" w:line="124"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7"/>
          <w:szCs w:val="17"/>
          <w:color w:val="auto"/>
        </w:rPr>
        <w:t>Maturities in 2020 are not classified as current as of March 31, 2020 and December 31, 2019, since we are able and have the intent to repay the outstanding 2020 maturities by borrowing amounts equal to such maturities under our existing revolving credit facility, which matures on November 30, 2021. We did not have any capitalized interest to net against interest expense for the three months ended March 31, 2020 or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jc w:val="both"/>
        <w:ind w:firstLine="459"/>
        <w:spacing w:after="0" w:line="275" w:lineRule="auto"/>
        <w:rPr>
          <w:sz w:val="20"/>
          <w:szCs w:val="20"/>
          <w:color w:val="auto"/>
        </w:rPr>
      </w:pPr>
      <w:r>
        <w:rPr>
          <w:rFonts w:ascii="Arial" w:cs="Arial" w:eastAsia="Arial" w:hAnsi="Arial"/>
          <w:sz w:val="17"/>
          <w:szCs w:val="17"/>
          <w:color w:val="auto"/>
        </w:rPr>
        <w:t>As of March 31, 2020, our Credit Agreement (as then amended to date, the Credit Agreement), provided for: (i) a $263.5 million revolving credit facility scheduled to mature on November 30, 2021 for certain lenders, allocated as follows: (A) a $20.0 million senior secured revolving credit facility in favor of certain of our U.S. subsidiaries, as borrowers; (B) a $183.5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2021 for certain lenders in favor of Civeo.</w:t>
      </w:r>
    </w:p>
    <w:p>
      <w:pPr>
        <w:spacing w:after="0" w:line="1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required to maintain, if a qualified offering of indebtedness with gross proceeds in excess of $150 million has been consummated, a maximum leverage ratio of 4.00 to 1.00 and, if such qualified offering has not been consummated, a maximum leverage ratio not to exceed the ratios set forth in the following table: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700" w:type="dxa"/>
            <w:vAlign w:val="bottom"/>
            <w:gridSpan w:val="3"/>
          </w:tcPr>
          <w:p>
            <w:pPr>
              <w:ind w:left="4380"/>
              <w:spacing w:after="0" w:line="176" w:lineRule="exact"/>
              <w:rPr>
                <w:sz w:val="20"/>
                <w:szCs w:val="20"/>
                <w:color w:val="auto"/>
              </w:rPr>
            </w:pPr>
            <w:r>
              <w:rPr>
                <w:rFonts w:ascii="Arial" w:cs="Arial" w:eastAsia="Arial" w:hAnsi="Arial"/>
                <w:sz w:val="16"/>
                <w:szCs w:val="16"/>
                <w:b w:val="1"/>
                <w:bCs w:val="1"/>
                <w:color w:val="auto"/>
              </w:rPr>
              <w:t>Period Ended</w:t>
            </w:r>
          </w:p>
        </w:tc>
        <w:tc>
          <w:tcPr>
            <w:tcW w:w="10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38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3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0"/>
        </w:trPr>
        <w:tc>
          <w:tcPr>
            <w:tcW w:w="9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March 31, 2020, June 30, 2020 &amp; September 30, 2020</w:t>
            </w:r>
          </w:p>
        </w:tc>
        <w:tc>
          <w:tcPr>
            <w:tcW w:w="1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95"/>
              </w:rPr>
              <w:t>3:75 : 1:00</w:t>
            </w:r>
          </w:p>
        </w:tc>
      </w:tr>
      <w:tr>
        <w:trPr>
          <w:trHeight w:val="223"/>
        </w:trPr>
        <w:tc>
          <w:tcPr>
            <w:tcW w:w="9700" w:type="dxa"/>
            <w:vAlign w:val="bottom"/>
            <w:gridSpan w:val="3"/>
          </w:tcPr>
          <w:p>
            <w:pPr>
              <w:ind w:left="40"/>
              <w:spacing w:after="0"/>
              <w:rPr>
                <w:sz w:val="20"/>
                <w:szCs w:val="20"/>
                <w:color w:val="auto"/>
              </w:rPr>
            </w:pPr>
            <w:r>
              <w:rPr>
                <w:rFonts w:ascii="Arial" w:cs="Arial" w:eastAsia="Arial" w:hAnsi="Arial"/>
                <w:sz w:val="16"/>
                <w:szCs w:val="16"/>
                <w:color w:val="auto"/>
              </w:rPr>
              <w:t>December 31, 2020 and thereafter</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w w:val="92"/>
              </w:rPr>
              <w:t>3.50 : 1:00</w:t>
            </w:r>
          </w:p>
        </w:tc>
      </w:tr>
    </w:tbl>
    <w:p>
      <w:pPr>
        <w:spacing w:after="0" w:line="235"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U.S. dollar amounts outstanding under the facilities provided by the Credit Agreement bear interest at a variable rate equal to the London Inter-Bank Offered Rate (LIBOR) plus a margin of 2.25% to 4.00%, or a base rate plus 1.25% to 3.00%, in each</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1" w:right="339" w:bottom="1440" w:gutter="0" w:footer="0" w:header="0"/>
          <w:type w:val="continuous"/>
        </w:sectPr>
      </w:pPr>
    </w:p>
    <w:bookmarkStart w:id="15" w:name="page16"/>
    <w:bookmarkEnd w:id="15"/>
    <w:p>
      <w:pPr>
        <w:ind w:left="47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case based on a ratio of our total debt to consolidated EBITDA (as defined in the Credit Agreement). Canadian dollar amounts outstanding bear interest at a variable rate equal to a B/A Discount Rate based on the Canadian Dollar Offered Rate (CDOR) plus a margin of 2.25% to 4.00%, or a Canadian Prime rate plus a margin of 1.25% to 3.00%, in each case based on a ratio of our total debt to consolidated EBITDA. Australian dollar amounts outstanding under the Credit Agreement bear interest at a variable rate equal to the Bank Bill Swap Bid Rate plus a margin of 2.25% to 4.00%, based on a ratio of our total debt to consolidated EBITDA. The future transitions from LIBOR and CDOR as interest rate benchmarks is addressed in the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181"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3.75 to 1.0 (as of March 31, 2020).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March 31, 2020.</w:t>
      </w:r>
    </w:p>
    <w:p>
      <w:pPr>
        <w:spacing w:after="0" w:line="18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As a result of the spread of COVID-19 and the resulting unprecedented decline in oil demand, coupled with disagreements between Saudi Arabia and Russia about production limits, global oil prices have dropped to historically low levels and oil prices are expected to remain at low levels for the remainder of 2020. As a result, it is likely that we will not remain in compliance with our leverage ratio, particularly beginning with the period ended December 31, 2020, when our maximum leverage ratio reduces to 3.5 to 1.0. In order to avoid a default under our Credit Agreement, we must either (i) meet the leverage ratio, (ii) obtain a waiver of compliance for the period or periods in question, (iii) amend our Credit Agreement to allow for a higher leverage ratio or (iv) obtain replacement financing. A failure by us to avoid a default would eliminate our access to incremental borrowings and give our lenders the right to declare our debt obligations under our Credit Agreement to become immediately due and payable. If we are unable to cure any such default, or obtain a waiver or a replacement financing, and our lenders accelerate the payment of such indebtedness, we would be unable to repay those amounts, and our lenders under our Credit Agreement would be entitled to foreclose on, and acquire control of substantially all of our assets, which would have a material adverse impact on our financial condition, results of operations and cash flows. We believe that it is probable that we will be able to obtain an amendment, waiver or replacement financing to our Credit Agreement that will enable us to meet any debt covenants for the twelve-month period following the issuance of our financial statements included in this report; however, we can give no assurance that we will be able to obtain such amendment, waiver or replacement financing on favorable terms or at all.</w:t>
      </w:r>
    </w:p>
    <w:p>
      <w:pPr>
        <w:spacing w:after="0" w:line="105"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Borrowings under the Credit Agreement are secured by a pledge of substantially all of our assets and the assets of our subsidiaries. The obligations under the Credit Agreement are guaranteed by our significant subsidiaries. As of March 31, 2020, we had ten lenders that were parties to the Credit Agreement, with total commitments (including both revolving commitments and term commitments) ranging from $24.9 million to $85.4 million. As of March 31, 2020, we had outstanding letters of credit of $0.3 million under the U.S. facility, $0.4 million under the Australian facility and $1.8 million under the Canadian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170" w:lineRule="exact"/>
        <w:rPr>
          <w:sz w:val="20"/>
          <w:szCs w:val="20"/>
          <w:color w:val="auto"/>
        </w:rPr>
      </w:pPr>
    </w:p>
    <w:p>
      <w:pPr>
        <w:ind w:left="460"/>
        <w:spacing w:after="0"/>
        <w:tabs>
          <w:tab w:leader="none" w:pos="820" w:val="left"/>
          <w:tab w:leader="none" w:pos="1480" w:val="left"/>
          <w:tab w:leader="none" w:pos="2300" w:val="left"/>
          <w:tab w:leader="none" w:pos="2560" w:val="left"/>
          <w:tab w:leader="none" w:pos="3060" w:val="left"/>
          <w:tab w:leader="none" w:pos="4140" w:val="left"/>
          <w:tab w:leader="none" w:pos="5640" w:val="left"/>
          <w:tab w:leader="none" w:pos="6040" w:val="left"/>
          <w:tab w:leader="none" w:pos="6400" w:val="left"/>
          <w:tab w:leader="none" w:pos="6900" w:val="left"/>
          <w:tab w:leader="none" w:pos="7460" w:val="left"/>
          <w:tab w:leader="none" w:pos="8240" w:val="left"/>
          <w:tab w:leader="none" w:pos="8600" w:val="left"/>
          <w:tab w:leader="none" w:pos="9060" w:val="left"/>
          <w:tab w:leader="none" w:pos="9600" w:val="left"/>
          <w:tab w:leader="none" w:pos="10080" w:val="left"/>
          <w:tab w:leader="none" w:pos="10560" w:val="left"/>
          <w:tab w:leader="none" w:pos="10840" w:val="left"/>
        </w:tabs>
        <w:rPr>
          <w:sz w:val="20"/>
          <w:szCs w:val="20"/>
          <w:color w:val="auto"/>
        </w:rPr>
      </w:pPr>
      <w:r>
        <w:rPr>
          <w:rFonts w:ascii="Arial" w:cs="Arial" w:eastAsia="Arial" w:hAnsi="Arial"/>
          <w:sz w:val="18"/>
          <w:szCs w:val="18"/>
          <w:color w:val="auto"/>
        </w:rPr>
        <w:t>We</w:t>
        <w:tab/>
        <w:t>operate</w:t>
        <w:tab/>
        <w:t>primarily</w:t>
        <w:tab/>
        <w:t>in</w:t>
        <w:tab/>
        <w:t>three</w:t>
        <w:tab/>
        <w:t>jurisdictions,</w:t>
        <w:tab/>
        <w:t>Canada,  Australia</w:t>
        <w:tab/>
        <w:t>and</w:t>
        <w:tab/>
        <w:t>the</w:t>
        <w:tab/>
        <w:t>U.S.,</w:t>
        <w:tab/>
        <w:t>where</w:t>
        <w:tab/>
        <w:t>statutory</w:t>
        <w:tab/>
        <w:t>tax</w:t>
        <w:tab/>
        <w:t>rates</w:t>
        <w:tab/>
        <w:t>range</w:t>
        <w:tab/>
        <w:t>from</w:t>
        <w:tab/>
        <w:t>21%</w:t>
        <w:tab/>
        <w:t>to</w:t>
      </w:r>
      <w:r>
        <w:rPr>
          <w:sz w:val="20"/>
          <w:szCs w:val="20"/>
          <w:color w:val="auto"/>
        </w:rPr>
        <w:tab/>
      </w:r>
      <w:r>
        <w:rPr>
          <w:rFonts w:ascii="Arial" w:cs="Arial" w:eastAsia="Arial" w:hAnsi="Arial"/>
          <w:sz w:val="16"/>
          <w:szCs w:val="16"/>
          <w:color w:val="auto"/>
        </w:rPr>
        <w:t>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from period to period based on changes in earnings mix between these different jurisdictions.</w:t>
      </w:r>
    </w:p>
    <w:p>
      <w:pPr>
        <w:spacing w:after="0" w:line="211"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March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sectPr>
      </w:pPr>
    </w:p>
    <w:bookmarkStart w:id="16" w:name="page17"/>
    <w:bookmarkEnd w:id="16"/>
    <w:p>
      <w:pPr>
        <w:ind w:left="47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Canada and the U.S. were considered loss jurisdictions for tax accounting purposes and were removed from the annual effective tax rate computation for purposes of computing the interim tax provision. As of March 31, 2019, Australia was considered a loss jurisdiction for tax accounting purposes and was removed from the annual effective tax rate computation for purposes of computing the interim tax provision.</w:t>
      </w:r>
    </w:p>
    <w:p>
      <w:pPr>
        <w:spacing w:after="0" w:line="184"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Our income tax benefit for the three months ended March 31, 2020 totaled $8.8 million, or 5.7% of pretax loss, compared to a benefit of $4.5 million, or 20.8% of pretax loss, for the three months ended March 31, 2019. For the three months ended March 31, 2020, we recorded a deferred tax benefit of $12.4 million offset by a valuation allowance of $3.4 million against the Canadian net deferred tax assets. Our effective tax rate for the three months ended March 31, 2020 was impacted by considering Canada and the U.S. loss jurisdictions. For the three months ended March 31, 2019, only Australia was considered a loss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firstLine="459"/>
        <w:spacing w:after="0" w:line="296"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29" w:lineRule="exact"/>
        <w:rPr>
          <w:sz w:val="20"/>
          <w:szCs w:val="20"/>
          <w:color w:val="auto"/>
        </w:rPr>
      </w:pPr>
    </w:p>
    <w:p>
      <w:pPr>
        <w:jc w:val="both"/>
        <w:ind w:firstLine="459"/>
        <w:spacing w:after="0" w:line="301" w:lineRule="auto"/>
        <w:rPr>
          <w:sz w:val="20"/>
          <w:szCs w:val="20"/>
          <w:color w:val="auto"/>
        </w:rPr>
      </w:pPr>
      <w:r>
        <w:rPr>
          <w:rFonts w:ascii="Arial" w:cs="Arial" w:eastAsia="Arial" w:hAnsi="Arial"/>
          <w:sz w:val="16"/>
          <w:szCs w:val="16"/>
          <w:color w:val="auto"/>
        </w:rPr>
        <w:t>Our accumulated other comprehensive loss increased $48.4 million from $363.2 million at December 31, 2019 to $411.6 million at March 31, 2020, as a result of foreign currency exchange rate fluctuations. Changes in other comprehensive loss during the first three months of 2020 were primarily driven by the Australian dollar and Canadian dollar decreasing in value compared to the U.S. dollar. Excluding intercompany balances, our Canadian dollar and Australian dollar functional currency net assets totaled approximately C$0.1 billion and A$0.4 billion, respectively, at March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GOODWILL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from December 31, 2019 to March 31, 2020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Canada</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Australia</w:t>
            </w:r>
          </w:p>
        </w:tc>
        <w:tc>
          <w:tcPr>
            <w:tcW w:w="32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U.S.</w:t>
            </w:r>
          </w:p>
        </w:tc>
        <w:tc>
          <w:tcPr>
            <w:tcW w:w="3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Goodwill, net of $19.9 million accumulated impairment loss as of December 31,</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102,238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7,935</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110,173</w:t>
            </w:r>
          </w:p>
        </w:tc>
        <w:tc>
          <w:tcPr>
            <w:tcW w:w="0" w:type="dxa"/>
            <w:vAlign w:val="bottom"/>
          </w:tcPr>
          <w:p>
            <w:pPr>
              <w:spacing w:after="0"/>
              <w:rPr>
                <w:sz w:val="1"/>
                <w:szCs w:val="1"/>
                <w:color w:val="auto"/>
              </w:rPr>
            </w:pPr>
          </w:p>
        </w:tc>
      </w:tr>
      <w:tr>
        <w:trPr>
          <w:trHeight w:val="21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120" w:type="dxa"/>
            <w:vAlign w:val="bottom"/>
            <w:tcBorders>
              <w:bottom w:val="single" w:sz="8" w:color="CCEEFF"/>
            </w:tcBorders>
            <w:gridSpan w:val="2"/>
            <w:vMerge w:val="continue"/>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6"/>
                <w:szCs w:val="16"/>
                <w:color w:val="auto"/>
              </w:rPr>
              <w:t>Foreign currency translation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(9,658)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impairment (1)</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(93,606)</w:t>
            </w: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Arial" w:cs="Arial" w:eastAsia="Arial" w:hAnsi="Arial"/>
                <w:sz w:val="16"/>
                <w:szCs w:val="16"/>
                <w:color w:val="auto"/>
                <w:w w:val="94"/>
              </w:rPr>
              <w:t>Goodwill, net of $113.5 million accumulated impairment loss as of March 31, 2020</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6,909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See Note 6 – Impairment Charges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229" w:lineRule="exact"/>
        <w:rPr>
          <w:sz w:val="20"/>
          <w:szCs w:val="20"/>
          <w:color w:val="auto"/>
        </w:rPr>
      </w:pPr>
    </w:p>
    <w:p>
      <w:pPr>
        <w:jc w:val="both"/>
        <w:ind w:firstLine="459"/>
        <w:spacing w:after="0" w:line="301" w:lineRule="auto"/>
        <w:rPr>
          <w:sz w:val="20"/>
          <w:szCs w:val="20"/>
          <w:color w:val="auto"/>
        </w:rPr>
      </w:pPr>
      <w:r>
        <w:rPr>
          <w:rFonts w:ascii="Arial" w:cs="Arial" w:eastAsia="Arial" w:hAnsi="Arial"/>
          <w:sz w:val="16"/>
          <w:szCs w:val="16"/>
          <w:color w:val="auto"/>
        </w:rPr>
        <w:t>Certain key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phantom share awards and dividend equivalents, awards of deferred shares, and share payments to our employees and non-employee directors. No more than 18.7 million Civeo common shares may be issued under the Civeo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b w:val="1"/>
          <w:bCs w:val="1"/>
          <w:i w:val="1"/>
          <w:iCs w:val="1"/>
          <w:color w:val="auto"/>
        </w:rPr>
        <w:t xml:space="preserve">Restricted Share Awards / Restricted Share Units / Deferred Share Awards. </w:t>
      </w:r>
      <w:r>
        <w:rPr>
          <w:rFonts w:ascii="Arial" w:cs="Arial" w:eastAsia="Arial" w:hAnsi="Arial"/>
          <w:sz w:val="18"/>
          <w:szCs w:val="18"/>
          <w:color w:val="auto"/>
        </w:rPr>
        <w:t>Compensation expense associated with restricted share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share units and deferred share awards recognized in the three months ended March 31, 2020 and 2019 totaled $1.3 million and $1.4 million, respectively. The total fair value of restricted share awards, restricted share units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17" w:name="page18"/>
    <w:bookmarkEnd w:id="17"/>
    <w:p>
      <w:pPr>
        <w:ind w:left="47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and deferred share awards that vested during the three months ended March 31, 2020 and 2019 was $2.3 million and $3.5 million, respectively.</w:t>
      </w:r>
    </w:p>
    <w:p>
      <w:pPr>
        <w:spacing w:after="0" w:line="237" w:lineRule="exact"/>
        <w:rPr>
          <w:sz w:val="20"/>
          <w:szCs w:val="20"/>
          <w:color w:val="auto"/>
        </w:rPr>
      </w:pPr>
    </w:p>
    <w:p>
      <w:pPr>
        <w:jc w:val="both"/>
        <w:ind w:right="20" w:firstLine="459"/>
        <w:spacing w:after="0" w:line="277" w:lineRule="auto"/>
        <w:rPr>
          <w:sz w:val="20"/>
          <w:szCs w:val="20"/>
          <w:color w:val="auto"/>
        </w:rPr>
      </w:pPr>
      <w:r>
        <w:rPr>
          <w:rFonts w:ascii="Arial" w:cs="Arial" w:eastAsia="Arial" w:hAnsi="Arial"/>
          <w:sz w:val="18"/>
          <w:szCs w:val="18"/>
          <w:color w:val="auto"/>
        </w:rPr>
        <w:t>At March 31, 2020, unrecognized compensation cost related to restricted share awards, restricted share units and deferred share awards was $4.0 million, which is expected to be recognized over a weighted average period of 1.4 years.</w:t>
      </w:r>
    </w:p>
    <w:p>
      <w:pPr>
        <w:spacing w:after="0" w:line="170"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25, 2020, we granted 3,741,094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25, 2021. We also granted 1,221,725 phantom share awards under the Canadian Long-Term Incentive Plan, which vest in three equal annual installments beginning on February 25, 2021.</w:t>
      </w:r>
    </w:p>
    <w:p>
      <w:pPr>
        <w:spacing w:after="0" w:line="184"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color w:val="auto"/>
        </w:rPr>
        <w:t>During the three months ended March 31, 2020 and 2019, we recognized compensation expense associated with phantom shares totaling $0.3 million and $3.1 million, respectively. At March 31, 2020, unrecognized compensation cost related to phantom shares was $2.3 million, as remeasured at March 31, 2020, which is expected to be recognized over a weighted average period of 2.7 years.</w:t>
      </w:r>
    </w:p>
    <w:p>
      <w:pPr>
        <w:spacing w:after="0" w:line="184"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b w:val="1"/>
          <w:bCs w:val="1"/>
          <w:i w:val="1"/>
          <w:iCs w:val="1"/>
          <w:color w:val="auto"/>
        </w:rPr>
        <w:t xml:space="preserve">Performance Awards. </w:t>
      </w:r>
      <w:r>
        <w:rPr>
          <w:rFonts w:ascii="Arial" w:cs="Arial" w:eastAsia="Arial" w:hAnsi="Arial"/>
          <w:sz w:val="18"/>
          <w:szCs w:val="18"/>
          <w:color w:val="auto"/>
        </w:rPr>
        <w:t>During the three months ended March 31, 2020 and 2019, we recognized compensation expense associated with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totaling $0.9 million and $1.1 million, respectively. The total fair value of performance share awards that vested during the three months ended March 31, 2020 and 2019 was $1.9 million and $10.1 million, respectively.</w:t>
      </w:r>
    </w:p>
    <w:p>
      <w:pPr>
        <w:spacing w:after="0" w:line="184"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At March 31, 2020, unrecognized compensation cost related to performance shares was $4.1 million, which is expected to be recognized over a weighted average period of 1.6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18" w:name="page19"/>
    <w:bookmarkEnd w:id="18"/>
    <w:p>
      <w:pPr>
        <w:ind w:left="47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RELATED INFORMATION</w:t>
      </w:r>
    </w:p>
    <w:p>
      <w:pPr>
        <w:spacing w:after="0" w:line="229" w:lineRule="exact"/>
        <w:rPr>
          <w:sz w:val="20"/>
          <w:szCs w:val="20"/>
          <w:color w:val="auto"/>
        </w:rPr>
      </w:pPr>
    </w:p>
    <w:p>
      <w:pPr>
        <w:jc w:val="both"/>
        <w:ind w:firstLine="459"/>
        <w:spacing w:after="0" w:line="34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we have identified the following reportable segments: Canada, Australia and U.S., which represent our strategic focus on hospitality services and workforce accommodations.</w:t>
      </w:r>
    </w:p>
    <w:p>
      <w:pPr>
        <w:spacing w:after="0" w:line="124"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Financial information by business segment for each of the three months ended March 31, 2020 and 2019 is summarized in the following table (in thousands):</w:t>
      </w:r>
    </w:p>
    <w:p>
      <w:pPr>
        <w:spacing w:after="0" w:line="333"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Depreciation</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Operating</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and</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income</w:t>
            </w: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revenues</w:t>
            </w: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amortization</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(loss)</w:t>
            </w: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expenditures</w:t>
            </w:r>
          </w:p>
        </w:tc>
        <w:tc>
          <w:tcPr>
            <w:tcW w:w="220" w:type="dxa"/>
            <w:vAlign w:val="bottom"/>
          </w:tcPr>
          <w:p>
            <w:pPr>
              <w:spacing w:after="0"/>
              <w:rPr>
                <w:sz w:val="18"/>
                <w:szCs w:val="18"/>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Total assets</w:t>
            </w:r>
          </w:p>
        </w:tc>
        <w:tc>
          <w:tcPr>
            <w:tcW w:w="0" w:type="dxa"/>
            <w:vAlign w:val="bottom"/>
          </w:tcPr>
          <w:p>
            <w:pPr>
              <w:spacing w:after="0"/>
              <w:rPr>
                <w:sz w:val="1"/>
                <w:szCs w:val="1"/>
                <w:color w:val="auto"/>
              </w:rPr>
            </w:pPr>
          </w:p>
        </w:tc>
      </w:tr>
      <w:tr>
        <w:trPr>
          <w:trHeight w:val="33"/>
        </w:trPr>
        <w:tc>
          <w:tcPr>
            <w:tcW w:w="20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7"/>
              </w:rPr>
              <w:t>Three months ended March</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Arial" w:cs="Arial" w:eastAsia="Arial" w:hAnsi="Arial"/>
                <w:sz w:val="16"/>
                <w:szCs w:val="16"/>
                <w:b w:val="1"/>
                <w:bCs w:val="1"/>
                <w:color w:val="auto"/>
              </w:rPr>
              <w:t>31, 2020</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649,963</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49,113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9,295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242,238</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32,758</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(205,436)</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719,523</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7"/>
              </w:rPr>
              <w:t>Three months ended March</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Arial" w:cs="Arial" w:eastAsia="Arial" w:hAnsi="Arial"/>
                <w:sz w:val="16"/>
                <w:szCs w:val="16"/>
                <w:b w:val="1"/>
                <w:bCs w:val="1"/>
                <w:color w:val="auto"/>
              </w:rPr>
              <w:t>31, 2019</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825,100</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28,421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9,757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284,574</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59,193</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(160,869)</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1,007,998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impact of COVID-19 and the response thereto and the decline in the price of and demand for oil, as well as our expectations about capital expenditures in 2020 and beliefs with respect to liquidity needs, including our ability to remain in compliance with our financial covenants or obtain an amendment to or waiver of our Credit Agreement to obtain financial covenant relief. Actual results could differ materially from those projected in the forward-looking statements as a result of a number of important factors. For a discussion of known material factors that could affect our results, please refer to "Risk Factors" included in Part II, Item 1A of this report, “Risk Factors,” “Forward-Looking Statements,” and “Management’s Discussion and Analysis of Financial Condition and Results of Operations” included in our Annual Report on Form 10-K for the year ended December 31, 2019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Macroeconomic Environment</w:t>
      </w:r>
    </w:p>
    <w:p>
      <w:pPr>
        <w:spacing w:after="0" w:line="229" w:lineRule="exact"/>
        <w:rPr>
          <w:sz w:val="20"/>
          <w:szCs w:val="20"/>
          <w:color w:val="auto"/>
        </w:rPr>
      </w:pPr>
    </w:p>
    <w:p>
      <w:pPr>
        <w:jc w:val="both"/>
        <w:ind w:firstLine="459"/>
        <w:spacing w:after="0" w:line="271" w:lineRule="auto"/>
        <w:rPr>
          <w:sz w:val="20"/>
          <w:szCs w:val="20"/>
          <w:color w:val="auto"/>
        </w:rPr>
      </w:pPr>
      <w:r>
        <w:rPr>
          <w:rFonts w:ascii="Arial" w:cs="Arial" w:eastAsia="Arial" w:hAnsi="Arial"/>
          <w:sz w:val="17"/>
          <w:szCs w:val="17"/>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The majority of the demand for our services in our Canadian lodges and Australian villages is driven by on-going operations and maintenance of oil sands and mining facilities. In general, industry operating and maintenance spending programs are based on the outlook for commodity prices, economic growth, global commodity supply/demand dynamics and estimates of resource production. As a result, demand for our hospitality services is largely sensitive to expected commodity prices, principally related to crude oil, metallurgical (met) coal and iron ore. Other factors that can affect our business and financial results include the general global economic environment and regulatory changes in Canada, Australia, the U.S. and other markets, including governmental measures introduced to help slow the spread or mitigate the impact of COVID-19.</w:t>
      </w:r>
    </w:p>
    <w:p>
      <w:pPr>
        <w:spacing w:after="0" w:line="178" w:lineRule="exact"/>
        <w:rPr>
          <w:sz w:val="20"/>
          <w:szCs w:val="20"/>
          <w:color w:val="auto"/>
        </w:rPr>
      </w:pPr>
    </w:p>
    <w:p>
      <w:pPr>
        <w:jc w:val="both"/>
        <w:ind w:firstLine="459"/>
        <w:spacing w:after="0" w:line="272" w:lineRule="auto"/>
        <w:rPr>
          <w:sz w:val="20"/>
          <w:szCs w:val="20"/>
          <w:color w:val="auto"/>
        </w:rPr>
      </w:pPr>
      <w:r>
        <w:rPr>
          <w:rFonts w:ascii="Arial" w:cs="Arial" w:eastAsia="Arial" w:hAnsi="Arial"/>
          <w:sz w:val="17"/>
          <w:szCs w:val="17"/>
          <w:color w:val="auto"/>
        </w:rPr>
        <w:t>Our business is predominantly located in northern Alberta, Canada, British Columbia, Canada and Queensland, Australia. We derive most of our business from natural resource companies who are developing and producing oil sands and met coal resources and, to a lesser extent, other hydrocarbon and mineral resources. Approximately 75% of our revenue is generated by our lodges and villages.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fee-per-day basis that covers lodging and meals and is based on the duration of customer needs, which can range from several weeks to several years. The economic disruption caused by the decline in the price of and demand for oil has impacted the activity in the Canadian oil sands, and we have seen a decrease in occupancy by our oil sands customers.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3"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As a result of our geographic concentration in this area, a reduction in the occupancy at our Canadian oil sands lodges for any period of time would materially impact our business.</w:t>
      </w:r>
    </w:p>
    <w:p>
      <w:pPr>
        <w:spacing w:after="0" w:line="170"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color w:val="auto"/>
        </w:rPr>
        <w:t>Generally, our core oil sands and Australian mining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84" w:lineRule="exact"/>
        <w:rPr>
          <w:sz w:val="20"/>
          <w:szCs w:val="20"/>
          <w:color w:val="auto"/>
        </w:rPr>
      </w:pPr>
    </w:p>
    <w:p>
      <w:pPr>
        <w:jc w:val="both"/>
        <w:ind w:firstLine="459"/>
        <w:spacing w:after="0" w:line="254" w:lineRule="auto"/>
        <w:rPr>
          <w:sz w:val="20"/>
          <w:szCs w:val="20"/>
          <w:color w:val="auto"/>
        </w:rPr>
      </w:pPr>
      <w:r>
        <w:rPr>
          <w:rFonts w:ascii="Arial" w:cs="Arial" w:eastAsia="Arial" w:hAnsi="Arial"/>
          <w:sz w:val="18"/>
          <w:szCs w:val="18"/>
          <w:color w:val="auto"/>
        </w:rPr>
        <w:t>The spread of COVID-19 and the response thereto during the first quarter 2020 negatively impacted the global economy. The resulting unprecedented decline in oil demand, coupled with disagreements between Saudi Arabia and Russia about production limits, resulted in a collapse of global oil prices in March 2020. Global oil prices have dropped to historically low levels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While in mid-April 2020, OPEC+ (the combination of historical OPEC members and other significant oil producers, such as Russia) announced potential production cuts of up to 10 million barrels per day, these cuts are not expected to be sufficient to avoid a historic oil glut in the second and third quarters of 2020. As a result, oil prices are expected to remain at low levels for the remainder of 2020.</w:t>
      </w:r>
    </w:p>
    <w:p>
      <w:pPr>
        <w:spacing w:after="0" w:line="19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Due to lower oil prices and the economic disruption caused by COVID-19, we have implemented certain cost containment initiatives, including salary and total compensation reductions of between 10% to 20% for the Board, executive leadership team and other senior management, headcount reduction in North America of 25% in March and April 2020, and cutting expected 2020 capital spending by approximately 25%.</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continue to closely monitor the COVID-19 situation and have taken measures to help ensure the health and well-being of our employees, guests and contractors, including screening for individuals that enter our facilities, social distancing practices, enhanced cleaning and deep sanitization, the suspension of nonessential employee travel and work-from-home policies, where applicable.</w:t>
      </w:r>
    </w:p>
    <w:p>
      <w:pPr>
        <w:spacing w:after="0" w:line="184" w:lineRule="exact"/>
        <w:rPr>
          <w:sz w:val="20"/>
          <w:szCs w:val="20"/>
          <w:color w:val="auto"/>
        </w:rPr>
      </w:pPr>
    </w:p>
    <w:p>
      <w:pPr>
        <w:jc w:val="both"/>
        <w:ind w:firstLine="459"/>
        <w:spacing w:after="0" w:line="296" w:lineRule="auto"/>
        <w:rPr>
          <w:sz w:val="20"/>
          <w:szCs w:val="20"/>
          <w:color w:val="auto"/>
        </w:rPr>
      </w:pPr>
      <w:r>
        <w:rPr>
          <w:rFonts w:ascii="Arial" w:cs="Arial" w:eastAsia="Arial" w:hAnsi="Arial"/>
          <w:sz w:val="16"/>
          <w:szCs w:val="16"/>
          <w:b w:val="1"/>
          <w:bCs w:val="1"/>
          <w:i w:val="1"/>
          <w:iCs w:val="1"/>
          <w:color w:val="auto"/>
        </w:rPr>
        <w:t xml:space="preserve">Alberta, Canada. </w:t>
      </w:r>
      <w:r>
        <w:rPr>
          <w:rFonts w:ascii="Arial" w:cs="Arial" w:eastAsia="Arial" w:hAnsi="Arial"/>
          <w:sz w:val="16"/>
          <w:szCs w:val="16"/>
          <w:color w:val="auto"/>
        </w:rPr>
        <w:t>In Canada, Western Canadian Select (WCS) crude is the benchmark price for our oil sands customers. Pricing for WCS is driven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several factors, including the underlying price for West Texas Intermediate (WTI) crude, the availability of transportation infrastructure (consisting of pipelines and crude by railcar) and recent actions by the Alberta provincial government to limit oil production from the province.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161" w:lineRule="exact"/>
        <w:rPr>
          <w:sz w:val="20"/>
          <w:szCs w:val="20"/>
          <w:color w:val="auto"/>
        </w:rPr>
      </w:pPr>
    </w:p>
    <w:p>
      <w:pPr>
        <w:jc w:val="both"/>
        <w:ind w:firstLine="459"/>
        <w:spacing w:after="0" w:line="272" w:lineRule="auto"/>
        <w:rPr>
          <w:sz w:val="20"/>
          <w:szCs w:val="20"/>
          <w:color w:val="auto"/>
        </w:rPr>
      </w:pPr>
      <w:r>
        <w:rPr>
          <w:rFonts w:ascii="Arial" w:cs="Arial" w:eastAsia="Arial" w:hAnsi="Arial"/>
          <w:sz w:val="17"/>
          <w:szCs w:val="17"/>
          <w:color w:val="auto"/>
        </w:rPr>
        <w:t>Notwithstanding the current low WTI prices, recent regulatory approvals of several major pipeline projects, including Kinder Morgan’s Trans Mountain Pipeline and the Keystone XL Pipeline (KXL), have the potential to both drive incremental demand for mobile accommodations assets and to improve take-away capacity for Canadian oil sands producers over the longer term. However, these projects have been delayed due to the lack of agreement between the Canadian federal government, which supports the pipeline projects, and the British Columbia provincial government. The Canadian federal government recently acquired Kinder Morgan’s Trans Mountain Pipeline, approved the expansion of the project and is currently working through the construction timeline. It was recently announced that the Alberta provincial government will financially support the construction of the KXL pipeline and construction of this pipeline expansion could begin later in 2020.</w:t>
      </w:r>
    </w:p>
    <w:p>
      <w:pPr>
        <w:spacing w:after="0" w:line="177"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7"/>
          <w:szCs w:val="17"/>
          <w:color w:val="auto"/>
        </w:rPr>
        <w:t>While WCS prices in the first quarter of 2020 averaged $27.92 per barrel, by March 31, 2020 the WCS price had decreased to $5.08 per barrel. The WCS Differential decreased from $22.49 per barrel at the end of the fourth quarter of 2019 to $15.40 per barrel at the end of the first quarter of 2020. As of May 1, 2020, the WTI price was $19.78 and the WCS price was $13.99, resulting in a WCS Differential of $5.79.</w:t>
      </w:r>
    </w:p>
    <w:p>
      <w:pPr>
        <w:spacing w:after="0" w:line="165" w:lineRule="exact"/>
        <w:rPr>
          <w:sz w:val="20"/>
          <w:szCs w:val="20"/>
          <w:color w:val="auto"/>
        </w:rPr>
      </w:pPr>
    </w:p>
    <w:p>
      <w:pPr>
        <w:jc w:val="both"/>
        <w:ind w:firstLine="459"/>
        <w:spacing w:after="0" w:line="272" w:lineRule="auto"/>
        <w:rPr>
          <w:sz w:val="20"/>
          <w:szCs w:val="20"/>
          <w:color w:val="auto"/>
        </w:rPr>
      </w:pPr>
      <w:r>
        <w:rPr>
          <w:rFonts w:ascii="Arial" w:cs="Arial" w:eastAsia="Arial" w:hAnsi="Arial"/>
          <w:sz w:val="17"/>
          <w:szCs w:val="17"/>
          <w:color w:val="auto"/>
        </w:rPr>
        <w:t>The depressed price levels of both WTI and WCS are expected to materially impact exploration, development, maintenance and production spending and activity by Canadian operators and, therefore, demand for our hospitality services. For example, on March 23, 2020, the Fort Hills Energy LP project announced a reduction of activity from two trains to one train. Many of the publicly traded oil and gas companies have announced significant reductions in their spending forecasts for 2020, reductions in the range of 30-40%. Continued uncertainty, including about the impact of COVID-19, and commodity price volatility and regulatory complications are expected to cause our Canadian oil sands and pipeline customers to delay expansionary and maintenance spending and defer additional investments in their oil sands assets. Additionally, if oil prices do not improve, the resulting impact could continue to negatively affect the value of our long-lived assets.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57" w:right="339" w:bottom="1440" w:gutter="0" w:footer="0" w:header="0"/>
        </w:sectPr>
      </w:pPr>
    </w:p>
    <w:bookmarkStart w:id="21" w:name="page22"/>
    <w:bookmarkEnd w:id="21"/>
    <w:p>
      <w:pPr>
        <w:jc w:val="both"/>
        <w:ind w:firstLine="459"/>
        <w:spacing w:after="0" w:line="258" w:lineRule="auto"/>
        <w:rPr>
          <w:sz w:val="20"/>
          <w:szCs w:val="20"/>
          <w:color w:val="auto"/>
        </w:rPr>
      </w:pPr>
      <w:r>
        <w:rPr>
          <w:rFonts w:ascii="Arial" w:cs="Arial" w:eastAsia="Arial" w:hAnsi="Arial"/>
          <w:sz w:val="18"/>
          <w:szCs w:val="18"/>
          <w:b w:val="1"/>
          <w:bCs w:val="1"/>
          <w:color w:val="auto"/>
        </w:rPr>
        <w:t xml:space="preserve">British Columbia, Canada. </w:t>
      </w:r>
      <w:r>
        <w:rPr>
          <w:rFonts w:ascii="Arial" w:cs="Arial" w:eastAsia="Arial" w:hAnsi="Arial"/>
          <w:sz w:val="18"/>
          <w:szCs w:val="18"/>
          <w:color w:val="auto"/>
        </w:rPr>
        <w:t>Our Sitka Lodge supports the British Columbia liquefied natural gas (LNG) market and related pipeline projects. From</w:t>
      </w:r>
      <w:r>
        <w:rPr>
          <w:rFonts w:ascii="Arial" w:cs="Arial" w:eastAsia="Arial" w:hAnsi="Arial"/>
          <w:sz w:val="18"/>
          <w:szCs w:val="18"/>
          <w:b w:val="1"/>
          <w:bCs w:val="1"/>
          <w:color w:val="auto"/>
        </w:rPr>
        <w:t xml:space="preserve"> </w:t>
      </w:r>
      <w:r>
        <w:rPr>
          <w:rFonts w:ascii="Arial" w:cs="Arial" w:eastAsia="Arial" w:hAnsi="Arial"/>
          <w:sz w:val="18"/>
          <w:szCs w:val="18"/>
          <w:color w:val="auto"/>
        </w:rPr>
        <w:t>a macroeconomic standpoint, global LNG imports continued to significantly increase in 2019, rising by 40 million tonnes and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87" w:lineRule="exact"/>
        <w:rPr>
          <w:sz w:val="20"/>
          <w:szCs w:val="20"/>
          <w:color w:val="auto"/>
        </w:rPr>
      </w:pPr>
    </w:p>
    <w:p>
      <w:pPr>
        <w:jc w:val="both"/>
        <w:ind w:firstLine="459"/>
        <w:spacing w:after="0" w:line="253" w:lineRule="auto"/>
        <w:rPr>
          <w:sz w:val="20"/>
          <w:szCs w:val="20"/>
          <w:color w:val="auto"/>
        </w:rPr>
      </w:pPr>
      <w:r>
        <w:rPr>
          <w:rFonts w:ascii="Arial" w:cs="Arial" w:eastAsia="Arial" w:hAnsi="Arial"/>
          <w:sz w:val="18"/>
          <w:szCs w:val="18"/>
          <w:color w:val="auto"/>
        </w:rPr>
        <w:t>While Western Canada does not currently have any operational LNG export facilities, LNG Canada (LNGC), a joint venture between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As a result, British Columbia LNG activity and related pipeline projects have become a material driver of activity for our Sitka Lodge, as well as for our mobile fleet assets, which are contracted to serve several portions of the related pipeline construction activity. The actual timing of when revenue is realized from the CGL pipeline and Sitka Lodge contracts could be impacted by any delays in the construction of the Kitimat LNG Facility or the pipeline, including recent blockades that aim to delay construction. In late March 2020, LNGC announced that steps being taken to reduce the spread of COVID-19, including reduction of the workforce at the project site to essential personnel only. This resulted in a reduction in occupancy at our Sitka Lodge, which is expected to continue at least through the end of the second quarter of 2020.</w:t>
      </w:r>
    </w:p>
    <w:p>
      <w:pPr>
        <w:spacing w:after="0" w:line="194" w:lineRule="exact"/>
        <w:rPr>
          <w:sz w:val="20"/>
          <w:szCs w:val="20"/>
          <w:color w:val="auto"/>
        </w:rPr>
      </w:pPr>
    </w:p>
    <w:p>
      <w:pPr>
        <w:jc w:val="both"/>
        <w:ind w:firstLine="459"/>
        <w:spacing w:after="0" w:line="289" w:lineRule="auto"/>
        <w:rPr>
          <w:sz w:val="20"/>
          <w:szCs w:val="20"/>
          <w:color w:val="auto"/>
        </w:rPr>
      </w:pPr>
      <w:r>
        <w:rPr>
          <w:rFonts w:ascii="Arial" w:cs="Arial" w:eastAsia="Arial" w:hAnsi="Arial"/>
          <w:sz w:val="16"/>
          <w:szCs w:val="16"/>
          <w:b w:val="1"/>
          <w:bCs w:val="1"/>
          <w:i w:val="1"/>
          <w:iCs w:val="1"/>
          <w:color w:val="auto"/>
        </w:rPr>
        <w:t xml:space="preserve">Australia. </w:t>
      </w:r>
      <w:r>
        <w:rPr>
          <w:rFonts w:ascii="Arial" w:cs="Arial" w:eastAsia="Arial" w:hAnsi="Arial"/>
          <w:sz w:val="16"/>
          <w:szCs w:val="16"/>
          <w:color w:val="auto"/>
        </w:rPr>
        <w:t>In Australia, approximately 80% of our rooms are located in the Bowen Basin and primarily serve met coal mines in that region. Met coal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pricing and production growth in the Bowen Basin region is predominantly influenced by the levels of global steel production, which decreased by 1.4% during the three months ended March 31, 2020 compared to the three months ended March 31, 2019. As of May 1, 2020, met coal spot prices were $110 per metric tonne. Long-term demand for steel is expected to be driven by increased steel consumption per capita in developing economies, such as China and India, whose current consumption per capita is a fraction of developed countries. The outlook for steel consumption is currently uncertain from both a supply and demand perspective with some large iron ore and met coal producing jurisdictions curtailing or ceasing production during the COVID-19 pandemic, affecting supply. The impact on the demand for steel with the closure or curtailment of manufacturing in economies affected by COVID-19, which will only return to normal levels of consumption once jurisdictions lift quarantine requirements and manufacturing facilities are reopened, is also uncertain. To date, we have not seen a decline in occupancy at our Australian villages resulting from COVID-19.</w:t>
      </w:r>
    </w:p>
    <w:p>
      <w:pPr>
        <w:spacing w:after="0" w:line="166"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Activity in Western Australia is driven primarily by iron ore production, which is a key steel-making ingredient. As of May 1, 2020, iron ore spot prices were $82.56 per metric tonne.</w:t>
      </w:r>
    </w:p>
    <w:p>
      <w:pPr>
        <w:spacing w:after="0" w:line="170"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On July 1, 2019, we acquired Action Industrial Catering (Action), a provider of catering and managed services to the mining industry in Western Australia. Accordingly, we also have contracts in place for customer-owned villages in Western Australia which service primarily iron ore mines in addition to gold, lithium and nickel mines. We believe prices are currently at a level that may contribute to increased activity over the long term if our customers view these price levels as sustainable.</w:t>
      </w:r>
    </w:p>
    <w:p>
      <w:pPr>
        <w:spacing w:after="0" w:line="187" w:lineRule="exact"/>
        <w:rPr>
          <w:sz w:val="20"/>
          <w:szCs w:val="20"/>
          <w:color w:val="auto"/>
        </w:rPr>
      </w:pPr>
    </w:p>
    <w:p>
      <w:pPr>
        <w:jc w:val="both"/>
        <w:ind w:right="20" w:firstLine="459"/>
        <w:spacing w:after="0" w:line="286" w:lineRule="auto"/>
        <w:rPr>
          <w:sz w:val="20"/>
          <w:szCs w:val="20"/>
          <w:color w:val="auto"/>
        </w:rPr>
      </w:pPr>
      <w:r>
        <w:rPr>
          <w:rFonts w:ascii="Arial" w:cs="Arial" w:eastAsia="Arial" w:hAnsi="Arial"/>
          <w:sz w:val="17"/>
          <w:szCs w:val="17"/>
          <w:color w:val="auto"/>
        </w:rPr>
        <w:t>Met coal and iron ore prices to date have remained at levels that should support the current levels of occupancy in our Australia villages and the customer locations that we manage under Action. Accordingly, we plan to continue focusing on enhancing the quality of our operations, maintaining financial discipline, proactively managing our business as market conditions continue to evolve and integrating Action into our business.</w:t>
      </w:r>
    </w:p>
    <w:p>
      <w:pPr>
        <w:spacing w:after="0" w:line="165"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b w:val="1"/>
          <w:bCs w:val="1"/>
          <w:i w:val="1"/>
          <w:iCs w:val="1"/>
          <w:color w:val="auto"/>
        </w:rPr>
        <w:t xml:space="preserve">U.S. </w:t>
      </w:r>
      <w:r>
        <w:rPr>
          <w:rFonts w:ascii="Arial" w:cs="Arial" w:eastAsia="Arial" w:hAnsi="Arial"/>
          <w:sz w:val="16"/>
          <w:szCs w:val="16"/>
          <w:color w:val="auto"/>
        </w:rPr>
        <w:t>Our U.S. business supports oil shale drilling and completion activity and is primarily tied to WTI oil prices in the U.S. shale formations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Permian Basin, the Mid-Continent, the Bakken and the Rockies. The U.S. oil rig count and associated completion activity has been negatively impacted in the first quarter of 2020 due to the global oil price decline discussed above. Currently, only 624 oil rigs were active at the end of the first quarter of 2020. The Permian Basin remains the most active U.S. unconventional play, representing 61% of the oil rigs in the U.S. market at the end of the first quarter of 2020. As of May 1, 2020, there were 325 active oil rigs in the U.S. (as measured by Bakerhughes.com). With the recent reduction in oil prices and resulting reduction in spending by exploration and production companies, we will be exiting the Bakken and Rockies markets for our mobile well site units. Those assets will either be sold or transported to our Texas and Oklahoma district locations. U.S. oil shale drilling and completion activity will continue to be dependent on sustained higher WTI oil prices, pipeline capacity and sufficient capital to support E&amp;P drilling and completion plans.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69" w:right="33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b w:val="1"/>
          <w:bCs w:val="1"/>
          <w:i w:val="1"/>
          <w:iCs w:val="1"/>
          <w:color w:val="auto"/>
        </w:rPr>
        <w:t xml:space="preserve">Recent Commodity Prices. </w:t>
      </w:r>
      <w:r>
        <w:rPr>
          <w:rFonts w:ascii="Arial" w:cs="Arial" w:eastAsia="Arial" w:hAnsi="Arial"/>
          <w:sz w:val="18"/>
          <w:szCs w:val="18"/>
          <w:color w:val="auto"/>
        </w:rPr>
        <w:t>Recent WTI crude, WCS crude and met coal pricing trends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Average Price (1)</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92"/>
              </w:rPr>
              <w:t>Hard</w:t>
            </w: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450"/>
              <w:spacing w:after="0"/>
              <w:rPr>
                <w:sz w:val="20"/>
                <w:szCs w:val="20"/>
                <w:color w:val="auto"/>
              </w:rPr>
            </w:pPr>
            <w:r>
              <w:rPr>
                <w:rFonts w:ascii="Arial" w:cs="Arial" w:eastAsia="Arial" w:hAnsi="Arial"/>
                <w:sz w:val="18"/>
                <w:szCs w:val="18"/>
                <w:color w:val="auto"/>
              </w:rPr>
              <w:t>WTI</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WCS</w:t>
            </w:r>
          </w:p>
        </w:tc>
        <w:tc>
          <w:tcPr>
            <w:tcW w:w="260" w:type="dxa"/>
            <w:vAlign w:val="bottom"/>
          </w:tcPr>
          <w:p>
            <w:pPr>
              <w:spacing w:after="0"/>
              <w:rPr>
                <w:sz w:val="18"/>
                <w:szCs w:val="18"/>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93"/>
              </w:rPr>
              <w:t>Coking Coal</w:t>
            </w:r>
          </w:p>
        </w:tc>
      </w:tr>
      <w:tr>
        <w:trPr>
          <w:trHeight w:val="216"/>
        </w:trPr>
        <w:tc>
          <w:tcPr>
            <w:tcW w:w="37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Quarter</w:t>
            </w:r>
          </w:p>
        </w:tc>
        <w:tc>
          <w:tcPr>
            <w:tcW w:w="1200" w:type="dxa"/>
            <w:vAlign w:val="bottom"/>
          </w:tcPr>
          <w:p>
            <w:pPr>
              <w:jc w:val="center"/>
              <w:ind w:left="430"/>
              <w:spacing w:after="0"/>
              <w:rPr>
                <w:sz w:val="20"/>
                <w:szCs w:val="20"/>
                <w:color w:val="auto"/>
              </w:rPr>
            </w:pPr>
            <w:r>
              <w:rPr>
                <w:rFonts w:ascii="Arial" w:cs="Arial" w:eastAsia="Arial" w:hAnsi="Arial"/>
                <w:sz w:val="18"/>
                <w:szCs w:val="18"/>
                <w:color w:val="auto"/>
                <w:w w:val="89"/>
              </w:rPr>
              <w:t>Crude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Crude</w:t>
            </w:r>
          </w:p>
        </w:tc>
        <w:tc>
          <w:tcPr>
            <w:tcW w:w="260" w:type="dxa"/>
            <w:vAlign w:val="bottom"/>
          </w:tcPr>
          <w:p>
            <w:pPr>
              <w:spacing w:after="0"/>
              <w:rPr>
                <w:sz w:val="18"/>
                <w:szCs w:val="18"/>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95"/>
              </w:rPr>
              <w:t>(Met Coal)</w:t>
            </w:r>
          </w:p>
        </w:tc>
      </w:tr>
      <w:tr>
        <w:trPr>
          <w:trHeight w:val="230"/>
        </w:trPr>
        <w:tc>
          <w:tcPr>
            <w:tcW w:w="372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ended</w:t>
            </w:r>
          </w:p>
        </w:tc>
        <w:tc>
          <w:tcPr>
            <w:tcW w:w="1200" w:type="dxa"/>
            <w:vAlign w:val="bottom"/>
          </w:tcPr>
          <w:p>
            <w:pPr>
              <w:jc w:val="center"/>
              <w:ind w:left="450"/>
              <w:spacing w:after="0"/>
              <w:rPr>
                <w:sz w:val="20"/>
                <w:szCs w:val="20"/>
                <w:color w:val="auto"/>
              </w:rPr>
            </w:pPr>
            <w:r>
              <w:rPr>
                <w:rFonts w:ascii="Arial" w:cs="Arial" w:eastAsia="Arial" w:hAnsi="Arial"/>
                <w:sz w:val="18"/>
                <w:szCs w:val="18"/>
                <w:color w:val="auto"/>
                <w:w w:val="92"/>
              </w:rPr>
              <w:t>(per bbl)</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(per bbl)</w:t>
            </w:r>
          </w:p>
        </w:tc>
        <w:tc>
          <w:tcPr>
            <w:tcW w:w="260" w:type="dxa"/>
            <w:vAlign w:val="bottom"/>
          </w:tcPr>
          <w:p>
            <w:pPr>
              <w:spacing w:after="0"/>
              <w:rPr>
                <w:sz w:val="20"/>
                <w:szCs w:val="20"/>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90"/>
              </w:rPr>
              <w:t>(per tonne)</w:t>
            </w:r>
          </w:p>
        </w:tc>
      </w:tr>
      <w:tr>
        <w:trPr>
          <w:trHeight w:val="27"/>
        </w:trPr>
        <w:tc>
          <w:tcPr>
            <w:tcW w:w="3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3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Second Quarter through 5/1/2020</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133.42</w:t>
            </w:r>
          </w:p>
        </w:tc>
      </w:tr>
      <w:tr>
        <w:trPr>
          <w:trHeight w:val="243"/>
        </w:trPr>
        <w:tc>
          <w:tcPr>
            <w:tcW w:w="3620" w:type="dxa"/>
            <w:vAlign w:val="bottom"/>
          </w:tcPr>
          <w:p>
            <w:pPr>
              <w:jc w:val="center"/>
              <w:spacing w:after="0"/>
              <w:rPr>
                <w:sz w:val="20"/>
                <w:szCs w:val="20"/>
                <w:color w:val="auto"/>
              </w:rPr>
            </w:pPr>
            <w:r>
              <w:rPr>
                <w:rFonts w:ascii="Arial" w:cs="Arial" w:eastAsia="Arial" w:hAnsi="Arial"/>
                <w:sz w:val="18"/>
                <w:szCs w:val="18"/>
                <w:color w:val="auto"/>
                <w:w w:val="92"/>
              </w:rPr>
              <w:t>3/31/2020</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45.38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156.17</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12/30/2019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141.39</w:t>
            </w:r>
          </w:p>
        </w:tc>
      </w:tr>
      <w:tr>
        <w:trPr>
          <w:trHeight w:val="243"/>
        </w:trPr>
        <w:tc>
          <w:tcPr>
            <w:tcW w:w="3620" w:type="dxa"/>
            <w:vAlign w:val="bottom"/>
          </w:tcPr>
          <w:p>
            <w:pPr>
              <w:jc w:val="center"/>
              <w:spacing w:after="0"/>
              <w:rPr>
                <w:sz w:val="20"/>
                <w:szCs w:val="20"/>
                <w:color w:val="auto"/>
              </w:rPr>
            </w:pPr>
            <w:r>
              <w:rPr>
                <w:rFonts w:ascii="Arial" w:cs="Arial" w:eastAsia="Arial" w:hAnsi="Arial"/>
                <w:sz w:val="18"/>
                <w:szCs w:val="18"/>
                <w:color w:val="auto"/>
                <w:w w:val="92"/>
              </w:rPr>
              <w:t>9/30/2019</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160.25</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6/30/2019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59.89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204.78</w:t>
            </w:r>
          </w:p>
        </w:tc>
      </w:tr>
      <w:tr>
        <w:trPr>
          <w:trHeight w:val="243"/>
        </w:trPr>
        <w:tc>
          <w:tcPr>
            <w:tcW w:w="3620" w:type="dxa"/>
            <w:vAlign w:val="bottom"/>
          </w:tcPr>
          <w:p>
            <w:pPr>
              <w:jc w:val="center"/>
              <w:spacing w:after="0"/>
              <w:rPr>
                <w:sz w:val="20"/>
                <w:szCs w:val="20"/>
                <w:color w:val="auto"/>
              </w:rPr>
            </w:pPr>
            <w:r>
              <w:rPr>
                <w:rFonts w:ascii="Arial" w:cs="Arial" w:eastAsia="Arial" w:hAnsi="Arial"/>
                <w:sz w:val="18"/>
                <w:szCs w:val="18"/>
                <w:color w:val="auto"/>
                <w:w w:val="92"/>
              </w:rPr>
              <w:t>3/31/2019</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54.87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203.30</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223.02</w:t>
            </w:r>
          </w:p>
        </w:tc>
      </w:tr>
      <w:tr>
        <w:trPr>
          <w:trHeight w:val="243"/>
        </w:trPr>
        <w:tc>
          <w:tcPr>
            <w:tcW w:w="3620" w:type="dxa"/>
            <w:vAlign w:val="bottom"/>
          </w:tcPr>
          <w:p>
            <w:pPr>
              <w:jc w:val="center"/>
              <w:spacing w:after="0"/>
              <w:rPr>
                <w:sz w:val="20"/>
                <w:szCs w:val="20"/>
                <w:color w:val="auto"/>
              </w:rPr>
            </w:pPr>
            <w:r>
              <w:rPr>
                <w:rFonts w:ascii="Arial" w:cs="Arial" w:eastAsia="Arial" w:hAnsi="Arial"/>
                <w:sz w:val="18"/>
                <w:szCs w:val="18"/>
                <w:color w:val="auto"/>
                <w:w w:val="92"/>
              </w:rPr>
              <w:t>9/30/2018</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69.61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188.46</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6/30/2018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67.97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189.41</w:t>
            </w:r>
          </w:p>
        </w:tc>
      </w:tr>
      <w:tr>
        <w:trPr>
          <w:trHeight w:val="243"/>
        </w:trPr>
        <w:tc>
          <w:tcPr>
            <w:tcW w:w="3620" w:type="dxa"/>
            <w:vAlign w:val="bottom"/>
          </w:tcPr>
          <w:p>
            <w:pPr>
              <w:jc w:val="center"/>
              <w:spacing w:after="0"/>
              <w:rPr>
                <w:sz w:val="20"/>
                <w:szCs w:val="20"/>
                <w:color w:val="auto"/>
              </w:rPr>
            </w:pPr>
            <w:r>
              <w:rPr>
                <w:rFonts w:ascii="Arial" w:cs="Arial" w:eastAsia="Arial" w:hAnsi="Arial"/>
                <w:sz w:val="18"/>
                <w:szCs w:val="18"/>
                <w:color w:val="auto"/>
                <w:w w:val="92"/>
              </w:rPr>
              <w:t>3/31/2018</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228.82</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12/31/2017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55.28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202.33</w:t>
            </w:r>
          </w:p>
        </w:tc>
      </w:tr>
      <w:tr>
        <w:trPr>
          <w:trHeight w:val="243"/>
        </w:trPr>
        <w:tc>
          <w:tcPr>
            <w:tcW w:w="3620" w:type="dxa"/>
            <w:vAlign w:val="bottom"/>
          </w:tcPr>
          <w:p>
            <w:pPr>
              <w:jc w:val="center"/>
              <w:spacing w:after="0"/>
              <w:rPr>
                <w:sz w:val="20"/>
                <w:szCs w:val="20"/>
                <w:color w:val="auto"/>
              </w:rPr>
            </w:pPr>
            <w:r>
              <w:rPr>
                <w:rFonts w:ascii="Arial" w:cs="Arial" w:eastAsia="Arial" w:hAnsi="Arial"/>
                <w:sz w:val="18"/>
                <w:szCs w:val="18"/>
                <w:color w:val="auto"/>
                <w:w w:val="92"/>
              </w:rPr>
              <w:t>9/30/2017</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48.16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187.89</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6/30/2017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193.27</w:t>
            </w:r>
          </w:p>
        </w:tc>
      </w:tr>
      <w:tr>
        <w:trPr>
          <w:trHeight w:val="243"/>
        </w:trPr>
        <w:tc>
          <w:tcPr>
            <w:tcW w:w="3620" w:type="dxa"/>
            <w:vAlign w:val="bottom"/>
          </w:tcPr>
          <w:p>
            <w:pPr>
              <w:jc w:val="center"/>
              <w:spacing w:after="0"/>
              <w:rPr>
                <w:sz w:val="20"/>
                <w:szCs w:val="20"/>
                <w:color w:val="auto"/>
              </w:rPr>
            </w:pPr>
            <w:r>
              <w:rPr>
                <w:rFonts w:ascii="Arial" w:cs="Arial" w:eastAsia="Arial" w:hAnsi="Arial"/>
                <w:sz w:val="18"/>
                <w:szCs w:val="18"/>
                <w:color w:val="auto"/>
                <w:w w:val="92"/>
              </w:rPr>
              <w:t>3/31/2017</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42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209"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WCS crude prices are from Bloomberg and hard coking coal prices are from IHS Markit.</w:t>
      </w:r>
    </w:p>
    <w:p>
      <w:pPr>
        <w:spacing w:after="0" w:line="166" w:lineRule="exact"/>
        <w:rPr>
          <w:sz w:val="20"/>
          <w:szCs w:val="20"/>
          <w:color w:val="auto"/>
        </w:rPr>
      </w:pPr>
    </w:p>
    <w:p>
      <w:pPr>
        <w:jc w:val="both"/>
        <w:ind w:firstLine="459"/>
        <w:spacing w:after="0" w:line="281" w:lineRule="auto"/>
        <w:rPr>
          <w:sz w:val="20"/>
          <w:szCs w:val="20"/>
          <w:color w:val="auto"/>
        </w:rPr>
      </w:pPr>
      <w:r>
        <w:rPr>
          <w:rFonts w:ascii="Arial" w:cs="Arial" w:eastAsia="Arial" w:hAnsi="Arial"/>
          <w:sz w:val="17"/>
          <w:szCs w:val="17"/>
          <w:b w:val="1"/>
          <w:bCs w:val="1"/>
          <w:color w:val="auto"/>
        </w:rPr>
        <w:t xml:space="preserve">Foreign Currency Exchange Rates. </w:t>
      </w:r>
      <w:r>
        <w:rPr>
          <w:rFonts w:ascii="Arial" w:cs="Arial" w:eastAsia="Arial" w:hAnsi="Arial"/>
          <w:sz w:val="17"/>
          <w:szCs w:val="17"/>
          <w:color w:val="auto"/>
        </w:rPr>
        <w:t>Exchange rates between the U.S. dollar and each of the Canadian dollar and the Australian dollar influence our</w:t>
      </w:r>
      <w:r>
        <w:rPr>
          <w:rFonts w:ascii="Arial" w:cs="Arial" w:eastAsia="Arial" w:hAnsi="Arial"/>
          <w:sz w:val="17"/>
          <w:szCs w:val="17"/>
          <w:b w:val="1"/>
          <w:bCs w:val="1"/>
          <w:color w:val="auto"/>
        </w:rPr>
        <w:t xml:space="preserve"> </w:t>
      </w:r>
      <w:r>
        <w:rPr>
          <w:rFonts w:ascii="Arial" w:cs="Arial" w:eastAsia="Arial" w:hAnsi="Arial"/>
          <w:sz w:val="17"/>
          <w:szCs w:val="17"/>
          <w:color w:val="auto"/>
        </w:rPr>
        <w:t>U.S. dollar reported financial results. Our business has historically derived the vast majority of its revenues and operating income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111" w:lineRule="exact"/>
        <w:rPr>
          <w:sz w:val="20"/>
          <w:szCs w:val="20"/>
          <w:color w:val="auto"/>
        </w:rPr>
      </w:pPr>
    </w:p>
    <w:tbl>
      <w:tblPr>
        <w:tblLayout w:type="fixed"/>
        <w:tblInd w:w="24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92"/>
              </w:rPr>
              <w:t>Three Months Ended</w:t>
            </w:r>
          </w:p>
        </w:tc>
        <w:tc>
          <w:tcPr>
            <w:tcW w:w="108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96"/>
              </w:rPr>
              <w:t>March 31,</w:t>
            </w:r>
          </w:p>
        </w:tc>
        <w:tc>
          <w:tcPr>
            <w:tcW w:w="108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2500" w:type="dxa"/>
            <w:vAlign w:val="bottom"/>
          </w:tcPr>
          <w:p>
            <w:pPr>
              <w:spacing w:after="0"/>
              <w:rPr>
                <w:sz w:val="20"/>
                <w:szCs w:val="20"/>
                <w:color w:val="auto"/>
              </w:rPr>
            </w:pPr>
          </w:p>
        </w:tc>
        <w:tc>
          <w:tcPr>
            <w:tcW w:w="820" w:type="dxa"/>
            <w:vAlign w:val="bottom"/>
          </w:tcPr>
          <w:p>
            <w:pPr>
              <w:jc w:val="right"/>
              <w:ind w:right="1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Change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33"/>
        </w:trPr>
        <w:tc>
          <w:tcPr>
            <w:tcW w:w="25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Average Canadian dollar to U.S.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dollar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w w:val="94"/>
              </w:rPr>
              <w:t>Average Australian dollar to U.S.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dollar</w:t>
            </w:r>
          </w:p>
        </w:tc>
        <w:tc>
          <w:tcPr>
            <w:tcW w:w="82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(0.05)</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(7.6)%</w:t>
            </w:r>
          </w:p>
        </w:tc>
      </w:tr>
    </w:tbl>
    <w:p>
      <w:pPr>
        <w:spacing w:after="0" w:line="387"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b w:val="1"/>
                <w:bCs w:val="1"/>
                <w:color w:val="auto"/>
                <w:w w:val="93"/>
              </w:rPr>
              <w:t>As of</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0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2019</w:t>
            </w: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Change</w:t>
            </w:r>
          </w:p>
        </w:tc>
        <w:tc>
          <w:tcPr>
            <w:tcW w:w="1180" w:type="dxa"/>
            <w:vAlign w:val="bottom"/>
          </w:tcPr>
          <w:p>
            <w:pPr>
              <w:ind w:left="200"/>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0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 to U.S. dollar</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(0.07)</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(9.1)%</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Australian dollar to U.S. dollar</w:t>
            </w:r>
          </w:p>
        </w:tc>
        <w:tc>
          <w:tcPr>
            <w:tcW w:w="1300" w:type="dxa"/>
            <w:vAlign w:val="bottom"/>
          </w:tcPr>
          <w:p>
            <w:pPr>
              <w:jc w:val="right"/>
              <w:spacing w:after="0"/>
              <w:rPr>
                <w:sz w:val="20"/>
                <w:szCs w:val="20"/>
                <w:color w:val="auto"/>
              </w:rPr>
            </w:pPr>
            <w:r>
              <w:rPr>
                <w:rFonts w:ascii="Arial" w:cs="Arial" w:eastAsia="Arial" w:hAnsi="Arial"/>
                <w:sz w:val="18"/>
                <w:szCs w:val="18"/>
                <w:color w:val="auto"/>
              </w:rPr>
              <w:t>$0.61</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(0.09)</w:t>
            </w:r>
          </w:p>
        </w:tc>
        <w:tc>
          <w:tcPr>
            <w:tcW w:w="160" w:type="dxa"/>
            <w:vAlign w:val="bottom"/>
          </w:tcPr>
          <w:p>
            <w:pPr>
              <w:spacing w:after="0"/>
              <w:rPr>
                <w:sz w:val="21"/>
                <w:szCs w:val="21"/>
                <w:color w:val="auto"/>
              </w:rPr>
            </w:pP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(12.9)%</w:t>
            </w:r>
          </w:p>
        </w:tc>
      </w:tr>
    </w:tbl>
    <w:p>
      <w:pPr>
        <w:spacing w:after="0" w:line="229"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66"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We continue to monitor the COVID-19 global pandemic and the responses thereto, the global economy, the price of and</w:t>
      </w:r>
      <w:r>
        <w:rPr>
          <w:rFonts w:ascii="Arial" w:cs="Arial" w:eastAsia="Arial" w:hAnsi="Arial"/>
          <w:sz w:val="18"/>
          <w:szCs w:val="18"/>
          <w:b w:val="1"/>
          <w:bCs w:val="1"/>
          <w:color w:val="auto"/>
        </w:rPr>
        <w:t xml:space="preserve"> </w:t>
      </w:r>
      <w:r>
        <w:rPr>
          <w:rFonts w:ascii="Arial" w:cs="Arial" w:eastAsia="Arial" w:hAnsi="Arial"/>
          <w:sz w:val="18"/>
          <w:szCs w:val="18"/>
          <w:color w:val="auto"/>
        </w:rPr>
        <w:t>demand for crude oil, met coal and iron ore and the resultant impact on the capital spending plans of our customers in order to plan our business activities. In April 2020, we revised downward our capital expenditure plans and we currently expect that our 2020 capital expenditures, exclusive of any expansionary spending, will total approximately $15 million, compared to 2019 capital expenditures of $29.8 million. We may adjust our capital expenditure plans in the future as we continue to monitor the impact of COVID-19. See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further discussion of 2020 capital expenditures.</w:t>
      </w:r>
    </w:p>
    <w:p>
      <w:pPr>
        <w:sectPr>
          <w:pgSz w:w="11900" w:h="16838" w:orient="portrait"/>
          <w:cols w:equalWidth="0" w:num="1">
            <w:col w:w="11240"/>
          </w:cols>
          <w:pgMar w:left="320" w:top="557"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557"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months ended March 31, 2020, is based on a comparison to the corresponding period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March 31, 2020 Compared to Three Months Ended March 31,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49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9"/>
              </w:rPr>
              <w:t>March 31,</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3"/>
        </w:trPr>
        <w:tc>
          <w:tcPr>
            <w:tcW w:w="49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312"/>
        </w:trPr>
        <w:tc>
          <w:tcPr>
            <w:tcW w:w="4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6"/>
        </w:trPr>
        <w:tc>
          <w:tcPr>
            <w:tcW w:w="4940" w:type="dxa"/>
            <w:vAlign w:val="bottom"/>
          </w:tcPr>
          <w:p>
            <w:pPr>
              <w:ind w:left="40"/>
              <w:spacing w:after="0"/>
              <w:rPr>
                <w:sz w:val="20"/>
                <w:szCs w:val="20"/>
                <w:color w:val="auto"/>
              </w:rPr>
            </w:pPr>
            <w:r>
              <w:rPr>
                <w:rFonts w:ascii="Arial" w:cs="Arial" w:eastAsia="Arial" w:hAnsi="Arial"/>
                <w:sz w:val="14"/>
                <w:szCs w:val="14"/>
                <w:color w:val="auto"/>
              </w:rPr>
              <w:t>Revenues</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6"/>
        </w:trPr>
        <w:tc>
          <w:tcPr>
            <w:tcW w:w="4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79,348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66,770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12,578</w:t>
            </w:r>
          </w:p>
        </w:tc>
      </w:tr>
      <w:tr>
        <w:trPr>
          <w:trHeight w:val="264"/>
        </w:trPr>
        <w:tc>
          <w:tcPr>
            <w:tcW w:w="4940" w:type="dxa"/>
            <w:vAlign w:val="bottom"/>
          </w:tcPr>
          <w:p>
            <w:pPr>
              <w:ind w:left="1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49,113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28,421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20,692</w:t>
            </w: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and other</w:t>
            </w:r>
          </w:p>
        </w:tc>
        <w:tc>
          <w:tcPr>
            <w:tcW w:w="4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10,331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13,359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(3,028)</w:t>
            </w:r>
          </w:p>
        </w:tc>
      </w:tr>
      <w:tr>
        <w:trPr>
          <w:trHeight w:val="250"/>
        </w:trPr>
        <w:tc>
          <w:tcPr>
            <w:tcW w:w="49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440" w:type="dxa"/>
            <w:vAlign w:val="bottom"/>
          </w:tcPr>
          <w:p>
            <w:pPr>
              <w:spacing w:after="0"/>
              <w:rPr>
                <w:sz w:val="21"/>
                <w:szCs w:val="21"/>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138,792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108,550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30,242</w:t>
            </w:r>
          </w:p>
        </w:tc>
      </w:tr>
      <w:tr>
        <w:trPr>
          <w:trHeight w:val="276"/>
        </w:trPr>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and expenses</w:t>
            </w: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4940" w:type="dxa"/>
            <w:vAlign w:val="bottom"/>
          </w:tcPr>
          <w:p>
            <w:pPr>
              <w:ind w:left="180"/>
              <w:spacing w:after="0"/>
              <w:rPr>
                <w:sz w:val="20"/>
                <w:szCs w:val="20"/>
                <w:color w:val="auto"/>
              </w:rPr>
            </w:pPr>
            <w:r>
              <w:rPr>
                <w:rFonts w:ascii="Arial" w:cs="Arial" w:eastAsia="Arial" w:hAnsi="Arial"/>
                <w:sz w:val="14"/>
                <w:szCs w:val="14"/>
                <w:color w:val="auto"/>
              </w:rPr>
              <w:t>Cost of sales and services</w:t>
            </w: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4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64,272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9,625</w:t>
            </w:r>
          </w:p>
        </w:tc>
      </w:tr>
      <w:tr>
        <w:trPr>
          <w:trHeight w:val="264"/>
        </w:trPr>
        <w:tc>
          <w:tcPr>
            <w:tcW w:w="4940" w:type="dxa"/>
            <w:vAlign w:val="bottom"/>
          </w:tcPr>
          <w:p>
            <w:pPr>
              <w:ind w:left="3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29,553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14,999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14,554</w:t>
            </w:r>
          </w:p>
        </w:tc>
      </w:tr>
      <w:tr>
        <w:trPr>
          <w:trHeight w:val="270"/>
        </w:trPr>
        <w:tc>
          <w:tcPr>
            <w:tcW w:w="4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U.S. and other</w:t>
            </w:r>
          </w:p>
        </w:tc>
        <w:tc>
          <w:tcPr>
            <w:tcW w:w="4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9,488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9,984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250"/>
        </w:trPr>
        <w:tc>
          <w:tcPr>
            <w:tcW w:w="4940" w:type="dxa"/>
            <w:vAlign w:val="bottom"/>
          </w:tcPr>
          <w:p>
            <w:pPr>
              <w:ind w:left="500"/>
              <w:spacing w:after="0"/>
              <w:rPr>
                <w:sz w:val="20"/>
                <w:szCs w:val="20"/>
                <w:color w:val="auto"/>
              </w:rPr>
            </w:pPr>
            <w:r>
              <w:rPr>
                <w:rFonts w:ascii="Arial" w:cs="Arial" w:eastAsia="Arial" w:hAnsi="Arial"/>
                <w:sz w:val="14"/>
                <w:szCs w:val="14"/>
                <w:color w:val="auto"/>
              </w:rPr>
              <w:t>Total cost of sales and services</w:t>
            </w:r>
          </w:p>
        </w:tc>
        <w:tc>
          <w:tcPr>
            <w:tcW w:w="440" w:type="dxa"/>
            <w:vAlign w:val="bottom"/>
          </w:tcPr>
          <w:p>
            <w:pPr>
              <w:spacing w:after="0"/>
              <w:rPr>
                <w:sz w:val="21"/>
                <w:szCs w:val="21"/>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103,313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79,630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23,683</w:t>
            </w:r>
          </w:p>
        </w:tc>
      </w:tr>
      <w:tr>
        <w:trPr>
          <w:trHeight w:val="276"/>
        </w:trPr>
        <w:tc>
          <w:tcPr>
            <w:tcW w:w="4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13,937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16,096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w:t>
            </w:r>
          </w:p>
        </w:tc>
      </w:tr>
      <w:tr>
        <w:trPr>
          <w:trHeight w:val="264"/>
        </w:trPr>
        <w:tc>
          <w:tcPr>
            <w:tcW w:w="49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44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25,502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30,782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(5,280)</w:t>
            </w:r>
          </w:p>
        </w:tc>
      </w:tr>
      <w:tr>
        <w:trPr>
          <w:trHeight w:val="276"/>
        </w:trPr>
        <w:tc>
          <w:tcPr>
            <w:tcW w:w="4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144,120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144,120</w:t>
            </w:r>
          </w:p>
        </w:tc>
      </w:tr>
      <w:tr>
        <w:trPr>
          <w:trHeight w:val="264"/>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 expense (income)</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1,054</w:t>
            </w:r>
          </w:p>
        </w:tc>
      </w:tr>
      <w:tr>
        <w:trPr>
          <w:trHeight w:val="250"/>
        </w:trPr>
        <w:tc>
          <w:tcPr>
            <w:tcW w:w="4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costs and expenses</w:t>
            </w:r>
          </w:p>
        </w:tc>
        <w:tc>
          <w:tcPr>
            <w:tcW w:w="4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287,861</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126,443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161,418</w:t>
            </w:r>
          </w:p>
        </w:tc>
      </w:tr>
      <w:tr>
        <w:trPr>
          <w:trHeight w:val="250"/>
        </w:trPr>
        <w:tc>
          <w:tcPr>
            <w:tcW w:w="49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(149,069)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(17,893)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(131,176)</w:t>
            </w:r>
          </w:p>
        </w:tc>
      </w:tr>
      <w:tr>
        <w:trPr>
          <w:trHeight w:val="276"/>
        </w:trPr>
        <w:tc>
          <w:tcPr>
            <w:tcW w:w="49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color w:val="auto"/>
              </w:rPr>
              <w:t>Interest expense and income, net</w:t>
            </w:r>
          </w:p>
        </w:tc>
        <w:tc>
          <w:tcPr>
            <w:tcW w:w="4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(5,579)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1,029</w:t>
            </w:r>
          </w:p>
        </w:tc>
      </w:tr>
      <w:tr>
        <w:trPr>
          <w:trHeight w:val="270"/>
        </w:trPr>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4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(2,953)</w:t>
            </w:r>
          </w:p>
        </w:tc>
      </w:tr>
      <w:tr>
        <w:trPr>
          <w:trHeight w:val="250"/>
        </w:trPr>
        <w:tc>
          <w:tcPr>
            <w:tcW w:w="4940" w:type="dxa"/>
            <w:vAlign w:val="bottom"/>
          </w:tcPr>
          <w:p>
            <w:pPr>
              <w:ind w:left="380"/>
              <w:spacing w:after="0"/>
              <w:rPr>
                <w:sz w:val="20"/>
                <w:szCs w:val="20"/>
                <w:color w:val="auto"/>
              </w:rPr>
            </w:pPr>
            <w:r>
              <w:rPr>
                <w:rFonts w:ascii="Arial" w:cs="Arial" w:eastAsia="Arial" w:hAnsi="Arial"/>
                <w:sz w:val="14"/>
                <w:szCs w:val="14"/>
                <w:color w:val="auto"/>
              </w:rPr>
              <w:t>Loss before income taxes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(154,623)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(21,523)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(133,100)</w:t>
            </w:r>
          </w:p>
        </w:tc>
      </w:tr>
      <w:tr>
        <w:trPr>
          <w:trHeight w:val="270"/>
        </w:trPr>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4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8,811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4,484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4,327</w:t>
            </w:r>
          </w:p>
        </w:tc>
      </w:tr>
      <w:tr>
        <w:trPr>
          <w:trHeight w:val="250"/>
        </w:trPr>
        <w:tc>
          <w:tcPr>
            <w:tcW w:w="4940" w:type="dxa"/>
            <w:vAlign w:val="bottom"/>
          </w:tcPr>
          <w:p>
            <w:pPr>
              <w:ind w:left="380"/>
              <w:spacing w:after="0"/>
              <w:rPr>
                <w:sz w:val="20"/>
                <w:szCs w:val="20"/>
                <w:color w:val="auto"/>
              </w:rPr>
            </w:pPr>
            <w:r>
              <w:rPr>
                <w:rFonts w:ascii="Arial" w:cs="Arial" w:eastAsia="Arial" w:hAnsi="Arial"/>
                <w:sz w:val="14"/>
                <w:szCs w:val="14"/>
                <w:color w:val="auto"/>
              </w:rPr>
              <w:t>Net loss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(145,812)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(17,039)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(128,773)</w:t>
            </w:r>
          </w:p>
        </w:tc>
      </w:tr>
      <w:tr>
        <w:trPr>
          <w:trHeight w:val="270"/>
        </w:trPr>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r>
      <w:tr>
        <w:trPr>
          <w:trHeight w:val="250"/>
        </w:trPr>
        <w:tc>
          <w:tcPr>
            <w:tcW w:w="4940" w:type="dxa"/>
            <w:vAlign w:val="bottom"/>
          </w:tcPr>
          <w:p>
            <w:pPr>
              <w:ind w:left="40"/>
              <w:spacing w:after="0"/>
              <w:rPr>
                <w:sz w:val="20"/>
                <w:szCs w:val="20"/>
                <w:color w:val="auto"/>
              </w:rPr>
            </w:pPr>
            <w:r>
              <w:rPr>
                <w:rFonts w:ascii="Arial" w:cs="Arial" w:eastAsia="Arial" w:hAnsi="Arial"/>
                <w:sz w:val="14"/>
                <w:szCs w:val="14"/>
                <w:color w:val="auto"/>
              </w:rPr>
              <w:t>Net loss attributable to Civeo Corporation</w:t>
            </w:r>
          </w:p>
        </w:tc>
        <w:tc>
          <w:tcPr>
            <w:tcW w:w="4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(146,070)</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(129,031)</w:t>
            </w:r>
          </w:p>
        </w:tc>
      </w:tr>
      <w:tr>
        <w:trPr>
          <w:trHeight w:val="270"/>
        </w:trPr>
        <w:tc>
          <w:tcPr>
            <w:tcW w:w="4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attributable to preferred shares</w:t>
            </w:r>
          </w:p>
        </w:tc>
        <w:tc>
          <w:tcPr>
            <w:tcW w:w="4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43"/>
        </w:trPr>
        <w:tc>
          <w:tcPr>
            <w:tcW w:w="4940" w:type="dxa"/>
            <w:vAlign w:val="bottom"/>
          </w:tcPr>
          <w:p>
            <w:pPr>
              <w:ind w:left="40"/>
              <w:spacing w:after="0"/>
              <w:rPr>
                <w:sz w:val="20"/>
                <w:szCs w:val="20"/>
                <w:color w:val="auto"/>
              </w:rPr>
            </w:pPr>
            <w:r>
              <w:rPr>
                <w:rFonts w:ascii="Arial" w:cs="Arial" w:eastAsia="Arial" w:hAnsi="Arial"/>
                <w:sz w:val="14"/>
                <w:szCs w:val="14"/>
                <w:color w:val="auto"/>
              </w:rPr>
              <w:t>Net loss attributable to Civeo common shareholders</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(146,538)</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(129,040)</w:t>
            </w:r>
          </w:p>
        </w:tc>
      </w:tr>
      <w:tr>
        <w:trPr>
          <w:trHeight w:val="20"/>
        </w:trPr>
        <w:tc>
          <w:tcPr>
            <w:tcW w:w="4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59"/>
        <w:spacing w:after="0" w:line="296" w:lineRule="auto"/>
        <w:rPr>
          <w:sz w:val="20"/>
          <w:szCs w:val="20"/>
          <w:color w:val="auto"/>
        </w:rPr>
      </w:pPr>
      <w:r>
        <w:rPr>
          <w:rFonts w:ascii="Arial" w:cs="Arial" w:eastAsia="Arial" w:hAnsi="Arial"/>
          <w:sz w:val="16"/>
          <w:szCs w:val="16"/>
          <w:color w:val="auto"/>
        </w:rPr>
        <w:t>We reported net loss attributable to Civeo for the quarter ended March 31, 2020 of $146.5 million, or $0.87 per diluted share. As further discussed below, net loss included (i) a $93.6 million pre-tax loss ($93.6 million after-tax, or $0.56 per diluted share) resulting from the impairment of goodwill in our Canadian reporting unit included in Impairment expense, (ii) a $38.1 million pre-tax loss ($38.1 million after-tax, or $0.23 per diluted share) resulting from the impairment of long-lived assets in our Canadian reporting unit included in Impairment expense and (iii) a $12.4 million pre-tax loss ($12.4 million after-tax, or $0.07 per diluted share) resulting from the impairment of long-lived assets in our U.S. reporting unit included in Impairment expense.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reported net loss attributable to Civeo for the quarter ended March 31, 2019 of $17.5 million, or $0.11 per diluted share.</w:t>
      </w:r>
    </w:p>
    <w:p>
      <w:pPr>
        <w:spacing w:after="0" w:line="221"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increased $30.2 million, or 28%, in the first quarter of 2020 compared to the first quarter of 2019. This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due to higher revenues in Australia due to the Action acquisition completed on July 1, 2019 and higher activity levels at our Bowen Basin villages. Increased revenues in Canada were due to higher room demand at both our Sitka Lodge related to an LNG project and at our core oil sands lodges. In addition, revenue in Canada was favorable impacted by increased food services and other services revenue and increased mobile facility activity. These items were partially offset by lower activity levels in certain markets in the U.S. Additionally, weaker Canadian and Australian dollars relative to the U.S. dollar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69"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in the first quarter of 2020 compared to the first quarter of 2019 contributed to decreased revenues. Please see the discussion of segment results of operations below for further information.</w:t>
      </w:r>
    </w:p>
    <w:p>
      <w:pPr>
        <w:spacing w:after="0" w:line="166" w:lineRule="exact"/>
        <w:rPr>
          <w:sz w:val="20"/>
          <w:szCs w:val="20"/>
          <w:color w:val="auto"/>
        </w:rPr>
      </w:pPr>
    </w:p>
    <w:p>
      <w:pPr>
        <w:jc w:val="both"/>
        <w:ind w:firstLine="459"/>
        <w:spacing w:after="0" w:line="274"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and services increased $23.7 million, or 30%, in the first quarter of 2020 compared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quarter of 2019, primarily due to the Action acquisition and higher activity levels at our Bowen Basin villages in Australia. In addition, increased cost of sales and services in Canada was driven by greater activity at both our Sitka Lodge and our core oil sands lodges, increased food services activity and increased mobile facility activity. This was partially offset by lower activity levels in certain U.S. markets. Additionally, weaker Canadian and Australian dollars relative to the U.S. dollar in the first quarter of 2020 compared to the first quarter of 2019 contributed to decreased cost of sales and services. See the discussion of segment results of operations below for further information.</w:t>
      </w:r>
    </w:p>
    <w:p>
      <w:pPr>
        <w:spacing w:after="0" w:line="173" w:lineRule="exact"/>
        <w:rPr>
          <w:sz w:val="20"/>
          <w:szCs w:val="20"/>
          <w:color w:val="auto"/>
        </w:rPr>
      </w:pPr>
    </w:p>
    <w:p>
      <w:pPr>
        <w:jc w:val="both"/>
        <w:ind w:firstLine="459"/>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decreased $2.2 million, or 13%, in the first quarter of 2020 compared to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2019. This decrease was primarily due to lower share-based compensation expense, partially offset by higher professional fees. The decrease in share-based compensation was due to a reduction in the amount of phantom share awards outstanding and the reduction in our stock price during the first quarter of 2020 compared to the first quarter of 2019.</w:t>
      </w:r>
    </w:p>
    <w:p>
      <w:pPr>
        <w:spacing w:after="0" w:line="180"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7"/>
          <w:szCs w:val="17"/>
          <w:b w:val="1"/>
          <w:bCs w:val="1"/>
          <w:color w:val="auto"/>
        </w:rPr>
        <w:t xml:space="preserve">Depreciation and Amortization Expense. </w:t>
      </w:r>
      <w:r>
        <w:rPr>
          <w:rFonts w:ascii="Arial" w:cs="Arial" w:eastAsia="Arial" w:hAnsi="Arial"/>
          <w:sz w:val="17"/>
          <w:szCs w:val="17"/>
          <w:color w:val="auto"/>
        </w:rPr>
        <w:t>Depreciation and amortization expense decreased $5.3 million, or 17%, in the first quarter of 2020</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first quarter of 2019. The decrease was primarily due to (1) certain assets and intangibles becoming fully depreciated during 2019, (2) the extension of the remaining life of certain long-lived accommodation assets in Canada during the fourth quarter of 2019 and (3) weaker Canadian and Australian dollars relative to the U.S. dollar in the first quarter of 2020 compared to the first quarter of 2019. These items were partially offset by additional depreciation and intangible amortization expense related to our acquisition in 2019.</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$144.1 million in the first quarter of 2020 included the following items:</w:t>
      </w:r>
    </w:p>
    <w:p>
      <w:pPr>
        <w:spacing w:after="0" w:line="229" w:lineRule="exact"/>
        <w:rPr>
          <w:sz w:val="20"/>
          <w:szCs w:val="20"/>
          <w:color w:val="auto"/>
        </w:rPr>
      </w:pPr>
    </w:p>
    <w:p>
      <w:pPr>
        <w:ind w:left="700" w:hanging="23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Pre-tax impairment expense of $93.6 million related to the impairment of goodwill in our Canadian reporting unit.</w:t>
      </w:r>
    </w:p>
    <w:p>
      <w:pPr>
        <w:spacing w:after="0" w:line="23" w:lineRule="exact"/>
        <w:rPr>
          <w:rFonts w:ascii="Arial" w:cs="Arial" w:eastAsia="Arial" w:hAnsi="Arial"/>
          <w:sz w:val="18"/>
          <w:szCs w:val="18"/>
          <w:color w:val="auto"/>
        </w:rPr>
      </w:pPr>
    </w:p>
    <w:p>
      <w:pPr>
        <w:ind w:left="700" w:hanging="23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Pre-tax impairment expense of $38.1 million associated with long-lived assets in our Canadian reporting unit.</w:t>
      </w:r>
    </w:p>
    <w:p>
      <w:pPr>
        <w:spacing w:after="0" w:line="9" w:lineRule="exact"/>
        <w:rPr>
          <w:rFonts w:ascii="Arial" w:cs="Arial" w:eastAsia="Arial" w:hAnsi="Arial"/>
          <w:sz w:val="18"/>
          <w:szCs w:val="18"/>
          <w:color w:val="auto"/>
        </w:rPr>
      </w:pPr>
    </w:p>
    <w:p>
      <w:pPr>
        <w:ind w:left="700" w:hanging="23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Pre-tax impairment expense of $12.4 million associated with long-lived assets in our U.S. reporting unit.</w:t>
      </w:r>
    </w:p>
    <w:p>
      <w:pPr>
        <w:spacing w:after="0" w:line="211" w:lineRule="exact"/>
        <w:rPr>
          <w:sz w:val="20"/>
          <w:szCs w:val="20"/>
          <w:color w:val="auto"/>
        </w:rPr>
      </w:pPr>
    </w:p>
    <w:p>
      <w:pPr>
        <w:jc w:val="both"/>
        <w:ind w:right="20" w:firstLine="459"/>
        <w:spacing w:after="0" w:line="277" w:lineRule="auto"/>
        <w:rPr>
          <w:sz w:val="20"/>
          <w:szCs w:val="20"/>
          <w:color w:val="auto"/>
        </w:rPr>
      </w:pPr>
      <w:r>
        <w:rPr>
          <w:rFonts w:ascii="Arial" w:cs="Arial" w:eastAsia="Arial" w:hAnsi="Arial"/>
          <w:sz w:val="18"/>
          <w:szCs w:val="18"/>
          <w:color w:val="auto"/>
        </w:rPr>
        <w:t>Please see Note 6 - Impairment Charges to the notes to the unaudited consolidated financial statements included in Item 1 of this quarterly report for further discussion.</w:t>
      </w:r>
    </w:p>
    <w:p>
      <w:pPr>
        <w:spacing w:after="0" w:line="166" w:lineRule="exact"/>
        <w:rPr>
          <w:sz w:val="20"/>
          <w:szCs w:val="20"/>
          <w:color w:val="auto"/>
        </w:rPr>
      </w:pPr>
    </w:p>
    <w:p>
      <w:pPr>
        <w:jc w:val="both"/>
        <w:ind w:firstLine="459"/>
        <w:spacing w:after="0" w:line="266" w:lineRule="auto"/>
        <w:rPr>
          <w:sz w:val="20"/>
          <w:szCs w:val="20"/>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Consolidated operating loss increased $131.2 million, or 733%, in the first quarter of 2020 compared to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2019, primarily due to impairments of goodwill and long-lived assets, partially offset by increased activity levels in Canada and Australia as well as lower SG&amp;A and depreciation and amortization expense.</w:t>
      </w:r>
    </w:p>
    <w:p>
      <w:pPr>
        <w:spacing w:after="0" w:line="176" w:lineRule="exact"/>
        <w:rPr>
          <w:sz w:val="20"/>
          <w:szCs w:val="20"/>
          <w:color w:val="auto"/>
        </w:rPr>
      </w:pPr>
    </w:p>
    <w:p>
      <w:pPr>
        <w:jc w:val="both"/>
        <w:ind w:firstLine="459"/>
        <w:spacing w:after="0" w:line="266" w:lineRule="auto"/>
        <w:rPr>
          <w:sz w:val="20"/>
          <w:szCs w:val="20"/>
          <w:color w:val="auto"/>
        </w:rPr>
      </w:pPr>
      <w:r>
        <w:rPr>
          <w:rFonts w:ascii="Arial" w:cs="Arial" w:eastAsia="Arial" w:hAnsi="Arial"/>
          <w:sz w:val="18"/>
          <w:szCs w:val="18"/>
          <w:b w:val="1"/>
          <w:bCs w:val="1"/>
          <w:color w:val="auto"/>
        </w:rPr>
        <w:t xml:space="preserve">Interest Expense and Income, net. </w:t>
      </w:r>
      <w:r>
        <w:rPr>
          <w:rFonts w:ascii="Arial" w:cs="Arial" w:eastAsia="Arial" w:hAnsi="Arial"/>
          <w:sz w:val="18"/>
          <w:szCs w:val="18"/>
          <w:color w:val="auto"/>
        </w:rPr>
        <w:t>Net interest expense decreased by $1.0 million, or 16%, in the first quarter of 2020 compared to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2019, primarily related to lower average debt levels and lower interest rates on term loan and revolving credit facility borrowings during 2020 compared to 2019.</w:t>
      </w:r>
    </w:p>
    <w:p>
      <w:pPr>
        <w:spacing w:after="0" w:line="176" w:lineRule="exact"/>
        <w:rPr>
          <w:sz w:val="20"/>
          <w:szCs w:val="20"/>
          <w:color w:val="auto"/>
        </w:rPr>
      </w:pPr>
    </w:p>
    <w:p>
      <w:pPr>
        <w:jc w:val="both"/>
        <w:ind w:firstLine="459"/>
        <w:spacing w:after="0" w:line="261"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Consolidated other income decreased $3.0 million, or 99%, in the first quarter of 2020 compared to the first quarter of 2019,</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$1.5 million of other income related to proceeds received in the first quarter of 2019 from an insurance claim associated with to the closure of a lodge in 2018 for maintenance-related operational issues and a higher gain on sale of assets in the first quarter of 2019 compared to the first quarter of 2020.</w:t>
      </w:r>
    </w:p>
    <w:p>
      <w:pPr>
        <w:spacing w:after="0" w:line="180"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three months ended March 31, 2020 totaled $8.8 million, or 5.7% of pretax loss,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$4.5 million, or 20.8% of pretax loss, for the three months ended March 31, 2019. Our effective tax rate for the three months ended March 31, 2020 was impacted by a deferred tax benefit of $12.4 million offset by an increase of $3.4 million in the valuation allowance in Canada. For the three months ended March 31, 2020, Canada and the U.S. were considered loss jurisdictions for tax accounting purposes and were removed from the annual effective tax rate computation for purposes of computing the interim tax provision. For the three months ended March 31, 2019, Australia was considered a loss jurisdiction for tax accounting purposes and was removed from the annual effective tax rate computation for purposes of computing the interim tax provision.</w:t>
      </w:r>
    </w:p>
    <w:p>
      <w:pPr>
        <w:spacing w:after="0" w:line="189"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income decreased $53.9 million in the first quarter of 2020 compared to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2019, primarily as a result of foreign currency translation adjustments due to changes in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Canadian and Australian dollar exchange rates compared to the U.S. dollar. The Canadian dollar exchange rate compared to the U.S. dollar decreased 9% in the first quarter of 2020 compared to a 2% increase in the first quarter of 2019. The Australian dollar exchange rate compared to the U.S. dollar decreased 13% in the first quarter of 2020 compared to a 1% increase in the first quarter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8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3"/>
        </w:trPr>
        <w:tc>
          <w:tcPr>
            <w:tcW w:w="48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66,066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57,652</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8,414</w:t>
            </w:r>
          </w:p>
        </w:tc>
      </w:tr>
      <w:tr>
        <w:trPr>
          <w:trHeight w:val="27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revenue (2)</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1,727</w:t>
            </w: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Food service and other services revenue (3)</w:t>
            </w:r>
          </w:p>
        </w:tc>
        <w:tc>
          <w:tcPr>
            <w:tcW w:w="1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10,774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8,337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2,437</w:t>
            </w:r>
          </w:p>
        </w:tc>
      </w:tr>
      <w:tr>
        <w:trPr>
          <w:trHeight w:val="256"/>
        </w:trPr>
        <w:tc>
          <w:tcPr>
            <w:tcW w:w="4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revenues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79,348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66,770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12,578</w:t>
            </w:r>
          </w:p>
        </w:tc>
      </w:tr>
      <w:tr>
        <w:trPr>
          <w:trHeight w:val="189"/>
        </w:trPr>
        <w:tc>
          <w:tcPr>
            <w:tcW w:w="4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and services ($ in thousands)</w:t>
            </w:r>
          </w:p>
        </w:tc>
        <w:tc>
          <w:tcPr>
            <w:tcW w:w="1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Accommodation cost</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48,055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42,217</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5,838</w:t>
            </w:r>
          </w:p>
        </w:tc>
      </w:tr>
      <w:tr>
        <w:trPr>
          <w:trHeight w:val="27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cost</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2,608</w:t>
            </w: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Food service and other services cost</w:t>
            </w:r>
          </w:p>
        </w:tc>
        <w:tc>
          <w:tcPr>
            <w:tcW w:w="112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10,015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8,236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1,779</w:t>
            </w:r>
          </w:p>
        </w:tc>
      </w:tr>
      <w:tr>
        <w:trPr>
          <w:trHeight w:val="270"/>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costs</w:t>
            </w:r>
          </w:p>
        </w:tc>
        <w:tc>
          <w:tcPr>
            <w:tcW w:w="1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2,945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3,545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r>
      <w:tr>
        <w:trPr>
          <w:trHeight w:val="250"/>
        </w:trPr>
        <w:tc>
          <w:tcPr>
            <w:tcW w:w="486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64,272</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54,647</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9,625</w:t>
            </w:r>
          </w:p>
        </w:tc>
      </w:tr>
      <w:tr>
        <w:trPr>
          <w:trHeight w:val="195"/>
        </w:trPr>
        <w:tc>
          <w:tcPr>
            <w:tcW w:w="48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195"/>
        </w:trPr>
        <w:tc>
          <w:tcPr>
            <w:tcW w:w="48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Average daily rate for lodges (4)</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95"/>
        </w:trPr>
        <w:tc>
          <w:tcPr>
            <w:tcW w:w="48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Total billed rooms for lodges (5)</w:t>
            </w:r>
          </w:p>
        </w:tc>
        <w:tc>
          <w:tcPr>
            <w:tcW w:w="112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708,323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625,992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82,331</w:t>
            </w:r>
          </w:p>
        </w:tc>
      </w:tr>
      <w:tr>
        <w:trPr>
          <w:trHeight w:val="195"/>
        </w:trPr>
        <w:tc>
          <w:tcPr>
            <w:tcW w:w="48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58"/>
        </w:trPr>
        <w:tc>
          <w:tcPr>
            <w:tcW w:w="4860" w:type="dxa"/>
            <w:vAlign w:val="bottom"/>
          </w:tcPr>
          <w:p>
            <w:pPr>
              <w:ind w:left="40"/>
              <w:spacing w:after="0"/>
              <w:rPr>
                <w:sz w:val="20"/>
                <w:szCs w:val="20"/>
                <w:color w:val="auto"/>
              </w:rPr>
            </w:pPr>
            <w:r>
              <w:rPr>
                <w:rFonts w:ascii="Arial" w:cs="Arial" w:eastAsia="Arial" w:hAnsi="Arial"/>
                <w:sz w:val="14"/>
                <w:szCs w:val="14"/>
                <w:color w:val="auto"/>
              </w:rPr>
              <w:t>Average Canadian dollar to U.S. dollar</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revenues related to food services, laundry and water and wastewater treatment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11"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8"/>
          <w:szCs w:val="18"/>
          <w:color w:val="auto"/>
        </w:rPr>
        <w:t>Our Canadian segment reported revenues in the first quarter of 2020 that were $12.6 million, or 19%, higher than the first quarter of 2019. The weakening of the average exchange rates for the Canadian dollar relative to the U.S. dollar by 1% in the first quarter of 2020 compared to the first quarter of 2019 resulted in a $0.8 million period-over-period decrease in revenues. Excluding the impact of the weaker Canadian exchange rates, the segment experienced a 20% increase in revenues. This increase was driven by higher demand at both our Sitka Lodge related to an LNG project and at our core oil sands lodges related to large client projects. Additionally, revenue was favorably impacted by increased food services activity related to an LNG project and increased mobile facility activity from a pipeline project.</w:t>
      </w:r>
    </w:p>
    <w:p>
      <w:pPr>
        <w:spacing w:after="0" w:line="192"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8"/>
          <w:szCs w:val="18"/>
          <w:color w:val="auto"/>
        </w:rPr>
        <w:t>Our Canadian segment cost of sales and services increased $9.6 million, or 18%, in the first quarter of 2020 compared to the first quarter of 2019. The weakening of the average exchange rates for the Canadian dollar relative to the U.S. dollar by 1% in the first quarter of 2020 compared to the first quarter of 2019 resulted in a $0.7 million period-over-period decrease in cost of sales and services. Excluding the impact of the weaker Canadian exchange rates, the increased cost of sales and services was driven by greater activity at our Sitka Lodge and our core oil sands lodges, increased food services activity and increased mobile facility activity, partially offset by reduced indirect other costs from a continued focus on cost containment and operational efficiencies.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Canadian segment gross margin as a percentage of revenues increased from 18% in the first quarter of 2019 to 19% in the first quarter of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driven by increased operating efficiencies due to higher occupancy percentages.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7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3"/>
        </w:trPr>
        <w:tc>
          <w:tcPr>
            <w:tcW w:w="47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70"/>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4"/>
        </w:trPr>
        <w:tc>
          <w:tcPr>
            <w:tcW w:w="476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32,585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28,421</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4,164</w:t>
            </w:r>
          </w:p>
        </w:tc>
      </w:tr>
      <w:tr>
        <w:trPr>
          <w:trHeight w:val="270"/>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revenue (2)</w:t>
            </w:r>
          </w:p>
        </w:tc>
        <w:tc>
          <w:tcPr>
            <w:tcW w:w="1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16,528</w:t>
            </w:r>
          </w:p>
        </w:tc>
      </w:tr>
      <w:tr>
        <w:trPr>
          <w:trHeight w:val="250"/>
        </w:trPr>
        <w:tc>
          <w:tcPr>
            <w:tcW w:w="476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0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49,113</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28,421</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20,692</w:t>
            </w:r>
          </w:p>
        </w:tc>
      </w:tr>
      <w:tr>
        <w:trPr>
          <w:trHeight w:val="276"/>
        </w:trPr>
        <w:tc>
          <w:tcPr>
            <w:tcW w:w="47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760" w:type="dxa"/>
            <w:vAlign w:val="bottom"/>
          </w:tcPr>
          <w:p>
            <w:pPr>
              <w:ind w:left="40"/>
              <w:spacing w:after="0"/>
              <w:rPr>
                <w:sz w:val="20"/>
                <w:szCs w:val="20"/>
                <w:color w:val="auto"/>
              </w:rPr>
            </w:pPr>
            <w:r>
              <w:rPr>
                <w:rFonts w:ascii="Arial" w:cs="Arial" w:eastAsia="Arial" w:hAnsi="Arial"/>
                <w:sz w:val="14"/>
                <w:szCs w:val="14"/>
                <w:color w:val="auto"/>
              </w:rPr>
              <w:t>Cost of sales ($ in thousands)</w:t>
            </w:r>
          </w:p>
        </w:tc>
        <w:tc>
          <w:tcPr>
            <w:tcW w:w="1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6"/>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14,397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598</w:t>
            </w:r>
          </w:p>
        </w:tc>
      </w:tr>
      <w:tr>
        <w:trPr>
          <w:trHeight w:val="264"/>
        </w:trPr>
        <w:tc>
          <w:tcPr>
            <w:tcW w:w="4760" w:type="dxa"/>
            <w:vAlign w:val="bottom"/>
          </w:tcPr>
          <w:p>
            <w:pPr>
              <w:ind w:left="180"/>
              <w:spacing w:after="0"/>
              <w:rPr>
                <w:sz w:val="20"/>
                <w:szCs w:val="20"/>
                <w:color w:val="auto"/>
              </w:rPr>
            </w:pPr>
            <w:r>
              <w:rPr>
                <w:rFonts w:ascii="Arial" w:cs="Arial" w:eastAsia="Arial" w:hAnsi="Arial"/>
                <w:sz w:val="14"/>
                <w:szCs w:val="14"/>
                <w:color w:val="auto"/>
              </w:rPr>
              <w:t>Food service and other services cost</w:t>
            </w:r>
          </w:p>
        </w:tc>
        <w:tc>
          <w:tcPr>
            <w:tcW w:w="110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13,707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13,707</w:t>
            </w:r>
          </w:p>
        </w:tc>
      </w:tr>
      <w:tr>
        <w:trPr>
          <w:trHeight w:val="270"/>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249</w:t>
            </w:r>
          </w:p>
        </w:tc>
      </w:tr>
      <w:tr>
        <w:trPr>
          <w:trHeight w:val="250"/>
        </w:trPr>
        <w:tc>
          <w:tcPr>
            <w:tcW w:w="476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29,553</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14,999</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14,554</w:t>
            </w:r>
          </w:p>
        </w:tc>
      </w:tr>
      <w:tr>
        <w:trPr>
          <w:trHeight w:val="276"/>
        </w:trPr>
        <w:tc>
          <w:tcPr>
            <w:tcW w:w="47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76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76"/>
        </w:trPr>
        <w:tc>
          <w:tcPr>
            <w:tcW w:w="47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760" w:type="dxa"/>
            <w:vAlign w:val="bottom"/>
          </w:tcPr>
          <w:p>
            <w:pPr>
              <w:ind w:left="40"/>
              <w:spacing w:after="0"/>
              <w:rPr>
                <w:sz w:val="20"/>
                <w:szCs w:val="20"/>
                <w:color w:val="auto"/>
              </w:rPr>
            </w:pPr>
            <w:r>
              <w:rPr>
                <w:rFonts w:ascii="Arial" w:cs="Arial" w:eastAsia="Arial" w:hAnsi="Arial"/>
                <w:sz w:val="14"/>
                <w:szCs w:val="14"/>
                <w:color w:val="auto"/>
              </w:rPr>
              <w:t>Average daily rate for villages (3)</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(5)</w:t>
            </w:r>
          </w:p>
        </w:tc>
      </w:tr>
      <w:tr>
        <w:trPr>
          <w:trHeight w:val="276"/>
        </w:trPr>
        <w:tc>
          <w:tcPr>
            <w:tcW w:w="47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760" w:type="dxa"/>
            <w:vAlign w:val="bottom"/>
          </w:tcPr>
          <w:p>
            <w:pPr>
              <w:ind w:left="40"/>
              <w:spacing w:after="0"/>
              <w:rPr>
                <w:sz w:val="20"/>
                <w:szCs w:val="20"/>
                <w:color w:val="auto"/>
              </w:rPr>
            </w:pPr>
            <w:r>
              <w:rPr>
                <w:rFonts w:ascii="Arial" w:cs="Arial" w:eastAsia="Arial" w:hAnsi="Arial"/>
                <w:sz w:val="14"/>
                <w:szCs w:val="14"/>
                <w:color w:val="auto"/>
              </w:rPr>
              <w:t>Total billed rooms for villages (4)</w:t>
            </w:r>
          </w:p>
        </w:tc>
        <w:tc>
          <w:tcPr>
            <w:tcW w:w="110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471,840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382,581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89,259</w:t>
            </w:r>
          </w:p>
        </w:tc>
      </w:tr>
      <w:tr>
        <w:trPr>
          <w:trHeight w:val="276"/>
        </w:trPr>
        <w:tc>
          <w:tcPr>
            <w:tcW w:w="47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58"/>
        </w:trPr>
        <w:tc>
          <w:tcPr>
            <w:tcW w:w="4760" w:type="dxa"/>
            <w:vAlign w:val="bottom"/>
          </w:tcPr>
          <w:p>
            <w:pPr>
              <w:ind w:left="40"/>
              <w:spacing w:after="0"/>
              <w:rPr>
                <w:sz w:val="20"/>
                <w:szCs w:val="20"/>
                <w:color w:val="auto"/>
              </w:rPr>
            </w:pPr>
            <w:r>
              <w:rPr>
                <w:rFonts w:ascii="Arial" w:cs="Arial" w:eastAsia="Arial" w:hAnsi="Arial"/>
                <w:sz w:val="14"/>
                <w:szCs w:val="14"/>
                <w:color w:val="auto"/>
              </w:rPr>
              <w:t>Australian dollar to U.S. dollar</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0.66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3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revenues related to food services and other services, including facilities management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11"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8"/>
          <w:szCs w:val="18"/>
          <w:color w:val="auto"/>
        </w:rPr>
        <w:t>Our Australian segment reported revenues in the first quarter of 2020 that were $20.7 million, or 73%, higher than the first quarter of 2019. Action contributed $16.5 million in revenues in the first quarter of 2020. The weakening of the average exchange rates for Australian dollars relative to the U.S. dollar by 8% in the first quarter of 2020 compared to the first quarter of 2019 resulted in a $2.7 million period-over-period decrease in revenues and a $6 reduction in the average daily rate. Excluding the impact of the weaker Australian exchange rates, the Australian segment experienced an 87% increase in revenues due to the Action acquisition and increased activity of our Bowen Basin villages, partially offset by decreased activity at our Western Australia villages.</w:t>
      </w:r>
    </w:p>
    <w:p>
      <w:pPr>
        <w:spacing w:after="0" w:line="192"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color w:val="auto"/>
        </w:rPr>
        <w:t>Our Australian segment cost of sales increased $14.6 million, or 97%, in the first quarter of 2020 compared to the first quarter of 2019. The increase was primarily driven by the Action acquisition and increased activity at our Bowen Basin villages, partially offset by the weakening of the Australian dollar.</w:t>
      </w:r>
    </w:p>
    <w:p>
      <w:pPr>
        <w:spacing w:after="0" w:line="184"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7"/>
          <w:szCs w:val="17"/>
          <w:color w:val="auto"/>
        </w:rPr>
        <w:t>Our Australian segment gross margin as a percentage of revenues decreased to 40% in the first quarter of 2020 from 47% in the first quarter of 2019. This was primarily driven by Action, which has a service-only business model and therefore results in lower overall gross margins than the accommodation business, partially offset by improved margins at our Bowen Basin villages as a result of increased occupancy.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379"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13335</wp:posOffset>
            </wp:positionV>
            <wp:extent cx="36087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10,331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13,359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(3,028)</w:t>
            </w:r>
          </w:p>
        </w:tc>
      </w:tr>
      <w:tr>
        <w:trPr>
          <w:trHeight w:val="270"/>
        </w:trPr>
        <w:tc>
          <w:tcPr>
            <w:tcW w:w="4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 in thousands)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9,488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9,984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(496)</w:t>
            </w:r>
          </w:p>
        </w:tc>
      </w:tr>
      <w:tr>
        <w:trPr>
          <w:trHeight w:val="270"/>
        </w:trPr>
        <w:tc>
          <w:tcPr>
            <w:tcW w:w="4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 as a % of revenues</w:t>
            </w:r>
          </w:p>
        </w:tc>
        <w:tc>
          <w:tcPr>
            <w:tcW w:w="1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r>
    </w:tbl>
    <w:p>
      <w:pPr>
        <w:spacing w:after="0" w:line="202"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color w:val="auto"/>
        </w:rPr>
        <w:t>Our U.S. segment reported revenues in the first quarter of 2020 that were $3.0 million, or 23%, lower than the first quarter of 2019. This was primarily due to reduced activity at our West Permian, Killdeer and Acadian Acres lodges, partially offset by increased activity in our offshore fabrication business as a project was completed in the first quarter 2020.</w:t>
      </w:r>
    </w:p>
    <w:p>
      <w:pPr>
        <w:spacing w:after="0" w:line="184"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7"/>
          <w:szCs w:val="17"/>
          <w:color w:val="auto"/>
        </w:rPr>
        <w:t>Our U.S. segment cost of sales decreased $0.5 million, or 5%, in the first quarter of 2020 compared to the first quarter of 2019. The decrease was driven by reduced activity at our West Permian and Killdeer lodges, reduced U.S. drilling and completion activity in the Bakken, Rockies and the Mid-Continent markets affecting our wellsite business, partially offset by increased activity in our offshore fabrication business.</w:t>
      </w:r>
    </w:p>
    <w:p>
      <w:pPr>
        <w:spacing w:after="0" w:line="165"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Our U.S. segment gross margin as a percentage of revenues decreased from 25% in the first quarter of 2019 to 8% in the first quarter of 2020 primarily due to reduced activity at our lodges, partially offset by increased activity in our offshore fabrication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59"/>
        <w:spacing w:after="0" w:line="275"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fund strategic business acquisitions and pay dividends.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liquidity position as of March 31, 2020 and December 31, 2019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 2019</w:t>
            </w:r>
          </w:p>
        </w:tc>
      </w:tr>
      <w:tr>
        <w:trPr>
          <w:trHeight w:val="256"/>
        </w:trPr>
        <w:tc>
          <w:tcPr>
            <w:tcW w:w="7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Lender commitments (1)</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263,500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263,500</w:t>
            </w:r>
          </w:p>
        </w:tc>
      </w:tr>
      <w:tr>
        <w:trPr>
          <w:trHeight w:val="264"/>
        </w:trPr>
        <w:tc>
          <w:tcPr>
            <w:tcW w:w="7220" w:type="dxa"/>
            <w:vAlign w:val="bottom"/>
          </w:tcPr>
          <w:p>
            <w:pPr>
              <w:ind w:left="200"/>
              <w:spacing w:after="0"/>
              <w:rPr>
                <w:sz w:val="20"/>
                <w:szCs w:val="20"/>
                <w:color w:val="auto"/>
              </w:rPr>
            </w:pPr>
            <w:r>
              <w:rPr>
                <w:rFonts w:ascii="Arial" w:cs="Arial" w:eastAsia="Arial" w:hAnsi="Arial"/>
                <w:sz w:val="14"/>
                <w:szCs w:val="14"/>
                <w:color w:val="auto"/>
              </w:rPr>
              <w:t>Reductions in availability (2)</w:t>
            </w:r>
          </w:p>
        </w:tc>
        <w:tc>
          <w:tcPr>
            <w:tcW w:w="240" w:type="dxa"/>
            <w:vAlign w:val="bottom"/>
          </w:tcPr>
          <w:p>
            <w:pPr>
              <w:spacing w:after="0"/>
              <w:rPr>
                <w:sz w:val="22"/>
                <w:szCs w:val="22"/>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(6,591)</w:t>
            </w:r>
          </w:p>
        </w:tc>
      </w:tr>
      <w:tr>
        <w:trPr>
          <w:trHeight w:val="276"/>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against revolving credit capacity</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(134,117)</w:t>
            </w:r>
          </w:p>
        </w:tc>
      </w:tr>
      <w:tr>
        <w:trPr>
          <w:trHeight w:val="264"/>
        </w:trPr>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Outstanding letters of credit</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w:t>
            </w:r>
          </w:p>
        </w:tc>
      </w:tr>
      <w:tr>
        <w:trPr>
          <w:trHeight w:val="256"/>
        </w:trPr>
        <w:tc>
          <w:tcPr>
            <w:tcW w:w="7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Unused availability</w:t>
            </w: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143,992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120,761</w:t>
            </w:r>
          </w:p>
        </w:tc>
      </w:tr>
      <w:tr>
        <w:trPr>
          <w:trHeight w:val="264"/>
        </w:trPr>
        <w:tc>
          <w:tcPr>
            <w:tcW w:w="7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3,331</w:t>
            </w:r>
          </w:p>
        </w:tc>
      </w:tr>
      <w:tr>
        <w:trPr>
          <w:trHeight w:val="243"/>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available liquidity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149,550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124,092</w:t>
            </w: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A$0.7 million under this facility outstanding as of both March 31, 2020 and December 31, 2019, respectively.</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March 31, 2020, there were no reductions in our availability under the Credit Agreement. As of December 31, 2019, $6.6 million of our borrowing capacity under the Credit Agreement could not be utilized in order to maintain compliance with the maximum leverage ratio financial covenant in the Credit Agreement.</w:t>
      </w:r>
    </w:p>
    <w:p>
      <w:pPr>
        <w:spacing w:after="0" w:line="190"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Cash totaling $20.8 million was provided by operations during the three months ended March 31, 2020, compared to $6.3 million provided by operations during the three months ended March 31, 2019. During the three months ended March 31, 2020 and 2019, $3.0 million was provided by working capital and $3.3 million was used in working capital, respectively. The increase in cash provided by working capital in 2020 compared to 2019 is largely due to increased accounts payable balances in Canada.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7" w:right="339" w:bottom="1440" w:gutter="0" w:footer="0" w:header="0"/>
        </w:sectPr>
      </w:pPr>
    </w:p>
    <w:bookmarkStart w:id="28" w:name="page29"/>
    <w:bookmarkEnd w:id="28"/>
    <w:p>
      <w:pPr>
        <w:jc w:val="both"/>
        <w:ind w:firstLine="459"/>
        <w:spacing w:after="0" w:line="255" w:lineRule="auto"/>
        <w:rPr>
          <w:sz w:val="20"/>
          <w:szCs w:val="20"/>
          <w:color w:val="auto"/>
        </w:rPr>
      </w:pPr>
      <w:r>
        <w:rPr>
          <w:rFonts w:ascii="Arial" w:cs="Arial" w:eastAsia="Arial" w:hAnsi="Arial"/>
          <w:sz w:val="18"/>
          <w:szCs w:val="18"/>
          <w:color w:val="auto"/>
        </w:rPr>
        <w:t>Cash was used in investing activities during the three months ended March 31, 2020 in the amount of $2.6 million, compared to cash used in investing activities during the three months ended March 31, 2019 in the amount of $3.7 million. The decrease in cash used in investing activities was primarily due to lower capital expenditures in the first three months of 2020, partially offset by higher proceeds from the disposition of property, plant and equipment in the first three months of 2019. Capital expenditures totaled $2.7 million and $9.7 million during the three months ended March 31, 2020 and 2019, respectively. The decrease in capital expenditures from 2019 to 2020 was related primarily to the expansion of the Sitka Lodge, which occurred during 2019.</w:t>
      </w:r>
    </w:p>
    <w:p>
      <w:pPr>
        <w:spacing w:after="0" w:line="192" w:lineRule="exact"/>
        <w:rPr>
          <w:sz w:val="20"/>
          <w:szCs w:val="20"/>
          <w:color w:val="auto"/>
        </w:rPr>
      </w:pPr>
    </w:p>
    <w:p>
      <w:pPr>
        <w:jc w:val="both"/>
        <w:ind w:firstLine="459"/>
        <w:spacing w:after="0" w:line="253" w:lineRule="auto"/>
        <w:rPr>
          <w:sz w:val="20"/>
          <w:szCs w:val="20"/>
          <w:color w:val="auto"/>
        </w:rPr>
      </w:pPr>
      <w:r>
        <w:rPr>
          <w:rFonts w:ascii="Arial" w:cs="Arial" w:eastAsia="Arial" w:hAnsi="Arial"/>
          <w:sz w:val="18"/>
          <w:szCs w:val="18"/>
          <w:color w:val="auto"/>
        </w:rPr>
        <w:t>We expect our capital expenditures for 2020, exclusive of any expansionary spending, to be approximately $15 million, which excludes any unannounced and uncommitted projects, the spending for which is contingent on obtaining customer contracts. Whether planned expenditures will actually be spent in 2020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depending on the economic environment in our industry and the availability of transactions at prices deemed to be attractive to us. We continue to monitor the COVID-19 global pandemic and the responses thereto, the global economy, the prices of and demand for crude oil, met coal and iron ore and the resultant impact on the capital spending plans of our customers in order to plan our business activities, and we may adjust our capital expenditure plans in the future as we continue to monitor the impact of COVID-19.</w:t>
      </w:r>
    </w:p>
    <w:p>
      <w:pPr>
        <w:spacing w:after="0" w:line="196" w:lineRule="exact"/>
        <w:rPr>
          <w:sz w:val="20"/>
          <w:szCs w:val="20"/>
          <w:color w:val="auto"/>
        </w:rPr>
      </w:pPr>
    </w:p>
    <w:p>
      <w:pPr>
        <w:jc w:val="both"/>
        <w:ind w:firstLine="459"/>
        <w:spacing w:after="0" w:line="275" w:lineRule="auto"/>
        <w:rPr>
          <w:sz w:val="20"/>
          <w:szCs w:val="20"/>
          <w:color w:val="auto"/>
        </w:rPr>
      </w:pPr>
      <w:r>
        <w:rPr>
          <w:rFonts w:ascii="Arial" w:cs="Arial" w:eastAsia="Arial" w:hAnsi="Arial"/>
          <w:sz w:val="17"/>
          <w:szCs w:val="17"/>
          <w:color w:val="auto"/>
        </w:rPr>
        <w:t>Net cash of $15.6 million was used in financing activities during the three months ended March 31, 2020 primarily due to net repayments under our revolving credit facilities of $6.1 million, repayments of term loan borrowings of $8.1 million and $1.4 million used to settle tax obligations on vested shares under our share based compensation plans. Net cash of $7.5 million was used in financing activities during the three months ended March 31, 2019 primarily due to repayments of term loan borrowings of $8.6 million and $4.3 million used to settle tax obligations on vested shares under our share-based compensation plans, partially offset by net borrowings under our revolving credit facilities of $5.4 million.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changes in debt outstanding during the three months ended March 31, 2020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2460" w:type="dxa"/>
        <w:tblCellMar>
          <w:top w:w="0" w:type="dxa"/>
          <w:left w:w="0" w:type="dxa"/>
          <w:bottom w:w="0" w:type="dxa"/>
          <w:right w:w="0" w:type="dxa"/>
        </w:tblCellMar>
      </w:tblPr>
      <w:tr>
        <w:trPr>
          <w:trHeight w:val="27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359,080</w:t>
            </w:r>
          </w:p>
        </w:tc>
      </w:tr>
      <w:tr>
        <w:trPr>
          <w:trHeight w:val="264"/>
        </w:trPr>
        <w:tc>
          <w:tcPr>
            <w:tcW w:w="4960" w:type="dxa"/>
            <w:vAlign w:val="bottom"/>
          </w:tcPr>
          <w:p>
            <w:pPr>
              <w:ind w:left="160"/>
              <w:spacing w:after="0"/>
              <w:rPr>
                <w:sz w:val="20"/>
                <w:szCs w:val="20"/>
                <w:color w:val="auto"/>
              </w:rPr>
            </w:pPr>
            <w:r>
              <w:rPr>
                <w:rFonts w:ascii="Arial" w:cs="Arial" w:eastAsia="Arial" w:hAnsi="Arial"/>
                <w:sz w:val="14"/>
                <w:szCs w:val="14"/>
                <w:color w:val="auto"/>
              </w:rPr>
              <w:t>Borrowings under revolving credit facilities</w:t>
            </w:r>
          </w:p>
        </w:tc>
        <w:tc>
          <w:tcPr>
            <w:tcW w:w="4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74,287</w:t>
            </w:r>
          </w:p>
        </w:tc>
      </w:tr>
      <w:tr>
        <w:trPr>
          <w:trHeight w:val="276"/>
        </w:trPr>
        <w:tc>
          <w:tcPr>
            <w:tcW w:w="4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Repayments of borrowings under revolving credit facilities</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(80,367)</w:t>
            </w:r>
          </w:p>
        </w:tc>
      </w:tr>
      <w:tr>
        <w:trPr>
          <w:trHeight w:val="264"/>
        </w:trPr>
        <w:tc>
          <w:tcPr>
            <w:tcW w:w="4960" w:type="dxa"/>
            <w:vAlign w:val="bottom"/>
          </w:tcPr>
          <w:p>
            <w:pPr>
              <w:ind w:left="160"/>
              <w:spacing w:after="0"/>
              <w:rPr>
                <w:sz w:val="20"/>
                <w:szCs w:val="20"/>
                <w:color w:val="auto"/>
              </w:rPr>
            </w:pPr>
            <w:r>
              <w:rPr>
                <w:rFonts w:ascii="Arial" w:cs="Arial" w:eastAsia="Arial" w:hAnsi="Arial"/>
                <w:sz w:val="14"/>
                <w:szCs w:val="14"/>
                <w:color w:val="auto"/>
              </w:rPr>
              <w:t>Repayments of term loans</w:t>
            </w:r>
          </w:p>
        </w:tc>
        <w:tc>
          <w:tcPr>
            <w:tcW w:w="4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(8,109)</w:t>
            </w:r>
          </w:p>
        </w:tc>
      </w:tr>
      <w:tr>
        <w:trPr>
          <w:trHeight w:val="270"/>
        </w:trPr>
        <w:tc>
          <w:tcPr>
            <w:tcW w:w="4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Translation</w:t>
            </w: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(30,016)</w:t>
            </w:r>
          </w:p>
        </w:tc>
      </w:tr>
      <w:tr>
        <w:trPr>
          <w:trHeight w:val="243"/>
        </w:trPr>
        <w:tc>
          <w:tcPr>
            <w:tcW w:w="4960" w:type="dxa"/>
            <w:vAlign w:val="bottom"/>
          </w:tcPr>
          <w:p>
            <w:pPr>
              <w:ind w:left="20"/>
              <w:spacing w:after="0"/>
              <w:rPr>
                <w:sz w:val="20"/>
                <w:szCs w:val="20"/>
                <w:color w:val="auto"/>
              </w:rPr>
            </w:pPr>
            <w:r>
              <w:rPr>
                <w:rFonts w:ascii="Arial" w:cs="Arial" w:eastAsia="Arial" w:hAnsi="Arial"/>
                <w:sz w:val="14"/>
                <w:szCs w:val="14"/>
                <w:color w:val="auto"/>
              </w:rPr>
              <w:t>Balance at March 31, 2020</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314,875</w:t>
            </w:r>
          </w:p>
        </w:tc>
      </w:tr>
      <w:tr>
        <w:trPr>
          <w:trHeight w:val="20"/>
        </w:trPr>
        <w:tc>
          <w:tcPr>
            <w:tcW w:w="4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59"/>
        <w:spacing w:after="0" w:line="269" w:lineRule="auto"/>
        <w:rPr>
          <w:sz w:val="20"/>
          <w:szCs w:val="20"/>
          <w:color w:val="auto"/>
        </w:rPr>
      </w:pPr>
      <w:r>
        <w:rPr>
          <w:rFonts w:ascii="Arial" w:cs="Arial" w:eastAsia="Arial" w:hAnsi="Arial"/>
          <w:sz w:val="17"/>
          <w:szCs w:val="17"/>
          <w:color w:val="auto"/>
        </w:rPr>
        <w:t>We believe that cash on hand and cash flow from operations will be sufficient to meet our anticipated liquidity needs in the coming 12 months. However, it is likely that we will not remain in compliance with our leverage ratio, particularly beginning with the period ending December 31, 2020. See "Credit Agreement" below for further discussion. If our plans or assumptions change, including as a result of the impact of COVID-19 or the historic decline in the price of and demand for oil,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77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As of March 31, 2020, our Credit Agreement (as then amended to date, the Credit Agreement), provided for: (i) a $263.5 million revolving credit facility scheduled to mature on November 30, 2021 for certain lenders, allocated as follows: (A) a $20.0 million senior secured revolving credit facility in favor of certain of our U.S. subsidiaries, as borrowers; (B) a $183.5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2021 for certain lenders in favor of Civeo. As of March 31, 2020, one lender had an outstanding Canadian term loan of $6.0 million and an outstanding Canadian revolver loan of $10.0 million that matures on November 30, 2020. One other lender had an outstanding Canadian revolver loan of $14.3 million that matures on November 30, 2020. Maturities in 2020 are not classified as current as of March 31, 2020 and December 31, 2019, since we are able and have the intent to repay the outstanding 2020 maturities by borrowing amounts equal to such maturities under our existing revolving credit facility, which matures on November 30, 2021.</w:t>
      </w:r>
    </w:p>
    <w:p>
      <w:pPr>
        <w:spacing w:after="0" w:line="18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required to maintain, if a qualified offering of indebtedness with gross proceeds in excess of $150 million has been consummated, a maximum leverage ratio of 4.00 to 1.00 and, if such qualified offering has not been consummated, a maximum leverage ratio not to exceed the ratios set forth in the following table:</w:t>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260" w:type="dxa"/>
            <w:vAlign w:val="bottom"/>
          </w:tcPr>
          <w:p>
            <w:pPr>
              <w:jc w:val="center"/>
              <w:ind w:left="2099"/>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260" w:type="dxa"/>
            <w:vAlign w:val="bottom"/>
          </w:tcPr>
          <w:p>
            <w:pPr>
              <w:jc w:val="center"/>
              <w:ind w:left="2099"/>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4360" w:type="dxa"/>
            <w:vAlign w:val="bottom"/>
          </w:tcPr>
          <w:p>
            <w:pPr>
              <w:spacing w:after="0"/>
              <w:rPr>
                <w:sz w:val="15"/>
                <w:szCs w:val="15"/>
                <w:color w:val="auto"/>
              </w:rPr>
            </w:pPr>
          </w:p>
        </w:tc>
        <w:tc>
          <w:tcPr>
            <w:tcW w:w="314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Period Ended</w:t>
            </w:r>
          </w:p>
        </w:tc>
        <w:tc>
          <w:tcPr>
            <w:tcW w:w="3260" w:type="dxa"/>
            <w:vAlign w:val="bottom"/>
          </w:tcPr>
          <w:p>
            <w:pPr>
              <w:jc w:val="center"/>
              <w:ind w:left="2079"/>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36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237"/>
        </w:trPr>
        <w:tc>
          <w:tcPr>
            <w:tcW w:w="7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March 31, 2020, June 30, 2020 &amp; September 30, 2020</w:t>
            </w:r>
          </w:p>
        </w:tc>
        <w:tc>
          <w:tcPr>
            <w:tcW w:w="3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3:75 : 1:00</w:t>
            </w:r>
          </w:p>
        </w:tc>
      </w:tr>
      <w:tr>
        <w:trPr>
          <w:trHeight w:val="223"/>
        </w:trPr>
        <w:tc>
          <w:tcPr>
            <w:tcW w:w="7500" w:type="dxa"/>
            <w:vAlign w:val="bottom"/>
            <w:gridSpan w:val="3"/>
          </w:tcPr>
          <w:p>
            <w:pPr>
              <w:ind w:left="20"/>
              <w:spacing w:after="0"/>
              <w:rPr>
                <w:sz w:val="20"/>
                <w:szCs w:val="20"/>
                <w:color w:val="auto"/>
              </w:rPr>
            </w:pPr>
            <w:r>
              <w:rPr>
                <w:rFonts w:ascii="Arial" w:cs="Arial" w:eastAsia="Arial" w:hAnsi="Arial"/>
                <w:sz w:val="16"/>
                <w:szCs w:val="16"/>
                <w:color w:val="auto"/>
              </w:rPr>
              <w:t>December 31, 2020 &amp; thereafter</w:t>
            </w:r>
          </w:p>
        </w:tc>
        <w:tc>
          <w:tcPr>
            <w:tcW w:w="3260" w:type="dxa"/>
            <w:vAlign w:val="bottom"/>
          </w:tcPr>
          <w:p>
            <w:pPr>
              <w:jc w:val="center"/>
              <w:ind w:left="2079"/>
              <w:spacing w:after="0"/>
              <w:rPr>
                <w:sz w:val="20"/>
                <w:szCs w:val="20"/>
                <w:color w:val="auto"/>
              </w:rPr>
            </w:pPr>
            <w:r>
              <w:rPr>
                <w:rFonts w:ascii="Arial" w:cs="Arial" w:eastAsia="Arial" w:hAnsi="Arial"/>
                <w:sz w:val="16"/>
                <w:szCs w:val="16"/>
                <w:color w:val="auto"/>
                <w:w w:val="92"/>
              </w:rPr>
              <w:t>3.50 : 1:00</w:t>
            </w:r>
          </w:p>
        </w:tc>
      </w:tr>
    </w:tbl>
    <w:p>
      <w:pPr>
        <w:spacing w:after="0" w:line="235"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U.S. dollar amounts outstanding under the facilities provided by the Credit Agreement bear interest at a variable rate equal to the London Inter-Bank Offered Rate (LIBOR) plus a margin of 2.25% to 4.00%, or a base rate plus 1.25% to 3.00%, in each case based on a ratio of our total debt to consolidated EBITDA (as defined in the Credit Agreement). Canadian dollar amounts outstanding bear interest at a variable rate equal to a B/A Discount Rate based on the Canadian Dollar Offered Rate (CDOR) plus a margin of 2.25% to 4.00%, or a Canadian Prime rate plus a margin of 1.25% to 3.00%, in each case based on a ratio of our total debt to consolidated EBITDA. Australian dollar amounts outstanding under the Credit Agreement bear interest at a variable rate equal to the Bank Bill Swap Bid Rate plus a margin of 2.25% to 4.00%, based on a ratio of our total debt to consolidated EBITDA. The future transitions from LIBOR and CDOR as interest rate benchmarks is addressed in the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168"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3.75 to 1.0 (as of March 31, 2020).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March 31, 2020.</w:t>
      </w:r>
    </w:p>
    <w:p>
      <w:pPr>
        <w:spacing w:after="0" w:line="18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a result of the spread of COVID-19 and the resulting unprecedented decline in oil demand, coupled with disagreements between Saudi Arabia and Russia about production limits, global oil prices have dropped to historically low levels and oil prices are expected to remain at low levels for the remainder of 2020. As a result, it is likely that we will not remain in compliance with our leverage ratio, particularly beginning with the period ending December 31, 2020, when our maximum leverage ratio reduces to 3.5 to 1.0. In order to avoid a default under our Credit Agreement, we must either (i) meet the leverage ratio, (ii) obtain a waiver of compliance for the period or periods in question, (iii) amend our Credit Agreement to allow for a higher leverage ratio or (iv) obtain replacement financing. A failure by us to avoid a default would eliminate our access to incremental borrowings and give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3" w:right="339" w:bottom="1440" w:gutter="0" w:footer="0" w:header="0"/>
        </w:sectPr>
      </w:pPr>
    </w:p>
    <w:bookmarkStart w:id="30" w:name="page31"/>
    <w:bookmarkEnd w:id="30"/>
    <w:p>
      <w:pPr>
        <w:jc w:val="both"/>
        <w:spacing w:after="0" w:line="272" w:lineRule="auto"/>
        <w:rPr>
          <w:sz w:val="20"/>
          <w:szCs w:val="20"/>
          <w:color w:val="auto"/>
        </w:rPr>
      </w:pPr>
      <w:r>
        <w:rPr>
          <w:rFonts w:ascii="Arial" w:cs="Arial" w:eastAsia="Arial" w:hAnsi="Arial"/>
          <w:sz w:val="17"/>
          <w:szCs w:val="17"/>
          <w:color w:val="auto"/>
        </w:rPr>
        <w:t>our lenders the right to declare our debt obligations under our Credit Agreement to become immediately due and payable. If we are unable to cure any such default, or obtain a waiver or a replacement financing, and our lenders accelerate the payment of such indebtedness, we would be unable to repay those amounts, and our lenders under our Credit Agreement would be entitled to foreclose on, and acquire control of substantially all of our assets, which would have a material adverse impact on our financial condition, results of operations and cash flows. We believe that it is probable that we will be able to obtain an amendment, waiver or replacement financing to our Credit Agreement that will enable us to meet any debt covenants for the twelve-month period following the issuance of our financial statements included in this report; however, we can give no assurance that we will be able to obtain such amendment, waiver or replacement financing on favorable terms or at all.</w:t>
      </w:r>
    </w:p>
    <w:p>
      <w:pPr>
        <w:spacing w:after="0" w:line="96"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Borrowings under the Credit Agreement are secured by a pledge of substantially all of our assets and the assets of our subsidiaries. The obligations under the Credit Agreement are guaranteed by our significant subsidiaries. As of March 31, 2020, we had ten lenders that were parties to the Credit Agreement, with total commitments (including both revolving commitments and term commitments) ranging from $24.9 million to $85.4 million. As of March 31, 2020, we had outstanding letters of credit of $0.3 million under the U.S. facility, $0.4 million under the Australian facility and $1.8 million under the Canadian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459"/>
        <w:spacing w:after="0" w:line="254" w:lineRule="auto"/>
        <w:rPr>
          <w:sz w:val="20"/>
          <w:szCs w:val="20"/>
          <w:color w:val="auto"/>
        </w:rPr>
      </w:pPr>
      <w:r>
        <w:rPr>
          <w:rFonts w:ascii="Arial" w:cs="Arial" w:eastAsia="Arial" w:hAnsi="Arial"/>
          <w:sz w:val="18"/>
          <w:szCs w:val="18"/>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192" w:lineRule="exact"/>
        <w:rPr>
          <w:sz w:val="20"/>
          <w:szCs w:val="20"/>
          <w:color w:val="auto"/>
        </w:rPr>
      </w:pPr>
    </w:p>
    <w:p>
      <w:pPr>
        <w:jc w:val="both"/>
        <w:ind w:firstLine="459"/>
        <w:spacing w:after="0" w:line="301" w:lineRule="auto"/>
        <w:rPr>
          <w:sz w:val="20"/>
          <w:szCs w:val="20"/>
          <w:color w:val="auto"/>
        </w:rPr>
      </w:pPr>
      <w:r>
        <w:rPr>
          <w:rFonts w:ascii="Arial" w:cs="Arial" w:eastAsia="Arial" w:hAnsi="Arial"/>
          <w:sz w:val="16"/>
          <w:szCs w:val="16"/>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were paid in-kind on March 31, 2020, thereby increasing the liquidation preference to $10,407 per share as of March 31, 2020. We currently expect to pay dividends on the preferred shares for the foreseeable future through an increase in liquidation preference rather than cash.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2020,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in our Annual Report on Form 10-K for the year ended December 31, 2019. As of March 31, 2020, except for net repayments under our revolving credit facilities, there were no material changes to the disclosure regarding our contractual obligations made in our Annual Report on Form 10-K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59"/>
        <w:spacing w:after="0" w:line="275"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2019.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We have credit facilities that are subject to the risk of higher interest charges associated with increases in interest rates. As of March 31, 2020, we had $314.9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$3.1 million annually, based on our floating-rate debt obligations and interest rates in effect as of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59"/>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C$0.1 billion and A$0.4 billion, respectively, at March 31, 2020. We use a sensitivity analysis model to measure the impact of a 10% adverse movement of foreign currency exchange rates against the United States dollar. A hypothetical 10% adverse change in the value of the Canadian dollar and Australian dollar relative to the U.S. dollar as of March 31, 2020 would result in translation adjustments of approximately $7 million and $36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59"/>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2020,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color w:val="auto"/>
        </w:rPr>
        <w:t>During the three months ended March 31, 2020,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3" w:right="339" w:bottom="1440" w:gutter="0" w:footer="0" w:header="0"/>
        </w:sectPr>
      </w:pPr>
    </w:p>
    <w:bookmarkStart w:id="32" w:name="page33"/>
    <w:bookmarkEnd w:id="32"/>
    <w:p>
      <w:pPr>
        <w:ind w:left="44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459"/>
        <w:spacing w:after="0" w:line="275" w:lineRule="auto"/>
        <w:rPr>
          <w:sz w:val="20"/>
          <w:szCs w:val="20"/>
          <w:color w:val="auto"/>
        </w:rPr>
      </w:pPr>
      <w:r>
        <w:rPr>
          <w:rFonts w:ascii="Arial" w:cs="Arial" w:eastAsia="Arial" w:hAnsi="Arial"/>
          <w:sz w:val="17"/>
          <w:szCs w:val="17"/>
          <w:color w:val="auto"/>
        </w:rPr>
        <w:t>There are numerous factors that affect our business and results of operations, many of which are beyond our control. In addition to information set forth in this quarterly report on Form 10-Q, including “Management’s Discussion and Analysis of Financial Condition and Results of Operations” and the risk factor described below, you should carefully read and consider “Risk Factors” and “Management's Discussion and Analysis of Financial Condition and Results of Operations” in our Annual Report on Form 10-K for the year ended December 31, 2019, which contains descriptions of significant factors that may cause our future operating results to differ materially from those currently expected.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be adversely affected by global epidemics, including the recent coronavirus pandemic.</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outbreak of the COVID-19 coronavirus (COVID-19), which has been declared by the World Health Organization to be a pandemic, has spread across the globe and is impacting worldwide economic activity, including the natural resources industry in Canada, Australia and the U.S. A pandemic, including COVID-19 or other public health epidemic, poses the risk that our customers may be limited or restricted in the availability of personnel or from conducting business activities for an extended period of time, due to restrictions that may be requested or mandated by governmental authorities, including quarantines of certain geographic areas, restrictions on travel and other restrictions that prohibit personnel from going to work, or due to spread of illness among our customers' personnel, which has occurred at two lodges we operate in the Alberta oil sands. The continued spread of COVID-19 and the related mitigation measures may result in a significant decrease in occupancy and business from our customers and may cause our customers to delay scheduled projects or be unable to meet existing obligations to us. For example, LNGC announced that steps being taken to reduce the spread of COVID-19 including reduction of the workforce at the project site to essential personnel only. This resulted in a reduction in occupancy at our Sitka Lodge, which is expected to continue at least through the end of the second quarter of 2020. If COVID-19 continues to spread or the response to contain COVID-19 is unsuccessful, we could experience a material adverse effect on our business, financial condition, and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purchases of our common shares during the three months ended March 31, 2020.</w:t>
      </w:r>
    </w:p>
    <w:p>
      <w:pPr>
        <w:sectPr>
          <w:pgSz w:w="11900" w:h="16838" w:orient="portrait"/>
          <w:cols w:equalWidth="0" w:num="1">
            <w:col w:w="11220"/>
          </w:cols>
          <w:pgMar w:left="320" w:top="5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800" w:type="dxa"/>
            <w:vAlign w:val="bottom"/>
          </w:tcPr>
          <w:p>
            <w:pPr>
              <w:jc w:val="center"/>
              <w:ind w:left="579"/>
              <w:spacing w:after="0"/>
              <w:rPr>
                <w:sz w:val="20"/>
                <w:szCs w:val="20"/>
                <w:color w:val="auto"/>
              </w:rPr>
            </w:pPr>
            <w:r>
              <w:rPr>
                <w:rFonts w:ascii="Arial" w:cs="Arial" w:eastAsia="Arial" w:hAnsi="Arial"/>
                <w:sz w:val="16"/>
                <w:szCs w:val="16"/>
                <w:b w:val="1"/>
                <w:bCs w:val="1"/>
                <w:color w:val="auto"/>
                <w:w w:val="92"/>
              </w:rPr>
              <w:t>Total Number of</w:t>
            </w:r>
          </w:p>
        </w:tc>
      </w:tr>
      <w:tr>
        <w:trPr>
          <w:trHeight w:val="203"/>
        </w:trPr>
        <w:tc>
          <w:tcPr>
            <w:tcW w:w="3080" w:type="dxa"/>
            <w:vAlign w:val="bottom"/>
          </w:tcPr>
          <w:p>
            <w:pPr>
              <w:spacing w:after="0"/>
              <w:rPr>
                <w:sz w:val="17"/>
                <w:szCs w:val="17"/>
                <w:color w:val="auto"/>
              </w:rPr>
            </w:pPr>
          </w:p>
        </w:tc>
        <w:tc>
          <w:tcPr>
            <w:tcW w:w="1800" w:type="dxa"/>
            <w:vAlign w:val="bottom"/>
          </w:tcPr>
          <w:p>
            <w:pPr>
              <w:jc w:val="center"/>
              <w:ind w:left="579"/>
              <w:spacing w:after="0"/>
              <w:rPr>
                <w:sz w:val="20"/>
                <w:szCs w:val="20"/>
                <w:color w:val="auto"/>
              </w:rPr>
            </w:pPr>
            <w:r>
              <w:rPr>
                <w:rFonts w:ascii="Arial" w:cs="Arial" w:eastAsia="Arial" w:hAnsi="Arial"/>
                <w:sz w:val="16"/>
                <w:szCs w:val="16"/>
                <w:b w:val="1"/>
                <w:bCs w:val="1"/>
                <w:color w:val="auto"/>
                <w:w w:val="86"/>
              </w:rPr>
              <w:t>Shares</w:t>
            </w:r>
          </w:p>
        </w:tc>
      </w:tr>
      <w:tr>
        <w:trPr>
          <w:trHeight w:val="210"/>
        </w:trPr>
        <w:tc>
          <w:tcPr>
            <w:tcW w:w="3080" w:type="dxa"/>
            <w:vAlign w:val="bottom"/>
          </w:tcPr>
          <w:p>
            <w:pPr>
              <w:ind w:left="1600"/>
              <w:spacing w:after="0"/>
              <w:rPr>
                <w:sz w:val="20"/>
                <w:szCs w:val="20"/>
                <w:color w:val="auto"/>
              </w:rPr>
            </w:pPr>
            <w:r>
              <w:rPr>
                <w:rFonts w:ascii="Arial" w:cs="Arial" w:eastAsia="Arial" w:hAnsi="Arial"/>
                <w:sz w:val="16"/>
                <w:szCs w:val="16"/>
                <w:b w:val="1"/>
                <w:bCs w:val="1"/>
                <w:color w:val="auto"/>
              </w:rPr>
              <w:t>Period</w:t>
            </w:r>
          </w:p>
        </w:tc>
        <w:tc>
          <w:tcPr>
            <w:tcW w:w="1800" w:type="dxa"/>
            <w:vAlign w:val="bottom"/>
          </w:tcPr>
          <w:p>
            <w:pPr>
              <w:jc w:val="center"/>
              <w:ind w:left="559"/>
              <w:spacing w:after="0"/>
              <w:rPr>
                <w:sz w:val="20"/>
                <w:szCs w:val="20"/>
                <w:color w:val="auto"/>
              </w:rPr>
            </w:pPr>
            <w:r>
              <w:rPr>
                <w:rFonts w:ascii="Arial" w:cs="Arial" w:eastAsia="Arial" w:hAnsi="Arial"/>
                <w:sz w:val="16"/>
                <w:szCs w:val="16"/>
                <w:b w:val="1"/>
                <w:bCs w:val="1"/>
                <w:color w:val="auto"/>
                <w:w w:val="87"/>
              </w:rPr>
              <w:t>Purchased</w:t>
            </w:r>
          </w:p>
        </w:tc>
      </w:tr>
      <w:tr>
        <w:trPr>
          <w:trHeight w:val="257"/>
        </w:trPr>
        <w:tc>
          <w:tcPr>
            <w:tcW w:w="3080" w:type="dxa"/>
            <w:vAlign w:val="bottom"/>
          </w:tcPr>
          <w:p>
            <w:pPr>
              <w:spacing w:after="0"/>
              <w:rPr>
                <w:sz w:val="20"/>
                <w:szCs w:val="20"/>
                <w:color w:val="auto"/>
              </w:rPr>
            </w:pPr>
            <w:r>
              <w:rPr>
                <w:rFonts w:ascii="Arial" w:cs="Arial" w:eastAsia="Arial" w:hAnsi="Arial"/>
                <w:sz w:val="16"/>
                <w:szCs w:val="16"/>
                <w:color w:val="auto"/>
              </w:rPr>
              <w:t>January 1, 2020 - January 31, 2020</w:t>
            </w:r>
          </w:p>
        </w:tc>
        <w:tc>
          <w:tcPr>
            <w:tcW w:w="1800" w:type="dxa"/>
            <w:vAlign w:val="bottom"/>
          </w:tcPr>
          <w:p>
            <w:pPr>
              <w:jc w:val="right"/>
              <w:spacing w:after="0"/>
              <w:rPr>
                <w:sz w:val="20"/>
                <w:szCs w:val="20"/>
                <w:color w:val="auto"/>
              </w:rPr>
            </w:pPr>
            <w:r>
              <w:rPr>
                <w:rFonts w:ascii="Arial" w:cs="Arial" w:eastAsia="Arial" w:hAnsi="Arial"/>
                <w:sz w:val="16"/>
                <w:szCs w:val="16"/>
                <w:color w:val="auto"/>
              </w:rPr>
              <w:t>14,490</w:t>
            </w:r>
          </w:p>
        </w:tc>
      </w:tr>
      <w:tr>
        <w:trPr>
          <w:trHeight w:val="256"/>
        </w:trPr>
        <w:tc>
          <w:tcPr>
            <w:tcW w:w="3080" w:type="dxa"/>
            <w:vAlign w:val="bottom"/>
          </w:tcPr>
          <w:p>
            <w:pPr>
              <w:spacing w:after="0"/>
              <w:rPr>
                <w:sz w:val="20"/>
                <w:szCs w:val="20"/>
                <w:color w:val="auto"/>
              </w:rPr>
            </w:pPr>
            <w:r>
              <w:rPr>
                <w:rFonts w:ascii="Arial" w:cs="Arial" w:eastAsia="Arial" w:hAnsi="Arial"/>
                <w:sz w:val="16"/>
                <w:szCs w:val="16"/>
                <w:color w:val="auto"/>
              </w:rPr>
              <w:t>February 1, 2020 - February 29, 2020</w:t>
            </w:r>
          </w:p>
        </w:tc>
        <w:tc>
          <w:tcPr>
            <w:tcW w:w="1800" w:type="dxa"/>
            <w:vAlign w:val="bottom"/>
          </w:tcPr>
          <w:p>
            <w:pPr>
              <w:jc w:val="right"/>
              <w:spacing w:after="0"/>
              <w:rPr>
                <w:sz w:val="20"/>
                <w:szCs w:val="20"/>
                <w:color w:val="auto"/>
              </w:rPr>
            </w:pPr>
            <w:r>
              <w:rPr>
                <w:rFonts w:ascii="Arial" w:cs="Arial" w:eastAsia="Arial" w:hAnsi="Arial"/>
                <w:sz w:val="16"/>
                <w:szCs w:val="16"/>
                <w:color w:val="auto"/>
              </w:rPr>
              <w:t>949,637</w:t>
            </w:r>
          </w:p>
        </w:tc>
      </w:tr>
      <w:tr>
        <w:trPr>
          <w:trHeight w:val="257"/>
        </w:trPr>
        <w:tc>
          <w:tcPr>
            <w:tcW w:w="3080" w:type="dxa"/>
            <w:vAlign w:val="bottom"/>
          </w:tcPr>
          <w:p>
            <w:pPr>
              <w:spacing w:after="0"/>
              <w:rPr>
                <w:sz w:val="20"/>
                <w:szCs w:val="20"/>
                <w:color w:val="auto"/>
              </w:rPr>
            </w:pPr>
            <w:r>
              <w:rPr>
                <w:rFonts w:ascii="Arial" w:cs="Arial" w:eastAsia="Arial" w:hAnsi="Arial"/>
                <w:sz w:val="16"/>
                <w:szCs w:val="16"/>
                <w:color w:val="auto"/>
              </w:rPr>
              <w:t>March 1, 2020 - March 31, 2020</w:t>
            </w:r>
          </w:p>
        </w:tc>
        <w:tc>
          <w:tcPr>
            <w:tcW w:w="1800" w:type="dxa"/>
            <w:vAlign w:val="bottom"/>
          </w:tcPr>
          <w:p>
            <w:pPr>
              <w:jc w:val="right"/>
              <w:spacing w:after="0"/>
              <w:rPr>
                <w:sz w:val="20"/>
                <w:szCs w:val="20"/>
                <w:color w:val="auto"/>
              </w:rPr>
            </w:pPr>
            <w:r>
              <w:rPr>
                <w:rFonts w:ascii="Arial" w:cs="Arial" w:eastAsia="Arial" w:hAnsi="Arial"/>
                <w:sz w:val="16"/>
                <w:szCs w:val="16"/>
                <w:color w:val="auto"/>
              </w:rPr>
              <w:t>56,501</w:t>
            </w:r>
          </w:p>
        </w:tc>
      </w:tr>
      <w:tr>
        <w:trPr>
          <w:trHeight w:val="270"/>
        </w:trPr>
        <w:tc>
          <w:tcPr>
            <w:tcW w:w="3080" w:type="dxa"/>
            <w:vAlign w:val="bottom"/>
          </w:tcPr>
          <w:p>
            <w:pPr>
              <w:spacing w:after="0"/>
              <w:rPr>
                <w:sz w:val="20"/>
                <w:szCs w:val="20"/>
                <w:color w:val="auto"/>
              </w:rPr>
            </w:pPr>
            <w:r>
              <w:rPr>
                <w:rFonts w:ascii="Arial" w:cs="Arial" w:eastAsia="Arial" w:hAnsi="Arial"/>
                <w:sz w:val="16"/>
                <w:szCs w:val="16"/>
                <w:color w:val="auto"/>
              </w:rPr>
              <w:t>Total</w:t>
            </w:r>
          </w:p>
        </w:tc>
        <w:tc>
          <w:tcPr>
            <w:tcW w:w="1800" w:type="dxa"/>
            <w:vAlign w:val="bottom"/>
          </w:tcPr>
          <w:p>
            <w:pPr>
              <w:jc w:val="right"/>
              <w:spacing w:after="0"/>
              <w:rPr>
                <w:sz w:val="20"/>
                <w:szCs w:val="20"/>
                <w:color w:val="auto"/>
              </w:rPr>
            </w:pPr>
            <w:r>
              <w:rPr>
                <w:rFonts w:ascii="Arial" w:cs="Arial" w:eastAsia="Arial" w:hAnsi="Arial"/>
                <w:sz w:val="16"/>
                <w:szCs w:val="16"/>
                <w:color w:val="auto"/>
              </w:rPr>
              <w:t>1,020,628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423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w w:val="99"/>
              </w:rPr>
              <w:t>Maximum number of</w:t>
            </w:r>
          </w:p>
        </w:tc>
      </w:tr>
      <w:tr>
        <w:trPr>
          <w:trHeight w:val="203"/>
        </w:trPr>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240" w:type="dxa"/>
            <w:vAlign w:val="bottom"/>
          </w:tcPr>
          <w:p>
            <w:pPr>
              <w:spacing w:after="0"/>
              <w:rPr>
                <w:sz w:val="17"/>
                <w:szCs w:val="17"/>
                <w:color w:val="auto"/>
              </w:rPr>
            </w:pPr>
          </w:p>
        </w:tc>
        <w:tc>
          <w:tcPr>
            <w:tcW w:w="1820" w:type="dxa"/>
            <w:vAlign w:val="bottom"/>
          </w:tcPr>
          <w:p>
            <w:pPr>
              <w:ind w:left="140"/>
              <w:spacing w:after="0"/>
              <w:rPr>
                <w:sz w:val="20"/>
                <w:szCs w:val="20"/>
                <w:color w:val="auto"/>
              </w:rPr>
            </w:pPr>
            <w:r>
              <w:rPr>
                <w:rFonts w:ascii="Arial" w:cs="Arial" w:eastAsia="Arial" w:hAnsi="Arial"/>
                <w:sz w:val="16"/>
                <w:szCs w:val="16"/>
                <w:b w:val="1"/>
                <w:bCs w:val="1"/>
                <w:color w:val="auto"/>
              </w:rPr>
              <w:t>Average Price Paid</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w w:val="97"/>
              </w:rPr>
              <w:t>purchased under the</w:t>
            </w:r>
          </w:p>
        </w:tc>
      </w:tr>
      <w:tr>
        <w:trPr>
          <w:trHeight w:val="210"/>
        </w:trPr>
        <w:tc>
          <w:tcPr>
            <w:tcW w:w="240" w:type="dxa"/>
            <w:vAlign w:val="bottom"/>
          </w:tcPr>
          <w:p>
            <w:pPr>
              <w:spacing w:after="0"/>
              <w:rPr>
                <w:sz w:val="18"/>
                <w:szCs w:val="18"/>
                <w:color w:val="auto"/>
              </w:rPr>
            </w:pPr>
          </w:p>
        </w:tc>
        <w:tc>
          <w:tcPr>
            <w:tcW w:w="1820" w:type="dxa"/>
            <w:vAlign w:val="bottom"/>
          </w:tcPr>
          <w:p>
            <w:pPr>
              <w:ind w:left="460"/>
              <w:spacing w:after="0"/>
              <w:rPr>
                <w:sz w:val="20"/>
                <w:szCs w:val="20"/>
                <w:color w:val="auto"/>
              </w:rPr>
            </w:pPr>
            <w:r>
              <w:rPr>
                <w:rFonts w:ascii="Arial" w:cs="Arial" w:eastAsia="Arial" w:hAnsi="Arial"/>
                <w:sz w:val="16"/>
                <w:szCs w:val="16"/>
                <w:b w:val="1"/>
                <w:bCs w:val="1"/>
                <w:color w:val="auto"/>
              </w:rPr>
              <w:t>per 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 (3)</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w w:val="96"/>
              </w:rPr>
              <w:t>plans or programs (3)</w:t>
            </w:r>
          </w:p>
        </w:tc>
      </w:tr>
      <w:tr>
        <w:trPr>
          <w:trHeight w:val="287"/>
        </w:trPr>
        <w:tc>
          <w:tcPr>
            <w:tcW w:w="240" w:type="dxa"/>
            <w:vAlign w:val="bottom"/>
          </w:tcPr>
          <w:p>
            <w:pPr>
              <w:jc w:val="right"/>
              <w:ind w:right="75"/>
              <w:spacing w:after="0"/>
              <w:rPr>
                <w:sz w:val="20"/>
                <w:szCs w:val="20"/>
                <w:color w:val="auto"/>
              </w:rPr>
            </w:pPr>
            <w:r>
              <w:rPr>
                <w:rFonts w:ascii="Arial" w:cs="Arial" w:eastAsia="Arial" w:hAnsi="Arial"/>
                <w:sz w:val="9"/>
                <w:szCs w:val="9"/>
                <w:color w:val="auto"/>
                <w:w w:val="90"/>
              </w:rPr>
              <w:t>(1)</w:t>
            </w:r>
          </w:p>
        </w:tc>
        <w:tc>
          <w:tcPr>
            <w:tcW w:w="1820" w:type="dxa"/>
            <w:vAlign w:val="bottom"/>
          </w:tcPr>
          <w:p>
            <w:pPr>
              <w:ind w:left="1160"/>
              <w:spacing w:after="0"/>
              <w:rPr>
                <w:sz w:val="20"/>
                <w:szCs w:val="20"/>
                <w:color w:val="auto"/>
              </w:rPr>
            </w:pPr>
            <w:r>
              <w:rPr>
                <w:rFonts w:ascii="Arial" w:cs="Arial" w:eastAsia="Arial" w:hAnsi="Arial"/>
                <w:sz w:val="16"/>
                <w:szCs w:val="16"/>
                <w:color w:val="auto"/>
              </w:rPr>
              <w:t xml:space="preserve">$1.34 </w:t>
            </w:r>
            <w:r>
              <w:rPr>
                <w:rFonts w:ascii="Arial" w:cs="Arial" w:eastAsia="Arial" w:hAnsi="Arial"/>
                <w:sz w:val="17"/>
                <w:szCs w:val="17"/>
                <w:color w:val="auto"/>
                <w:vertAlign w:val="superscript"/>
              </w:rPr>
              <w:t>(2)</w:t>
            </w:r>
          </w:p>
        </w:tc>
        <w:tc>
          <w:tcPr>
            <w:tcW w:w="1820" w:type="dxa"/>
            <w:vAlign w:val="bottom"/>
          </w:tcPr>
          <w:p>
            <w:pPr>
              <w:ind w:left="15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240" w:type="dxa"/>
            <w:vAlign w:val="bottom"/>
          </w:tcPr>
          <w:p>
            <w:pPr>
              <w:jc w:val="right"/>
              <w:ind w:right="75"/>
              <w:spacing w:after="0"/>
              <w:rPr>
                <w:sz w:val="20"/>
                <w:szCs w:val="20"/>
                <w:color w:val="auto"/>
              </w:rPr>
            </w:pPr>
            <w:r>
              <w:rPr>
                <w:rFonts w:ascii="Arial" w:cs="Arial" w:eastAsia="Arial" w:hAnsi="Arial"/>
                <w:sz w:val="9"/>
                <w:szCs w:val="9"/>
                <w:color w:val="auto"/>
                <w:w w:val="90"/>
              </w:rPr>
              <w:t>(1)</w:t>
            </w:r>
          </w:p>
        </w:tc>
        <w:tc>
          <w:tcPr>
            <w:tcW w:w="1820" w:type="dxa"/>
            <w:vAlign w:val="bottom"/>
          </w:tcPr>
          <w:p>
            <w:pPr>
              <w:ind w:left="1160"/>
              <w:spacing w:after="0"/>
              <w:rPr>
                <w:sz w:val="20"/>
                <w:szCs w:val="20"/>
                <w:color w:val="auto"/>
              </w:rPr>
            </w:pPr>
            <w:r>
              <w:rPr>
                <w:rFonts w:ascii="Arial" w:cs="Arial" w:eastAsia="Arial" w:hAnsi="Arial"/>
                <w:sz w:val="16"/>
                <w:szCs w:val="16"/>
                <w:color w:val="auto"/>
              </w:rPr>
              <w:t xml:space="preserve">$1.42 </w:t>
            </w:r>
            <w:r>
              <w:rPr>
                <w:rFonts w:ascii="Arial" w:cs="Arial" w:eastAsia="Arial" w:hAnsi="Arial"/>
                <w:sz w:val="17"/>
                <w:szCs w:val="17"/>
                <w:color w:val="auto"/>
                <w:vertAlign w:val="superscript"/>
              </w:rPr>
              <w:t>(2)</w:t>
            </w:r>
          </w:p>
        </w:tc>
        <w:tc>
          <w:tcPr>
            <w:tcW w:w="1820" w:type="dxa"/>
            <w:vAlign w:val="bottom"/>
          </w:tcPr>
          <w:p>
            <w:pPr>
              <w:ind w:left="15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40" w:type="dxa"/>
            <w:vAlign w:val="bottom"/>
          </w:tcPr>
          <w:p>
            <w:pPr>
              <w:jc w:val="right"/>
              <w:ind w:right="75"/>
              <w:spacing w:after="0"/>
              <w:rPr>
                <w:sz w:val="20"/>
                <w:szCs w:val="20"/>
                <w:color w:val="auto"/>
              </w:rPr>
            </w:pPr>
            <w:r>
              <w:rPr>
                <w:rFonts w:ascii="Arial" w:cs="Arial" w:eastAsia="Arial" w:hAnsi="Arial"/>
                <w:sz w:val="9"/>
                <w:szCs w:val="9"/>
                <w:color w:val="auto"/>
                <w:w w:val="90"/>
              </w:rPr>
              <w:t>(1)</w:t>
            </w:r>
          </w:p>
        </w:tc>
        <w:tc>
          <w:tcPr>
            <w:tcW w:w="1820" w:type="dxa"/>
            <w:vAlign w:val="bottom"/>
          </w:tcPr>
          <w:p>
            <w:pPr>
              <w:ind w:left="1160"/>
              <w:spacing w:after="0"/>
              <w:rPr>
                <w:sz w:val="20"/>
                <w:szCs w:val="20"/>
                <w:color w:val="auto"/>
              </w:rPr>
            </w:pPr>
            <w:r>
              <w:rPr>
                <w:rFonts w:ascii="Arial" w:cs="Arial" w:eastAsia="Arial" w:hAnsi="Arial"/>
                <w:sz w:val="16"/>
                <w:szCs w:val="16"/>
                <w:color w:val="auto"/>
              </w:rPr>
              <w:t xml:space="preserve">$1.17 </w:t>
            </w:r>
            <w:r>
              <w:rPr>
                <w:rFonts w:ascii="Arial" w:cs="Arial" w:eastAsia="Arial" w:hAnsi="Arial"/>
                <w:sz w:val="17"/>
                <w:szCs w:val="17"/>
                <w:color w:val="auto"/>
                <w:vertAlign w:val="superscript"/>
              </w:rPr>
              <w:t>(2)</w:t>
            </w:r>
          </w:p>
        </w:tc>
        <w:tc>
          <w:tcPr>
            <w:tcW w:w="1820" w:type="dxa"/>
            <w:vAlign w:val="bottom"/>
          </w:tcPr>
          <w:p>
            <w:pPr>
              <w:ind w:left="15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240" w:type="dxa"/>
            <w:vAlign w:val="bottom"/>
          </w:tcPr>
          <w:p>
            <w:pPr>
              <w:spacing w:after="0"/>
              <w:rPr>
                <w:sz w:val="20"/>
                <w:szCs w:val="20"/>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$1.38</w:t>
            </w:r>
          </w:p>
        </w:tc>
        <w:tc>
          <w:tcPr>
            <w:tcW w:w="1820" w:type="dxa"/>
            <w:vAlign w:val="bottom"/>
          </w:tcPr>
          <w:p>
            <w:pPr>
              <w:ind w:left="15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-638810</wp:posOffset>
            </wp:positionV>
            <wp:extent cx="669480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94805" cy="163195"/>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-313055</wp:posOffset>
            </wp:positionV>
            <wp:extent cx="669480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80"/>
            <w:col w:w="5880"/>
          </w:cols>
          <w:pgMar w:left="320" w:top="553" w:right="359" w:bottom="1440" w:gutter="0" w:footer="0" w:header="0"/>
          <w:type w:val="continuous"/>
        </w:sectPr>
      </w:pPr>
    </w:p>
    <w:p>
      <w:pPr>
        <w:spacing w:after="0" w:line="35" w:lineRule="exact"/>
        <w:rPr>
          <w:sz w:val="20"/>
          <w:szCs w:val="20"/>
          <w:color w:val="auto"/>
        </w:rPr>
      </w:pPr>
    </w:p>
    <w:p>
      <w:pPr>
        <w:ind w:left="340" w:hanging="332"/>
        <w:spacing w:after="0" w:line="25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paid per share was based on the closing price of our common shares on January 8, 2020, January 19, 2020, February 20, 2020, February 21, 2020, February 25, 2020 and March 1, 2020, the respective dates as of which the restrictions lapsed on such shares.</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have at any time during the quarter ended March 31, 2020, and currently do not have, a share repurchase program in place.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553"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167" w:lineRule="exact"/>
        <w:rPr>
          <w:sz w:val="20"/>
          <w:szCs w:val="20"/>
          <w:color w:val="auto"/>
        </w:rPr>
      </w:pPr>
    </w:p>
    <w:p>
      <w:pPr>
        <w:ind w:left="800"/>
        <w:spacing w:after="0"/>
        <w:tabs>
          <w:tab w:leader="none" w:pos="62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31.1*</w:t>
            </w:r>
          </w:p>
        </w:tc>
        <w:tc>
          <w:tcPr>
            <w:tcW w:w="9340" w:type="dxa"/>
            <w:vAlign w:val="bottom"/>
            <w:gridSpan w:val="3"/>
          </w:tcPr>
          <w:p>
            <w:pPr>
              <w:ind w:left="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37">
              <w:r>
                <w:rPr>
                  <w:rFonts w:ascii="Arial" w:cs="Arial" w:eastAsia="Arial" w:hAnsi="Arial"/>
                  <w:sz w:val="18"/>
                  <w:szCs w:val="18"/>
                  <w:color w:val="0000FF"/>
                  <w:w w:val="93"/>
                </w:rPr>
                <w:t>Certification of Chief Executive Officer of Civeo Corporation pursuant to Rules 13a-14(a) or 15d-14(a)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37">
              <w:r>
                <w:rPr>
                  <w:rFonts w:ascii="Arial" w:cs="Arial" w:eastAsia="Arial" w:hAnsi="Arial"/>
                  <w:sz w:val="18"/>
                  <w:szCs w:val="18"/>
                  <w:color w:val="0000FF"/>
                </w:rPr>
                <w:t>Exchange Act of 1934.</w:t>
              </w:r>
            </w:hyperlink>
          </w:p>
        </w:tc>
      </w:tr>
      <w:tr>
        <w:trPr>
          <w:trHeight w:val="20"/>
        </w:trPr>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31.2*</w:t>
            </w:r>
          </w:p>
        </w:tc>
        <w:tc>
          <w:tcPr>
            <w:tcW w:w="9340" w:type="dxa"/>
            <w:vAlign w:val="bottom"/>
            <w:gridSpan w:val="3"/>
          </w:tcPr>
          <w:p>
            <w:pPr>
              <w:ind w:left="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38">
              <w:r>
                <w:rPr>
                  <w:rFonts w:ascii="Arial" w:cs="Arial" w:eastAsia="Arial" w:hAnsi="Arial"/>
                  <w:sz w:val="18"/>
                  <w:szCs w:val="18"/>
                  <w:color w:val="0000FF"/>
                  <w:w w:val="93"/>
                </w:rPr>
                <w:t>Certification of Chief Financial Officer of Civeo Corporation pursuant to Rules 13a-14(a) or 15d-14(a)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Exchange Act of 1934.</w:t>
              </w:r>
            </w:hyperlink>
          </w:p>
        </w:tc>
      </w:tr>
      <w:tr>
        <w:trPr>
          <w:trHeight w:val="20"/>
        </w:trPr>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32.1**</w:t>
            </w:r>
          </w:p>
        </w:tc>
        <w:tc>
          <w:tcPr>
            <w:tcW w:w="9340" w:type="dxa"/>
            <w:vAlign w:val="bottom"/>
            <w:gridSpan w:val="3"/>
          </w:tcPr>
          <w:p>
            <w:pPr>
              <w:ind w:left="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39">
              <w:r>
                <w:rPr>
                  <w:rFonts w:ascii="Arial" w:cs="Arial" w:eastAsia="Arial" w:hAnsi="Arial"/>
                  <w:sz w:val="18"/>
                  <w:szCs w:val="18"/>
                  <w:color w:val="0000FF"/>
                  <w:w w:val="93"/>
                </w:rPr>
                <w:t>Certification of Chief Executive Officer of Civeo Corporation pursuant to Rules 13a-14(b) or 15d-14(b)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Exchange Act of 1934.</w:t>
              </w:r>
            </w:hyperlink>
          </w:p>
        </w:tc>
      </w:tr>
      <w:tr>
        <w:trPr>
          <w:trHeight w:val="20"/>
        </w:trPr>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32.2**</w:t>
            </w:r>
          </w:p>
        </w:tc>
        <w:tc>
          <w:tcPr>
            <w:tcW w:w="9340" w:type="dxa"/>
            <w:vAlign w:val="bottom"/>
            <w:gridSpan w:val="3"/>
          </w:tcPr>
          <w:p>
            <w:pPr>
              <w:ind w:left="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40">
              <w:r>
                <w:rPr>
                  <w:rFonts w:ascii="Arial" w:cs="Arial" w:eastAsia="Arial" w:hAnsi="Arial"/>
                  <w:sz w:val="18"/>
                  <w:szCs w:val="18"/>
                  <w:color w:val="0000FF"/>
                  <w:w w:val="93"/>
                </w:rPr>
                <w:t>Certification of Chief Financial Officer of Civeo Corporation pursuant to Rules 13a-14(b) or 15d-14(b)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Exchange Act of 1934.</w:t>
              </w:r>
            </w:hyperlink>
          </w:p>
        </w:tc>
      </w:tr>
      <w:tr>
        <w:trPr>
          <w:trHeight w:val="20"/>
        </w:trPr>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561"/>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101.INS*</w:t>
            </w:r>
          </w:p>
        </w:tc>
        <w:tc>
          <w:tcPr>
            <w:tcW w:w="9340" w:type="dxa"/>
            <w:vAlign w:val="bottom"/>
            <w:gridSpan w:val="3"/>
          </w:tcPr>
          <w:p>
            <w:pPr>
              <w:ind w:left="20"/>
              <w:spacing w:after="0"/>
              <w:rPr>
                <w:sz w:val="20"/>
                <w:szCs w:val="20"/>
                <w:color w:val="auto"/>
              </w:rPr>
            </w:pPr>
            <w:r>
              <w:rPr>
                <w:rFonts w:ascii="Arial" w:cs="Arial" w:eastAsia="Arial" w:hAnsi="Arial"/>
                <w:sz w:val="18"/>
                <w:szCs w:val="18"/>
                <w:color w:val="auto"/>
              </w:rPr>
              <w:t>—  XBRL Instance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101.SCH*</w:t>
            </w:r>
          </w:p>
        </w:tc>
        <w:tc>
          <w:tcPr>
            <w:tcW w:w="9340" w:type="dxa"/>
            <w:vAlign w:val="bottom"/>
            <w:gridSpan w:val="3"/>
          </w:tcPr>
          <w:p>
            <w:pPr>
              <w:ind w:left="20"/>
              <w:spacing w:after="0"/>
              <w:rPr>
                <w:sz w:val="20"/>
                <w:szCs w:val="20"/>
                <w:color w:val="auto"/>
              </w:rPr>
            </w:pPr>
            <w:r>
              <w:rPr>
                <w:rFonts w:ascii="Arial" w:cs="Arial" w:eastAsia="Arial" w:hAnsi="Arial"/>
                <w:sz w:val="18"/>
                <w:szCs w:val="18"/>
                <w:color w:val="auto"/>
              </w:rPr>
              <w:t>—  XBRL Taxonomy Extension Schema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101.CAL*</w:t>
            </w:r>
          </w:p>
        </w:tc>
        <w:tc>
          <w:tcPr>
            <w:tcW w:w="9340" w:type="dxa"/>
            <w:vAlign w:val="bottom"/>
            <w:gridSpan w:val="3"/>
          </w:tcPr>
          <w:p>
            <w:pPr>
              <w:ind w:left="2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101.DEF*</w:t>
            </w:r>
          </w:p>
        </w:tc>
        <w:tc>
          <w:tcPr>
            <w:tcW w:w="9340" w:type="dxa"/>
            <w:vAlign w:val="bottom"/>
            <w:gridSpan w:val="3"/>
          </w:tcPr>
          <w:p>
            <w:pPr>
              <w:ind w:left="20"/>
              <w:spacing w:after="0"/>
              <w:rPr>
                <w:sz w:val="20"/>
                <w:szCs w:val="20"/>
                <w:color w:val="auto"/>
              </w:rPr>
            </w:pPr>
            <w:r>
              <w:rPr>
                <w:rFonts w:ascii="Arial" w:cs="Arial" w:eastAsia="Arial" w:hAnsi="Arial"/>
                <w:sz w:val="18"/>
                <w:szCs w:val="18"/>
                <w:color w:val="auto"/>
              </w:rPr>
              <w:t>—  XBRL Taxonomy Extension Definition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101.LAB*</w:t>
            </w:r>
          </w:p>
        </w:tc>
        <w:tc>
          <w:tcPr>
            <w:tcW w:w="9340" w:type="dxa"/>
            <w:vAlign w:val="bottom"/>
            <w:gridSpan w:val="3"/>
          </w:tcPr>
          <w:p>
            <w:pPr>
              <w:ind w:left="20"/>
              <w:spacing w:after="0"/>
              <w:rPr>
                <w:sz w:val="20"/>
                <w:szCs w:val="20"/>
                <w:color w:val="auto"/>
              </w:rPr>
            </w:pPr>
            <w:r>
              <w:rPr>
                <w:rFonts w:ascii="Arial" w:cs="Arial" w:eastAsia="Arial" w:hAnsi="Arial"/>
                <w:sz w:val="18"/>
                <w:szCs w:val="18"/>
                <w:color w:val="auto"/>
              </w:rPr>
              <w:t>—  XBRL Taxonomy Extension Label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101.PRE*</w:t>
            </w:r>
          </w:p>
        </w:tc>
        <w:tc>
          <w:tcPr>
            <w:tcW w:w="9340" w:type="dxa"/>
            <w:vAlign w:val="bottom"/>
            <w:gridSpan w:val="3"/>
          </w:tcPr>
          <w:p>
            <w:pPr>
              <w:ind w:left="2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243"/>
        </w:trPr>
        <w:tc>
          <w:tcPr>
            <w:tcW w:w="1840" w:type="dxa"/>
            <w:vAlign w:val="bottom"/>
            <w:gridSpan w:val="2"/>
          </w:tcPr>
          <w:p>
            <w:pPr>
              <w:jc w:val="right"/>
              <w:ind w:right="1210"/>
              <w:spacing w:after="0"/>
              <w:rPr>
                <w:sz w:val="20"/>
                <w:szCs w:val="20"/>
                <w:color w:val="auto"/>
              </w:rPr>
            </w:pPr>
            <w:r>
              <w:rPr>
                <w:rFonts w:ascii="Arial" w:cs="Arial" w:eastAsia="Arial" w:hAnsi="Arial"/>
                <w:sz w:val="18"/>
                <w:szCs w:val="18"/>
                <w:color w:val="auto"/>
                <w:w w:val="96"/>
              </w:rPr>
              <w:t>---------</w:t>
            </w:r>
          </w:p>
        </w:tc>
        <w:tc>
          <w:tcPr>
            <w:tcW w:w="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360" w:type="dxa"/>
            <w:vAlign w:val="bottom"/>
          </w:tcPr>
          <w:p>
            <w:pPr>
              <w:spacing w:after="0"/>
              <w:rPr>
                <w:sz w:val="21"/>
                <w:szCs w:val="21"/>
                <w:color w:val="auto"/>
              </w:rPr>
            </w:pPr>
          </w:p>
        </w:tc>
      </w:tr>
      <w:tr>
        <w:trPr>
          <w:trHeight w:val="378"/>
        </w:trPr>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w w:val="91"/>
              </w:rPr>
              <w:t>Furnished herewith.</w:t>
            </w:r>
          </w:p>
        </w:tc>
        <w:tc>
          <w:tcPr>
            <w:tcW w:w="3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7360" w:type="dxa"/>
            <w:vAlign w:val="bottom"/>
          </w:tcPr>
          <w:p>
            <w:pPr>
              <w:spacing w:after="0"/>
              <w:rPr>
                <w:sz w:val="23"/>
                <w:szCs w:val="23"/>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553" w:right="339" w:bottom="1440" w:gutter="0" w:footer="0" w:header="0"/>
        </w:sectPr>
      </w:pPr>
    </w:p>
    <w:bookmarkStart w:id="35" w:name="page36"/>
    <w:bookmarkEnd w:id="35"/>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CIVEO CORPORATION</w:t>
      </w:r>
    </w:p>
    <w:p>
      <w:pPr>
        <w:spacing w:after="0" w:line="383"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18"/>
          <w:szCs w:val="18"/>
          <w:u w:val="single" w:color="auto"/>
          <w:color w:val="auto"/>
        </w:rPr>
        <w:t>Date: May 7, 2020</w:t>
      </w:r>
      <w:r>
        <w:rPr>
          <w:sz w:val="20"/>
          <w:szCs w:val="20"/>
          <w:color w:val="auto"/>
        </w:rPr>
        <w:tab/>
      </w:r>
      <w:r>
        <w:rPr>
          <w:rFonts w:ascii="Arial" w:cs="Arial" w:eastAsia="Arial" w:hAnsi="Arial"/>
          <w:sz w:val="16"/>
          <w:szCs w:val="16"/>
          <w:b w:val="1"/>
          <w:bCs w:val="1"/>
          <w:color w:val="auto"/>
        </w:rPr>
        <w:t>By /s/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-7620</wp:posOffset>
            </wp:positionV>
            <wp:extent cx="16929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Carolyn J. Stone</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Senior  Vice  President,  Chief  Financial  Officer  and  Treasurer  (Duly</w:t>
      </w:r>
    </w:p>
    <w:p>
      <w:pPr>
        <w:spacing w:after="0" w:line="3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5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Bradley J. Dodson, certify that:</w:t>
      </w:r>
    </w:p>
    <w:p>
      <w:pPr>
        <w:spacing w:after="0" w:line="387" w:lineRule="exact"/>
        <w:rPr>
          <w:sz w:val="20"/>
          <w:szCs w:val="20"/>
          <w:color w:val="auto"/>
        </w:rPr>
      </w:pPr>
    </w:p>
    <w:p>
      <w:pPr>
        <w:ind w:left="300" w:hanging="265"/>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63" w:lineRule="exact"/>
        <w:rPr>
          <w:sz w:val="20"/>
          <w:szCs w:val="20"/>
          <w:color w:val="auto"/>
        </w:rPr>
      </w:pPr>
    </w:p>
    <w:p>
      <w:pPr>
        <w:jc w:val="both"/>
        <w:ind w:left="300" w:right="2040" w:hanging="265"/>
        <w:spacing w:after="0" w:line="263"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sz w:val="20"/>
          <w:szCs w:val="20"/>
          <w:color w:val="auto"/>
        </w:rPr>
      </w:pPr>
    </w:p>
    <w:p>
      <w:pPr>
        <w:jc w:val="both"/>
        <w:ind w:left="300" w:right="2040" w:hanging="265"/>
        <w:spacing w:after="0" w:line="263"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sz w:val="20"/>
          <w:szCs w:val="20"/>
          <w:color w:val="auto"/>
        </w:rPr>
      </w:pPr>
    </w:p>
    <w:p>
      <w:pPr>
        <w:jc w:val="both"/>
        <w:ind w:left="300" w:right="2040" w:hanging="265"/>
        <w:spacing w:after="0" w:line="263"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600" w:right="2040" w:hanging="297"/>
        <w:spacing w:after="0" w:line="25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ind w:left="600" w:right="2040" w:hanging="297"/>
        <w:spacing w:after="0" w:line="305" w:lineRule="auto"/>
        <w:rPr>
          <w:rFonts w:ascii="Arial" w:cs="Arial" w:eastAsia="Arial" w:hAnsi="Arial"/>
          <w:sz w:val="18"/>
          <w:szCs w:val="18"/>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00" w:right="2040" w:hanging="297"/>
        <w:spacing w:after="0" w:line="263"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ind w:left="600" w:right="2040" w:hanging="297"/>
        <w:spacing w:after="0" w:line="259" w:lineRule="auto"/>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300" w:right="2040" w:hanging="265"/>
        <w:spacing w:after="0" w:line="263"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8"/>
          <w:szCs w:val="18"/>
          <w:color w:val="auto"/>
        </w:rPr>
      </w:pPr>
    </w:p>
    <w:p>
      <w:pPr>
        <w:ind w:left="600" w:right="2060" w:hanging="297"/>
        <w:spacing w:after="0" w:line="263"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600" w:right="2060" w:hanging="297"/>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Bradley J. Dodson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Carolyn J. Stone, certify that:</w:t>
      </w:r>
    </w:p>
    <w:p>
      <w:pPr>
        <w:spacing w:after="0" w:line="387" w:lineRule="exact"/>
        <w:rPr>
          <w:sz w:val="20"/>
          <w:szCs w:val="20"/>
          <w:color w:val="auto"/>
        </w:rPr>
      </w:pPr>
    </w:p>
    <w:p>
      <w:pPr>
        <w:ind w:left="40"/>
        <w:spacing w:after="0"/>
        <w:tabs>
          <w:tab w:leader="none" w:pos="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 have reviewed this Quarterly Report on Form 10-Q of Civeo Corporation (Registrant);</w:t>
      </w:r>
    </w:p>
    <w:p>
      <w:pPr>
        <w:spacing w:after="0" w:line="63" w:lineRule="exact"/>
        <w:rPr>
          <w:sz w:val="20"/>
          <w:szCs w:val="20"/>
          <w:color w:val="auto"/>
        </w:rPr>
      </w:pPr>
    </w:p>
    <w:p>
      <w:pPr>
        <w:jc w:val="both"/>
        <w:ind w:left="280" w:right="2140" w:hanging="245"/>
        <w:spacing w:after="0" w:line="263"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sz w:val="20"/>
          <w:szCs w:val="20"/>
          <w:color w:val="auto"/>
        </w:rPr>
      </w:pPr>
    </w:p>
    <w:p>
      <w:pPr>
        <w:jc w:val="both"/>
        <w:ind w:left="280" w:right="2140" w:hanging="245"/>
        <w:spacing w:after="0" w:line="263" w:lineRule="auto"/>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sz w:val="20"/>
          <w:szCs w:val="20"/>
          <w:color w:val="auto"/>
        </w:rPr>
      </w:pPr>
    </w:p>
    <w:p>
      <w:pPr>
        <w:jc w:val="both"/>
        <w:ind w:left="280" w:right="2140" w:hanging="245"/>
        <w:spacing w:after="0" w:line="263"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620" w:right="2140" w:hanging="337"/>
        <w:spacing w:after="0" w:line="25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ind w:left="620" w:right="2140" w:hanging="337"/>
        <w:spacing w:after="0" w:line="259"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8"/>
          <w:szCs w:val="18"/>
          <w:color w:val="auto"/>
        </w:rPr>
      </w:pPr>
    </w:p>
    <w:p>
      <w:pPr>
        <w:ind w:left="620" w:right="2140" w:hanging="337"/>
        <w:spacing w:after="0" w:line="263"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ind w:left="620" w:right="2140" w:hanging="337"/>
        <w:spacing w:after="0" w:line="259" w:lineRule="auto"/>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280" w:right="2140" w:hanging="245"/>
        <w:spacing w:after="0" w:line="263"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8"/>
          <w:szCs w:val="18"/>
          <w:color w:val="auto"/>
        </w:rPr>
      </w:pPr>
    </w:p>
    <w:p>
      <w:pPr>
        <w:ind w:left="620" w:right="2140" w:hanging="337"/>
        <w:spacing w:after="0" w:line="263"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620" w:right="2140" w:hanging="337"/>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8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Carolyn J. Stone</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Senior Vice President, Chief Financial Officer and Treasurer</w:t>
      </w:r>
    </w:p>
    <w:p>
      <w:pPr>
        <w:sectPr>
          <w:pgSz w:w="11900" w:h="16838" w:orient="portrait"/>
          <w:cols w:equalWidth="0" w:num="1">
            <w:col w:w="11240"/>
          </w:cols>
          <w:pgMar w:left="320" w:top="55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2020,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63" w:lineRule="exact"/>
        <w:rPr>
          <w:sz w:val="20"/>
          <w:szCs w:val="20"/>
          <w:color w:val="auto"/>
        </w:rPr>
      </w:pPr>
    </w:p>
    <w:p>
      <w:pPr>
        <w:ind w:left="220" w:right="2040" w:hanging="185"/>
        <w:spacing w:after="0" w:line="277"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2571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57" w:lineRule="exact"/>
        <w:rPr>
          <w:sz w:val="20"/>
          <w:szCs w:val="20"/>
          <w:color w:val="auto"/>
        </w:rPr>
      </w:pPr>
    </w:p>
    <w:p>
      <w:pPr>
        <w:ind w:left="5980"/>
        <w:spacing w:after="0"/>
        <w:tabs>
          <w:tab w:leader="none" w:pos="6640" w:val="left"/>
        </w:tabs>
        <w:rPr>
          <w:sz w:val="20"/>
          <w:szCs w:val="20"/>
          <w:color w:val="auto"/>
        </w:rPr>
      </w:pPr>
      <w:r>
        <w:rPr>
          <w:rFonts w:ascii="Arial" w:cs="Arial" w:eastAsia="Arial" w:hAnsi="Arial"/>
          <w:sz w:val="18"/>
          <w:szCs w:val="18"/>
          <w:color w:val="auto"/>
        </w:rPr>
        <w:t>Name:</w:t>
        <w:tab/>
        <w:t>Bradley J. Dodson</w:t>
      </w:r>
    </w:p>
    <w:p>
      <w:pPr>
        <w:spacing w:after="0" w:line="63" w:lineRule="exact"/>
        <w:rPr>
          <w:sz w:val="20"/>
          <w:szCs w:val="20"/>
          <w:color w:val="auto"/>
        </w:rPr>
      </w:pPr>
    </w:p>
    <w:p>
      <w:pPr>
        <w:ind w:left="5980"/>
        <w:spacing w:after="0"/>
        <w:tabs>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p>
    <w:p>
      <w:pPr>
        <w:sectPr>
          <w:pgSz w:w="11900" w:h="16838" w:orient="portrait"/>
          <w:cols w:equalWidth="0" w:num="1">
            <w:col w:w="11240"/>
          </w:cols>
          <w:pgMar w:left="320" w:top="55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2020,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63" w:lineRule="exact"/>
        <w:rPr>
          <w:sz w:val="20"/>
          <w:szCs w:val="20"/>
          <w:color w:val="auto"/>
        </w:rPr>
      </w:pPr>
    </w:p>
    <w:p>
      <w:pPr>
        <w:ind w:left="220" w:right="2040" w:hanging="185"/>
        <w:spacing w:after="0" w:line="277"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77"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Carolyn J. Stone</w:t>
      </w:r>
    </w:p>
    <w:p>
      <w:pPr>
        <w:spacing w:after="0" w:line="86" w:lineRule="exact"/>
        <w:rPr>
          <w:sz w:val="20"/>
          <w:szCs w:val="20"/>
          <w:color w:val="auto"/>
        </w:rPr>
      </w:pPr>
    </w:p>
    <w:p>
      <w:pPr>
        <w:sectPr>
          <w:pgSz w:w="11900" w:h="16838" w:orient="portrait"/>
          <w:cols w:equalWidth="0" w:num="2">
            <w:col w:w="6260" w:space="300"/>
            <w:col w:w="4680"/>
          </w:cols>
          <w:pgMar w:left="320" w:top="553" w:right="339" w:bottom="1440" w:gutter="0" w:footer="0" w:header="0"/>
          <w:type w:val="continuous"/>
        </w:sectPr>
      </w:pPr>
    </w:p>
    <w:p>
      <w:pPr>
        <w:ind w:left="5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7, 2020</w:t>
      </w:r>
    </w:p>
    <w:sectPr>
      <w:pgSz w:w="11900" w:h="16838" w:orient="portrait"/>
      <w:cols w:equalWidth="0" w:num="2">
        <w:col w:w="6160" w:space="400"/>
        <w:col w:w="4680"/>
      </w:cols>
      <w:pgMar w:left="320" w:top="55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3"/>
    </w:lvl>
  </w:abstractNum>
  <w:abstractNum w:abstractNumId="4">
    <w:nsid w:val="4E6AFB66"/>
    <w:multiLevelType w:val="hybridMultilevel"/>
    <w:lvl w:ilvl="0">
      <w:lvlJc w:val="left"/>
      <w:lvlText w:val="%1."/>
      <w:numFmt w:val="decimal"/>
      <w:start w:val="4"/>
    </w:lvl>
  </w:abstractNum>
  <w:abstractNum w:abstractNumId="5">
    <w:nsid w:val="25E45D32"/>
    <w:multiLevelType w:val="hybridMultilevel"/>
    <w:lvl w:ilvl="0">
      <w:lvlJc w:val="left"/>
      <w:lvlText w:val="%1."/>
      <w:numFmt w:val="decimal"/>
      <w:start w:val="5"/>
    </w:lvl>
  </w:abstractNum>
  <w:abstractNum w:abstractNumId="6">
    <w:nsid w:val="519B500D"/>
    <w:multiLevelType w:val="hybridMultilevel"/>
    <w:lvl w:ilvl="0">
      <w:lvlJc w:val="left"/>
      <w:lvlText w:val="%1."/>
      <w:numFmt w:val="decimal"/>
      <w:start w:val="7"/>
    </w:lvl>
  </w:abstractNum>
  <w:abstractNum w:abstractNumId="7">
    <w:nsid w:val="431BD7B7"/>
    <w:multiLevelType w:val="hybridMultilevel"/>
    <w:lvl w:ilvl="0">
      <w:lvlJc w:val="left"/>
      <w:lvlText w:val="%1."/>
      <w:numFmt w:val="decimal"/>
      <w:start w:val="8"/>
    </w:lvl>
  </w:abstractNum>
  <w:abstractNum w:abstractNumId="8">
    <w:nsid w:val="3F2DBA31"/>
    <w:multiLevelType w:val="hybridMultilevel"/>
    <w:lvl w:ilvl="0">
      <w:lvlJc w:val="left"/>
      <w:lvlText w:val="%1."/>
      <w:numFmt w:val="decimal"/>
      <w:start w:val="9"/>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bullet"/>
      <w:start w:val="1"/>
    </w:lvl>
  </w:abstractNum>
  <w:abstractNum w:abstractNumId="18">
    <w:nsid w:val="6763845E"/>
    <w:multiLevelType w:val="hybridMultilevel"/>
    <w:lvl w:ilvl="0">
      <w:lvlJc w:val="left"/>
      <w:lvlText w:val="2"/>
      <w:numFmt w:val="bullet"/>
      <w:start w:val="1"/>
    </w:lvl>
  </w:abstractNum>
  <w:abstractNum w:abstractNumId="19">
    <w:nsid w:val="75A2A8D4"/>
    <w:multiLevelType w:val="hybridMultilevel"/>
    <w:lvl w:ilvl="0">
      <w:lvlJc w:val="left"/>
      <w:lvlText w:val="3"/>
      <w:numFmt w:val="bullet"/>
      <w:start w:val="1"/>
    </w:lvl>
  </w:abstractNum>
  <w:abstractNum w:abstractNumId="20">
    <w:nsid w:val="8EDBDAB"/>
    <w:multiLevelType w:val="hybridMultilevel"/>
    <w:lvl w:ilvl="0">
      <w:lvlJc w:val="left"/>
      <w:lvlText w:val="4"/>
      <w:numFmt w:val="bullet"/>
      <w:start w:val="1"/>
    </w:lvl>
  </w:abstractNum>
  <w:abstractNum w:abstractNumId="21">
    <w:nsid w:val="79838CB2"/>
    <w:multiLevelType w:val="hybridMultilevel"/>
    <w:lvl w:ilvl="0">
      <w:lvlJc w:val="left"/>
      <w:lvlText w:val="5"/>
      <w:numFmt w:val="bullet"/>
      <w:start w:val="1"/>
    </w:lvl>
  </w:abstractNum>
  <w:abstractNum w:abstractNumId="22">
    <w:nsid w:val="4353D0CD"/>
    <w:multiLevelType w:val="hybridMultilevel"/>
    <w:lvl w:ilvl="0">
      <w:lvlJc w:val="left"/>
      <w:lvlText w:val="2"/>
      <w:numFmt w:val="bullet"/>
      <w:start w:val="1"/>
    </w:lvl>
  </w:abstractNum>
  <w:abstractNum w:abstractNumId="23">
    <w:nsid w:val="B03E0C6"/>
    <w:multiLevelType w:val="hybridMultilevel"/>
    <w:lvl w:ilvl="0">
      <w:lvlJc w:val="left"/>
      <w:lvlText w:val="3"/>
      <w:numFmt w:val="bullet"/>
      <w:start w:val="1"/>
    </w:lvl>
  </w:abstractNum>
  <w:abstractNum w:abstractNumId="24">
    <w:nsid w:val="189A769B"/>
    <w:multiLevelType w:val="hybridMultilevel"/>
    <w:lvl w:ilvl="0">
      <w:lvlJc w:val="left"/>
      <w:lvlText w:val="4"/>
      <w:numFmt w:val="bullet"/>
      <w:start w:val="1"/>
    </w:lvl>
  </w:abstractNum>
  <w:abstractNum w:abstractNumId="25">
    <w:nsid w:val="54E49EB4"/>
    <w:multiLevelType w:val="hybridMultilevel"/>
    <w:lvl w:ilvl="0">
      <w:lvlJc w:val="left"/>
      <w:lvlText w:val="5"/>
      <w:numFmt w:val="bullet"/>
      <w:start w:val="1"/>
    </w:lvl>
  </w:abstractNum>
  <w:abstractNum w:abstractNumId="26">
    <w:nsid w:val="71F32454"/>
    <w:multiLevelType w:val="hybridMultilevel"/>
    <w:lvl w:ilvl="0">
      <w:lvlJc w:val="left"/>
      <w:lvlText w:val="2"/>
      <w:numFmt w:val="bullet"/>
      <w:start w:val="1"/>
    </w:lvl>
  </w:abstractNum>
  <w:abstractNum w:abstractNumId="27">
    <w:nsid w:val="2CA8861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2020-05-07T15:22:23Z</dcterms:created>
  <dcterms:modified xsi:type="dcterms:W3CDTF">2020-05-07T15:22:23Z</dcterms:modified>
</cp:coreProperties>
</file>