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09.jpeg" ContentType="image/jpeg"/>
  <Override PartName="/word/media/image208.jpeg" ContentType="image/jpeg"/>
  <Override PartName="/word/media/image207.jpeg" ContentType="image/jpeg"/>
  <Override PartName="/word/media/image206.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lineRule="auto" w:line="288" w:before="180" w:after="12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6" w:type="dxa"/>
        <w:jc w:val="center"/>
        <w:tblInd w:w="0" w:type="dxa"/>
        <w:tblCellMar>
          <w:top w:w="28" w:type="dxa"/>
          <w:left w:w="28" w:type="dxa"/>
          <w:bottom w:w="28" w:type="dxa"/>
          <w:right w:w="28" w:type="dxa"/>
        </w:tblCellMar>
      </w:tblPr>
      <w:tblGrid>
        <w:gridCol w:w="124"/>
        <w:gridCol w:w="109"/>
        <w:gridCol w:w="109"/>
        <w:gridCol w:w="2781"/>
        <w:gridCol w:w="2781"/>
        <w:gridCol w:w="39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w:t>
      </w:r>
    </w:p>
    <w:p>
      <w:pPr>
        <w:pStyle w:val="TextBody"/>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CellMar>
          <w:top w:w="28" w:type="dxa"/>
          <w:left w:w="28" w:type="dxa"/>
          <w:bottom w:w="28" w:type="dxa"/>
          <w:right w:w="28" w:type="dxa"/>
        </w:tblCellMar>
      </w:tblPr>
      <w:tblGrid>
        <w:gridCol w:w="124"/>
        <w:gridCol w:w="109"/>
        <w:gridCol w:w="109"/>
        <w:gridCol w:w="2771"/>
        <w:gridCol w:w="2771"/>
        <w:gridCol w:w="39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39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_________________________ to _________________________</w:t>
            </w:r>
          </w:p>
        </w:tc>
      </w:tr>
    </w:tbl>
    <w:p>
      <w:pPr>
        <w:pStyle w:val="TextBody"/>
        <w:spacing w:lineRule="auto" w:line="288" w:before="20" w:after="120"/>
        <w:ind w:left="0" w:right="0" w:firstLine="18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001-36246</w:t>
      </w:r>
    </w:p>
    <w:p>
      <w:pPr>
        <w:pStyle w:val="TextBody"/>
        <w:spacing w:lineRule="auto" w:line="288" w:before="0" w:after="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Civeo Corporation</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684" w:type="dxa"/>
        <w:jc w:val="left"/>
        <w:tblInd w:w="0" w:type="dxa"/>
        <w:tblCellMar>
          <w:top w:w="28" w:type="dxa"/>
          <w:left w:w="28" w:type="dxa"/>
          <w:bottom w:w="28" w:type="dxa"/>
          <w:right w:w="28" w:type="dxa"/>
        </w:tblCellMar>
      </w:tblPr>
      <w:tblGrid>
        <w:gridCol w:w="1460"/>
        <w:gridCol w:w="1286"/>
        <w:gridCol w:w="1289"/>
        <w:gridCol w:w="481"/>
        <w:gridCol w:w="481"/>
        <w:gridCol w:w="687"/>
      </w:tblGrid>
      <w:tr>
        <w:trPr/>
        <w:tc>
          <w:tcPr>
            <w:tcW w:w="1460"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British Columbia, Canada</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98-1253716</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Allen Center, 333 Clay Street, Suite 4980,</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77002</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0" w:after="6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(713) 510-2400</w:t>
      </w:r>
    </w:p>
    <w:p>
      <w:pPr>
        <w:pStyle w:val="TextBody"/>
        <w:spacing w:lineRule="auto" w:line="288" w:before="12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943" w:type="dxa"/>
        <w:jc w:val="center"/>
        <w:tblInd w:w="0" w:type="dxa"/>
        <w:tblCellMar>
          <w:top w:w="28" w:type="dxa"/>
          <w:left w:w="28" w:type="dxa"/>
          <w:bottom w:w="28" w:type="dxa"/>
          <w:right w:w="28" w:type="dxa"/>
        </w:tblCellMar>
      </w:tblPr>
      <w:tblGrid>
        <w:gridCol w:w="820"/>
        <w:gridCol w:w="717"/>
        <w:gridCol w:w="727"/>
        <w:gridCol w:w="419"/>
        <w:gridCol w:w="419"/>
        <w:gridCol w:w="421"/>
        <w:gridCol w:w="1002"/>
        <w:gridCol w:w="1002"/>
        <w:gridCol w:w="1416"/>
      </w:tblGrid>
      <w:tr>
        <w:trPr/>
        <w:tc>
          <w:tcPr>
            <w:tcW w:w="820"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no par value</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CVEO</w:t>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451" w:type="dxa"/>
        <w:jc w:val="left"/>
        <w:tblInd w:w="0" w:type="dxa"/>
        <w:tblCellMar>
          <w:top w:w="28" w:type="dxa"/>
          <w:left w:w="28" w:type="dxa"/>
          <w:bottom w:w="28" w:type="dxa"/>
          <w:right w:w="28" w:type="dxa"/>
        </w:tblCellMar>
      </w:tblPr>
      <w:tblGrid>
        <w:gridCol w:w="136"/>
        <w:gridCol w:w="119"/>
        <w:gridCol w:w="121"/>
        <w:gridCol w:w="125"/>
        <w:gridCol w:w="125"/>
        <w:gridCol w:w="126"/>
        <w:gridCol w:w="109"/>
        <w:gridCol w:w="109"/>
        <w:gridCol w:w="109"/>
        <w:gridCol w:w="109"/>
        <w:gridCol w:w="109"/>
        <w:gridCol w:w="154"/>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02" w:type="dxa"/>
        <w:jc w:val="left"/>
        <w:tblInd w:w="0" w:type="dxa"/>
        <w:tblCellMar>
          <w:top w:w="28" w:type="dxa"/>
          <w:left w:w="28" w:type="dxa"/>
          <w:bottom w:w="28" w:type="dxa"/>
          <w:right w:w="28" w:type="dxa"/>
        </w:tblCellMar>
      </w:tblPr>
      <w:tblGrid>
        <w:gridCol w:w="136"/>
        <w:gridCol w:w="119"/>
        <w:gridCol w:w="121"/>
        <w:gridCol w:w="109"/>
        <w:gridCol w:w="109"/>
        <w:gridCol w:w="109"/>
        <w:gridCol w:w="109"/>
        <w:gridCol w:w="109"/>
        <w:gridCol w:w="109"/>
        <w:gridCol w:w="109"/>
        <w:gridCol w:w="109"/>
        <w:gridCol w:w="154"/>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8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tbl>
      <w:tblPr>
        <w:tblW w:w="7079" w:type="dxa"/>
        <w:jc w:val="left"/>
        <w:tblInd w:w="0" w:type="dxa"/>
        <w:tblCellMar>
          <w:top w:w="28" w:type="dxa"/>
          <w:left w:w="28" w:type="dxa"/>
          <w:bottom w:w="28" w:type="dxa"/>
          <w:right w:w="28" w:type="dxa"/>
        </w:tblCellMar>
      </w:tblPr>
      <w:tblGrid>
        <w:gridCol w:w="630"/>
        <w:gridCol w:w="553"/>
        <w:gridCol w:w="557"/>
        <w:gridCol w:w="109"/>
        <w:gridCol w:w="109"/>
        <w:gridCol w:w="109"/>
        <w:gridCol w:w="694"/>
        <w:gridCol w:w="694"/>
        <w:gridCol w:w="697"/>
        <w:gridCol w:w="125"/>
        <w:gridCol w:w="125"/>
        <w:gridCol w:w="126"/>
        <w:gridCol w:w="709"/>
        <w:gridCol w:w="709"/>
        <w:gridCol w:w="712"/>
        <w:gridCol w:w="123"/>
        <w:gridCol w:w="123"/>
        <w:gridCol w:w="175"/>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tbl>
      <w:tblPr>
        <w:tblW w:w="1402" w:type="dxa"/>
        <w:jc w:val="left"/>
        <w:tblInd w:w="0" w:type="dxa"/>
        <w:tblCellMar>
          <w:top w:w="28" w:type="dxa"/>
          <w:left w:w="28" w:type="dxa"/>
          <w:bottom w:w="28" w:type="dxa"/>
          <w:right w:w="28" w:type="dxa"/>
        </w:tblCellMar>
      </w:tblPr>
      <w:tblGrid>
        <w:gridCol w:w="136"/>
        <w:gridCol w:w="119"/>
        <w:gridCol w:w="121"/>
        <w:gridCol w:w="109"/>
        <w:gridCol w:w="109"/>
        <w:gridCol w:w="109"/>
        <w:gridCol w:w="109"/>
        <w:gridCol w:w="109"/>
        <w:gridCol w:w="109"/>
        <w:gridCol w:w="109"/>
        <w:gridCol w:w="109"/>
        <w:gridCol w:w="154"/>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The Registrant had 15,049,360 common shares outstanding as of April 24,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p>
      <w:pPr>
        <w:pStyle w:val="TextBody"/>
        <w:spacing w:lineRule="auto" w:line="288" w:before="12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tbl>
      <w:tblPr>
        <w:tblW w:w="9795" w:type="dxa"/>
        <w:jc w:val="left"/>
        <w:tblInd w:w="0" w:type="dxa"/>
        <w:tblCellMar>
          <w:top w:w="28" w:type="dxa"/>
          <w:left w:w="28" w:type="dxa"/>
          <w:bottom w:w="28" w:type="dxa"/>
          <w:right w:w="28" w:type="dxa"/>
        </w:tblCellMar>
      </w:tblPr>
      <w:tblGrid>
        <w:gridCol w:w="3257"/>
        <w:gridCol w:w="2861"/>
        <w:gridCol w:w="2867"/>
        <w:gridCol w:w="236"/>
        <w:gridCol w:w="236"/>
        <w:gridCol w:w="338"/>
      </w:tblGrid>
      <w:tr>
        <w:trPr/>
        <w:tc>
          <w:tcPr>
            <w:tcW w:w="3257"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8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 No.</w:t>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Part I -- FINANCIAL INFORMATION</w:t>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1. Financial Statements:</w:t>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Financial Statements</w:t>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Operations for the Three Months Ended March 31, 2023 and 2022</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6">
              <w:r>
                <w:rPr>
                  <w:rStyle w:val="InternetLink"/>
                  <w:rFonts w:ascii="Times New Roman;sans-serif" w:hAnsi="Times New Roman;sans-serif"/>
                  <w:b w:val="false"/>
                  <w:color w:val="0000FF"/>
                  <w:sz w:val="16"/>
                  <w:u w:val="single"/>
                </w:rPr>
                <w:t>4</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Comprehensive Income (Loss) for the Three Months Ended March 31, 2023 and 2022</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9">
              <w:r>
                <w:rPr>
                  <w:rStyle w:val="InternetLink"/>
                  <w:rFonts w:ascii="Times New Roman;sans-serif" w:hAnsi="Times New Roman;sans-serif"/>
                  <w:b w:val="false"/>
                  <w:color w:val="0000FF"/>
                  <w:sz w:val="16"/>
                  <w:u w:val="single"/>
                </w:rPr>
                <w:t>5</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Balance Sheets – as of March 31, 2023 (unaudited) and December 31, 2022</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22">
              <w:r>
                <w:rPr>
                  <w:rStyle w:val="InternetLink"/>
                  <w:rFonts w:ascii="Times New Roman;sans-serif" w:hAnsi="Times New Roman;sans-serif"/>
                  <w:b w:val="false"/>
                  <w:color w:val="0000FF"/>
                  <w:sz w:val="16"/>
                  <w:u w:val="single"/>
                </w:rPr>
                <w:t>6</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Changes in Shareholders’ Equity for the Three Months Ended March 31, 2023 and 2022</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25">
              <w:r>
                <w:rPr>
                  <w:rStyle w:val="InternetLink"/>
                  <w:rFonts w:ascii="Times New Roman;sans-serif" w:hAnsi="Times New Roman;sans-serif"/>
                  <w:b w:val="false"/>
                  <w:color w:val="0000FF"/>
                  <w:sz w:val="16"/>
                  <w:u w:val="single"/>
                </w:rPr>
                <w:t>7</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Cash Flows for the Three Months Ended March 31, 2023 and 2022</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28">
              <w:r>
                <w:rPr>
                  <w:rStyle w:val="InternetLink"/>
                  <w:rFonts w:ascii="Times New Roman;sans-serif" w:hAnsi="Times New Roman;sans-serif"/>
                  <w:b w:val="false"/>
                  <w:color w:val="0000FF"/>
                  <w:sz w:val="16"/>
                  <w:u w:val="single"/>
                </w:rPr>
                <w:t>8</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to Unaudited Consolidated Financial Statements</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31">
              <w:r>
                <w:rPr>
                  <w:rStyle w:val="InternetLink"/>
                  <w:rFonts w:ascii="Times New Roman;sans-serif" w:hAnsi="Times New Roman;sans-serif"/>
                  <w:b w:val="false"/>
                  <w:color w:val="0000FF"/>
                  <w:sz w:val="16"/>
                  <w:u w:val="single"/>
                </w:rPr>
                <w:t>9</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Cautionary Statement Regarding Forward-Looking Statements</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88">
              <w:r>
                <w:rPr>
                  <w:rStyle w:val="InternetLink"/>
                  <w:rFonts w:ascii="Times New Roman;sans-serif" w:hAnsi="Times New Roman;sans-serif"/>
                  <w:b w:val="false"/>
                  <w:color w:val="0000FF"/>
                  <w:sz w:val="16"/>
                  <w:u w:val="single"/>
                </w:rPr>
                <w:t>18</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2.   Management’s Discussion and Analysis of Financial Condition and Results of Operations</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91">
              <w:r>
                <w:rPr>
                  <w:rStyle w:val="InternetLink"/>
                  <w:rFonts w:ascii="Times New Roman;sans-serif" w:hAnsi="Times New Roman;sans-serif"/>
                  <w:b w:val="false"/>
                  <w:color w:val="0000FF"/>
                  <w:sz w:val="16"/>
                  <w:u w:val="single"/>
                </w:rPr>
                <w:t>18</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3.   Quantitative and Qualitative Disclosures About Market Risk</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94">
              <w:r>
                <w:rPr>
                  <w:rStyle w:val="InternetLink"/>
                  <w:rFonts w:ascii="Times New Roman;sans-serif" w:hAnsi="Times New Roman;sans-serif"/>
                  <w:b w:val="false"/>
                  <w:color w:val="0000FF"/>
                  <w:sz w:val="16"/>
                  <w:u w:val="single"/>
                </w:rPr>
                <w:t>29</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4.   Controls and Procedures</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97">
              <w:r>
                <w:rPr>
                  <w:rStyle w:val="InternetLink"/>
                  <w:rFonts w:ascii="Times New Roman;sans-serif" w:hAnsi="Times New Roman;sans-serif"/>
                  <w:b w:val="false"/>
                  <w:color w:val="0000FF"/>
                  <w:sz w:val="16"/>
                  <w:u w:val="single"/>
                </w:rPr>
                <w:t>29</w:t>
              </w:r>
            </w:hyperlink>
          </w:p>
        </w:tc>
      </w:tr>
      <w:tr>
        <w:trPr/>
        <w:tc>
          <w:tcPr>
            <w:tcW w:w="8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Part II -- OTHER INFORMATION</w:t>
            </w:r>
          </w:p>
        </w:tc>
        <w:tc>
          <w:tcPr>
            <w:tcW w:w="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1.     Legal Proceedings</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03">
              <w:r>
                <w:rPr>
                  <w:rStyle w:val="InternetLink"/>
                  <w:rFonts w:ascii="Times New Roman;sans-serif" w:hAnsi="Times New Roman;sans-serif"/>
                  <w:b w:val="false"/>
                  <w:color w:val="0000FF"/>
                  <w:sz w:val="16"/>
                  <w:u w:val="single"/>
                </w:rPr>
                <w:t>30</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1A.  Risk Factors</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06">
              <w:r>
                <w:rPr>
                  <w:rStyle w:val="InternetLink"/>
                  <w:rFonts w:ascii="Times New Roman;sans-serif" w:hAnsi="Times New Roman;sans-serif"/>
                  <w:b w:val="false"/>
                  <w:color w:val="0000FF"/>
                  <w:sz w:val="16"/>
                  <w:u w:val="single"/>
                </w:rPr>
                <w:t>30</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Item 2.  Unregistered Sales of Equity Securities and Use of Proceeds </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09">
              <w:r>
                <w:rPr>
                  <w:rStyle w:val="InternetLink"/>
                  <w:rFonts w:ascii="Times New Roman;sans-serif" w:hAnsi="Times New Roman;sans-serif"/>
                  <w:b w:val="false"/>
                  <w:color w:val="0000FF"/>
                  <w:sz w:val="16"/>
                  <w:u w:val="single"/>
                </w:rPr>
                <w:t>30</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6.     Exhibits</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12">
              <w:r>
                <w:rPr>
                  <w:rStyle w:val="InternetLink"/>
                  <w:rFonts w:ascii="Times New Roman;sans-serif" w:hAnsi="Times New Roman;sans-serif"/>
                  <w:b w:val="false"/>
                  <w:color w:val="0000FF"/>
                  <w:sz w:val="16"/>
                  <w:u w:val="single"/>
                </w:rPr>
                <w:t>31</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Index of Exhibits</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12">
              <w:r>
                <w:rPr>
                  <w:rStyle w:val="InternetLink"/>
                  <w:rFonts w:ascii="Times New Roman;sans-serif" w:hAnsi="Times New Roman;sans-serif"/>
                  <w:b w:val="false"/>
                  <w:color w:val="0000FF"/>
                  <w:sz w:val="16"/>
                  <w:u w:val="single"/>
                </w:rPr>
                <w:t>31</w:t>
              </w:r>
            </w:hyperlink>
          </w:p>
        </w:tc>
      </w:tr>
      <w:tr>
        <w:trPr/>
        <w:tc>
          <w:tcPr>
            <w:tcW w:w="8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c>
        <w:tc>
          <w:tcPr>
            <w:tcW w:w="81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35ef4395bd14adcb28e143cb81842f7_115">
              <w:r>
                <w:rPr>
                  <w:rStyle w:val="InternetLink"/>
                  <w:rFonts w:ascii="Times New Roman;sans-serif" w:hAnsi="Times New Roman;sans-serif"/>
                  <w:b w:val="false"/>
                  <w:color w:val="0000FF"/>
                  <w:sz w:val="16"/>
                  <w:u w:val="single"/>
                </w:rPr>
                <w:t>33</w:t>
              </w:r>
            </w:hyperlink>
          </w:p>
        </w:tc>
      </w:tr>
    </w:tbl>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jc w:val="both"/>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Financial Statements</w:t>
      </w:r>
    </w:p>
    <w:p>
      <w:pPr>
        <w:pStyle w:val="TextBody"/>
        <w:spacing w:before="0" w:after="0"/>
        <w:ind w:left="0" w:right="0" w:firstLine="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pPr>
      <w:r>
        <w:rPr>
          <w:rFonts w:ascii="Times New Roman;sans-serif" w:hAnsi="Times New Roman;sans-serif"/>
          <w:b/>
          <w:color w:val="000000"/>
          <w:sz w:val="20"/>
        </w:rPr>
        <w:t>UNAUDITED CONSOLIDATED STATEMENTS OF</w:t>
      </w:r>
      <w:r>
        <w:rPr>
          <w:color w:val="000000"/>
        </w:rPr>
        <w:t xml:space="preserve"> </w:t>
      </w:r>
      <w:r>
        <w:rPr>
          <w:rFonts w:ascii="Times New Roman;sans-serif" w:hAnsi="Times New Roman;sans-serif"/>
          <w:b/>
          <w:color w:val="000000"/>
          <w:sz w:val="20"/>
        </w:rPr>
        <w:t>OPERATIONS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ind w:left="0" w:right="0" w:firstLine="180"/>
        <w:jc w:val="center"/>
        <w:rPr>
          <w:color w:val="000000"/>
        </w:rPr>
      </w:pPr>
      <w:r>
        <w:rPr>
          <w:color w:val="000000"/>
        </w:rPr>
        <w:t> </w:t>
      </w:r>
    </w:p>
    <w:tbl>
      <w:tblPr>
        <w:tblW w:w="9339" w:type="dxa"/>
        <w:jc w:val="center"/>
        <w:tblInd w:w="0" w:type="dxa"/>
        <w:tblCellMar>
          <w:top w:w="28" w:type="dxa"/>
          <w:left w:w="28" w:type="dxa"/>
          <w:bottom w:w="28" w:type="dxa"/>
          <w:right w:w="28" w:type="dxa"/>
        </w:tblCellMar>
      </w:tblPr>
      <w:tblGrid>
        <w:gridCol w:w="2339"/>
        <w:gridCol w:w="2047"/>
        <w:gridCol w:w="2063"/>
        <w:gridCol w:w="196"/>
        <w:gridCol w:w="736"/>
        <w:gridCol w:w="109"/>
        <w:gridCol w:w="109"/>
        <w:gridCol w:w="109"/>
        <w:gridCol w:w="109"/>
        <w:gridCol w:w="196"/>
        <w:gridCol w:w="736"/>
        <w:gridCol w:w="109"/>
        <w:gridCol w:w="109"/>
        <w:gridCol w:w="109"/>
        <w:gridCol w:w="109"/>
        <w:gridCol w:w="154"/>
      </w:tblGrid>
      <w:tr>
        <w:trPr/>
        <w:tc>
          <w:tcPr>
            <w:tcW w:w="233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 and other</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 and other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Rental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operating expense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Civeo Corporation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attributable to Class A preferred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Civeo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 Data (see Note 6)</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net income (loss) per share attributable to Civeo Corporation common shareholders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net income (loss) per share attributable to Civeo Corporation common shareholders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spacing w:lineRule="auto" w:line="288" w:before="18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COMPREHENSIVE INCOME (LOSS)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ind w:left="0" w:right="0" w:firstLine="180"/>
        <w:jc w:val="center"/>
        <w:rPr>
          <w:color w:val="000000"/>
        </w:rPr>
      </w:pPr>
      <w:r>
        <w:rPr>
          <w:color w:val="000000"/>
        </w:rPr>
        <w:t> </w:t>
      </w:r>
    </w:p>
    <w:tbl>
      <w:tblPr>
        <w:tblW w:w="7374" w:type="dxa"/>
        <w:jc w:val="center"/>
        <w:tblInd w:w="0" w:type="dxa"/>
        <w:tblCellMar>
          <w:top w:w="28" w:type="dxa"/>
          <w:left w:w="28" w:type="dxa"/>
          <w:bottom w:w="28" w:type="dxa"/>
          <w:right w:w="28" w:type="dxa"/>
        </w:tblCellMar>
      </w:tblPr>
      <w:tblGrid>
        <w:gridCol w:w="1724"/>
        <w:gridCol w:w="1519"/>
        <w:gridCol w:w="1526"/>
        <w:gridCol w:w="196"/>
        <w:gridCol w:w="631"/>
        <w:gridCol w:w="109"/>
        <w:gridCol w:w="109"/>
        <w:gridCol w:w="109"/>
        <w:gridCol w:w="109"/>
        <w:gridCol w:w="196"/>
        <w:gridCol w:w="556"/>
        <w:gridCol w:w="109"/>
        <w:gridCol w:w="109"/>
        <w:gridCol w:w="109"/>
        <w:gridCol w:w="109"/>
        <w:gridCol w:w="154"/>
      </w:tblGrid>
      <w:tr>
        <w:trPr/>
        <w:tc>
          <w:tcPr>
            <w:tcW w:w="1724"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 net of zero taxes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 net of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attributable to noncontrolling interest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 attributable to Civeo Corporation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Excluding Share Amounts)</w:t>
      </w:r>
    </w:p>
    <w:tbl>
      <w:tblPr>
        <w:tblW w:w="10205" w:type="dxa"/>
        <w:jc w:val="center"/>
        <w:tblInd w:w="0" w:type="dxa"/>
        <w:tblCellMar>
          <w:top w:w="28" w:type="dxa"/>
          <w:left w:w="28" w:type="dxa"/>
          <w:bottom w:w="28" w:type="dxa"/>
          <w:right w:w="28" w:type="dxa"/>
        </w:tblCellMar>
      </w:tblPr>
      <w:tblGrid>
        <w:gridCol w:w="2890"/>
        <w:gridCol w:w="2285"/>
        <w:gridCol w:w="2248"/>
        <w:gridCol w:w="215"/>
        <w:gridCol w:w="810"/>
        <w:gridCol w:w="120"/>
        <w:gridCol w:w="109"/>
        <w:gridCol w:w="109"/>
        <w:gridCol w:w="109"/>
        <w:gridCol w:w="235"/>
        <w:gridCol w:w="885"/>
        <w:gridCol w:w="190"/>
      </w:tblGrid>
      <w:tr>
        <w:trPr/>
        <w:tc>
          <w:tcPr>
            <w:tcW w:w="2890"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7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122,962 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119,755 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7,199 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3,081 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 held for sale</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153,549 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284,371 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301,890 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80,369 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81,747 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5,604 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551,163 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566,184 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47,819 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51,087 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39,211 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103,216 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128,257 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less current maturities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120,441 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102,505 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12,771 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258,986 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262,483 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0" w:type="dxa"/>
            <w:gridSpan w:val="3"/>
            <w:tcBorders/>
            <w:shd w:fill="auto" w:val="clear"/>
            <w:vAlign w:val="center"/>
          </w:tcPr>
          <w:p>
            <w:pPr>
              <w:pStyle w:val="TableContents"/>
              <w:spacing w:before="0" w:after="283"/>
              <w:rPr>
                <w:sz w:val="4"/>
                <w:szCs w:val="4"/>
              </w:rPr>
            </w:pPr>
            <w:r>
              <w:rPr>
                <w:sz w:val="4"/>
                <w:szCs w:val="4"/>
              </w:rPr>
            </w:r>
          </w:p>
        </w:tc>
      </w:tr>
      <w:tr>
        <w:trPr/>
        <w:tc>
          <w:tcPr>
            <w:tcW w:w="7423"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0" w:type="dxa"/>
            <w:gridSpan w:val="3"/>
            <w:tcBorders/>
            <w:shd w:fill="auto" w:val="cle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shares (Class A Series 1) no par value; 50,000,000 shares authorized</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(no par value; 46,000,000 shares authorized, 15,416,035 shares and 15,584,176 shares issued, respectively, and 15,049,360 shares and 15,217,501 shares outstanding, respectively)</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1,625,379 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1,624,512 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(940,247)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(930,123)</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held in treasury at cost, 366,675 and 366,675 shares, respectively</w:t>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(9,063)</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(9,063)</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(387,361)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(385,187)</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Civeo Corporation shareholders’ equity</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288,708 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300,139 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551,163 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566,184 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ind w:left="0" w:right="0" w:hanging="90"/>
        <w:rPr/>
      </w:pPr>
      <w:r>
        <w:rPr/>
      </w:r>
    </w:p>
    <w:p>
      <w:pPr>
        <w:pStyle w:val="TextBody"/>
        <w:spacing w:lineRule="auto" w:line="288" w:before="18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CHANGES IN SHAREHOLDERS’ EQUITY</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ind w:left="0" w:right="0" w:firstLine="180"/>
        <w:jc w:val="center"/>
        <w:rPr>
          <w:color w:val="000000"/>
        </w:rPr>
      </w:pPr>
      <w:r>
        <w:rPr>
          <w:color w:val="000000"/>
        </w:rPr>
        <w:t> </w:t>
      </w:r>
    </w:p>
    <w:tbl>
      <w:tblPr>
        <w:tblW w:w="11348" w:type="dxa"/>
        <w:jc w:val="left"/>
        <w:tblInd w:w="0" w:type="dxa"/>
        <w:tblCellMar>
          <w:top w:w="28" w:type="dxa"/>
          <w:left w:w="28" w:type="dxa"/>
          <w:bottom w:w="28" w:type="dxa"/>
          <w:right w:w="28" w:type="dxa"/>
        </w:tblCellMar>
      </w:tblPr>
      <w:tblGrid>
        <w:gridCol w:w="611"/>
        <w:gridCol w:w="234"/>
        <w:gridCol w:w="236"/>
        <w:gridCol w:w="196"/>
        <w:gridCol w:w="661"/>
        <w:gridCol w:w="109"/>
        <w:gridCol w:w="109"/>
        <w:gridCol w:w="109"/>
        <w:gridCol w:w="109"/>
        <w:gridCol w:w="196"/>
        <w:gridCol w:w="406"/>
        <w:gridCol w:w="109"/>
        <w:gridCol w:w="109"/>
        <w:gridCol w:w="109"/>
        <w:gridCol w:w="109"/>
        <w:gridCol w:w="196"/>
        <w:gridCol w:w="886"/>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Attributable to Civeo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w:t>
              <w:b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w:t>
              <w:br/>
              <w:t>Equity</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61,941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1,582,442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(912,951)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(361,883)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1,612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363,111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attributable to Class A preferred shares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1,583,474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(912,037)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(353,911)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2,080</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372,971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1,624,512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(930,123)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(385,187)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3,562</w:t>
            </w: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303,701</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1,625,379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(940,247)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(387,361)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3,469</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292,177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bl>
    <w:tbl>
      <w:tblPr>
        <w:tblW w:w="4401" w:type="dxa"/>
        <w:jc w:val="left"/>
        <w:tblInd w:w="0" w:type="dxa"/>
        <w:tblCellMar>
          <w:top w:w="28" w:type="dxa"/>
          <w:left w:w="28" w:type="dxa"/>
          <w:bottom w:w="28" w:type="dxa"/>
          <w:right w:w="28" w:type="dxa"/>
        </w:tblCellMar>
      </w:tblPr>
      <w:tblGrid>
        <w:gridCol w:w="786"/>
        <w:gridCol w:w="691"/>
        <w:gridCol w:w="697"/>
        <w:gridCol w:w="284"/>
        <w:gridCol w:w="284"/>
        <w:gridCol w:w="286"/>
        <w:gridCol w:w="109"/>
        <w:gridCol w:w="109"/>
        <w:gridCol w:w="109"/>
        <w:gridCol w:w="330"/>
        <w:gridCol w:w="331"/>
        <w:gridCol w:w="385"/>
      </w:tblGrid>
      <w:tr>
        <w:trPr/>
        <w:tc>
          <w:tcPr>
            <w:tcW w:w="7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Preferred </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(in</w:t>
              <w:br/>
              <w:t>thousands)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15,218</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15,049</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4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ind w:left="0" w:right="0" w:firstLine="180"/>
        <w:jc w:val="center"/>
        <w:rPr>
          <w:color w:val="000000"/>
        </w:rPr>
      </w:pPr>
      <w:r>
        <w:rPr>
          <w:color w:val="000000"/>
        </w:rPr>
        <w:t> </w:t>
      </w:r>
    </w:p>
    <w:tbl>
      <w:tblPr>
        <w:tblW w:w="8319" w:type="dxa"/>
        <w:jc w:val="left"/>
        <w:tblInd w:w="0" w:type="dxa"/>
        <w:tblCellMar>
          <w:top w:w="28" w:type="dxa"/>
          <w:left w:w="28" w:type="dxa"/>
          <w:bottom w:w="28" w:type="dxa"/>
          <w:right w:w="28" w:type="dxa"/>
        </w:tblCellMar>
      </w:tblPr>
      <w:tblGrid>
        <w:gridCol w:w="2223"/>
        <w:gridCol w:w="1948"/>
        <w:gridCol w:w="1964"/>
        <w:gridCol w:w="196"/>
        <w:gridCol w:w="646"/>
        <w:gridCol w:w="109"/>
        <w:gridCol w:w="109"/>
        <w:gridCol w:w="109"/>
        <w:gridCol w:w="109"/>
        <w:gridCol w:w="196"/>
        <w:gridCol w:w="556"/>
        <w:gridCol w:w="154"/>
      </w:tblGrid>
      <w:tr>
        <w:trPr/>
        <w:tc>
          <w:tcPr>
            <w:tcW w:w="2223"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 charge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on disposals of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 net of recoveries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payable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and noncurrent assets and liabilities,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flows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dispositions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flows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credit borrowings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credit repayments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repayments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shares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on vested shares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flows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financing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paid-in-kind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before="0" w:after="0"/>
        <w:ind w:left="0" w:right="0" w:firstLine="180"/>
        <w:jc w:val="center"/>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pPr>
      <w:r>
        <w:rPr>
          <w:rFonts w:ascii="Times New Roman;sans-serif" w:hAnsi="Times New Roman;sans-serif"/>
          <w:b/>
          <w:color w:val="000000"/>
          <w:sz w:val="20"/>
        </w:rPr>
        <w:t>1.DESCRIPTION OF BUSINESS</w:t>
      </w:r>
      <w:r>
        <w:rPr>
          <w:color w:val="000000"/>
        </w:rPr>
        <w:t xml:space="preserve"> </w:t>
      </w:r>
      <w:r>
        <w:rPr>
          <w:rFonts w:ascii="Times New Roman;sans-serif" w:hAnsi="Times New Roman;sans-serif"/>
          <w:b/>
          <w:color w:val="000000"/>
          <w:sz w:val="20"/>
        </w:rPr>
        <w:t xml:space="preserve">AND BASIS OF PRESENTATION </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the natural resources industry in Canada, Australia and the U.S. We provide a suite of services for our guests,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pStyle w:val="TextBody"/>
        <w:spacing w:lineRule="auto" w:line="288" w:before="0" w:after="0"/>
        <w:ind w:left="0" w:right="0" w:firstLine="126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2022 financial information to conform to current year presentation.</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included in this report should be read in conjunction with our audited consolidated financial statements and accompanying notes included in our Annual Report on Form 10-K 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our two reportable segments: Canada and Australia and major categories for the periods indicated (in thousands):</w:t>
      </w:r>
    </w:p>
    <w:tbl>
      <w:tblPr>
        <w:tblW w:w="5920" w:type="dxa"/>
        <w:jc w:val="center"/>
        <w:tblInd w:w="0" w:type="dxa"/>
        <w:tblCellMar>
          <w:top w:w="28" w:type="dxa"/>
          <w:left w:w="28" w:type="dxa"/>
          <w:bottom w:w="28" w:type="dxa"/>
          <w:right w:w="28" w:type="dxa"/>
        </w:tblCellMar>
      </w:tblPr>
      <w:tblGrid>
        <w:gridCol w:w="1094"/>
        <w:gridCol w:w="962"/>
        <w:gridCol w:w="974"/>
        <w:gridCol w:w="196"/>
        <w:gridCol w:w="736"/>
        <w:gridCol w:w="109"/>
        <w:gridCol w:w="109"/>
        <w:gridCol w:w="109"/>
        <w:gridCol w:w="109"/>
        <w:gridCol w:w="196"/>
        <w:gridCol w:w="736"/>
        <w:gridCol w:w="109"/>
        <w:gridCol w:w="109"/>
        <w:gridCol w:w="109"/>
        <w:gridCol w:w="109"/>
        <w:gridCol w:w="154"/>
      </w:tblGrid>
      <w:tr>
        <w:trPr/>
        <w:tc>
          <w:tcPr>
            <w:tcW w:w="1094"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Canada</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Accommodation revenues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facility rental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service and other services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Canada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Australia</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Accommodation revenues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service and other services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Australia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the type and location of our customer and the products or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tbl>
      <w:tblPr>
        <w:tblW w:w="10205" w:type="dxa"/>
        <w:jc w:val="center"/>
        <w:tblInd w:w="0" w:type="dxa"/>
        <w:tblCellMar>
          <w:top w:w="28" w:type="dxa"/>
          <w:left w:w="28" w:type="dxa"/>
          <w:bottom w:w="28" w:type="dxa"/>
          <w:right w:w="28" w:type="dxa"/>
        </w:tblCellMar>
      </w:tblPr>
      <w:tblGrid>
        <w:gridCol w:w="1321"/>
        <w:gridCol w:w="1160"/>
        <w:gridCol w:w="116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321"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6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ending December 31,</w:t>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expected to be recognized as of March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 </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3.FAIR VALUE MEASUREMENTS</w:t>
      </w:r>
    </w:p>
    <w:p>
      <w:pPr>
        <w:pStyle w:val="TextBody"/>
        <w:spacing w:lineRule="auto" w:line="288" w:before="0" w:after="0"/>
        <w:ind w:left="0" w:right="0" w:firstLine="405"/>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receivables, payables and debt instruments. We believe that the carrying values of these instruments on the accompanying consolidated balance sheets approximate their fair values.</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believe the carrying value of our floating-rate debt outstanding under our term loans and revolving credit facilities approximates fair value because the terms include short-term interest rates and exclude penalties for prepayment. In addition, the estimated fair value of our assets held for sale is based upon Level 2 fair value measurements, which include appraisals and previous negotiations with third parties.</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4.DETAILS OF SELECTED BALANCE SHEET ACCOUNTS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selected balance sheet accounts at March 31, 2023 and December 31, 2022 is presented below (in thousands):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lineRule="auto" w:line="288" w:before="0" w:after="0"/>
        <w:ind w:left="0" w:right="0" w:firstLine="540"/>
        <w:rPr>
          <w:color w:val="000000"/>
        </w:rPr>
      </w:pPr>
      <w:r>
        <w:rPr>
          <w:color w:val="000000"/>
        </w:rPr>
        <w:t> </w:t>
      </w:r>
    </w:p>
    <w:tbl>
      <w:tblPr>
        <w:tblW w:w="5396" w:type="dxa"/>
        <w:jc w:val="center"/>
        <w:tblInd w:w="0" w:type="dxa"/>
        <w:tblCellMar>
          <w:top w:w="28" w:type="dxa"/>
          <w:left w:w="28" w:type="dxa"/>
          <w:bottom w:w="28" w:type="dxa"/>
          <w:right w:w="28" w:type="dxa"/>
        </w:tblCellMar>
      </w:tblPr>
      <w:tblGrid>
        <w:gridCol w:w="794"/>
        <w:gridCol w:w="695"/>
        <w:gridCol w:w="700"/>
        <w:gridCol w:w="243"/>
        <w:gridCol w:w="912"/>
        <w:gridCol w:w="135"/>
        <w:gridCol w:w="109"/>
        <w:gridCol w:w="109"/>
        <w:gridCol w:w="109"/>
        <w:gridCol w:w="287"/>
        <w:gridCol w:w="1078"/>
        <w:gridCol w:w="225"/>
      </w:tblGrid>
      <w:tr>
        <w:trPr/>
        <w:tc>
          <w:tcPr>
            <w:tcW w:w="794"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65,563 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revenue</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52,547 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120,054 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122,962 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119,755 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145" w:type="dxa"/>
        <w:jc w:val="center"/>
        <w:tblInd w:w="0" w:type="dxa"/>
        <w:tblCellMar>
          <w:top w:w="28" w:type="dxa"/>
          <w:left w:w="28" w:type="dxa"/>
          <w:bottom w:w="28" w:type="dxa"/>
          <w:right w:w="28" w:type="dxa"/>
        </w:tblCellMar>
      </w:tblPr>
      <w:tblGrid>
        <w:gridCol w:w="1064"/>
        <w:gridCol w:w="935"/>
        <w:gridCol w:w="941"/>
        <w:gridCol w:w="293"/>
        <w:gridCol w:w="833"/>
        <w:gridCol w:w="163"/>
        <w:gridCol w:w="109"/>
        <w:gridCol w:w="109"/>
        <w:gridCol w:w="109"/>
        <w:gridCol w:w="343"/>
        <w:gridCol w:w="976"/>
        <w:gridCol w:w="270"/>
      </w:tblGrid>
      <w:tr>
        <w:trPr/>
        <w:tc>
          <w:tcPr>
            <w:tcW w:w="106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 and purchased products</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tbl>
      <w:tblPr>
        <w:tblW w:w="8127" w:type="dxa"/>
        <w:jc w:val="center"/>
        <w:tblInd w:w="0" w:type="dxa"/>
        <w:tblCellMar>
          <w:top w:w="28" w:type="dxa"/>
          <w:left w:w="28" w:type="dxa"/>
          <w:bottom w:w="28" w:type="dxa"/>
          <w:right w:w="28" w:type="dxa"/>
        </w:tblCellMar>
      </w:tblPr>
      <w:tblGrid>
        <w:gridCol w:w="1065"/>
        <w:gridCol w:w="934"/>
        <w:gridCol w:w="940"/>
        <w:gridCol w:w="109"/>
        <w:gridCol w:w="109"/>
        <w:gridCol w:w="109"/>
        <w:gridCol w:w="109"/>
        <w:gridCol w:w="109"/>
        <w:gridCol w:w="109"/>
        <w:gridCol w:w="115"/>
        <w:gridCol w:w="115"/>
        <w:gridCol w:w="116"/>
        <w:gridCol w:w="109"/>
        <w:gridCol w:w="109"/>
        <w:gridCol w:w="109"/>
        <w:gridCol w:w="109"/>
        <w:gridCol w:w="109"/>
        <w:gridCol w:w="109"/>
        <w:gridCol w:w="109"/>
        <w:gridCol w:w="109"/>
        <w:gridCol w:w="109"/>
        <w:gridCol w:w="243"/>
        <w:gridCol w:w="912"/>
        <w:gridCol w:w="135"/>
        <w:gridCol w:w="109"/>
        <w:gridCol w:w="109"/>
        <w:gridCol w:w="109"/>
        <w:gridCol w:w="287"/>
        <w:gridCol w:w="1078"/>
        <w:gridCol w:w="225"/>
      </w:tblGrid>
      <w:tr>
        <w:trPr/>
        <w:tc>
          <w:tcPr>
            <w:tcW w:w="106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 xml:space="preserve">Useful Life </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25,528 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Accommodations assets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1,458,372 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1,464,476 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1,587,121 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1,590,202 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(1,302,750)</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(1,288,312)</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284,371 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301,890 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tbl>
      <w:tblPr>
        <w:tblW w:w="6085" w:type="dxa"/>
        <w:jc w:val="center"/>
        <w:tblInd w:w="0" w:type="dxa"/>
        <w:tblCellMar>
          <w:top w:w="28" w:type="dxa"/>
          <w:left w:w="28" w:type="dxa"/>
          <w:bottom w:w="28" w:type="dxa"/>
          <w:right w:w="28" w:type="dxa"/>
        </w:tblCellMar>
      </w:tblPr>
      <w:tblGrid>
        <w:gridCol w:w="1042"/>
        <w:gridCol w:w="916"/>
        <w:gridCol w:w="922"/>
        <w:gridCol w:w="266"/>
        <w:gridCol w:w="876"/>
        <w:gridCol w:w="147"/>
        <w:gridCol w:w="109"/>
        <w:gridCol w:w="109"/>
        <w:gridCol w:w="109"/>
        <w:gridCol w:w="313"/>
        <w:gridCol w:w="1031"/>
        <w:gridCol w:w="245"/>
      </w:tblGrid>
      <w:tr>
        <w:trPr/>
        <w:tc>
          <w:tcPr>
            <w:tcW w:w="104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Accrued liabilities: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34,358 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 other than income taxes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liabilities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39,211 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TextBody"/>
        <w:spacing w:before="0" w:after="0"/>
        <w:ind w:left="0" w:right="0" w:firstLine="180"/>
        <w:rPr/>
      </w:pPr>
      <w:r>
        <w:rPr/>
      </w:r>
    </w:p>
    <w:tbl>
      <w:tblPr>
        <w:tblW w:w="6354" w:type="dxa"/>
        <w:jc w:val="left"/>
        <w:tblInd w:w="0" w:type="dxa"/>
        <w:tblCellMar>
          <w:top w:w="28" w:type="dxa"/>
          <w:left w:w="28" w:type="dxa"/>
          <w:bottom w:w="28" w:type="dxa"/>
          <w:right w:w="28" w:type="dxa"/>
        </w:tblCellMar>
      </w:tblPr>
      <w:tblGrid>
        <w:gridCol w:w="1140"/>
        <w:gridCol w:w="1001"/>
        <w:gridCol w:w="1008"/>
        <w:gridCol w:w="293"/>
        <w:gridCol w:w="833"/>
        <w:gridCol w:w="163"/>
        <w:gridCol w:w="109"/>
        <w:gridCol w:w="109"/>
        <w:gridCol w:w="109"/>
        <w:gridCol w:w="402"/>
        <w:gridCol w:w="868"/>
        <w:gridCol w:w="319"/>
      </w:tblGrid>
      <w:tr>
        <w:trPr/>
        <w:tc>
          <w:tcPr>
            <w:tcW w:w="1140"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 (Deferred revenue):</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Current contract liabilities </w:t>
            </w:r>
            <w:r>
              <w:rPr>
                <w:rFonts w:ascii="Times New Roman;sans-serif" w:hAnsi="Times New Roman;sans-serif"/>
                <w:b w:val="false"/>
                <w:color w:val="000000"/>
                <w:sz w:val="12"/>
              </w:rPr>
              <w:t>(1)</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Noncurrent contract liabilities </w:t>
            </w:r>
            <w:r>
              <w:rPr>
                <w:rFonts w:ascii="Times New Roman;sans-serif" w:hAnsi="Times New Roman;sans-serif"/>
                <w:b w:val="false"/>
                <w:color w:val="000000"/>
                <w:sz w:val="12"/>
              </w:rPr>
              <w:t>(1)</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 liabilities (Deferred revenue)</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20"/>
        </w:rPr>
        <w:t xml:space="preserve">Current contract liabilities and Noncurrent contract liabilities are included in "Deferred revenue" and "Other noncurrent liabilities," respectively, in our unaudited consolidated balance sheets.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typically consists of upfront payments received before we satisfy the associated performance obligation. The increase in deferred revenue from December 31, 2022 to March 31, 2023 was primarily due to a payment received from a customer for village enhancements in Australia, which we have the right to control and will recognize over the contracted terms. </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5.ASSETS HELD FOR SALE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assets held for sale included certain assets in our Canadian business segment and the U.S. These assets were recorded at the estimated fair value less costs to sell, which exceeded or equaled their carry values. During the first quarter of 2023, we sold the accommodation assets at our Louisiana location. The land at this location remains in assets held for sale as of March 31, 2023.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 as of March 31, 2023 and December 31, 2022 of the assets classified as held for sale (in thousands):</w:t>
      </w:r>
    </w:p>
    <w:p>
      <w:pPr>
        <w:pStyle w:val="TextBody"/>
        <w:spacing w:lineRule="auto" w:line="288" w:before="0" w:after="0"/>
        <w:ind w:left="0" w:right="0" w:firstLine="540"/>
        <w:jc w:val="both"/>
        <w:rPr>
          <w:color w:val="000000"/>
        </w:rPr>
      </w:pPr>
      <w:r>
        <w:rPr>
          <w:color w:val="000000"/>
        </w:rPr>
        <w:t> </w:t>
      </w:r>
    </w:p>
    <w:tbl>
      <w:tblPr>
        <w:tblW w:w="5755" w:type="dxa"/>
        <w:jc w:val="center"/>
        <w:tblInd w:w="0" w:type="dxa"/>
        <w:tblCellMar>
          <w:top w:w="28" w:type="dxa"/>
          <w:left w:w="28" w:type="dxa"/>
          <w:bottom w:w="28" w:type="dxa"/>
          <w:right w:w="28" w:type="dxa"/>
        </w:tblCellMar>
      </w:tblPr>
      <w:tblGrid>
        <w:gridCol w:w="923"/>
        <w:gridCol w:w="812"/>
        <w:gridCol w:w="815"/>
        <w:gridCol w:w="293"/>
        <w:gridCol w:w="833"/>
        <w:gridCol w:w="163"/>
        <w:gridCol w:w="109"/>
        <w:gridCol w:w="109"/>
        <w:gridCol w:w="109"/>
        <w:gridCol w:w="343"/>
        <w:gridCol w:w="976"/>
        <w:gridCol w:w="270"/>
      </w:tblGrid>
      <w:tr>
        <w:trPr/>
        <w:tc>
          <w:tcPr>
            <w:tcW w:w="92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 held for sale:</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8,653 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held for sale</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8,653 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6.EARNINGS PER SHARE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we calculated our basic earnings per share by dividing net income (loss) attributable to common shareholders, before allocation of earnings to participating earnings by the weighted average number of common shares outstanding. For diluted earnings per share, the basic shares outstanding are adjusted by adding all potentially dilutive securities.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 period during which we had participating securities in the form of Class A preferred shares, we used the two-class method to calculate basic and diluted earnings per share.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under the two-class method by dividing the net income (loss) attributable to common shareholders, after allocation of earnings to participating earnings by the weighted average number of common shares outstanding during the period. Net income attributable to common shareholders, after allocation of earnings to participating earnings represents our net income reduced by an allocation of current period earnings to participating securities as described above. No such adjustment is made during periods with a net loss, as the adjustment would be anti-dilutive.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is computed under the two-class method by dividing diluted net income (loss) attributable to common shareholders, after reallocation adjustment for participating securities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share attributable to Civeo common shareholders is presented below for the periods indicated (in thousands, except per share amounts):</w:t>
      </w:r>
    </w:p>
    <w:tbl>
      <w:tblPr>
        <w:tblW w:w="10205" w:type="dxa"/>
        <w:jc w:val="center"/>
        <w:tblInd w:w="0" w:type="dxa"/>
        <w:tblCellMar>
          <w:top w:w="28" w:type="dxa"/>
          <w:left w:w="28" w:type="dxa"/>
          <w:bottom w:w="28" w:type="dxa"/>
          <w:right w:w="28" w:type="dxa"/>
        </w:tblCellMar>
      </w:tblPr>
      <w:tblGrid>
        <w:gridCol w:w="2657"/>
        <w:gridCol w:w="2321"/>
        <w:gridCol w:w="2341"/>
        <w:gridCol w:w="233"/>
        <w:gridCol w:w="733"/>
        <w:gridCol w:w="129"/>
        <w:gridCol w:w="129"/>
        <w:gridCol w:w="129"/>
        <w:gridCol w:w="129"/>
        <w:gridCol w:w="233"/>
        <w:gridCol w:w="554"/>
        <w:gridCol w:w="129"/>
        <w:gridCol w:w="109"/>
        <w:gridCol w:w="109"/>
        <w:gridCol w:w="109"/>
        <w:gridCol w:w="161"/>
      </w:tblGrid>
      <w:tr>
        <w:trPr/>
        <w:tc>
          <w:tcPr>
            <w:tcW w:w="2657" w:type="dxa"/>
            <w:tcBorders/>
            <w:shd w:fill="auto" w:val="clear"/>
            <w:vAlign w:val="center"/>
          </w:tcPr>
          <w:p>
            <w:pPr>
              <w:pStyle w:val="TableContents"/>
              <w:spacing w:before="0" w:after="283"/>
              <w:rPr>
                <w:sz w:val="4"/>
                <w:szCs w:val="4"/>
              </w:rPr>
            </w:pPr>
            <w:r>
              <w:rPr>
                <w:sz w:val="4"/>
                <w:szCs w:val="4"/>
              </w:rPr>
            </w:r>
          </w:p>
        </w:tc>
        <w:tc>
          <w:tcPr>
            <w:tcW w:w="2321"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7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Civeo common shareholders, before allocation of earnings to participating securities</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income allocated to participating securities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Civeo Corporation common shareholders, after allocation of earnings to participating securities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undistributed income attributable to participating securities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income reallocated to participating securities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(loss) attributable to Civeo Corporation common shareholders, after reallocation adjustment for participating securities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shares - share-based awards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Basic net income (loss) per share attributable to Civeo Corporation common shareholders</w:t>
            </w:r>
            <w:r>
              <w:rPr>
                <w:color w:val="000000"/>
              </w:rPr>
              <w:t xml:space="preserve"> </w:t>
            </w:r>
            <w:r>
              <w:rPr>
                <w:rFonts w:ascii="Times New Roman;sans-serif" w:hAnsi="Times New Roman;sans-serif"/>
                <w:b w:val="false"/>
                <w:color w:val="000000"/>
                <w:sz w:val="12"/>
              </w:rPr>
              <w:t>(1)</w:t>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Diluted net income (loss) per share attributable to Civeo Corporation common shareholders </w:t>
            </w:r>
            <w:r>
              <w:rPr>
                <w:rFonts w:ascii="Times New Roman;sans-serif" w:hAnsi="Times New Roman;sans-serif"/>
                <w:b w:val="false"/>
                <w:color w:val="000000"/>
                <w:sz w:val="12"/>
              </w:rPr>
              <w:t>(1)</w:t>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Computations may reflect rounding adjustments.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common share equivalents have been excluded from the calculation of weighted-average common shares outstanding because the effect is anti-dilutive for the periods presented (in millions of shares):</w:t>
      </w:r>
    </w:p>
    <w:p>
      <w:pPr>
        <w:pStyle w:val="TextBody"/>
        <w:spacing w:before="0" w:after="0"/>
        <w:ind w:left="0" w:right="0" w:firstLine="540"/>
        <w:jc w:val="both"/>
        <w:rPr/>
      </w:pPr>
      <w:r>
        <w:rPr/>
      </w:r>
    </w:p>
    <w:tbl>
      <w:tblPr>
        <w:tblW w:w="4600" w:type="dxa"/>
        <w:jc w:val="center"/>
        <w:tblInd w:w="0" w:type="dxa"/>
        <w:tblCellMar>
          <w:top w:w="28" w:type="dxa"/>
          <w:left w:w="28" w:type="dxa"/>
          <w:bottom w:w="28" w:type="dxa"/>
          <w:right w:w="28" w:type="dxa"/>
        </w:tblCellMar>
      </w:tblPr>
      <w:tblGrid>
        <w:gridCol w:w="560"/>
        <w:gridCol w:w="491"/>
        <w:gridCol w:w="494"/>
        <w:gridCol w:w="286"/>
        <w:gridCol w:w="286"/>
        <w:gridCol w:w="286"/>
        <w:gridCol w:w="286"/>
        <w:gridCol w:w="286"/>
        <w:gridCol w:w="286"/>
        <w:gridCol w:w="286"/>
        <w:gridCol w:w="286"/>
        <w:gridCol w:w="286"/>
        <w:gridCol w:w="109"/>
        <w:gridCol w:w="109"/>
        <w:gridCol w:w="109"/>
        <w:gridCol w:w="154"/>
      </w:tblGrid>
      <w:tr>
        <w:trPr/>
        <w:tc>
          <w:tcPr>
            <w:tcW w:w="56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awards</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shares</w:t>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7.DEBT</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long-term debt consisted of the following (in thousands):</w:t>
      </w:r>
    </w:p>
    <w:p>
      <w:pPr>
        <w:pStyle w:val="TextBody"/>
        <w:spacing w:lineRule="auto" w:line="288" w:before="0" w:after="0"/>
        <w:ind w:left="0" w:right="0" w:firstLine="54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623"/>
        <w:gridCol w:w="2259"/>
        <w:gridCol w:w="2277"/>
        <w:gridCol w:w="232"/>
        <w:gridCol w:w="873"/>
        <w:gridCol w:w="129"/>
        <w:gridCol w:w="109"/>
        <w:gridCol w:w="109"/>
        <w:gridCol w:w="109"/>
        <w:gridCol w:w="267"/>
        <w:gridCol w:w="1004"/>
        <w:gridCol w:w="214"/>
      </w:tblGrid>
      <w:tr>
        <w:trPr/>
        <w:tc>
          <w:tcPr>
            <w:tcW w:w="2623"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7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15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Canadian term loan; weighted average interest rate of 7.9% for the three month period ended March 31, 2023</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U.S. revolving credit facility; weighted average interest rate of 9.7% for the three month period ended March 31, 2023</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Canadian revolving credit facility; weighted average interest rate of 7.9% for the three month period ended March 31, 2023</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101,147 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Australian revolving credit facility; weighted average interest rate of 6.2% for the three month period ended March 31, 2023</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142,608 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132,037 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141,926 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130,953 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long-term debt, including unamortized debt issuance costs, net</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maturities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rPr/>
      </w:pPr>
      <w:r>
        <w:rPr>
          <w:rFonts w:ascii="Times New Roman;sans-serif" w:hAnsi="Times New Roman;sans-serif"/>
          <w:b/>
          <w:i/>
          <w:color w:val="000000"/>
          <w:sz w:val="20"/>
        </w:rPr>
        <w:t>Credit</w:t>
      </w:r>
      <w:r>
        <w:rPr>
          <w:color w:val="000000"/>
        </w:rPr>
        <w:t xml:space="preserve"> </w:t>
      </w:r>
      <w:r>
        <w:rPr>
          <w:rFonts w:ascii="Times New Roman;sans-serif" w:hAnsi="Times New Roman;sans-serif"/>
          <w:b/>
          <w:i/>
          <w:color w:val="000000"/>
          <w:sz w:val="20"/>
        </w:rPr>
        <w:t>Agreement</w:t>
      </w:r>
    </w:p>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was amended effective March 31, 2023 to, among other things, change the benchmark interest rate for certain U.S. dollar-denominated loans in each of the Australian Revolving Facility, Canadian Revolving Facility, and U.S. Revolving Facility from London Inter-Bank Offered Rate to Term Secured Overnight Financing Rate (SOFR).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dollar amounts outstanding under the facilities provided by the Credit Agreement bear interest at a variable rate equal to the Term SOFR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net debt to Consolidated EBITDA. Australian dollar amounts outstanding under the Credit Agreement bear interest at a variable rate equal to the Bank Bill Swap Bid Rate plus a margin of 3.00% to 4.00%, based on a ratio of our total net debt to Consolidated EBITDA. The future transition from CDOR as an interest rate benchmark is addressed in the Credit Agreement and at such time the transition from CDOR takes place, an alternate benchmark will be established based on the first alternative of the following, plus a benchmark replacement adjustment, Term Canadian Overnight Repo Rate Average (CORRA) and Compound CORRA.</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March 31, 2023.</w:t>
      </w:r>
    </w:p>
    <w:p>
      <w:pPr>
        <w:pStyle w:val="TextBody"/>
        <w:spacing w:lineRule="auto" w:line="288" w:before="12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are secured by a pledge of substantially all of our assets and the assets of our subsidiaries subject to customary exceptions. The obligations under the Credit Agreement are guaranteed by our significant subsidiaries. As of March 31, 2023, we had seven lenders that were parties to the Credit Agreement, with total commitments (including both revolving commitments and term commitments) ranging from $22.5 million to $52.0 million. As of March 31, 2023, we had outstanding letters of credit of $0.3 million under the U.S. facility, zero under the Australian facility and $1.1 million under the Canadian facility. We also had outstanding bank guarantees of A$0.8 million under the Australian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20"/>
        <w:ind w:left="0" w:right="0" w:hanging="360"/>
        <w:rPr>
          <w:rFonts w:ascii="Times New Roman;sans-serif" w:hAnsi="Times New Roman;sans-serif"/>
          <w:b/>
          <w:color w:val="000000"/>
          <w:sz w:val="20"/>
        </w:rPr>
      </w:pPr>
      <w:r>
        <w:rPr>
          <w:rFonts w:ascii="Times New Roman;sans-serif" w:hAnsi="Times New Roman;sans-serif"/>
          <w:b/>
          <w:color w:val="000000"/>
          <w:sz w:val="20"/>
        </w:rPr>
        <w:t>8.INCOME TAXES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through various subsidiaries in a number of countries throughout the world. We have provided for income taxes based upon the tax laws and rates in the countries in which operations are conducted and income is earned.</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three jurisdictions, Canada, Australia and the U.S., where statutory tax rates range from 15% to 30%. Our effective tax rate will vary from period to period based on changes in earnings mix between these different jurisdictions.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2023 and 2022, Canada and the U.S. were considered loss jurisdictions for tax accounting purposes and were removed from the annual effective tax rate computation for purposes of computing the interim tax provision.</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expense for the three months ended March 31, 2023 totaled $1.2 million, or (24.3)% of pretax income, compared to income tax expense of $1.6 million, or 44.9% of pretax income, for the three months ended March 31, 2022. Our effective tax rate for each of the three months ended March 31, 2023 and 2022 was impacted by considering Canada and the U.S. loss jurisdictions that were removed from the annual effective tax rate computation for purposes of computing the interim tax provision. </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9.COMMITMENTS AND CONTINGENCIES</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10.ACCUMULATED OTHER COMPREHENSIVE LOSS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val="false"/>
          <w:color w:val="000000"/>
          <w:sz w:val="20"/>
        </w:rPr>
        <w:t>Our accumulated other comprehensive loss increased $2.2 million from $385.2 million at December 31, 2022 to $387.4 million at March 31, 2023, as a result of foreign currency exchange rate fluctuations. Changes in other comprehensive loss during the first three months of 2022 were primarily driven by the Australian dollar decreasing in value compared to the U.S. dollar. Excluding intercompany balances, our Canadian dollar and Australian dollar functional currency net assets totaled approximately C$174 million and A$223 million, respectively, at March 31, 2023.</w:t>
      </w:r>
      <w:r>
        <w:rPr>
          <w:color w:val="000000"/>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11.SHARE REPURCHASE PROGRAMS</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and August 2021, our Board of Directors (Board) authorized common share repurchase programs to repurchase up to 5.0% of our total common shares which were issued and outstanding, or approximately 685,000 common shares and 715,000 common shares, respectively, over a twelve month period.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0" w:after="0"/>
        <w:ind w:left="0" w:right="0" w:firstLine="315"/>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Unaudited Consolidated Statements of Changes in Shareholders’ Equity in the period the payment is made.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share repurchases pursuant to our share repurchase programs (in thousands, except per share data).</w:t>
      </w:r>
    </w:p>
    <w:tbl>
      <w:tblPr>
        <w:tblW w:w="4688" w:type="dxa"/>
        <w:jc w:val="left"/>
        <w:tblInd w:w="0" w:type="dxa"/>
        <w:tblCellMar>
          <w:top w:w="28" w:type="dxa"/>
          <w:left w:w="28" w:type="dxa"/>
          <w:bottom w:w="28" w:type="dxa"/>
          <w:right w:w="28" w:type="dxa"/>
        </w:tblCellMar>
      </w:tblPr>
      <w:tblGrid>
        <w:gridCol w:w="939"/>
        <w:gridCol w:w="825"/>
        <w:gridCol w:w="830"/>
        <w:gridCol w:w="196"/>
        <w:gridCol w:w="556"/>
        <w:gridCol w:w="109"/>
        <w:gridCol w:w="109"/>
        <w:gridCol w:w="109"/>
        <w:gridCol w:w="109"/>
        <w:gridCol w:w="196"/>
        <w:gridCol w:w="55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Dollar-value of shares repurchased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12.SHARE-BASED COMPENSATION</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Outstanding Awards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Restricted Share Awards / Restricted Share Units / Deferred Share</w:t>
      </w:r>
      <w:r>
        <w:rPr>
          <w:color w:val="000000"/>
        </w:rPr>
        <w:t xml:space="preserve"> </w:t>
      </w:r>
      <w:r>
        <w:rPr>
          <w:rFonts w:ascii="Times New Roman;sans-serif" w:hAnsi="Times New Roman;sans-serif"/>
          <w:b/>
          <w:i/>
          <w:color w:val="000000"/>
          <w:sz w:val="20"/>
        </w:rPr>
        <w:t>Awards.</w:t>
      </w:r>
      <w:r>
        <w:rPr>
          <w:color w:val="000000"/>
        </w:rPr>
        <w:t xml:space="preserve"> </w:t>
      </w:r>
      <w:r>
        <w:rPr>
          <w:rFonts w:ascii="Times New Roman;sans-serif" w:hAnsi="Times New Roman;sans-serif"/>
          <w:b w:val="false"/>
          <w:color w:val="000000"/>
          <w:sz w:val="20"/>
        </w:rPr>
        <w:t>Compensation expense associated with restricted share awards, restricted share units and deferred share awards recognized in the three months ended March 31, 2023 and 2022 totaled $0.3 million and $0.4 million, respectively. The total fair value of restricted share awards, restricted share units and deferred share awards that vested during the three months ended March 31, 2023 and 2022 was less than $0.1 million and $0.6 million, respectively.</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unrecognized compensation cost related to restricted share awards, restricted share units and deferred share awards was $0.1 million, which is expected to be recognized over a weighted average period of 0.1 years.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Phantom Share</w:t>
      </w:r>
      <w:r>
        <w:rPr>
          <w:color w:val="000000"/>
        </w:rPr>
        <w:t xml:space="preserve"> </w:t>
      </w:r>
      <w:r>
        <w:rPr>
          <w:rFonts w:ascii="Times New Roman;sans-serif" w:hAnsi="Times New Roman;sans-serif"/>
          <w:b/>
          <w:i/>
          <w:color w:val="000000"/>
          <w:sz w:val="20"/>
        </w:rPr>
        <w:t>Awards.</w:t>
      </w:r>
      <w:r>
        <w:rPr>
          <w:color w:val="000000"/>
        </w:rPr>
        <w:t xml:space="preserve"> </w:t>
      </w:r>
      <w:r>
        <w:rPr>
          <w:rFonts w:ascii="Times New Roman;sans-serif" w:hAnsi="Times New Roman;sans-serif"/>
          <w:b w:val="false"/>
          <w:color w:val="000000"/>
          <w:sz w:val="20"/>
        </w:rPr>
        <w:t>On February 23, 2023, we granted 171,608 phantom share awards under the Civeo Plan, which vest in three equal annual installments beginning on February 23, 2024. We also granted 56,387 phantom share awards under the Canadian Long-Term Incentive Plan, which vest in three equal annual installments beginning on February 23, 2024. Phantom share awards are settled in cash upon vesting.</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recognized compensation expense associated with phantom shares totaling $1.8 million and $2.4 million, respectively. At March 31, 2023, unrecognized compensation cost related to phantom shares was $10.5 million, as remeasured at March 31, 2023, which is expected to be recognized over a weighted average period of 2.1 years.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i/>
          <w:color w:val="000000"/>
          <w:sz w:val="20"/>
        </w:rPr>
        <w:t>Performance Awards.</w:t>
      </w:r>
      <w:r>
        <w:rPr>
          <w:color w:val="000000"/>
        </w:rPr>
        <w:t xml:space="preserve"> </w:t>
      </w:r>
      <w:r>
        <w:rPr>
          <w:rFonts w:ascii="Times New Roman;sans-serif" w:hAnsi="Times New Roman;sans-serif"/>
          <w:b w:val="false"/>
          <w:color w:val="000000"/>
          <w:sz w:val="20"/>
        </w:rPr>
        <w:t xml:space="preserve">On February 23, 2023, we granted 85,837 performance awards under the Civeo Plan, which cliff vest in three years on February 23, 2026 subject to attainment of applicable performance criteria. These awards will be earned in amounts between 0% and 200% of the participant’s target performance share award, based equally on (i) the payout percentage associated with Civeo’s relative total shareholder return rank among a peer group that includes 16 other companies and (ii) the payout percentage associated with Civeo's cumulative operating cash flow over the performance period relative to a preset target. The portion of the performance awards tied to cumulative operating cash flow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recognized compensation expense associated with performance share awards totaling $0.6 million and $0.6 million, respectively. The total fair value of performance share awards that vested during the three months ended March 31, 2023 and 2022 was zero and $2.4 million, respectively. At March 31, 2023, unrecognized compensation cost related to performance share awards was $6.4 million, which is expected to be recognized over a weighted average period of 2.2 years.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13.SEGMENT AND RELATED INFORMATION</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current accounting standards regarding disclosures about segments of an enterprise and related information, we have identified the following reportable segments: Canada and Australia, which represent our strategic focus on hospitality services and workforce accommodations. Prior to the first quarter of 2023, we presented the U.S. operating segment as a separate reportable segment. Our operating segment in the U.S. no longer meets the reportable segment quantitative thresholds required by GAAP and is included below within the Corporate, other and eliminations category. Prior periods have been updated to be consistent with the presentation for the three months ended March 31, 2023.</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business segment for each of the three months ended March 31, 2023 and 2022 is summarized in the following table (in thousands):</w:t>
      </w:r>
    </w:p>
    <w:p>
      <w:pPr>
        <w:pStyle w:val="TextBody"/>
        <w:spacing w:lineRule="auto" w:line="288" w:before="0" w:after="0"/>
        <w:ind w:left="0" w:right="0" w:firstLine="180"/>
        <w:rPr>
          <w:color w:val="000000"/>
        </w:rPr>
      </w:pPr>
      <w:r>
        <w:rPr>
          <w:color w:val="000000"/>
        </w:rPr>
        <w:t> </w:t>
      </w:r>
    </w:p>
    <w:tbl>
      <w:tblPr>
        <w:tblW w:w="9488" w:type="dxa"/>
        <w:jc w:val="center"/>
        <w:tblInd w:w="0" w:type="dxa"/>
        <w:tblCellMar>
          <w:top w:w="28" w:type="dxa"/>
          <w:left w:w="28" w:type="dxa"/>
          <w:bottom w:w="28" w:type="dxa"/>
          <w:right w:w="28" w:type="dxa"/>
        </w:tblCellMar>
      </w:tblPr>
      <w:tblGrid>
        <w:gridCol w:w="1062"/>
        <w:gridCol w:w="937"/>
        <w:gridCol w:w="941"/>
        <w:gridCol w:w="196"/>
        <w:gridCol w:w="736"/>
        <w:gridCol w:w="109"/>
        <w:gridCol w:w="109"/>
        <w:gridCol w:w="109"/>
        <w:gridCol w:w="109"/>
        <w:gridCol w:w="222"/>
        <w:gridCol w:w="734"/>
        <w:gridCol w:w="125"/>
        <w:gridCol w:w="109"/>
        <w:gridCol w:w="109"/>
        <w:gridCol w:w="109"/>
        <w:gridCol w:w="196"/>
        <w:gridCol w:w="631"/>
        <w:gridCol w:w="109"/>
        <w:gridCol w:w="109"/>
        <w:gridCol w:w="109"/>
        <w:gridCol w:w="109"/>
        <w:gridCol w:w="249"/>
        <w:gridCol w:w="707"/>
        <w:gridCol w:w="140"/>
        <w:gridCol w:w="109"/>
        <w:gridCol w:w="109"/>
        <w:gridCol w:w="109"/>
        <w:gridCol w:w="196"/>
        <w:gridCol w:w="736"/>
        <w:gridCol w:w="154"/>
      </w:tblGrid>
      <w:tr>
        <w:trPr/>
        <w:tc>
          <w:tcPr>
            <w:tcW w:w="1062"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w:t>
              <w:br/>
              <w:t>and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br/>
              <w:t>income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w:t>
              <w:br/>
              <w:t>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assets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other and eliminations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other and eliminations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lineRule="auto" w:line="288" w:before="0" w:after="0"/>
        <w:ind w:left="0" w:right="0" w:firstLine="630"/>
        <w:jc w:val="center"/>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This quarterly report on Form 10-Q contains certain “forward-looking statements”</w:t>
      </w:r>
      <w:r>
        <w:rPr>
          <w:color w:val="000000"/>
        </w:rPr>
        <w:t xml:space="preserve"> </w:t>
      </w:r>
      <w:r>
        <w:rPr>
          <w:rFonts w:ascii="Times New Roman;sans-serif" w:hAnsi="Times New Roman;sans-serif"/>
          <w:b w:val="false"/>
          <w:i/>
          <w:color w:val="000000"/>
          <w:sz w:val="20"/>
        </w:rPr>
        <w:t>within the meaning of Section 27A of the Securities Act of 1933 and Section 21E of the Securities Exchange Act of 1934 (the Exchange Act).</w:t>
      </w:r>
      <w:r>
        <w:rPr>
          <w:color w:val="000000"/>
        </w:rPr>
        <w:t xml:space="preserve"> </w:t>
      </w: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Private</w:t>
      </w:r>
      <w:r>
        <w:rPr>
          <w:color w:val="000000"/>
        </w:rPr>
        <w:t xml:space="preserve"> </w:t>
      </w:r>
      <w:r>
        <w:rPr>
          <w:rFonts w:ascii="Times New Roman;sans-serif" w:hAnsi="Times New Roman;sans-serif"/>
          <w:b w:val="false"/>
          <w:i/>
          <w:color w:val="000000"/>
          <w:sz w:val="20"/>
        </w:rPr>
        <w:t>Securities</w:t>
      </w:r>
      <w:r>
        <w:rPr>
          <w:color w:val="000000"/>
        </w:rPr>
        <w:t xml:space="preserve">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i/>
          <w:color w:val="000000"/>
          <w:sz w:val="20"/>
        </w:rPr>
        <w:t>Reform</w:t>
      </w:r>
      <w:r>
        <w:rPr>
          <w:color w:val="000000"/>
        </w:rPr>
        <w:t xml:space="preserve"> </w:t>
      </w:r>
      <w:r>
        <w:rPr>
          <w:rFonts w:ascii="Times New Roman;sans-serif" w:hAnsi="Times New Roman;sans-serif"/>
          <w:b w:val="false"/>
          <w:i/>
          <w:color w:val="000000"/>
          <w:sz w:val="20"/>
        </w:rPr>
        <w:t>Act</w:t>
      </w:r>
      <w:r>
        <w:rPr>
          <w:color w:val="000000"/>
        </w:rPr>
        <w:t xml:space="preserve"> </w:t>
      </w:r>
      <w:r>
        <w:rPr>
          <w:rFonts w:ascii="Times New Roman;sans-serif" w:hAnsi="Times New Roman;sans-serif"/>
          <w:b w:val="false"/>
          <w:i/>
          <w:color w:val="000000"/>
          <w:sz w:val="20"/>
        </w:rPr>
        <w:t>of 1995 provides safe harbor provisions for forward-looking information. The forward-looking statements can be identified by the use of forward-looking terminology including</w:t>
      </w:r>
      <w:r>
        <w:rPr>
          <w:color w:val="000000"/>
        </w:rPr>
        <w:t xml:space="preserve"> “</w:t>
      </w:r>
      <w:r>
        <w:rPr>
          <w:rFonts w:ascii="Times New Roman;sans-serif" w:hAnsi="Times New Roman;sans-serif"/>
          <w:b w:val="false"/>
          <w:i/>
          <w:color w:val="000000"/>
          <w:sz w:val="20"/>
        </w:rPr>
        <w:t>may,”</w:t>
      </w:r>
      <w:r>
        <w:rPr>
          <w:color w:val="000000"/>
        </w:rPr>
        <w:t xml:space="preserve"> “</w:t>
      </w:r>
      <w:r>
        <w:rPr>
          <w:rFonts w:ascii="Times New Roman;sans-serif" w:hAnsi="Times New Roman;sans-serif"/>
          <w:b w:val="false"/>
          <w:i/>
          <w:color w:val="000000"/>
          <w:sz w:val="20"/>
        </w:rPr>
        <w:t>expect,”</w:t>
      </w:r>
      <w:r>
        <w:rPr>
          <w:color w:val="000000"/>
        </w:rPr>
        <w:t xml:space="preserve"> “</w:t>
      </w:r>
      <w:r>
        <w:rPr>
          <w:rFonts w:ascii="Times New Roman;sans-serif" w:hAnsi="Times New Roman;sans-serif"/>
          <w:b w:val="false"/>
          <w:i/>
          <w:color w:val="000000"/>
          <w:sz w:val="20"/>
        </w:rPr>
        <w:t>anticipate,”</w:t>
      </w:r>
      <w:r>
        <w:rPr>
          <w:color w:val="000000"/>
        </w:rPr>
        <w:t xml:space="preserve"> “</w:t>
      </w:r>
      <w:r>
        <w:rPr>
          <w:rFonts w:ascii="Times New Roman;sans-serif" w:hAnsi="Times New Roman;sans-serif"/>
          <w:b w:val="false"/>
          <w:i/>
          <w:color w:val="000000"/>
          <w:sz w:val="20"/>
        </w:rPr>
        <w:t>estimate,”</w:t>
      </w:r>
      <w:r>
        <w:rPr>
          <w:color w:val="000000"/>
        </w:rPr>
        <w:t xml:space="preserve"> “</w:t>
      </w:r>
      <w:r>
        <w:rPr>
          <w:rFonts w:ascii="Times New Roman;sans-serif" w:hAnsi="Times New Roman;sans-serif"/>
          <w:b w:val="false"/>
          <w:i/>
          <w:color w:val="000000"/>
          <w:sz w:val="20"/>
        </w:rPr>
        <w:t>continue,”</w:t>
      </w:r>
      <w:r>
        <w:rPr>
          <w:color w:val="000000"/>
        </w:rPr>
        <w:t xml:space="preserve"> “</w:t>
      </w:r>
      <w:r>
        <w:rPr>
          <w:rFonts w:ascii="Times New Roman;sans-serif" w:hAnsi="Times New Roman;sans-serif"/>
          <w:b w:val="false"/>
          <w:i/>
          <w:color w:val="000000"/>
          <w:sz w:val="20"/>
        </w:rPr>
        <w:t>believe”</w:t>
      </w:r>
      <w:r>
        <w:rPr>
          <w:color w:val="000000"/>
        </w:rPr>
        <w:t xml:space="preserve"> </w:t>
      </w:r>
      <w:r>
        <w:rPr>
          <w:rFonts w:ascii="Times New Roman;sans-serif" w:hAnsi="Times New Roman;sans-serif"/>
          <w:b w:val="false"/>
          <w:i/>
          <w:color w:val="000000"/>
          <w:sz w:val="20"/>
        </w:rPr>
        <w:t>or other similar words.</w:t>
      </w:r>
      <w:r>
        <w:rPr>
          <w:color w:val="000000"/>
        </w:rPr>
        <w:t xml:space="preserve"> </w:t>
      </w:r>
      <w:r>
        <w:rPr>
          <w:rFonts w:ascii="Times New Roman;sans-serif" w:hAnsi="Times New Roman;sans-serif"/>
          <w:b w:val="false"/>
          <w:i/>
          <w:color w:val="000000"/>
          <w:sz w:val="20"/>
        </w:rPr>
        <w:t>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commodities, as well as our expectations about capital expenditures in 2023 and beliefs with respect to liquidity needs. Actual results could differ materially from those projected in the forward-looking statements as a result of a number of important</w:t>
      </w:r>
      <w:r>
        <w:rPr>
          <w:color w:val="000000"/>
        </w:rPr>
        <w:t xml:space="preserve"> </w:t>
      </w:r>
      <w:r>
        <w:rPr>
          <w:rFonts w:ascii="Times New Roman;sans-serif" w:hAnsi="Times New Roman;sans-serif"/>
          <w:b w:val="false"/>
          <w:i/>
          <w:color w:val="000000"/>
          <w:sz w:val="20"/>
        </w:rPr>
        <w:t>factors. For a discussion of known material factors that could affect our results, please refer to “Risk Factors,” “Cautionary Statement Regarding Forward-Looking Statements,” and</w:t>
      </w:r>
      <w:r>
        <w:rPr>
          <w:color w:val="000000"/>
        </w:rPr>
        <w:t xml:space="preserv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i/>
          <w:color w:val="000000"/>
          <w:sz w:val="20"/>
        </w:rPr>
        <w:t>included in our Annual Report on Form 10-K for the year ended December 31, 2022 and our subsequent SEC filings.</w:t>
      </w:r>
      <w:r>
        <w:rPr>
          <w:color w:val="000000"/>
        </w:rPr>
        <w:t xml:space="preserve"> </w:t>
      </w:r>
      <w:r>
        <w:rPr>
          <w:rFonts w:ascii="Times New Roman;sans-serif" w:hAnsi="Times New Roman;sans-serif"/>
          <w:b w:val="false"/>
          <w:i/>
          <w:color w:val="000000"/>
          <w:sz w:val="20"/>
        </w:rPr>
        <w:t>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in certain places in this quarterly report, we may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pStyle w:val="TextBody"/>
        <w:spacing w:lineRule="auto" w:line="288" w:before="0" w:after="0"/>
        <w:ind w:left="0" w:right="0" w:firstLine="18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spacing w:lineRule="auto" w:line="288" w:before="0" w:after="0"/>
        <w:ind w:left="0" w:right="0" w:firstLine="180"/>
        <w:jc w:val="both"/>
        <w:rPr>
          <w:color w:val="000000"/>
        </w:rPr>
      </w:pPr>
      <w:r>
        <w:rPr>
          <w:color w:val="000000"/>
        </w:rPr>
        <w:t>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together with our consolidated financial statements and the notes to those statements included elsewhere in this quarterly report on Form 10-Q.</w:t>
      </w:r>
    </w:p>
    <w:p>
      <w:pPr>
        <w:pStyle w:val="TextBody"/>
        <w:spacing w:lineRule="auto" w:line="288" w:before="160" w:after="160"/>
        <w:jc w:val="both"/>
        <w:rPr/>
      </w:pPr>
      <w:r>
        <w:rPr>
          <w:rFonts w:ascii="Times New Roman;sans-serif" w:hAnsi="Times New Roman;sans-serif"/>
          <w:b/>
          <w:color w:val="000000"/>
          <w:sz w:val="20"/>
        </w:rPr>
        <w:t>Overview and Macroeconomic Environment</w:t>
      </w:r>
      <w:r>
        <w:rPr>
          <w:color w:val="000000"/>
        </w:rPr>
        <w:t> </w:t>
      </w:r>
    </w:p>
    <w:p>
      <w:pPr>
        <w:pStyle w:val="TextBody"/>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the expectations of our customers' shareholders. As a result, demand for our hospitality services is largely sensitive to expected commodity prices, principally related to oil, metallurgical (met) coal, liquefied natural gas (LNG) and iron ore, and the resultant impact of these commodity price expectations on customers' spending. Other factors that can affect our business and financial results include the general global economic environment, including inflationary pressures, supply chain disruptions and labor shortages, volatility affecting the banking system and financial markets, and regulatory changes in Canada, Australia, the U.S. and other markets, including governmental measures introduced to fight climate change. </w:t>
      </w:r>
    </w:p>
    <w:p>
      <w:pPr>
        <w:pStyle w:val="TextBody"/>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63%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160" w:after="160"/>
        <w:ind w:left="0" w:right="0" w:firstLine="540"/>
        <w:jc w:val="both"/>
        <w:rPr/>
      </w:pPr>
      <w:r>
        <w:rPr/>
      </w:r>
    </w:p>
    <w:p>
      <w:pPr>
        <w:pStyle w:val="TextBody"/>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day basis that covers lodging and meals and is based on the duration of customer needs, which can range from several weeks to several years. The remainder of our revenue is generated by our hospitality services at customer-owned locations in Canada and Australia, mobile assets in Canada and our lodges in the U.S.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and into 2023, increasing inflationary pressures and supply chain disruptions have been, and are being,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macro inflationary impacts on labor costs noted above, during the COVID-19 pandemic, we were, and continue to be, impacted by increased staff costs as a result of hospitality labor shortages in Australia as government-imposed and voluntary social distancing and quarantining impacted travel. This labor shortage has been exacerbated by significantly reduced migration in and around Australia affecting labor availability, which has subsequently led to an increased reliance on more expensive temporary labor resources.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historic lows in early 2020 during the start of the COVID-19 pandemic, global oil prices increased in late 2020 and throughout 2021 primarily due to improved global oil demand and lagging global oil supply due to oil production discipline from publicly traded oil producers and OPEC+ countries. These supply/demand dynamics continued in 2022 and were exacerbated by the ongoing conflict between Russia/Ukraine and related sanctions on Russia, as well as actions taken by OPEC+ to adjust production levels, which decreased global fossil fuel supply even further. This led to a significant increase in global oil prices to above $100 per barrel in the second quarter of 2022. Severe inflation and rising interest rates in the second half of 2022 led to concerns of an economic recession and lower oil demand which resulted in decreased oil prices through the remainder of 2022 and into early 2023. In an effort to support the price of oil amidst demand concerns, OPEC+ announced additional oil production cuts in April 2023.</w:t>
      </w:r>
    </w:p>
    <w:p>
      <w:pPr>
        <w:pStyle w:val="TextBody"/>
        <w:spacing w:lineRule="auto" w:line="288" w:before="160" w:after="160"/>
        <w:ind w:left="0" w:right="0" w:firstLine="540"/>
        <w:jc w:val="both"/>
        <w:rPr/>
      </w:pPr>
      <w:r>
        <w:rPr>
          <w:rFonts w:ascii="Times New Roman;sans-serif" w:hAnsi="Times New Roman;sans-serif"/>
          <w:b/>
          <w:i/>
          <w:color w:val="000000"/>
          <w:sz w:val="20"/>
        </w:rPr>
        <w:t xml:space="preserve">Alberta, Canada. </w:t>
      </w:r>
      <w:r>
        <w:rPr>
          <w:rFonts w:ascii="Times New Roman;sans-serif" w:hAnsi="Times New Roman;sans-serif"/>
          <w:b w:val="false"/>
          <w:color w:val="000000"/>
          <w:sz w:val="20"/>
        </w:rPr>
        <w:t>In Canada, Western Canadian Select (WCS) crude is the benchmark price for our oil sands customers. Pricing for WCS is driven by several factors, including the underlying price for West Texas Intermediate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continues to progress towards completion. TMX recently announced that the project is close to 80% complete, with mechanical completion expected to occur at the end of 2023, and the pipeline is expected to be in-service in the first quarter of 2024.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WCS prices in the first quarter of 2023 averaged $56.61 per barrel compared to an average of $82.04 in the first quarter of 2022. The WCS Differential decreased from $27.62 per barrel at the end of the fourth quarter of 2022 to $14.31 at the end of the first quarter of 2023. As of April 24, 2023, the WTI price was $64.11 and the WCS price was $78.76, resulting in a WCS Differential of $14.65.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oil prices reached multi-year highs in the first half of 2022, they fluctuated through the second half of 2022 and into the first quarter of 2023. There is continued uncertainty around commodity price levels, including the impact of inflationary pressures, actions taken by OPEC+ to adjust production levels, geopolitical events such as the ongoing Russia/Ukraine conflict, and regulatory implications on such prices, which could cause our Canadian oil sands and pipeline customers to reduce production, delay expansionary and maintenance spending and defer additional investments in their oil sands assets. </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agreed to not renew an expiring land lease associated with our McClelland Lake Lodge in Alberta, Canada, which expires in June 2023, ten years earlier than originally expected, in order to support our customer’s intent to mine the land where the lodge is located. In addition, the accompanying hospitality services contract at McClelland Lake Lodge expires in June 2023. Based on ongoing discussions with customers in the region, our current assessment is there are no commercially viable opportunities that support the reinstallation of these assets in a different location within the Regional Municipality of Wood Buffalo. Accordingly, we intend to market these assets for new opportunities within Canada and the U.S. Based on our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160" w:after="160"/>
        <w:ind w:left="0" w:right="0" w:firstLine="540"/>
        <w:jc w:val="both"/>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knowledge and understanding of the marketplace, we believe there is demand for these assets for sale or redeployment. Should our marketing efforts fail to identify an economic alternative, other options will be considered. Revenues for the full year 2022 associated with our McClelland Lake Lodge were approximately C$60 million. We expect to have further clarity on potential sales or redeployment opportunities for these assets as we move through 2023. </w:t>
      </w:r>
    </w:p>
    <w:p>
      <w:pPr>
        <w:pStyle w:val="TextBody"/>
        <w:spacing w:lineRule="auto" w:line="288" w:before="160" w:after="160"/>
        <w:ind w:left="0" w:right="0" w:firstLine="540"/>
        <w:jc w:val="both"/>
        <w:rPr/>
      </w:pPr>
      <w:r>
        <w:rPr>
          <w:rFonts w:ascii="Times New Roman;sans-serif" w:hAnsi="Times New Roman;sans-serif"/>
          <w:b/>
          <w:i/>
          <w:color w:val="000000"/>
          <w:sz w:val="20"/>
        </w:rPr>
        <w:t>British Columbia, Canada.</w:t>
      </w:r>
      <w:r>
        <w:rPr>
          <w:color w:val="000000"/>
        </w:rPr>
        <w:t xml:space="preserve"> </w:t>
      </w:r>
      <w:r>
        <w:rPr>
          <w:rFonts w:ascii="Times New Roman;sans-serif" w:hAnsi="Times New Roman;sans-serif"/>
          <w:b w:val="false"/>
          <w:color w:val="000000"/>
          <w:sz w:val="20"/>
        </w:rPr>
        <w:t>Our Sitka Lodge supports the LNG Canada project and related pipeline projects (see discussion below). 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 between Russia/Ukraine has further highlighted the need for secure natural gas supply globally, particularly in Europe. Accordingly, additional investment in LNG supply will be needed to meet the resulting expected long-term LNG demand growth.</w:t>
      </w:r>
    </w:p>
    <w:p>
      <w:pPr>
        <w:pStyle w:val="TextBody"/>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designated portions of the related pipeline construction activity. While our current expectation is that our contracted commitments associated with the CGL pipeline project will be completed in the second half of 2023, any new delays in facility or pipeline construction may result in extensions to these dates.</w:t>
      </w:r>
    </w:p>
    <w:p>
      <w:pPr>
        <w:pStyle w:val="TextBody"/>
        <w:spacing w:lineRule="auto" w:line="288" w:before="160" w:after="283"/>
        <w:ind w:left="0" w:right="0" w:firstLine="540"/>
        <w:jc w:val="both"/>
        <w:rPr/>
      </w:pPr>
      <w:r>
        <w:rPr>
          <w:rFonts w:ascii="Times New Roman;sans-serif" w:hAnsi="Times New Roman;sans-serif"/>
          <w:b/>
          <w:i/>
          <w:color w:val="000000"/>
          <w:sz w:val="20"/>
        </w:rPr>
        <w:t xml:space="preserve">Australia. </w:t>
      </w:r>
      <w:r>
        <w:rPr>
          <w:rFonts w:ascii="Times New Roman;sans-serif" w:hAnsi="Times New Roman;sans-serif"/>
          <w:b w:val="false"/>
          <w:color w:val="000000"/>
          <w:sz w:val="20"/>
        </w:rPr>
        <w:t>In Australia, 84% of our rooms are located in the Bowen Basin of Queensland, Australia and primarily serve met coal mines in that region. Met coal pricing and production growth in the Bowen Basin region is predominantly influenced by the level of global steel production, which decreased by 0.1% during the first three months of 2023 compared to the same period in 2022. The decrease was the result of weakness in the Chinese residential sector and slowing global growth due to inflationary pressures. As of April 24, 2023, met coal spot prices were $257.90 per tonne. Steel output is forecast to improve marginally through 2024, with large infrastructure rollouts in a number of major economies including the U.S. and India.</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Following historic highs in early 2022, met coal prices have since stabilized and were further supported in early 2023 with seasonal weather-related supply interruptions in Australia. Analysts forecast met coal prices to face downward pressure through the second half of 2023 with supply recovery and weaker demand sentiment impacted by the global financial markets. Downward pressure on prices could accelerate in the short term if demand in China worsens.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Civeo's activity in Western Australia is driven primarily by iron ore production, which is a key steel-making ingredient.  Iron ore prices fluctuated in the second half of 2022 and have since stabilized in early 2023. As of April 21, 2023, iron ore spot prices were $110.82 per tonne. Analysts anticipate that infrastructure-led construction activity in China will gradually improve and continue to support more stable prices. Analysts forecast pricing in 2023 to remain between $100 and $115.</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 xml:space="preserve">Other. </w:t>
      </w:r>
      <w:r>
        <w:rPr>
          <w:rFonts w:ascii="Times New Roman;sans-serif" w:hAnsi="Times New Roman;sans-serif"/>
          <w:b w:val="false"/>
          <w:color w:val="000000"/>
          <w:sz w:val="20"/>
        </w:rPr>
        <w:t xml:space="preserve">In the first quarter of 2023, we sold our Acadian Acres lodge assets. In addition, in the second half of 2022, we sold both our wellsite services and our offshore businesses. Our remaining U.S. business supports completion activity in the Bakken. U.S. oil completion activity will continue to be impacted by oil prices, pipeline capacity, federal energy policies and availability of capital to support exploration and production completion plans. </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i/>
          <w:color w:val="000000"/>
          <w:sz w:val="20"/>
        </w:rPr>
        <w:t xml:space="preserve">Recent Commodity Prices. </w:t>
      </w:r>
      <w:r>
        <w:rPr>
          <w:rFonts w:ascii="Times New Roman;sans-serif" w:hAnsi="Times New Roman;sans-serif"/>
          <w:b w:val="false"/>
          <w:color w:val="000000"/>
          <w:sz w:val="20"/>
        </w:rPr>
        <w:t>Recent WTI crude, WCS crude, met coal and iron ore pricing trends are as follows:</w:t>
      </w:r>
    </w:p>
    <w:p>
      <w:pPr>
        <w:pStyle w:val="TextBody"/>
        <w:spacing w:lineRule="auto" w:line="288" w:before="0" w:after="0"/>
        <w:ind w:left="0" w:right="0" w:firstLine="540"/>
        <w:jc w:val="both"/>
        <w:rPr>
          <w:color w:val="000000"/>
        </w:rPr>
      </w:pPr>
      <w:r>
        <w:rPr>
          <w:color w:val="000000"/>
        </w:rPr>
        <w:t> </w:t>
      </w:r>
    </w:p>
    <w:tbl>
      <w:tblPr>
        <w:tblW w:w="8749" w:type="dxa"/>
        <w:jc w:val="center"/>
        <w:tblInd w:w="0" w:type="dxa"/>
        <w:tblCellMar>
          <w:top w:w="28" w:type="dxa"/>
          <w:left w:w="28" w:type="dxa"/>
          <w:bottom w:w="28" w:type="dxa"/>
          <w:right w:w="28" w:type="dxa"/>
        </w:tblCellMar>
      </w:tblPr>
      <w:tblGrid>
        <w:gridCol w:w="1187"/>
        <w:gridCol w:w="1043"/>
        <w:gridCol w:w="1054"/>
        <w:gridCol w:w="109"/>
        <w:gridCol w:w="109"/>
        <w:gridCol w:w="109"/>
        <w:gridCol w:w="211"/>
        <w:gridCol w:w="616"/>
        <w:gridCol w:w="109"/>
        <w:gridCol w:w="109"/>
        <w:gridCol w:w="109"/>
        <w:gridCol w:w="109"/>
        <w:gridCol w:w="211"/>
        <w:gridCol w:w="616"/>
        <w:gridCol w:w="109"/>
        <w:gridCol w:w="109"/>
        <w:gridCol w:w="109"/>
        <w:gridCol w:w="109"/>
        <w:gridCol w:w="243"/>
        <w:gridCol w:w="831"/>
        <w:gridCol w:w="125"/>
        <w:gridCol w:w="109"/>
        <w:gridCol w:w="109"/>
        <w:gridCol w:w="109"/>
        <w:gridCol w:w="211"/>
        <w:gridCol w:w="721"/>
        <w:gridCol w:w="154"/>
      </w:tblGrid>
      <w:tr>
        <w:trPr/>
        <w:tc>
          <w:tcPr>
            <w:tcW w:w="118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8"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Average Price </w:t>
            </w:r>
            <w:r>
              <w:rPr>
                <w:rFonts w:ascii="Times New Roman;sans-serif" w:hAnsi="Times New Roman;sans-serif"/>
                <w:b w:val="false"/>
                <w:color w:val="000000"/>
                <w:sz w:val="13"/>
              </w:rPr>
              <w:t>(1)</w:t>
            </w:r>
          </w:p>
        </w:tc>
      </w:tr>
      <w:tr>
        <w:trPr/>
        <w:tc>
          <w:tcPr>
            <w:tcW w:w="3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br/>
              <w:t>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br/>
              <w:t>Crude</w:t>
              <w:br/>
              <w:t>(per bbl)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WCS</w:t>
              <w:br/>
              <w:t>Crude</w:t>
              <w:br/>
              <w:t>(per bbl)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Hard</w:t>
              <w:br/>
              <w:t xml:space="preserve">Coking Coal </w:t>
              <w:br/>
              <w:t>(Met Coal)</w:t>
              <w:br/>
              <w:t>(per tonne)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Iron</w:t>
              <w:br/>
              <w:t>Ore</w:t>
              <w:br/>
              <w:t>(per tonne)</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 through April 24,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Source: WTI crude prices are from U.S. Energy Information Administration, WCS crude prices and iron ore prices are from Bloomberg and hard coking coal prices are from IHS Markit.</w:t>
      </w:r>
    </w:p>
    <w:p>
      <w:pPr>
        <w:pStyle w:val="TextBody"/>
        <w:spacing w:before="0" w:after="0"/>
        <w:jc w:val="both"/>
        <w:rPr/>
      </w:pPr>
      <w:r>
        <w:rPr/>
      </w:r>
    </w:p>
    <w:p>
      <w:pPr>
        <w:pStyle w:val="TextBody"/>
        <w:spacing w:lineRule="auto" w:line="288" w:before="0" w:after="0"/>
        <w:ind w:left="0" w:right="0" w:firstLine="540"/>
        <w:jc w:val="both"/>
        <w:rPr/>
      </w:pPr>
      <w:r>
        <w:rPr>
          <w:rFonts w:ascii="Times New Roman;sans-serif" w:hAnsi="Times New Roman;sans-serif"/>
          <w:b/>
          <w:color w:val="000000"/>
          <w:sz w:val="20"/>
        </w:rPr>
        <w:t xml:space="preserve">Foreign Currency Exchange Rates. </w:t>
      </w:r>
      <w:r>
        <w:rPr>
          <w:rFonts w:ascii="Times New Roman;sans-serif" w:hAnsi="Times New Roman;sans-serif"/>
          <w:b w:val="false"/>
          <w:color w:val="000000"/>
          <w:sz w:val="20"/>
        </w:rPr>
        <w:t xml:space="preserve">Exchange rates between the U.S. dollar and each of the Canadian dollar and the Australian dollar influence our U.S. 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 </w:t>
      </w:r>
    </w:p>
    <w:tbl>
      <w:tblPr>
        <w:tblW w:w="8202" w:type="dxa"/>
        <w:jc w:val="center"/>
        <w:tblInd w:w="0" w:type="dxa"/>
        <w:tblCellMar>
          <w:top w:w="28" w:type="dxa"/>
          <w:left w:w="28" w:type="dxa"/>
          <w:bottom w:w="28" w:type="dxa"/>
          <w:right w:w="28" w:type="dxa"/>
        </w:tblCellMar>
      </w:tblPr>
      <w:tblGrid>
        <w:gridCol w:w="1200"/>
        <w:gridCol w:w="1056"/>
        <w:gridCol w:w="1059"/>
        <w:gridCol w:w="224"/>
        <w:gridCol w:w="224"/>
        <w:gridCol w:w="228"/>
        <w:gridCol w:w="109"/>
        <w:gridCol w:w="109"/>
        <w:gridCol w:w="109"/>
        <w:gridCol w:w="224"/>
        <w:gridCol w:w="224"/>
        <w:gridCol w:w="228"/>
        <w:gridCol w:w="109"/>
        <w:gridCol w:w="109"/>
        <w:gridCol w:w="109"/>
        <w:gridCol w:w="235"/>
        <w:gridCol w:w="235"/>
        <w:gridCol w:w="236"/>
        <w:gridCol w:w="109"/>
        <w:gridCol w:w="109"/>
        <w:gridCol w:w="109"/>
        <w:gridCol w:w="310"/>
        <w:gridCol w:w="310"/>
        <w:gridCol w:w="311"/>
        <w:gridCol w:w="109"/>
        <w:gridCol w:w="109"/>
        <w:gridCol w:w="109"/>
        <w:gridCol w:w="109"/>
        <w:gridCol w:w="109"/>
        <w:gridCol w:w="109"/>
        <w:gridCol w:w="109"/>
        <w:gridCol w:w="154"/>
      </w:tblGrid>
      <w:tr>
        <w:trPr/>
        <w:tc>
          <w:tcPr>
            <w:tcW w:w="120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Australian dollar to U.S. dollar</w:t>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8090" w:type="dxa"/>
        <w:jc w:val="center"/>
        <w:tblInd w:w="0" w:type="dxa"/>
        <w:tblCellMar>
          <w:top w:w="28" w:type="dxa"/>
          <w:left w:w="28" w:type="dxa"/>
          <w:bottom w:w="28" w:type="dxa"/>
          <w:right w:w="28" w:type="dxa"/>
        </w:tblCellMar>
      </w:tblPr>
      <w:tblGrid>
        <w:gridCol w:w="939"/>
        <w:gridCol w:w="826"/>
        <w:gridCol w:w="829"/>
        <w:gridCol w:w="429"/>
        <w:gridCol w:w="429"/>
        <w:gridCol w:w="431"/>
        <w:gridCol w:w="109"/>
        <w:gridCol w:w="109"/>
        <w:gridCol w:w="109"/>
        <w:gridCol w:w="514"/>
        <w:gridCol w:w="514"/>
        <w:gridCol w:w="516"/>
        <w:gridCol w:w="109"/>
        <w:gridCol w:w="109"/>
        <w:gridCol w:w="109"/>
        <w:gridCol w:w="235"/>
        <w:gridCol w:w="235"/>
        <w:gridCol w:w="236"/>
        <w:gridCol w:w="109"/>
        <w:gridCol w:w="109"/>
        <w:gridCol w:w="109"/>
        <w:gridCol w:w="285"/>
        <w:gridCol w:w="285"/>
        <w:gridCol w:w="406"/>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 to U.S. dollar</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to U.S. dollar</w:t>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fluctuations of the Canadian and Australian dollars have had and will continue to have an impact on the translation of earnings generated from our Canadian and Australian subsidiaries and, therefore, our financial results.</w:t>
      </w:r>
    </w:p>
    <w:p>
      <w:pPr>
        <w:pStyle w:val="TextBody"/>
        <w:spacing w:before="0" w:after="0"/>
        <w:ind w:left="0" w:right="0" w:firstLine="540"/>
        <w:jc w:val="both"/>
        <w:rPr/>
      </w:pPr>
      <w:r>
        <w:rPr/>
      </w:r>
    </w:p>
    <w:p>
      <w:pPr>
        <w:pStyle w:val="TextBody"/>
        <w:spacing w:lineRule="auto" w:line="268" w:before="0" w:after="0"/>
        <w:ind w:left="0" w:right="0" w:firstLine="540"/>
        <w:jc w:val="both"/>
        <w:rPr/>
      </w:pPr>
      <w:r>
        <w:rPr>
          <w:rFonts w:ascii="Times New Roman;sans-serif" w:hAnsi="Times New Roman;sans-serif"/>
          <w:b/>
          <w:color w:val="000000"/>
          <w:sz w:val="20"/>
        </w:rPr>
        <w:t>Capital Expenditures.</w:t>
      </w:r>
      <w:r>
        <w:rPr>
          <w:color w:val="000000"/>
        </w:rPr>
        <w:t xml:space="preserve"> </w:t>
      </w:r>
      <w:r>
        <w:rPr>
          <w:rFonts w:ascii="Times New Roman;sans-serif" w:hAnsi="Times New Roman;sans-serif"/>
          <w:b w:val="false"/>
          <w:color w:val="000000"/>
          <w:sz w:val="20"/>
        </w:rPr>
        <w:t xml:space="preserve">We continue to monitor the global economy, commodity prices, demand for crude oil, met coal, LNG and iron ore, inflation and the resultant impact on the capital spending plans of our customers in order to plan our business activities. We currently expect that our 2023 capital expenditures will be in the range of approximately $45 million to $50 million, compared to 2022 capital expenditures of $25.4 million. The $20 million increase relates to village enhancements in Australia, for which our customer will reimburse us, resulting in a net neutral cash flow impact in 2023. We may adjust our capital expenditure plans in the future as we continue to monitor customer activity. </w:t>
      </w:r>
    </w:p>
    <w:p>
      <w:pPr>
        <w:pStyle w:val="TextBody"/>
        <w:spacing w:before="0" w:after="0"/>
        <w:ind w:left="0" w:right="0" w:firstLine="540"/>
        <w:jc w:val="both"/>
        <w:rPr/>
      </w:pPr>
      <w:r>
        <w:rPr/>
      </w:r>
    </w:p>
    <w:p>
      <w:pPr>
        <w:pStyle w:val="TextBody"/>
        <w:spacing w:lineRule="auto" w:line="268" w:before="0" w:after="0"/>
        <w:ind w:left="0" w:right="0" w:firstLine="540"/>
        <w:rPr/>
      </w:pPr>
      <w:r>
        <w:rPr>
          <w:rFonts w:ascii="Times New Roman;sans-serif" w:hAnsi="Times New Roman;sans-serif"/>
          <w:b w:val="false"/>
          <w:color w:val="000000"/>
          <w:sz w:val="20"/>
        </w:rPr>
        <w:t>See “Liquidity and Capital Resources</w:t>
      </w:r>
      <w:r>
        <w:rPr>
          <w:color w:val="000000"/>
        </w:rPr>
        <w:t xml:space="preserve">” </w:t>
      </w:r>
      <w:r>
        <w:rPr>
          <w:rFonts w:ascii="Times New Roman;sans-serif" w:hAnsi="Times New Roman;sans-serif"/>
          <w:b w:val="false"/>
          <w:color w:val="000000"/>
          <w:sz w:val="20"/>
        </w:rPr>
        <w:t>below for further discussion of our 2023 capital expenditures.</w:t>
      </w:r>
    </w:p>
    <w:p>
      <w:pPr>
        <w:pStyle w:val="TextBody"/>
        <w:spacing w:before="0" w:after="0"/>
        <w:ind w:left="0" w:right="0" w:firstLine="540"/>
        <w:jc w:val="both"/>
        <w:rPr/>
      </w:pPr>
      <w:r>
        <w:rPr/>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jc w:val="both"/>
        <w:rPr/>
      </w:pPr>
      <w:r>
        <w:rPr>
          <w:rFonts w:ascii="Times New Roman;sans-serif" w:hAnsi="Times New Roman;sans-serif"/>
          <w:b/>
          <w:color w:val="000000"/>
          <w:sz w:val="20"/>
        </w:rPr>
        <w:t>Results of Operations</w:t>
      </w:r>
      <w:r>
        <w:rPr>
          <w:color w:val="000000"/>
        </w:rPr>
        <w:t> </w:t>
      </w:r>
    </w:p>
    <w:p>
      <w:pPr>
        <w:pStyle w:val="TextBody"/>
        <w:spacing w:lineRule="auto" w:line="288" w:before="160" w:after="160"/>
        <w:ind w:left="0" w:right="0" w:firstLine="540"/>
        <w:jc w:val="both"/>
        <w:rPr/>
      </w:pPr>
      <w:r>
        <w:rPr>
          <w:rFonts w:ascii="Times New Roman;sans-serif" w:hAnsi="Times New Roman;sans-serif"/>
          <w:b w:val="false"/>
          <w:i/>
          <w:color w:val="000000"/>
          <w:sz w:val="20"/>
        </w:rPr>
        <w:t>Unless otherwise indicated, discussion of results for the three months</w:t>
      </w:r>
      <w:r>
        <w:rPr>
          <w:color w:val="000000"/>
        </w:rPr>
        <w:t xml:space="preserve"> </w:t>
      </w:r>
      <w:r>
        <w:rPr>
          <w:rFonts w:ascii="Times New Roman;sans-serif" w:hAnsi="Times New Roman;sans-serif"/>
          <w:b w:val="false"/>
          <w:i/>
          <w:color w:val="000000"/>
          <w:sz w:val="20"/>
        </w:rPr>
        <w:t>ended</w:t>
      </w:r>
      <w:r>
        <w:rPr>
          <w:color w:val="000000"/>
        </w:rPr>
        <w:t xml:space="preserve"> </w:t>
      </w:r>
      <w:r>
        <w:rPr>
          <w:rFonts w:ascii="Times New Roman;sans-serif" w:hAnsi="Times New Roman;sans-serif"/>
          <w:b w:val="false"/>
          <w:i/>
          <w:color w:val="000000"/>
          <w:sz w:val="20"/>
        </w:rPr>
        <w:t>March 31, 2023, is based on a comparison</w:t>
      </w:r>
      <w:r>
        <w:rPr>
          <w:color w:val="000000"/>
        </w:rPr>
        <w:t xml:space="preserve"> </w:t>
      </w:r>
      <w:r>
        <w:rPr>
          <w:rFonts w:ascii="Times New Roman;sans-serif" w:hAnsi="Times New Roman;sans-serif"/>
          <w:b w:val="false"/>
          <w:i/>
          <w:color w:val="000000"/>
          <w:sz w:val="20"/>
        </w:rPr>
        <w:t>to</w:t>
      </w:r>
      <w:r>
        <w:rPr>
          <w:color w:val="000000"/>
        </w:rPr>
        <w:t xml:space="preserve"> </w:t>
      </w:r>
      <w:r>
        <w:rPr>
          <w:rFonts w:ascii="Times New Roman;sans-serif" w:hAnsi="Times New Roman;sans-serif"/>
          <w:b w:val="false"/>
          <w:i/>
          <w:color w:val="000000"/>
          <w:sz w:val="20"/>
        </w:rPr>
        <w:t>the corresponding period</w:t>
      </w:r>
      <w:r>
        <w:rPr>
          <w:color w:val="000000"/>
        </w:rPr>
        <w:t xml:space="preserve"> </w:t>
      </w:r>
      <w:r>
        <w:rPr>
          <w:rFonts w:ascii="Times New Roman;sans-serif" w:hAnsi="Times New Roman;sans-serif"/>
          <w:b w:val="false"/>
          <w:i/>
          <w:color w:val="000000"/>
          <w:sz w:val="20"/>
        </w:rPr>
        <w:t>of 2022.</w:t>
      </w:r>
      <w:r>
        <w:rPr>
          <w:color w:val="000000"/>
        </w:rPr>
        <w:t> </w:t>
      </w:r>
    </w:p>
    <w:p>
      <w:pPr>
        <w:pStyle w:val="TextBody"/>
        <w:spacing w:lineRule="auto" w:line="288" w:before="0" w:after="0"/>
        <w:rPr/>
      </w:pPr>
      <w:r>
        <w:rPr>
          <w:rFonts w:ascii="Times New Roman;sans-serif" w:hAnsi="Times New Roman;sans-serif"/>
          <w:b/>
          <w:i/>
          <w:color w:val="000000"/>
          <w:sz w:val="20"/>
        </w:rPr>
        <w:t>Results of Operations</w:t>
      </w:r>
      <w:r>
        <w:rPr>
          <w:color w:val="000000"/>
        </w:rPr>
        <w:t xml:space="preserve"> – </w:t>
      </w:r>
      <w:r>
        <w:rPr>
          <w:rFonts w:ascii="Times New Roman;sans-serif" w:hAnsi="Times New Roman;sans-serif"/>
          <w:b/>
          <w:i/>
          <w:color w:val="000000"/>
          <w:sz w:val="20"/>
        </w:rPr>
        <w:t>Three Months Ended March 31, 2023</w:t>
      </w:r>
      <w:r>
        <w:rPr>
          <w:color w:val="000000"/>
        </w:rPr>
        <w:t xml:space="preserve"> </w:t>
      </w:r>
      <w:r>
        <w:rPr>
          <w:rFonts w:ascii="Times New Roman;sans-serif" w:hAnsi="Times New Roman;sans-serif"/>
          <w:b/>
          <w:i/>
          <w:color w:val="000000"/>
          <w:sz w:val="20"/>
        </w:rPr>
        <w:t xml:space="preserve">Compared to Three Months Ended March 31, 2022 </w:t>
      </w:r>
    </w:p>
    <w:p>
      <w:pPr>
        <w:pStyle w:val="TextBody"/>
        <w:spacing w:lineRule="auto" w:line="288" w:before="0" w:after="0"/>
        <w:ind w:left="0" w:right="0" w:firstLine="180"/>
        <w:rPr>
          <w:color w:val="000000"/>
        </w:rPr>
      </w:pPr>
      <w:r>
        <w:rPr>
          <w:color w:val="000000"/>
        </w:rPr>
        <w:t> </w:t>
      </w:r>
    </w:p>
    <w:tbl>
      <w:tblPr>
        <w:tblW w:w="7902" w:type="dxa"/>
        <w:jc w:val="center"/>
        <w:tblInd w:w="0" w:type="dxa"/>
        <w:tblCellMar>
          <w:top w:w="28" w:type="dxa"/>
          <w:left w:w="28" w:type="dxa"/>
          <w:bottom w:w="28" w:type="dxa"/>
          <w:right w:w="28" w:type="dxa"/>
        </w:tblCellMar>
      </w:tblPr>
      <w:tblGrid>
        <w:gridCol w:w="1583"/>
        <w:gridCol w:w="1385"/>
        <w:gridCol w:w="1397"/>
        <w:gridCol w:w="196"/>
        <w:gridCol w:w="646"/>
        <w:gridCol w:w="109"/>
        <w:gridCol w:w="109"/>
        <w:gridCol w:w="109"/>
        <w:gridCol w:w="109"/>
        <w:gridCol w:w="196"/>
        <w:gridCol w:w="646"/>
        <w:gridCol w:w="109"/>
        <w:gridCol w:w="109"/>
        <w:gridCol w:w="109"/>
        <w:gridCol w:w="109"/>
        <w:gridCol w:w="196"/>
        <w:gridCol w:w="631"/>
        <w:gridCol w:w="154"/>
      </w:tblGrid>
      <w:tr>
        <w:trPr/>
        <w:tc>
          <w:tcPr>
            <w:tcW w:w="1583"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w:t>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operating expense </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noncontrolling interest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Civeo Corporation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attributable to preferred shares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Civeo common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color w:val="000000"/>
        </w:rPr>
      </w:pPr>
      <w:r>
        <w:rPr>
          <w:color w:val="000000"/>
        </w:rPr>
        <w:t>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loss attributable to Civeo for the quarter ended March 31, 2023 of $6.4 million, or $0.42 per diluted shares compared to net income attributable to Civeo for the quarter ended March 31, 2022 of $0.9 million, or $0.06 per diluted share.</w:t>
      </w:r>
    </w:p>
    <w:p>
      <w:pPr>
        <w:pStyle w:val="TextBody"/>
        <w:spacing w:lineRule="auto" w:line="288" w:before="0" w:after="0"/>
        <w:ind w:left="0" w:right="0" w:firstLine="540"/>
        <w:jc w:val="both"/>
        <w:rPr/>
      </w:pP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Consolidated revenues increased $1.9 million, or 1%, in the first quarter of 2023 compared to the first quarter of 2022. This increase was primarily due to (i) increased occupancy at our Civeo owned villages in the Australian Bowen and Gunnedah Basins, (ii) increased activity at our integrated services villages in Western Australia and (iii) higher billed rooms at our Canadian lodges. These items were partially offset by (i) lower average daily rates at our Canadian lodges largely due to occupancy mix, (ii) decreased mobile asset activity from pipeline projects in Canada, (iii) reduced activity in the U.S. operations due to the sale of our wellsite and offshore businesses in the second half of 2022 and (iv) a weaker Australian and Canadian dollar relative to the U.S. dollar in the first quarter of 2023 compared to the first quarter of 2022. See the discussion of segment results of operations below for further information.</w:t>
      </w:r>
    </w:p>
    <w:p>
      <w:pPr>
        <w:pStyle w:val="TextBody"/>
        <w:spacing w:lineRule="auto" w:line="288" w:before="160" w:after="160"/>
        <w:ind w:left="0" w:right="0" w:firstLine="540"/>
        <w:jc w:val="both"/>
        <w:rPr/>
      </w:pPr>
      <w:r>
        <w:rPr>
          <w:rFonts w:ascii="Times New Roman;sans-serif" w:hAnsi="Times New Roman;sans-serif"/>
          <w:b/>
          <w:color w:val="000000"/>
          <w:sz w:val="20"/>
        </w:rPr>
        <w:t>Cost of Sales and Services.</w:t>
      </w:r>
      <w:r>
        <w:rPr>
          <w:color w:val="000000"/>
        </w:rPr>
        <w:t xml:space="preserve"> </w:t>
      </w:r>
      <w:r>
        <w:rPr>
          <w:rFonts w:ascii="Times New Roman;sans-serif" w:hAnsi="Times New Roman;sans-serif"/>
          <w:b w:val="false"/>
          <w:color w:val="000000"/>
          <w:sz w:val="20"/>
        </w:rPr>
        <w:t xml:space="preserve">Our consolidated cost of sales and services increased $7.7 million, or 6%, in the first quarter of 2023 compared to the first quarter of 2022. This increase was primarily due to (i) increased occupancy at our Civeo owned villages in the Australian Bowen and Gunnedah Basins, (ii) increased activity at our integrated services villages in Western Australia, (iii) higher billed rooms at our Canadian lodges and (iv) increased operating costs due to inflationary pressures in Canada and Australia. These items were partially offset by (i) reduced activity in the U.S. operations due to the sale of our wellsite and offshore businesses in the second half of 2022 and (ii) a weaker Australian and Canadian dollar relative to the U.S.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160" w:after="160"/>
        <w:ind w:left="0" w:right="0" w:firstLine="540"/>
        <w:jc w:val="both"/>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dollar in the first quarter of 2023 compared to the first quarter of 2022. See the discussion of segment results of operations below for further information. </w:t>
      </w:r>
    </w:p>
    <w:p>
      <w:pPr>
        <w:pStyle w:val="TextBody"/>
        <w:spacing w:lineRule="auto" w:line="288" w:before="160" w:after="160"/>
        <w:ind w:left="0" w:right="0" w:firstLine="540"/>
        <w:jc w:val="both"/>
        <w:rPr/>
      </w:pPr>
      <w:r>
        <w:rPr>
          <w:rFonts w:ascii="Times New Roman;sans-serif" w:hAnsi="Times New Roman;sans-serif"/>
          <w:b/>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 increased $1.0 million, or 6%, in the first quarter of 2023 compared to the first quarter of 2022. This increase was primarily due to higher compensation expense and information technology expense. The increase in compensation expense was primarily due to increased staff and recruitment costs. The increase in information technology expense was related to ongoing investment in our newly implemented human capital management (HCM) system and set-up costs incurred in a cloud computing arrangement for the HCM system, which are being amortized through SG&amp;A expense instead of depreciation and amortization expense. These items were partially offset by lower share-based compensation expense and a weaker Australian and Canadian dollar relative to the U.S. dollar in the first quarter of 2023 compared to the first quarter of 2022. The decrease in share-based compensation expense was due to a relative decrease in our stock price during 2023 compared to 2022.</w:t>
      </w:r>
    </w:p>
    <w:p>
      <w:pPr>
        <w:pStyle w:val="TextBody"/>
        <w:spacing w:lineRule="auto" w:line="288" w:before="160" w:after="160"/>
        <w:ind w:left="0" w:right="0" w:firstLine="540"/>
        <w:jc w:val="both"/>
        <w:rPr/>
      </w:pPr>
      <w:r>
        <w:rPr>
          <w:rFonts w:ascii="Times New Roman;sans-serif" w:hAnsi="Times New Roman;sans-serif"/>
          <w:b/>
          <w:color w:val="000000"/>
          <w:sz w:val="20"/>
        </w:rPr>
        <w:t>Depreciation and Amortization Expense.</w:t>
      </w:r>
      <w:r>
        <w:rPr>
          <w:color w:val="000000"/>
        </w:rPr>
        <w:t xml:space="preserve"> </w:t>
      </w:r>
      <w:r>
        <w:rPr>
          <w:rFonts w:ascii="Times New Roman;sans-serif" w:hAnsi="Times New Roman;sans-serif"/>
          <w:b w:val="false"/>
          <w:color w:val="000000"/>
          <w:sz w:val="20"/>
        </w:rPr>
        <w:t>Depreciation and amortization expense increased $1.5 million, or 8%, in the first quarter of 2023 compared to the first quarter of 2022. The increase was primarily due to shortening the useful lives on certain assets in Canada, including the McClelland Lake Lodge. This was partially offset by lower depreciation and amortization expense due to a weaker Australian and Canadian dollar relative to the U.S. dollar in the first quarter of 2023 compared to the first quarter of 2022 and the sale of our wellsite and offshore businesses in the U.S. in the second half of 2022.</w:t>
      </w:r>
    </w:p>
    <w:p>
      <w:pPr>
        <w:pStyle w:val="TextBody"/>
        <w:spacing w:lineRule="auto" w:line="288" w:before="160" w:after="160"/>
        <w:ind w:left="0" w:right="0" w:firstLine="540"/>
        <w:jc w:val="both"/>
        <w:rPr/>
      </w:pPr>
      <w:r>
        <w:rPr>
          <w:rFonts w:ascii="Times New Roman;sans-serif" w:hAnsi="Times New Roman;sans-serif"/>
          <w:b/>
          <w:color w:val="000000"/>
          <w:sz w:val="20"/>
        </w:rPr>
        <w:t>Operating Income.</w:t>
      </w:r>
      <w:r>
        <w:rPr>
          <w:color w:val="000000"/>
        </w:rPr>
        <w:t xml:space="preserve"> </w:t>
      </w:r>
      <w:r>
        <w:rPr>
          <w:rFonts w:ascii="Times New Roman;sans-serif" w:hAnsi="Times New Roman;sans-serif"/>
          <w:b w:val="false"/>
          <w:color w:val="000000"/>
          <w:sz w:val="20"/>
        </w:rPr>
        <w:t>Consolidated operating income decreased $8.1 million, or 192%, in the first quarter of 2023 compared to the first quarter of 2022, primarily due to increased operating costs due to inflationary pressures in Canada and Australia and reduced mobile asset activity in Canada in the first quarter of 2023 compared to the first quarter of 2022.</w:t>
      </w:r>
    </w:p>
    <w:p>
      <w:pPr>
        <w:pStyle w:val="TextBody"/>
        <w:spacing w:lineRule="auto" w:line="288" w:before="0" w:after="0"/>
        <w:ind w:left="0" w:right="0" w:firstLine="540"/>
        <w:jc w:val="both"/>
        <w:rPr/>
      </w:pPr>
      <w:r>
        <w:rPr>
          <w:rFonts w:ascii="Times New Roman;sans-serif" w:hAnsi="Times New Roman;sans-serif"/>
          <w:b/>
          <w:color w:val="000000"/>
          <w:sz w:val="20"/>
        </w:rPr>
        <w:t>Interest Expense, net.</w:t>
      </w:r>
      <w:r>
        <w:rPr>
          <w:color w:val="000000"/>
        </w:rPr>
        <w:t xml:space="preserve"> </w:t>
      </w:r>
      <w:r>
        <w:rPr>
          <w:rFonts w:ascii="Times New Roman;sans-serif" w:hAnsi="Times New Roman;sans-serif"/>
          <w:b w:val="false"/>
          <w:color w:val="000000"/>
          <w:sz w:val="20"/>
        </w:rPr>
        <w:t xml:space="preserve">Net interest expense increased by $1.2 million, or 47%, in the first quarter of 2023 compared to the first quarter of 2022, primarily related to higher interest rates on credit facility borrowings during 2023 compared to 2022, partially offset by lower average debt levels on credit facility borrowings. </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color w:val="000000"/>
          <w:sz w:val="20"/>
        </w:rPr>
        <w:t xml:space="preserve">Other Income. </w:t>
      </w:r>
      <w:r>
        <w:rPr>
          <w:rFonts w:ascii="Times New Roman;sans-serif" w:hAnsi="Times New Roman;sans-serif"/>
          <w:b w:val="false"/>
          <w:color w:val="000000"/>
          <w:sz w:val="20"/>
        </w:rPr>
        <w:t>Consolidated other income increased $0.8 million in the first quarter of 2023 compared to the first quarter of 2022 primarily due to higher gain on the sale of assets related to the sale of our Acadian Acres accommodation assets in the U.S. in the first quarter of 2023 compared to the first quarter of 2022.</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pPr>
      <w:r>
        <w:rPr>
          <w:rFonts w:ascii="Times New Roman;sans-serif" w:hAnsi="Times New Roman;sans-serif"/>
          <w:b/>
          <w:color w:val="000000"/>
          <w:sz w:val="20"/>
        </w:rPr>
        <w:t>Income Tax (Expense) Benefit.</w:t>
      </w:r>
      <w:r>
        <w:rPr>
          <w:color w:val="000000"/>
        </w:rPr>
        <w:t xml:space="preserve"> </w:t>
      </w:r>
      <w:r>
        <w:rPr>
          <w:rFonts w:ascii="Times New Roman;sans-serif" w:hAnsi="Times New Roman;sans-serif"/>
          <w:b w:val="false"/>
          <w:color w:val="000000"/>
          <w:sz w:val="20"/>
        </w:rPr>
        <w:t>Our income tax expense for the three months ended March 31, 2023 totaled $1.2 million, or (24.3)% of pretax income, compared to an income tax expense of $1.6 million, or 44.9% of pretax income, for the three months ended March 31, 2022. Our effective tax rate for each of the three months ended March 31, 2023 and 2022 was impacted by considering Canada and the U.S. loss jurisdictions that were removed from the annual effective tax rate computation for purposes of computing the interim tax provision.</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color w:val="000000"/>
          <w:sz w:val="20"/>
        </w:rPr>
        <w:t>Other Comprehensive (Loss)</w:t>
      </w:r>
      <w:r>
        <w:rPr>
          <w:color w:val="000000"/>
        </w:rPr>
        <w:t xml:space="preserve"> </w:t>
      </w:r>
      <w:r>
        <w:rPr>
          <w:rFonts w:ascii="Times New Roman;sans-serif" w:hAnsi="Times New Roman;sans-serif"/>
          <w:b/>
          <w:color w:val="000000"/>
          <w:sz w:val="20"/>
        </w:rPr>
        <w:t>Income.</w:t>
      </w:r>
      <w:r>
        <w:rPr>
          <w:color w:val="000000"/>
        </w:rPr>
        <w:t xml:space="preserve"> </w:t>
      </w:r>
      <w:r>
        <w:rPr>
          <w:rFonts w:ascii="Times New Roman;sans-serif" w:hAnsi="Times New Roman;sans-serif"/>
          <w:b w:val="false"/>
          <w:color w:val="000000"/>
          <w:sz w:val="20"/>
        </w:rPr>
        <w:t>Other comprehensive loss increased $10.2 million in the first quarter of 2023 compared to the first quarter of 2022, primarily as a result of foreign currency translation adjustments due to changes in the Canadian and Australian dollar exchange rates compared to the U.S. dollar. The Canadian dollar exchange rate compared to the U.S. dollar remained constant in the first quarter of 2023 compared to a 1% increase in the first quarter of 2022. The Australian dollar exchange rate compared to the U.S. dollar decreased 1% in the first quarter of 2023 compared to a 3% increase in the first quarter of 2022.</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rPr/>
      </w:pPr>
      <w:r>
        <w:rPr>
          <w:rFonts w:ascii="Times New Roman;sans-serif" w:hAnsi="Times New Roman;sans-serif"/>
          <w:b/>
          <w:i/>
          <w:color w:val="000000"/>
          <w:sz w:val="20"/>
        </w:rPr>
        <w:t>Segment Results of Operations</w:t>
      </w:r>
      <w:r>
        <w:rPr>
          <w:color w:val="000000"/>
        </w:rPr>
        <w:t xml:space="preserve"> – </w:t>
      </w:r>
      <w:r>
        <w:rPr>
          <w:rFonts w:ascii="Times New Roman;sans-serif" w:hAnsi="Times New Roman;sans-serif"/>
          <w:b/>
          <w:i/>
          <w:color w:val="000000"/>
          <w:sz w:val="20"/>
        </w:rPr>
        <w:t>Canadian Segment</w:t>
      </w:r>
    </w:p>
    <w:tbl>
      <w:tblPr>
        <w:tblW w:w="6993" w:type="dxa"/>
        <w:jc w:val="center"/>
        <w:tblInd w:w="0" w:type="dxa"/>
        <w:tblCellMar>
          <w:top w:w="28" w:type="dxa"/>
          <w:left w:w="28" w:type="dxa"/>
          <w:bottom w:w="28" w:type="dxa"/>
          <w:right w:w="28" w:type="dxa"/>
        </w:tblCellMar>
      </w:tblPr>
      <w:tblGrid>
        <w:gridCol w:w="1110"/>
        <w:gridCol w:w="973"/>
        <w:gridCol w:w="977"/>
        <w:gridCol w:w="196"/>
        <w:gridCol w:w="646"/>
        <w:gridCol w:w="241"/>
        <w:gridCol w:w="109"/>
        <w:gridCol w:w="109"/>
        <w:gridCol w:w="109"/>
        <w:gridCol w:w="196"/>
        <w:gridCol w:w="646"/>
        <w:gridCol w:w="241"/>
        <w:gridCol w:w="109"/>
        <w:gridCol w:w="109"/>
        <w:gridCol w:w="109"/>
        <w:gridCol w:w="196"/>
        <w:gridCol w:w="631"/>
        <w:gridCol w:w="286"/>
      </w:tblGrid>
      <w:tr>
        <w:trPr/>
        <w:tc>
          <w:tcPr>
            <w:tcW w:w="111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3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Accommodation revenue</w:t>
            </w:r>
            <w:r>
              <w:rPr>
                <w:color w:val="000000"/>
              </w:rPr>
              <w:t xml:space="preserv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64,228 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67,194 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(2,966)</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Mobile facility rental revenue </w:t>
            </w:r>
            <w:r>
              <w:rPr>
                <w:rFonts w:ascii="Times New Roman;sans-serif" w:hAnsi="Times New Roman;sans-serif"/>
                <w:b w:val="false"/>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Food service and other services revenue </w:t>
            </w:r>
            <w:r>
              <w:rPr>
                <w:rFonts w:ascii="Times New Roman;sans-serif" w:hAnsi="Times New Roman;sans-serif"/>
                <w:b w:val="false"/>
                <w:color w:val="000000"/>
                <w:sz w:val="10"/>
              </w:rPr>
              <w:t>(3)</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52,098 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facility rental cost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Average daily rate for lodges</w:t>
            </w:r>
            <w:r>
              <w:rPr>
                <w:color w:val="000000"/>
              </w:rPr>
              <w:t xml:space="preserve"> </w:t>
            </w:r>
            <w:r>
              <w:rPr>
                <w:rFonts w:ascii="Times New Roman;sans-serif" w:hAnsi="Times New Roman;sans-serif"/>
                <w:b w:val="false"/>
                <w:color w:val="000000"/>
                <w:sz w:val="10"/>
              </w:rPr>
              <w:t>(4)</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billed rooms for lodges</w:t>
            </w:r>
            <w:r>
              <w:rPr>
                <w:color w:val="000000"/>
              </w:rPr>
              <w:t xml:space="preserve"> </w:t>
            </w:r>
            <w:r>
              <w:rPr>
                <w:rFonts w:ascii="Times New Roman;sans-serif" w:hAnsi="Times New Roman;sans-serif"/>
                <w:b w:val="false"/>
                <w:color w:val="000000"/>
                <w:sz w:val="10"/>
              </w:rPr>
              <w:t>(5)</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642,796 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635,555 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0.790 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rooms and hospitality services for owned rooms for the periods presented.</w:t>
      </w:r>
    </w:p>
    <w:p>
      <w:pPr>
        <w:pStyle w:val="TextBody"/>
        <w:spacing w:lineRule="auto" w:line="288" w:before="0" w:after="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spacing w:lineRule="auto" w:line="288" w:before="0" w:after="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services, laundry and water and wastewater treatment services for the periods presented.</w:t>
      </w:r>
    </w:p>
    <w:p>
      <w:pPr>
        <w:pStyle w:val="TextBody"/>
        <w:spacing w:lineRule="auto" w:line="288" w:before="0" w:after="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Average daily rate is based on billed rooms and accommodation revenue. </w:t>
      </w:r>
    </w:p>
    <w:p>
      <w:pPr>
        <w:pStyle w:val="TextBody"/>
        <w:spacing w:lineRule="auto" w:line="288" w:before="0" w:after="0"/>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Billed rooms represents total billed days for owned assets for the periods presented. </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reported revenues in the first quarter of 2023 that were $6.5 million, or 7%, lower than the first quarter of 2022. The weakening of the average exchange rate for the Canadian dollar relative to the U.S. dollar by 6% in the first quarter of 2023 compared to the first quarter of 2022 resulted in a $6.0 million period-over-period decrease in revenues. Excluding the impact of the weaker Canadian exchange rate, the revenue decrease was driven by (i) reduced mobile asset activity from pipeline projects and (ii) a lower average daily rate at our lodges due to occupancy mix and a tiered pricing structure at certain lodges that reduces at higher volumes. These items were partially offset by higher billed rooms at our lodges.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cost of sales and services decreased $1.3 million, or 2%, in the first quarter of 2023 compared to the first quarter of 2022. The weakening of the average exchange rate for the Canadian dollar relative to the U.S. dollar by 6% in the first quarter of 2023 compared to the first quarter of 2022 resulted in a $5.0 million period-over-period decrease in cost of sales and services. Excluding the impact of the weaker Canadian exchange rate, the increase in cost of sales and services was driven by (i) increased occupancy at our lodges and (ii) increased operating costs due to inflationary pressures.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gross margin as a percentage of revenues decreased from 21.6% in the first quarter of 2022 to 17.4% in the first quarter of 2023. This was primarily driven by reduced margins at our lodges due to inflationary pressures and reduced margins from our mobile asset activity as certain higher margin components were recognized over the initial contract terms through late 2022, with 2023 representing continuing operations.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rPr/>
      </w:pPr>
      <w:r>
        <w:rPr>
          <w:rFonts w:ascii="Times New Roman;sans-serif" w:hAnsi="Times New Roman;sans-serif"/>
          <w:b/>
          <w:i/>
          <w:color w:val="000000"/>
          <w:sz w:val="20"/>
        </w:rPr>
        <w:t>Segment Results of Operations</w:t>
      </w:r>
      <w:r>
        <w:rPr>
          <w:color w:val="000000"/>
        </w:rPr>
        <w:t xml:space="preserve"> – </w:t>
      </w:r>
      <w:r>
        <w:rPr>
          <w:rFonts w:ascii="Times New Roman;sans-serif" w:hAnsi="Times New Roman;sans-serif"/>
          <w:b/>
          <w:i/>
          <w:color w:val="000000"/>
          <w:sz w:val="20"/>
        </w:rPr>
        <w:t>Australian</w:t>
      </w:r>
      <w:r>
        <w:rPr>
          <w:color w:val="000000"/>
        </w:rPr>
        <w:t xml:space="preserve"> </w:t>
      </w:r>
      <w:r>
        <w:rPr>
          <w:rFonts w:ascii="Times New Roman;sans-serif" w:hAnsi="Times New Roman;sans-serif"/>
          <w:b/>
          <w:i/>
          <w:color w:val="000000"/>
          <w:sz w:val="20"/>
        </w:rPr>
        <w:t>Segment</w:t>
      </w:r>
    </w:p>
    <w:tbl>
      <w:tblPr>
        <w:tblW w:w="7022" w:type="dxa"/>
        <w:jc w:val="center"/>
        <w:tblInd w:w="0" w:type="dxa"/>
        <w:tblCellMar>
          <w:top w:w="28" w:type="dxa"/>
          <w:left w:w="28" w:type="dxa"/>
          <w:bottom w:w="28" w:type="dxa"/>
          <w:right w:w="28" w:type="dxa"/>
        </w:tblCellMar>
      </w:tblPr>
      <w:tblGrid>
        <w:gridCol w:w="1114"/>
        <w:gridCol w:w="977"/>
        <w:gridCol w:w="983"/>
        <w:gridCol w:w="196"/>
        <w:gridCol w:w="646"/>
        <w:gridCol w:w="241"/>
        <w:gridCol w:w="109"/>
        <w:gridCol w:w="109"/>
        <w:gridCol w:w="109"/>
        <w:gridCol w:w="196"/>
        <w:gridCol w:w="646"/>
        <w:gridCol w:w="241"/>
        <w:gridCol w:w="109"/>
        <w:gridCol w:w="109"/>
        <w:gridCol w:w="109"/>
        <w:gridCol w:w="196"/>
        <w:gridCol w:w="646"/>
        <w:gridCol w:w="286"/>
      </w:tblGrid>
      <w:tr>
        <w:trPr/>
        <w:tc>
          <w:tcPr>
            <w:tcW w:w="111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Accommodation revenue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40,599 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Food service and other services revenue</w:t>
            </w:r>
            <w:r>
              <w:rPr>
                <w:color w:val="000000"/>
              </w:rPr>
              <w:t xml:space="preserve"> </w:t>
            </w:r>
            <w:r>
              <w:rPr>
                <w:rFonts w:ascii="Times New Roman;sans-serif" w:hAnsi="Times New Roman;sans-serif"/>
                <w:b w:val="false"/>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36,390 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63,529 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24,363 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44,514 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Average daily rate for villages</w:t>
            </w:r>
            <w:r>
              <w:rPr>
                <w:color w:val="000000"/>
              </w:rPr>
              <w:t xml:space="preserve"> </w:t>
            </w:r>
            <w:r>
              <w:rPr>
                <w:rFonts w:ascii="Times New Roman;sans-serif" w:hAnsi="Times New Roman;sans-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billed rooms for villages</w:t>
            </w:r>
            <w:r>
              <w:rPr>
                <w:color w:val="000000"/>
              </w:rPr>
              <w:t xml:space="preserve"> </w:t>
            </w:r>
            <w:r>
              <w:rPr>
                <w:rFonts w:ascii="Times New Roman;sans-serif" w:hAnsi="Times New Roman;sans-serif"/>
                <w:b w:val="false"/>
                <w:color w:val="000000"/>
                <w:sz w:val="10"/>
              </w:rPr>
              <w:t>(4)</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522,713 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474,474 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48,239 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Australian dollar to U.S. dollar</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0.724 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village rooms and hospitality services for owned rooms for the periods presented.</w:t>
      </w:r>
    </w:p>
    <w:p>
      <w:pPr>
        <w:pStyle w:val="TextBody"/>
        <w:spacing w:lineRule="auto" w:line="288" w:before="0" w:after="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food services and other services, including facilities management for the periods presented.</w:t>
      </w:r>
    </w:p>
    <w:p>
      <w:pPr>
        <w:pStyle w:val="TextBody"/>
        <w:spacing w:lineRule="auto" w:line="288" w:before="0" w:after="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Average daily rate is based on billed rooms and accommodation revenue.</w:t>
      </w:r>
    </w:p>
    <w:p>
      <w:pPr>
        <w:pStyle w:val="TextBody"/>
        <w:spacing w:lineRule="auto" w:line="288" w:before="0" w:after="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Billed rooms represent total billed days for owned assets for the periods presented.</w:t>
      </w:r>
    </w:p>
    <w:p>
      <w:pPr>
        <w:pStyle w:val="TextBody"/>
        <w:spacing w:before="0" w:after="0"/>
        <w:ind w:left="0" w:right="0" w:hanging="36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reported revenues in the first quarter of 2023 that were $13.5 million, or 21%, higher than the first quarter of 2022. The weakening of the average exchange rate for Australian dollars relative to the U.S. dollar by 5% in the first quarter of 2023 compared to the first quarter of 2022 resulted in a $4.6 million period-over-period decrease in revenues. On a constant currency basis, the Australian segment experienced a 28% period-over-period increase in revenues. Excluding the impact of the weaker Australian exchange rate, the increase in the Australian segment was driven by increased occupancy at our Civeo owned villages in the Bowen Basin and Gunnedah Basin and higher activity for our integrated services business in Western Australia.</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cost of sales and services increased $13.8 million, or 31%, in the first quarter of 2023 compared to the first quarter of 2022. The weakening of the average exchange rate for Australian dollars relative to the U.S. dollar by 5% in the first quarter of 2023 compared to the first quarter of 2022 resulted in a $3.5 million period-over-period decrease in cost of sales and services. Excluding the impact of the weaker Australian exchange rate, the increase in cost of sales and services was largely driven by increased occupancy at our Bowen Basin and Gunnedah Basin owned villages and our integrated services business in Western Australia and increased operating costs due to inflationary pressures.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gross margin as a percentage of revenues decreased to 24.3% in the first quarter of 2023 from 29.9% in the first quarter of 2022. This was primarily driven by an increased relative revenue contribution from our integrated services business, which has a service-only business model, and therefore generates lower overall gross margins than our accommodation business and increased operating costs due to inflationary pressures, partially offset by improved margins at Civeo owned villages in the Bowen and Gunnedah Basins as a result of increased occupancy.</w:t>
      </w:r>
    </w:p>
    <w:p>
      <w:pPr>
        <w:pStyle w:val="TextBody"/>
        <w:spacing w:before="0" w:after="0"/>
        <w:ind w:left="0" w:right="0" w:firstLine="540"/>
        <w:jc w:val="both"/>
        <w:rPr/>
      </w:pPr>
      <w:r>
        <w:rPr/>
      </w:r>
    </w:p>
    <w:p>
      <w:pPr>
        <w:pStyle w:val="TextBody"/>
        <w:spacing w:lineRule="auto" w:line="276" w:before="0" w:after="0"/>
        <w:rPr/>
      </w:pPr>
      <w:r>
        <w:rPr>
          <w:rFonts w:ascii="Times New Roman;sans-serif" w:hAnsi="Times New Roman;sans-serif"/>
          <w:b/>
          <w:color w:val="000000"/>
          <w:sz w:val="20"/>
        </w:rPr>
        <w:t>Liquidity</w:t>
      </w:r>
      <w:r>
        <w:rPr>
          <w:color w:val="000000"/>
        </w:rPr>
        <w:t xml:space="preserve"> </w:t>
      </w:r>
      <w:r>
        <w:rPr>
          <w:rFonts w:ascii="Times New Roman;sans-serif" w:hAnsi="Times New Roman;sans-serif"/>
          <w:b/>
          <w:color w:val="000000"/>
          <w:sz w:val="20"/>
        </w:rPr>
        <w:t>and</w:t>
      </w:r>
      <w:r>
        <w:rPr>
          <w:color w:val="000000"/>
        </w:rPr>
        <w:t xml:space="preserve"> </w:t>
      </w:r>
      <w:r>
        <w:rPr>
          <w:rFonts w:ascii="Times New Roman;sans-serif" w:hAnsi="Times New Roman;sans-serif"/>
          <w:b/>
          <w:color w:val="000000"/>
          <w:sz w:val="20"/>
        </w:rPr>
        <w:t>Capital Resources</w:t>
      </w:r>
    </w:p>
    <w:p>
      <w:pPr>
        <w:pStyle w:val="TextBody"/>
        <w:spacing w:before="0" w:after="0"/>
        <w:ind w:left="0" w:right="0" w:firstLine="18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repurchase our common shares and preferred shares and fund strategic business acquisitions. In the future, capital may be required to move lodges from one site to another. Historically, our primary sources of funds have been available cash, cash flow from operations, borrowings under our Credit Agreement and proceeds from equity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issuances. In the future, we may seek to access the debt and equity capital markets from time to time to raise additional capital, increase liquidity, fund acquisitions or refinance debt.</w:t>
      </w:r>
    </w:p>
    <w:p>
      <w:pPr>
        <w:pStyle w:val="TextBody"/>
        <w:spacing w:before="0" w:after="0"/>
        <w:ind w:left="0" w:right="0" w:firstLine="45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liquidity position as of March 31, 2023 and December 31, 2022 (in thousands):</w:t>
      </w:r>
    </w:p>
    <w:tbl>
      <w:tblPr>
        <w:tblW w:w="6357" w:type="dxa"/>
        <w:jc w:val="center"/>
        <w:tblInd w:w="0" w:type="dxa"/>
        <w:tblCellMar>
          <w:top w:w="28" w:type="dxa"/>
          <w:left w:w="28" w:type="dxa"/>
          <w:bottom w:w="28" w:type="dxa"/>
          <w:right w:w="28" w:type="dxa"/>
        </w:tblCellMar>
      </w:tblPr>
      <w:tblGrid>
        <w:gridCol w:w="1170"/>
        <w:gridCol w:w="1024"/>
        <w:gridCol w:w="1031"/>
        <w:gridCol w:w="237"/>
        <w:gridCol w:w="891"/>
        <w:gridCol w:w="132"/>
        <w:gridCol w:w="109"/>
        <w:gridCol w:w="109"/>
        <w:gridCol w:w="109"/>
        <w:gridCol w:w="279"/>
        <w:gridCol w:w="1047"/>
        <w:gridCol w:w="219"/>
      </w:tblGrid>
      <w:tr>
        <w:trPr/>
        <w:tc>
          <w:tcPr>
            <w:tcW w:w="117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Lender commitments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against revolving credit capacity</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(120,441)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(102,505)</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letters of credit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Unused availability</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78,193 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96,130 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 liquidity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90,559 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104,084 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totaling $0.4 million was provided by operations during the three months ended March 31, 2023, compared to $2.0 million provided by operations during the three months ended March 31, 2022. During the three months ended March 31, 2023 and 2022, $15.6 million and $21.8 million was used in working capital, respectively. The year-over-over decrease in working capital outflows in 2023 compared to 2022 is largely due to a payment received from a customer for village enhancements in Australia, partially offset by the timing of payments during the three months ended March 31, 2023 compared to the three months ended March 31, 2022. </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was used in investing activities during the three months ended March 31, 2023 in the amount of $2.5 million, compared to cash used in investing activities during the three months ended March 31, 2022 in the amount of $1.0 million. The increase in cash used in investing activities was primarily due to higher capital expenditures. Capital expenditures totaled $4.8 million and $3.6 million during the three months ended March 31, 2023 and 2022, respectively. Capital expenditures in both periods were primarily related to maintenance. We received proceeds from the sale of property, plant and equipment of $2.3 million during the three months ended March 31, 2023 primarily related to the sale of our Acadian Acres accommodation assets in the U.S., compared to $2.4 million during the three months ended March 31, 2022 primarily related to the sale of undeveloped land holdings in Australia and various mobile assets in Canada.</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expenditures for 2023 to be in the range of $45 million to $50 million, which excludes any unannounced and uncommitted projects, the spending for which is contingent on obtaining customer contracts or commitments. Whether planned expenditures will actually be spent in 2023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of $6.6 million was provided by financing activities during the three months ended March 31, 2023 primarily due to net borrowings under our revolving credit facilities of $17.7 million, partially offset by term loan repayments of $7.4 million and repurchases of our common shares of $3.8 million. Net cash of $1.3 million was used in financing activities during the three months ended March 31, 2022 primarily due to term loan repayments of $8.0 million and $1.0 million used to settle tax obligations on vested shares under our share-based compensation plans, partially offset by net borrowings under our revolving credit facilities of $7.7 million.</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debt outstanding during the three months ended March 31, 2023 (in thousands): </w:t>
      </w:r>
    </w:p>
    <w:tbl>
      <w:tblPr>
        <w:tblW w:w="6172" w:type="dxa"/>
        <w:jc w:val="center"/>
        <w:tblInd w:w="0" w:type="dxa"/>
        <w:tblCellMar>
          <w:top w:w="28" w:type="dxa"/>
          <w:left w:w="28" w:type="dxa"/>
          <w:bottom w:w="28" w:type="dxa"/>
          <w:right w:w="28" w:type="dxa"/>
        </w:tblCellMar>
      </w:tblPr>
      <w:tblGrid>
        <w:gridCol w:w="1525"/>
        <w:gridCol w:w="1342"/>
        <w:gridCol w:w="1347"/>
        <w:gridCol w:w="109"/>
        <w:gridCol w:w="109"/>
        <w:gridCol w:w="109"/>
        <w:gridCol w:w="109"/>
        <w:gridCol w:w="109"/>
        <w:gridCol w:w="109"/>
        <w:gridCol w:w="109"/>
        <w:gridCol w:w="109"/>
        <w:gridCol w:w="196"/>
        <w:gridCol w:w="73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revolving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revolving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term loans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142,608 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our Board authorized a common share repurchase program to repurchase up to 5.0% of our total common shares which are issued and outstanding, or 685,614 common shares, over a twelve month period. See Note 11 – Share Repurchase Programs to the notes to the unaudited consolidated financial statements included in Item 1 of this quarterly report for further discussion.</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outstanding letters of credit of $0.3 million under the U.S. facility, zero under the Australian facility and $1.1 million under the Canadian facility. We also had outstanding bank guarantees of A$0.8 million under the Australian facility.</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 Debt to the notes to the unaudited consolidated financial statements included in Item 1 of this quarterly report for further discussion.</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pStyle w:val="TextBody"/>
        <w:spacing w:before="0" w:after="0"/>
        <w:ind w:left="0" w:right="0" w:firstLine="585"/>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preferred shares we issued in the Noralta acquisition were entitled to receive a 2% annual dividend on the liquidation preference (initially $10,000 per share), paid quarterly in cash or, at our option, by increasing the preferred shares’ liquidation preference, or any combination thereof. Following the repurchase and conversion of our outstanding preferred shares in the fourth quarter of 2022, no further dividends on the preferred shares will be paid.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2022.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risks are our exposure to changes in interest rates and foreign currency exchange rates.</w:t>
      </w:r>
    </w:p>
    <w:p>
      <w:pPr>
        <w:pStyle w:val="TextBody"/>
        <w:spacing w:lineRule="auto" w:line="288" w:before="0" w:after="0"/>
        <w:ind w:left="0" w:right="0" w:firstLine="54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facilities that are subject to the risk of higher interest charges associated with increases in interest rates. As of March 31, 2023, we had $142.6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$1.4 million annually, based on our floating-rate debt obligations and interest rates in effect as of March 31, 2023.</w:t>
      </w:r>
    </w:p>
    <w:p>
      <w:pPr>
        <w:pStyle w:val="TextBody"/>
        <w:spacing w:before="0" w:after="0"/>
        <w:ind w:left="0" w:right="0" w:firstLine="54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C$174 million and A$223 million, respectively, at March 31, 2023. We use a sensitivity analysis model to measure the impact of a 10% adverse movement of foreign currency exchange rates against the U.S. dollar. A hypothetical 10% adverse change in the value of the Canadian dollar and Australian dollar relative to the U.S. dollar as of March 31, 2023 would result in translation adjustments of approximately $17 million and $22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pStyle w:val="TextBody"/>
        <w:spacing w:lineRule="auto" w:line="288" w:before="0" w:after="0"/>
        <w:ind w:left="0" w:right="0" w:firstLine="18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2023, at the reasonable assurance level.</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0"/>
        <w:ind w:left="0" w:right="0" w:firstLine="540"/>
        <w:jc w:val="both"/>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our internal control over financial reporting (as defined in Rules 13a-15(f) and 15d-15(f) of the Exchange Act) which have materially affected, or are reasonably likely to materially affect, our internal control over financial reporting.</w:t>
      </w:r>
    </w:p>
    <w:p>
      <w:pPr>
        <w:pStyle w:val="TextBody"/>
        <w:spacing w:before="0" w:after="0"/>
        <w:ind w:left="0" w:right="0" w:firstLine="540"/>
        <w:jc w:val="both"/>
        <w:rPr/>
      </w:pPr>
      <w:r>
        <w:rPr/>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lineRule="auto" w:line="288" w:before="0" w:after="0"/>
        <w:ind w:left="0" w:right="0" w:firstLine="1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pStyle w:val="TextBody"/>
        <w:spacing w:lineRule="auto" w:line="288" w:before="0" w:after="0"/>
        <w:ind w:left="0" w:right="0" w:firstLine="54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our risk factors, you should carefully read the section entitled "Risk Factors” included in our Annual Report on Form 10-K for the year ended December 31, 2022.</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of our common shares during the three months ended March 31, 2023.</w:t>
      </w:r>
    </w:p>
    <w:p>
      <w:pPr>
        <w:pStyle w:val="TextBody"/>
        <w:spacing w:before="0" w:after="0"/>
        <w:ind w:left="0" w:right="0" w:firstLine="540"/>
        <w:jc w:val="both"/>
        <w:rPr/>
      </w:pPr>
      <w:r>
        <w:rPr/>
      </w:r>
    </w:p>
    <w:tbl>
      <w:tblPr>
        <w:tblW w:w="10205" w:type="dxa"/>
        <w:jc w:val="center"/>
        <w:tblInd w:w="0" w:type="dxa"/>
        <w:tblCellMar>
          <w:top w:w="28" w:type="dxa"/>
          <w:left w:w="28" w:type="dxa"/>
          <w:bottom w:w="28" w:type="dxa"/>
          <w:right w:w="28" w:type="dxa"/>
        </w:tblCellMar>
      </w:tblPr>
      <w:tblGrid>
        <w:gridCol w:w="549"/>
        <w:gridCol w:w="423"/>
        <w:gridCol w:w="427"/>
        <w:gridCol w:w="569"/>
        <w:gridCol w:w="477"/>
        <w:gridCol w:w="478"/>
        <w:gridCol w:w="109"/>
        <w:gridCol w:w="109"/>
        <w:gridCol w:w="109"/>
        <w:gridCol w:w="287"/>
        <w:gridCol w:w="815"/>
        <w:gridCol w:w="159"/>
        <w:gridCol w:w="109"/>
        <w:gridCol w:w="109"/>
        <w:gridCol w:w="109"/>
        <w:gridCol w:w="831"/>
        <w:gridCol w:w="831"/>
        <w:gridCol w:w="834"/>
        <w:gridCol w:w="891"/>
        <w:gridCol w:w="799"/>
        <w:gridCol w:w="801"/>
        <w:gridCol w:w="109"/>
        <w:gridCol w:w="109"/>
        <w:gridCol w:w="162"/>
      </w:tblGrid>
      <w:tr>
        <w:trPr/>
        <w:tc>
          <w:tcPr>
            <w:tcW w:w="54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shares purchased as part of publicly announced plans or programs </w:t>
            </w:r>
          </w:p>
        </w:tc>
        <w:tc>
          <w:tcPr>
            <w:tcW w:w="2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be purchased under the plans or programs</w:t>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2023 - January 31, 2023</w:t>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685,614 </w:t>
            </w:r>
          </w:p>
        </w:tc>
        <w:tc>
          <w:tcPr>
            <w:tcW w:w="8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2023 - February 28, 2023</w:t>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685,614 </w:t>
            </w:r>
          </w:p>
        </w:tc>
        <w:tc>
          <w:tcPr>
            <w:tcW w:w="8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2023 - March 31, 2023</w:t>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168,656 </w:t>
            </w:r>
          </w:p>
        </w:tc>
        <w:tc>
          <w:tcPr>
            <w:tcW w:w="4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516,958 </w:t>
            </w:r>
          </w:p>
        </w:tc>
        <w:tc>
          <w:tcPr>
            <w:tcW w:w="8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168,656 </w:t>
            </w:r>
          </w:p>
        </w:tc>
        <w:tc>
          <w:tcPr>
            <w:tcW w:w="4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516,958 </w:t>
            </w:r>
          </w:p>
        </w:tc>
        <w:tc>
          <w:tcPr>
            <w:tcW w:w="8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August 2022, our Board authorized a common share repurchase program, which expires August 2023, to repurchase up to 5.0% of our total common shares which are issued and outstanding, or approximately 685,000 common shares over a twelve month period. We repurchased an aggregate of 168,656 of our common shares outstanding for approximately $3.8 million during the three months ended March 31, 2023.</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(a)INDEX OF EXHIBITS</w:t>
      </w:r>
    </w:p>
    <w:tbl>
      <w:tblPr>
        <w:tblW w:w="10205" w:type="dxa"/>
        <w:jc w:val="left"/>
        <w:tblInd w:w="0" w:type="dxa"/>
        <w:tblCellMar>
          <w:top w:w="28" w:type="dxa"/>
          <w:left w:w="28" w:type="dxa"/>
          <w:bottom w:w="28" w:type="dxa"/>
          <w:right w:w="28" w:type="dxa"/>
        </w:tblCellMar>
      </w:tblPr>
      <w:tblGrid>
        <w:gridCol w:w="292"/>
        <w:gridCol w:w="256"/>
        <w:gridCol w:w="257"/>
        <w:gridCol w:w="115"/>
        <w:gridCol w:w="115"/>
        <w:gridCol w:w="116"/>
        <w:gridCol w:w="2638"/>
        <w:gridCol w:w="2638"/>
        <w:gridCol w:w="3778"/>
      </w:tblGrid>
      <w:tr>
        <w:trPr/>
        <w:tc>
          <w:tcPr>
            <w:tcW w:w="29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78" w:type="dxa"/>
            <w:tcBorders/>
            <w:shd w:fill="auto" w:val="clear"/>
            <w:vAlign w:val="center"/>
          </w:tcPr>
          <w:p>
            <w:pPr>
              <w:pStyle w:val="TableContents"/>
              <w:spacing w:before="0" w:after="283"/>
              <w:rPr>
                <w:sz w:val="4"/>
                <w:szCs w:val="4"/>
              </w:rPr>
            </w:pPr>
            <w:r>
              <w:rPr>
                <w:sz w:val="4"/>
                <w:szCs w:val="4"/>
              </w:rPr>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rbc-civeoxfirstamendment.htm">
              <w:r>
                <w:rPr>
                  <w:rStyle w:val="InternetLink"/>
                  <w:rFonts w:ascii="Times New Roman;sans-serif" w:hAnsi="Times New Roman;sans-serif"/>
                  <w:b w:val="false"/>
                  <w:color w:val="0000FF"/>
                  <w:sz w:val="20"/>
                  <w:u w:val="single"/>
                </w:rPr>
                <w:t>First Amendment to Syndicated Facility Agreement, dated as of March 31, 2023, among Civeo Corporation, Civeo Management LLC and Civeo Pty Limited, as Borrowers, certain subsidiary guarantors of the Borrowers party thereto, the Lenders party thereto, the Issuing Banks, the Swing Line Lenders, Royal Bank of Canada, as administrative agent for the U.S. Lenders, U.S. collateral agent, administrative agent for the Canadian Lenders and Canadian collateral agent and RBC Europe Limited, as administrative agent for the Australian Lenders and Australian collateral agent.</w:t>
              </w:r>
            </w:hyperlink>
            <w:r>
              <w:rPr>
                <w:color w:val="000000"/>
              </w:rPr>
              <w:t xml:space="preserve"> </w:t>
            </w:r>
          </w:p>
        </w:tc>
      </w:tr>
      <w:tr>
        <w:trPr/>
        <w:tc>
          <w:tcPr>
            <w:tcW w:w="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03-31x2023exhibit311.htm">
              <w:r>
                <w:rPr>
                  <w:rStyle w:val="InternetLink"/>
                  <w:rFonts w:ascii="Times New Roman;sans-serif" w:hAnsi="Times New Roman;sans-serif"/>
                  <w:b w:val="false"/>
                  <w:color w:val="0000FF"/>
                  <w:sz w:val="20"/>
                  <w:u w:val="single"/>
                </w:rPr>
                <w:t>Certification of Chief Executive Officer of Civeo Corporation pursuant to Rules 13a-14(a) or 15d-14(a) under the Securities Exchange Act of 1934.</w:t>
              </w:r>
            </w:hyperlink>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03-31x2023exhibit312.htm">
              <w:r>
                <w:rPr>
                  <w:rStyle w:val="InternetLink"/>
                  <w:rFonts w:ascii="Times New Roman;sans-serif" w:hAnsi="Times New Roman;sans-serif"/>
                  <w:b w:val="false"/>
                  <w:color w:val="0000FF"/>
                  <w:sz w:val="20"/>
                  <w:u w:val="single"/>
                </w:rPr>
                <w:t>Certification of Chief Financial Officer of Civeo Corporation pursuant to Rules 13a-14(a) or 15d-14(a) under the Securities Exchange Act of 1934.</w:t>
              </w:r>
            </w:hyperlink>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03-30x2023exhibit321.htm">
              <w:r>
                <w:rPr>
                  <w:rStyle w:val="InternetLink"/>
                  <w:rFonts w:ascii="Times New Roman;sans-serif" w:hAnsi="Times New Roman;sans-serif"/>
                  <w:b w:val="false"/>
                  <w:color w:val="0000FF"/>
                  <w:sz w:val="20"/>
                  <w:u w:val="single"/>
                </w:rPr>
                <w:t>Certification of Chief Executive Officer of Civeo Corporation pursuant to Rules 13a-14(b) or 15d-14(b) under the Securities Exchange Act of 1934 and 18 U.S.C. Section 1350.</w:t>
              </w:r>
            </w:hyperlink>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cveo03-31x2023exhibit322.htm">
              <w:r>
                <w:rPr>
                  <w:rStyle w:val="InternetLink"/>
                  <w:rFonts w:ascii="Times New Roman;sans-serif" w:hAnsi="Times New Roman;sans-serif"/>
                  <w:b w:val="false"/>
                  <w:color w:val="0000FF"/>
                  <w:sz w:val="20"/>
                  <w:u w:val="single"/>
                </w:rPr>
                <w:t>Certification of Chief Financial Officer of Civeo Corporation pursuant to Rules 13a-14(b) or 15d-14(b) under the Securities Exchange Act of 1934 and 18 U.S.C. Section 1350.</w:t>
              </w:r>
            </w:hyperlink>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Taxonomy Extension Definition Linkbase Document</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2206" w:type="dxa"/>
        <w:jc w:val="left"/>
        <w:tblInd w:w="0" w:type="dxa"/>
        <w:tblCellMar>
          <w:top w:w="28" w:type="dxa"/>
          <w:left w:w="28" w:type="dxa"/>
          <w:bottom w:w="28" w:type="dxa"/>
          <w:right w:w="28" w:type="dxa"/>
        </w:tblCellMar>
      </w:tblPr>
      <w:tblGrid>
        <w:gridCol w:w="124"/>
        <w:gridCol w:w="109"/>
        <w:gridCol w:w="109"/>
        <w:gridCol w:w="569"/>
        <w:gridCol w:w="569"/>
        <w:gridCol w:w="572"/>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covenants in the agreements as characterizations of the actual state of facts about Civeo or its business or operations on the date 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160" w:after="160"/>
        <w:ind w:left="0" w:right="0" w:firstLine="540"/>
        <w:jc w:val="both"/>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p>
      <w:pPr>
        <w:pStyle w:val="TextBody"/>
        <w:spacing w:lineRule="auto" w:line="288" w:before="0" w:after="0"/>
        <w:ind w:left="0" w:right="0" w:firstLine="45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565"/>
        <w:gridCol w:w="498"/>
        <w:gridCol w:w="500"/>
        <w:gridCol w:w="2614"/>
        <w:gridCol w:w="2492"/>
        <w:gridCol w:w="3536"/>
      </w:tblGrid>
      <w:tr>
        <w:trPr/>
        <w:tc>
          <w:tcPr>
            <w:tcW w:w="56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614" w:type="dxa"/>
            <w:tcBorders/>
            <w:shd w:fill="auto" w:val="clear"/>
            <w:vAlign w:val="center"/>
          </w:tcPr>
          <w:p>
            <w:pPr>
              <w:pStyle w:val="TableContents"/>
              <w:spacing w:before="0" w:after="283"/>
              <w:rPr>
                <w:sz w:val="4"/>
                <w:szCs w:val="4"/>
              </w:rPr>
            </w:pPr>
            <w:r>
              <w:rPr>
                <w:sz w:val="4"/>
                <w:szCs w:val="4"/>
              </w:rPr>
            </w:r>
          </w:p>
        </w:tc>
        <w:tc>
          <w:tcPr>
            <w:tcW w:w="2492" w:type="dxa"/>
            <w:tcBorders/>
            <w:shd w:fill="auto" w:val="clear"/>
            <w:vAlign w:val="center"/>
          </w:tcPr>
          <w:p>
            <w:pPr>
              <w:pStyle w:val="TableContents"/>
              <w:spacing w:before="0" w:after="283"/>
              <w:rPr>
                <w:sz w:val="4"/>
                <w:szCs w:val="4"/>
              </w:rPr>
            </w:pPr>
            <w:r>
              <w:rPr>
                <w:sz w:val="4"/>
                <w:szCs w:val="4"/>
              </w:rPr>
            </w:r>
          </w:p>
        </w:tc>
        <w:tc>
          <w:tcPr>
            <w:tcW w:w="3536" w:type="dxa"/>
            <w:tcBorders/>
            <w:shd w:fill="auto" w:val="clear"/>
            <w:vAlign w:val="center"/>
          </w:tcPr>
          <w:p>
            <w:pPr>
              <w:pStyle w:val="TableContents"/>
              <w:spacing w:before="0" w:after="283"/>
              <w:rPr>
                <w:sz w:val="4"/>
                <w:szCs w:val="4"/>
              </w:rPr>
            </w:pPr>
            <w:r>
              <w:rPr>
                <w:sz w:val="4"/>
                <w:szCs w:val="4"/>
              </w:rPr>
            </w:r>
          </w:p>
        </w:tc>
      </w:tr>
      <w:tr>
        <w:trPr/>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Date: April 28, 2023</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By  </w:t>
            </w:r>
            <w:r>
              <w:rPr>
                <w:rFonts w:ascii="Times New Roman;sans-serif" w:hAnsi="Times New Roman;sans-serif"/>
                <w:b/>
                <w:color w:val="000000"/>
                <w:sz w:val="20"/>
                <w:u w:val="single"/>
              </w:rPr>
              <w:t>/s/ Carolyn J. Stone                          </w:t>
            </w:r>
          </w:p>
        </w:tc>
      </w:tr>
      <w:tr>
        <w:trPr/>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Carolyn J. Stone</w:t>
            </w:r>
          </w:p>
        </w:tc>
      </w:tr>
      <w:tr>
        <w:trPr/>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 and Treasurer (Duly Authorized Officer and Principal Financial Officer)</w:t>
            </w:r>
          </w:p>
        </w:tc>
      </w:tr>
      <w:tr>
        <w:trPr/>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ind w:left="0" w:right="0" w:firstLine="180"/>
        <w:rPr/>
      </w:pPr>
      <w:r>
        <w:rPr/>
      </w:r>
      <w:r>
        <w:br w:type="page"/>
      </w:r>
    </w:p>
    <w:p>
      <w:pPr>
        <w:pStyle w:val="TextBody"/>
        <w:spacing w:before="0" w:after="0"/>
        <w:jc w:val="center"/>
        <w:rPr/>
      </w:pPr>
      <w:bookmarkStart w:id="0" w:name="rbc-civeoxfirstamendment.htm"/>
      <w:bookmarkStart w:id="1" w:name="ksrbcciveoxfirstamendment"/>
      <w:bookmarkEnd w:id="0"/>
      <w:bookmarkEnd w:id="1"/>
      <w:r>
        <w:rPr/>
        <w:drawing>
          <wp:inline distT="0" distB="0" distL="0" distR="0">
            <wp:extent cx="10048875" cy="130016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jc w:val="center"/>
        <w:rPr>
          <w:color w:val="FFFFFF"/>
          <w:sz w:val="2"/>
        </w:rPr>
      </w:pPr>
      <w:r>
        <w:rPr>
          <w:color w:val="FFFFFF"/>
          <w:sz w:val="2"/>
        </w:rPr>
        <w:t xml:space="preserve">US-DOCS\117434314.2 =========================================================================== FIRST AMENDMENT TO SYNDICATED FACILITY AGREEMENT dated as of March 31, 2023 among CIVEO CORPORATION, CIVEO PTY LIMITED and CIVEO MANAGEMENT LLC, as Borrowers THE LENDERS NAMED HEREIN, ROYAL BANK OF CANADA, as Administrative Agent, U.S. Collateral Agent, Canadian Administrative Agent, Canadian Collateral Agent and an Issuing Bank, and RBC EUROPE LIMITED, as Australian Administrative Agent, Australian Collateral Agent and an Issuing Bank RBC CAPITAL MARKETS,1 as Lead Arranger and Sole Bookrunner =========================================================================== 1 RBC Capital Markets is the global brand name of the corporate and investment banking business of Royal Bank of Canada and its affiliates.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FIRST AMENDMENT TO SYNDICATED FACILITY AGREEMENT THIS FIRST AMENDMENT TO SYNDICATED FACILITY AGREEMENT (this “First Amendment”), dated as of March 31, 2023, is among CIVEO CORPORATION, a corporation incorporated under the laws of the Province of British Columbia (the “Parent Borrower”), CIVEO MANAGEMENT LLC, a Delaware limited liability company (the “U.S. Borrower”), CIVEO PTY LIMITED ACN 003 657 510, an Australian proprietary limited company (the “Australian Borrower” and, together with the Parent Borrower and the U.S. Borrower, the “Borrowers”), certain subsidiary guarantors of the Borrowers party hereto, the Lenders party hereto (the “Lenders”), the Issuing Banks, the Swing Line Lenders,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 R E C I T A L S A. The Borrowers, the Agents and the Lenders are parties to that certain Syndicated Facility Agreement, dated as of September 8, 2021, (as amended, amended and restated supplemented or otherwise modified prior to the date hereof, the “Credit Agreement” and, as amended by this First Amendment and as may be further amended, amended and restated supplemented or otherwise modified from time to time, the “Amended Credit Agreement”), pursuant to which the Lenders have made certain loans to and other extensions of credit on behalf of the Borrowers. B. The Borrowers, the Agents, the Issuing Banks, the Swing Line Lenders and the Lenders party hereto have agreed to amend certain provisions of the Credit Agreement as more particularly set forth herein. NOW, THEREFORE, in consideration of the premises and the mutual covenants herein contained, for good and valuable consideration, the receipt and sufficiency of which are hereby acknowledged, the parties hereto agree as follows: SECTION 1. Defined Terms. Each capitalized term used herein but not otherwise defined herein has the meaning given such term in the Amended Credit Agreement. Unless otherwise indicated, all article and section references in this First Amendment refer to articles and sections of the Amended Credit Agreement. SECTION 2. Amendments to Credit Agreement. Subject to the terms and conditions set forth herein, effective as of the First Amendment Effective Date (as defined below): (a) the Credit Agreement (excluding the Schedules and Exhibits thereto) is hereby amended to delete the stricken text (indicated textually in the same manner as the following example: stricken text) and to add the double-underlined text (indicated textually in the same manner as the following example: double-underlined text) as set forth in the document attached as Exhibit A hereto; (b) Exhibit B-1 to the Credit Agreement is hereby amended and restated in its entirety in the form of Exhibit B-1 hereto. (c) Exhibit B-2 to the Credit Agreement is hereby amended and restated in its entirety in the form of Exhibit B-2 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 Exhibit B-3 to the Credit Agreement is hereby amended and restated in its entirety in the form of Exhibit B-3 hereto. (e) Exhibit B-5 to the Credit Agreement is hereby amended and restated in its entirety in the form of Exhibit B-5 hereto. (f) Exhibit B-6 hereto is hereby inserted as Exhibit B-6 to the Credit Agreement. SECTION 3. Conditions Precedent. This First Amendment shall not be deemed to be effective until the date on which each of the following conditions is satisfied (or waived in accordance with Section 9.08 of the Credit Agreement) (the “First Amendment Effective Date”): (a) The Administrative Agent shall have received from the Required U.S. Lenders, the Required Canadian Lenders, the Required Lenders, the Borrowers and the Guarantors, counterparts (in such number as may be requested by the Administrative Agent) of this First Amendment signed on behalf of such Persons. (b) 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First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 (c) No Default or Event of Default shall have occurred and be continuing, after giving effect to the terms of this First Amendment. SECTION 4. Representations and Warranties. As of the date hereof, each Borrower hereby represents and warrants to the Administrative Agent and each of the Lenders as follows: (a) 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 (b) No Default or Event of Default exists or would exist immediately after giving effect to the transactions contemplated by this First Amendment. SECTION 5. Miscellaneous: (a) Confirmation. The provisions of the Credit Agreement, as amended by this First Amendment, are hereby ratified and confirmed by the Borrowers and shall remain in full force and effect following the effectiveness of this First Amendment. The amendments contained herein shall not be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 (b) Ratification and Affirmation. Each of the Borrowers and Guarantors hereby (a) acknowledges the terms of this First Amendment and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 (c) Loan Document. This First Amendment is a “Loan Document” as defined and described in the Credit Agreement and all of the terms and provisions of the Amended Credit Agreement relating to Loan Documents shall apply hereto. (d) Counterparts. This First Amendment may be executed by one or more of the parties hereto in any number of separate counterparts, and all of such counterparts taken together shall be deemed to constitute one and the same instrument. Delivery of this First Amendment by facsimile or electronic transmission shall be effective as delivery of a manually executed counterpart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 NO ORAL AGREEMENT. THIS FIRST AMENDMENT, THE AMENDED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 (f) GOVERNING LAW. THIS FIRST AMENDMENT SHALL BE CONSTRUED IN ACCORDANCE WITH AND GOVERNED BY THE LAWS OF THE STATE OF NEW YORK. SECTION 6. No Fiduciary Relationship. The Loan Parties acknowledge that none of the Agents, the Issuing Banks, the Swing Line Lenders, the Lenders or their respective Affiliates is acting as a fiduciary for or advisor to the Loan Parties. [SIGNATURES BEGIN NEXT PAGE]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Execution VersionExhibit A US-DOCS\125501258.11138738387.9 SYNDICATED FACILITY AGREEMENT dated as of September 8, 2021 among CIVEO CORPORATION, CIVEO PTY LIMITED and CIVEO MANAGEMENT LLC, as Borrowers THE LENDERS NAMED HEREIN, ROYAL BANK OF CANADA, as Administrative Agent, U.S. Collateral Agent, Canadian Administrative Agent, Canadian Collateral Agent and an Issuing Bank, and RBC EUROPE LIMITED, as Australian Administrative Agent, Australian Collateral Agent and an Issuing Bank RBC CAPITAL MARKETS,1 as Joint Lead Arranger and Sole Bookrunner and HSBC BANK CANADA and BANK OF MONTREAL, as Joint Lead Arrangers and Syndication Agents 1 RBC Capital Markets is the global brand name of the corporate and investment banking business of Royal Bank of Canada and its affiliates.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US-DOCS\125501258.11138738387.9 Table of Contents Page ARTICLE I DEFINITIONS ......................................................................................................................... 1 SECTION 1.01 Defined Terms .................................................................................................... 1 SECTION 1.02 Terms Generally ........................................................................................... 4653 SECTION 1.03 Several Obligations; Power of Attorney ....................................................... 4754 SECTION 1.04 Classification of Loans and Borrowings ...................................................... 4854 SECTION 1.05 Additional Alternative Currencies ................................................................ 4854 SECTION 1.06 Cashless Rolls ................................................................................................... 55 SECTION 1.07 Interest Rates; Benchmark Notification............................................................ 55 ARTICLE II THE CREDITS .................................................................................................................. 4856 SECTION 2.01 Commitments ............................................................................................... 4856 SECTION 2.02 Loans ............................................................................................................ 4956 SECTION 2.03 Borrowing Procedure .................................................................................... 5360 SECTION 2.04 Evidence of Debt; Repayment of Loans ....................................................... 5461 SECTION 2.05 Fees ............................................................................................................... 5563 SECTION 2.06 Interest on Loans .......................................................................................... 5865 SECTION 2.07 Default Interest ............................................................................................. 5967 SECTION 2.08 Alternate Rate of Interest .............................................................................. 6067 SECTION 2.09 Termination and Reduction of Commitments .............................................. 6268 SECTION 2.10 Conversion and Continuation of Borrowings ............................................... 6369 SECTION 2.11 Optional Prepayment .................................................................................... 6571 SECTION 2.12 Mandatory Prepayments ............................................................................... 6672 SECTION 2.13 Increased Costs; Capital Requirements ........................................................ 6773 SECTION 2.14 Change in Legality ....................................................................................... 6875 SECTION 2.15 Breakage Costs ............................................................................................. 6975 SECTION 2.16 Pro Rata Treatment ....................................................................................... 6976 SECTION 2.17 Sharing of Setoffs ......................................................................................... 7076 SECTION 2.18 Payments ....................................................................................................... 7379 SECTION 2.19 Taxes............................................................................................................. 7380 SECTION 2.20 Assignment of Commitments Under Certain Circumstances; Duty to Mitigate......................................................................................................... 7985 SECTION 2.21 Letters of Credit ............................................................................................ 8086 SECTION 2.22 Bankers’ Acceptances................................................................................... 8793 SECTION 2.23 Swing Line Loans ......................................................................................... 9096 SECTION 2.24 Defaulting Lenders ..................................................................................... 94100 SECTION 2.25 Incremental Revolving Credit Increase ...................................................... 97103 SECTION 2.26 Benchmark Replacement .......................................................................... 100106 SECTION 2.27 Canadian Benchmark Replacement ................................................................ 108 ARTICLE III REPRESENTATIONS AND WARRANTIES ............................................................ 107113 SECTION 3.01 Organization; Powers ............................................................................... 107113 SECTION 3.02 Authorization ............................................................................................ 107113 SECTION 3.03 Enforceability ........................................................................................... 107113 SECTION 3.04 Governmental Approvals .......................................................................... 108114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TABLE OF CONTENTS (continued) Page ii US-DOCS\125501258.11138738387.9 SECTION 3.05 Financial Statements ................................................................................. 108114 SECTION 3.06 No Material Adverse Change ................................................................... 108114 SECTION 3.07 Title to Properties; Possession Under Leases and Licenses ..................... 108114 SECTION 3.08 Subsidiaries ............................................................................................... 109115 SECTION 3.09 Litigation; Compliance with Laws ........................................................... 109115 SECTION 3.10 Agreements ............................................................................................... 109115 SECTION 3.11 Federal Reserve Regulations .................................................................... 109115 SECTION 3.12 Investment Company Act ......................................................................... 110116 SECTION 3.13 Use of Proceeds ........................................................................................ 110116 SECTION 3.14 Tax Matters ............................................................................................... 110116 SECTION 3.15 No Material Misstatements ....................................................................... 110116 SECTION 3.16 Employee Benefit Plans............................................................................ 110116 SECTION 3.17 Environmental Matters ............................................................................. 112118 SECTION 3.18 Insurance ................................................................................................... 112118 SECTION 3.19 Security Documents .................................................................................. 112118 SECTION 3.20 Intellectual Property ................................................................................. 113119 SECTION 3.21 Labor Matters ........................................................................................... 113119 SECTION 3.22 Solvency ................................................................................................... 113119 SECTION 3.23 Anti-Corruption Laws............................................................................... 113119 SECTION 3.24 Anti-Money Laundering Laws ................................................................. 113119 SECTION 3.25 Foreign Assets Control Regulations, etc. ................................................. 113119 ARTICLE IV CONDITIONS TO CLOSING AND FUNDING ........................................................ 114120 SECTION 4.01 Conditions to All Credit Events................................................................ 114120 SECTION 4.02 Conditions to Closing ............................................................................... 115121 ARTICLE V AFFIRMATIVE COVENANTS ................................................................................... 118124 SECTION 5.01 Existence; Businesses and Properties ....................................................... 118124 SECTION 5.02 Insurance ................................................................................................... 119125 SECTION 5.03 Obligations and Taxes .............................................................................. 120126 SECTION 5.04 Financial Statements, Reports, etc. ........................................................... 120126 SECTION 5.05 Litigation and Other Notices .................................................................... 122128 SECTION 5.06 Information Regarding Collateral ............................................................. 123129 SECTION 5.07 Maintaining Records; Access to Properties and Inspections .................... 123129 SECTION 5.08 Use of Proceeds ........................................................................................ 123129 SECTION 5.09 Further Assurances ................................................................................... 123129 SECTION 5.10 Post-Closing Obligations .................................................................................... 125[Reserved] 131 ARTICLE VI NEGATIVE COVENANTS ........................................................................................ 125131 SECTION 6.01 Indebtedness ............................................................................................. 125132 SECTION 6.02 Liens ......................................................................................................... 126132 SECTION 6.03 Sale and Lease-Back Transactions ........................................................... 128134 SECTION 6.04 Investments, Loans and Advances ............................................................ 128134 SECTION 6.05 Mergers, Consolidations, Sales of Assets and Acquisitions ..................... 131137 SECTION 6.06 Restricted Payments; Restrictive Agreements .......................................... 131138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TABLE OF CONTENTS (continued) Page iii US-DOCS\125501258.11138738387.9 SECTION 6.07 Transactions with Affiliates ...................................................................... 132139 SECTION 6.08 Business of Borrowers and Subsidiaries................................................... 132139 SECTION 6.09 Other Indebtedness and Agreements ........................................................ 132139 SECTION 6.10 Interest Coverage Ratio ............................................................................ 133139 SECTION 6.11 Leverage Ratios ........................................................................................ 133139 SECTION 6.12 Hedging Agreements ................................................................................ 133140 SECTION 6.13 Pension Plans ............................................................................................ 133140 SECTION 6.14 Amendment of the Organizational Documents ........................................ 134141 SECTION 6.15 Sanction Laws and Regulations ................................................................ 134141 SECTION 6.16 Anti-Corruption Laws............................................................................... 134141 SECTION 6.17 Cross-Guarantee ....................................................................................... 134141 ARTICLE VII EVENTS OF DEFAULT ............................................................................................ 135141 SECTION 7.01 Events of Default ...................................................................................... 135141 SECTION 7.02 Optional Acceleration of Maturity ........................................................... 137143 SECTION 7.03 Automatic Acceleration of Maturity ......................................................... 137144 SECTION 7.04 Non-exclusivity of Remedies ................................................................... 138144 SECTION 7.05 Application of Proceeds............................................................................ 138144 ARTICLE VIII THE ADMINISTRATIVE AGENTS, THE COLLATERAL AGENTS, THE ISSUING BANKS AND THE SWING LINE LENDERS .................................................... 139146 SECTION 8.01 Appointment and Authority ...................................................................... 139146 SECTION 8.02 Rights as a Lender .................................................................................... 139146 SECTION 8.03 Exculpatory Provisions ............................................................................. 140146 SECTION 8.04 Reliance by the Agents, the Issuing Banks and the Swing Line Lenders . 141147 SECTION 8.05 Delegation of Duties ................................................................................. 141148 SECTION 8.06 Resignation of an Agent or a Swing Line Lender .................................... 141148 SECTION 8.07 Non-Reliance on Agents and Other Lenders; Certain Acknowledgments .................................................................................... 143150 SECTION 8.08 Indemnification ......................................................................................... 143150 SECTION 8.09 Collateral and Guaranty Matters ............................................................... 144151 SECTION 8.10 No Other Duties, etc. ................................................................................ 146153 SECTION 8.11 Agents May File Proofs of Claim ............................................................. 146153 SECTION 8.12 Certain ERISA Matters ............................................................................. 147154 SECTION 8.13 Erroneous Payments ................................................................................. 148155 ARTICLE IX MISCELLANEOUS .................................................................................................... 151158 SECTION 9.01 Notices ...................................................................................................... 151158 SECTION 9.02 Survival of Agreement.............................................................................. 153160 SECTION 9.03 Binding Effect .......................................................................................... 153160 SECTION 9.04 Successors and Assigns ............................................................................ 154160 SECTION 9.05 Expenses; Indemnity................................................................................. 159166 SECTION 9.06 Right of Setoff .......................................................................................... 161168 SECTION 9.07 Applicable Law ........................................................................................ 162169 SECTION 9.08 Waivers; Amendment ............................................................................... 162169 SECTION 9.09 Interest Rate Limitation ............................................................................ 165173 SECTION 9.10 Entire Agreement ...................................................................................... 166173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TABLE OF CONTENTS (continued) Page iv US-DOCS\125501258.11138738387.9 SECTION 9.11 WAIVER OF JURY TRIAL .................................................................... 166173 SECTION 9.12 Severability ............................................................................................... 166174 SECTION 9.13 Counterparts ............................................................................................. 167174 SECTION 9.14 Headings ................................................................................................... 167174 SECTION 9.15 Jurisdiction; Consent to Service of Process .............................................. 167175 SECTION 9.16 Confidentiality .......................................................................................... 168175 SECTION 9.17 Judgment Currency ................................................................................... 168176 SECTION 9.18 Exculpation Provisions ............................................................................. 169177 SECTION 9.19 Payments Set Aside .................................................................................. 170177 SECTION 9.20 Termination .............................................................................................. 170177 SECTION 9.21 Patriot Act Notice ..................................................................................... 170178 SECTION 9.22 Public Offer .............................................................................................. 170178 SECTION 9.23 Keepwell ................................................................................................... 172179 SECTION 9.24 Acknowledgement and Consent to Bail-In of Affected Financial Institutions ................................................................................................ 172179 SECTION 9.25 Acknowledgment Regarding Any Supported QFCs ................................. 173180 SECTION 9.26 Recognition of Hong Kong Stay Power ......................................................... 181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 US-DOCS\125501258.11138738387.9 Schedule 1.01(a) Rolled Letters of Credit Schedule 1.01(b) U.S. Subsidiary Guarantors Schedule 1.01(c) Canadian Subsidiary Guarantors Schedule 1.01(d) Australian Subsidiary Guarantors Schedule 2.01 Lenders and Commitments Schedule 2.04 Amortization Schedule 2.21 L/C Issuance Limits Schedule 3.08 Subsidiaries and Special Purpose Business Entities Schedule 3.09 Litigation Schedule 3.16(a) Unfunded Plans Schedule 3.16(b) Canadian Benefit Plans Schedule 3.17 Environmental Matters Schedule 6.01 Existing Indebtedness Schedule 6.02 Existing Liens Schedule 6.04 Existing Investments Exhibit A Form of Assignment and Acceptance Exhibit B-1 Form of U.S. Borrowing Request Exhibit B-2 Form of Canadian Borrowing Request Exhibit B-3 Form of Australian Borrowing Request Exhibit B-4 Form of Swing Line Borrowing Request Exhibit B-5 Form of Prepayment Notice Exhibit B-6 Form of Conversion/Continuation Notice Exhibit C-1 Form of Australian Guarantee Agreement Exhibit C-2 Form of Canadian Guarantee Agreement Exhibit C-3 Form of U.S. Guarantee Agreement Exhibit D-1 Form of Canadian Pledge Agreement Exhibit D-2 Form of U.S. Pledge Agreement Exhibit E-1 Form of Australian Security Deed Exhibit E-2 Form of Canadian Security Agreement Exhibit E-3 Form of U.S. Security Agreement Exhibit F Form of Compliance Certificate Exhibit G Form of Discount Note Exhibit H-1 – H-4 Forms of Exemption Certificate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THIS SYNDICATED FACILITY AGREEMENT dated as of September 8, 2021 (as amended, supplemented or modified from time to time, this “Agreement”), is among CIVEO CORPORATION, a corporation incorporated under the laws of the Province of British Columbia (the “Parent Borrower”), CIVEO MANAGEMENT LLC, a Delaware limited liability company (the “U.S. Borrower”), CIVEO PTY LIMITED ACN 003 657 510, an Australian proprietary limited company (the “Australian Borrower” and, together with the Parent Borrower and the U.S. Borrower, the “Borrowers”), the Lenders (as defined in Article I), ROYAL BANK OF CANADA (“RBC”), as administrative agent (in such capacity, the “Administrative Agent”) for the U.S. Lenders, as U.S. collateral agent (in such capacity, the “U.S. Collateral Agent”) for the Lenders, as administrative agent (in such capacity, the “Canadian Administrative Agent”) for the Canadian Lenders (as defined in Article I) and as Canadian collateral agent (in such capacity, the “Canadian Collateral Agent”) for the Lenders, and RBC EUROPE LIMITED (“RBC Europe”), as administrative agent (in such capacity, the “Australian Administrative Agent”) for the Australian Lenders (as defined in Article I) and as Australian collateral agent (in such capacity, the “Australian Collateral Agent”) for the Lenders. WHEREAS, the Parent Borrower, certain of its Subsidiaries, the lenders party thereto, and the Administrative Agents are party to that certain Amended and Restated Syndicated Facility Agreement, dated as of April 2, 2018 (such Syndicated Facility Agreement as amended prior to the date hereof, the “Existing Credit Agreement”); and WHEREAS, the Existing Credit Agreement is being refinanced pursuant to this Agreement. In consideration of the mutual covenants and agreements herein contained, the parties hereto hereby agree as follows: ARTICLE I DEFINITIONS SECTION 1.01 Defined Terms. As used in this Agreement, the following terms shall have the meanings specified below: “ABR”, when used in reference to any Loan or Borrowing, refers to whether such Loan, or the Loans comprising such Borrowing, are bearing interest at a rate determined by reference to the Alternate Base Rate. “Acceptance Fee” shall mean a fee payable in Canadian dollars by the Parent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“EurocurrencySOFR/BBSY Rate/B/A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Acceptance which has been replaced by the making of such B/A Equivalent Loan pursuant to Section 2.22). “Additional Permitted Amount” has the meaning set forth in the definition of Permitted Refinancing Indebtedness. “Adjusted LIBO Rate” shall mean, with respect to any Eurocurrency Borrowing for any Interest Period, an interest rate per annum (rounded upwards, if necessary, to the nearest whole 1/100 of 1%) equal to the product of (a) the LIBO Rate in effect for such Interest Period and (b) Statutory Reserves; provided that if the rate determined above shall ever be less than zero, such rate shall be deemed to be zero for the purposes of this Agreement. “Adjusted Term SOFR” means, for purposes of any calculation, the rate per annum equal to (a) Term SOFR for such calculation plus (b) the Term SOFR Adjustment. “Administrative Agent” shall have the meaning assigned to such term in the preamble hereto. “Administrative Agents” shall mean the Administrative Agent, the Canadian Administrative Agent and the Australian Administrative Agent. “Administrative Questionnaire” shall mean an administrative questionnaire in a form supplied from time to time by the Applicable Administrative Agent. “Affected Financial Institution” shall mean (a) any EEA Financial Institution or (b) any UK Financial Institution. “Affiliate” shall mean, when used with respect to a specified person, another person that directly, or indirectly through one or more intermediaries, Controls or is Controlled by or is under common Control with the person specified; provided, however, that for purposes of Section 6.07, the term “Affiliate” shall also include any person that directly or indirectly owns 5% or more of any class of Equity Interests of the person specified or that is an officer or director of the person specified. “Agent Parties” shall have the meaning assigned to such term in Section 9.01(d). “Agents” shall mean, collectively, the Administrative Agents and the Collateral Agents. “Aggregate L/C Exposure” shall mean, at any time, the sum of the U.S. L/C Exposure, the U.S. Dollar Equivalent of the Canadian L/C Exposure and the U.S. Dollar Equivalent of the Australian L/C Exposure at such time. “Agreement” shall have the meaning assigned to such term in the preamble hereto. “Alternate Base Rate” shall mean, for any day, a rate per annum equal to the greatest of (ai) the Prime Rate in effect on such day, (bii) the Federal Funds Effective Rate in effect on such day plus ½ of 1.01.00% and (c) the Adjusted LIBO Rate for a deposit in U.S. dollars with an Interest Period of one month beginning on such day (or if such day is not a Business Day,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immediately preceding Business Day) plus 1.0%iii) Adjusted Term SOFR for a one-month tenor in effect for such day plus 1.00%; provided that to the extent such highest rate as calculated above shall, at any time, be less than the Floor, such rate shall be deemed to be Floor for all purposes herein. Any change in the Alternate Base Rate due to a change in the Prime Rate, the Federal Funds Effective Rate or the Adjusted LIBO RateTerm SOFR shall be effective on the effective dateopening of business on the day specified in the public announcement of such change in the Prime Rate, the Federal Funds Effective Rate or the Adjusted LIBO RateTerm SOFR, respectively. “Alternative Currency” shall mean the Euro, Pounds Sterling, Japanese Yen, Singapore Dollar, Hong Kong Dollar, Mexican Peso, Indian Rupee, Kuwaiti Dinar and each other currency (other than U.S. dollars, Canadian dollars or Australian dollars) that is approved in accordance with Section 1.05. “Anti-Corruption Laws”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 “Anti-Money Laundering Laws”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 “Applicable Administrative Agent” shall mean (a) the Administrative Agent, with respect to any U.S. Loan or U.S. Letter of Credit, (b) the Canadian Administrative Agent, with respect to any Canadian Loan or Canadian Letter of Credit and (c) the Australian Administrative Agent, with respect to any Australian Revolving Credit Loan or Australian Letter of Credit. “Applicable Borrower” shall mean (a) the Parent Borrower, with respect to the Canadian Term Loan Facility or the Canadian Revolving Credit Facility, (b) the U.S. Borrower, with respect to the U.S. Revolving Credit Facility, and (c) the Australian Borrower, with respect to the Australian Revolving Credit Facility. “Applicable Collateral Agent”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 “Applicable Issuing Bank” shall mean (a) RBC or any other Issuing Bank that has issued, or has a commitment to issue, U.S. Letters of Credit, (b) RBC or any other Issuing Bank that has issued, or has a commitment to issue, Canadian Letters of Credit, or (c) RBC Europe, or any other Issuing Bank that has issued, or has a commitment to issue, Australian Letters of Credit.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Applicable Lender” shall mean (a) when used with respect to the U.S. Revolving Credit Facility, the Canadian Term Loan Facility, the Canadian Revolving Credit Facility or the 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Revolving Lenders, the U.S. Revolving Lenders or the Australian Lenders, as the case may be, and (c) with respect to the U.S. Swing Line Sublimit or the Canadian Swing Line Sublimit, the Applicable Swing Line Lender. “Applicable Percentage” shall mean, for any day, with respect to any EurocurrencySOFR Loan, ABR Loan, B/A Loan, Canadian Prime Rate Loan, U.S. Base Rate Loan, BBSY Rate Loan or the Commitment Fee, the applicable percentage set forth below under the applicable caption, based upon the Total Net Leverage Ratio as of the relevant date of determination: Total Net Leverage Ratio EurocurrencyS OFR/ BBSY Rate/B/A Spread ABR, Canadian Prime Rate and U.S. Base Rate Spread Commitment Fee Percentage Category 1 Less than 1.50 to 1.00 ........................ 3.00% 2.00% 0.675% Category 2 Greater than or equal to 1.50 to 1.00 but less than 2.00 to 1.00 3.25% 2.25% 0.731% Category 3 Greater than or equal to 2.00 to 1.00 but less than 2.50 to 1.00 ................... 3.50% 2.50% 0.788% Category 4 Greater than or equal to 2.50 to 1.00 but less than 3.00 to 1.00 ................... 3.75% 2.75% 0.844% Category 5 Greater than or equal to 3.00 to 1.00 but less than 3.50 to 1.00 ................... 4.00% 3.00% 0.900% Each change in the Applicable Percentage resulting from a change in the Total Net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provided, however, that at any time during which the Parent Borrower has failed to deliver when due the financial statements required by Section 5.04(a) or (b) and the Compliance Certificate required by Section 5.04(c), respectively, the Total Net Leverage Ratio shall be deemed to be in Category 5 for purposes of determining the Applicable Percentage. Notwithstanding the foregoing, as of the Closing Date, the Applicable Percentage shall be based on Category 3 until adjusted in accordance with this paragraph.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Applicable Pro Rata Percentage” shall mean the Canadian Applicable Pro Rata Percentage, the Australian Revolving Pro Rata Percentage or the U.S. Revolving Pro Rata Percentage, as the context may require. “Applicable Required Lenders” shall mean (a) the Required U.S. Lenders with respect to the U.S. Revolving Credit Facility, (b) the Required Canadian Revolving Lenders with respect to the Canadian Revolving Credit Facility, (c) the Required Canadian Term Lenders with respect to the Canadian Term Loan Facility, or (d) the Required Australian Lenders with respect to the Australian Revolving Credit Facility. “Applicable Swing Line Lender” shall mean (a) with respect to the U.S. Swing Line Sublimit, (i) the U.S. Swing Line Lender and (ii) if any U.S. Swing Line Loans are outstanding and have not been refinanced by a U.S. Revolving Borrowing pursuant to Section 2.23(c)(ii), the U.S. Revolving Lenders and (b) with respect to the Canadian Swing Line Sublimit, the Canadian Swing Line Lender and (ii) if any Canadian Swing Line Loans are outstanding and have not been refinanced by a Canadian Revolving Borrowing pursuant to Section 2.23(c)(ii), the Canadian Revolving Lenders. “Approved Fund” shall mean any Fund that is administered or managed by (a) a Lender, (b) an Affiliate of a Lender or (c) an entity or an Affiliate of an entity that administers or manages a Lender. “Asset Sale” shall mean the sale, transfer or other disposition (by way of merger, casualty, condemnation or otherwise) of any or all of the property of the Parent Borrower or any of its Subsidiaries to any person other than the Parent Borrower or any of its Subsidiaries (other than (a) Equity Interests in the Parent Borrower or directors’ qualifying shares in any Subsidiary, (b) inventory, damaged, obsolete or worn out assets, scrap and Permitted Investments, in each case disposed of in the ordinary course of business, (c) dispositions between or among Subsidiaries that are not Loan Parties or (d) Specified Dispositions); provided that any asset sale or series of related asset sales described above having a value not in excess of U.S.$1,000,000 shall be deemed not to be an “Asset Sale” for purposes of this Agreement. “Assignee Group” shall mean two or more Eligible Assignees that are Affiliates of one another or two or more Approved Funds managed by the same investment advisor. “Assignment and Acceptance”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 “Associate” shall mean an “associate” as defined in section 128F(9) of the Australian Tax Act. “Attorneys” shall have the meaning assigned to such term in Section 1.03(b). “Australian Administrative Agent” shall have the meaning assigned to such term in the preamble 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Australian Borrower” shall have the meaning assigned to such term in the preamble hereto. “Australian Collateral” shall mean all “Collateral” or “Secured Property” as defined in any Australian Security Document. “Australian Collateral Agent” shall have the meaning assigned to such term in the preamble hereto. “Australian Commitment Fee” shall have the meaning assigned to such term in Section 2.05(a). “Australian Corporations Act” shall mean the Corporations Act 2001 (Cth). “Australian Dollar Equivalent” shall mean, on any date of determination, with respect to any amount in U.S. dollars, the equivalent in Australian dollars of such amount, determined by the Administrative Agent using the Exchange Rate then in effect. “Australian dollars”, “AUD” and “AUD$” shall mean the lawful money of the Commonwealth of Australia. “Australian GST” shall have the meaning given in A New Tax System (Goods and Services Tax) Act 1999 (Cth). “Australian GST Liability” shall have the meaning assigned to such term in Section 2.19(j). “Australian Guarantee Agreement” shall mean a Deed of Guarantee and Indemnity, substantially in the form of Exhibit C-1, in favor of the Australian Collateral Agent, for the benefit of the Secured Parties. “Australian L/C Exposure”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 “Australian L/C Participation Fee” shall have the meaning assigned to such term in Section 2.05(c). “Australian Lenders” shall mean Lenders having Australian Revolving Commitments, outstanding Australian Revolving Credit Loans or participations in Australian Letters of Credit pursuant to Section 2.21(d). “Australian Loan Parties” shall mean the Australian Borrower and the Australian Subsidiary Guarantors.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Australian Revolving Borrowing” shall mean a group of Australian Revolving Credit Loans of a single Type made, converted or continued by the Australian Lenders on a single date and as to which a single Interest Period is in effect. “Australian Revolving Commitment”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increased from time to time pursuant to Section 2.25, (ii) reduced from time to time pursuant to Section 2.09 and (iii) reduced or increased from time to time pursuant to assignments by or to such Australian Lender pursuant to Section 9.04. The aggregate amount of the Australian Revolving Commitments as of the Closing Date is U.S.$35,000,000. “Australian Revolving Credit Exposure” shall mean, with respect to any Australian Lender at any time, the aggregate principal amount at such time of all outstanding Australian Revolving Credit Loans of such Lender denominated in U.S. dollars, plus the U.S. Dollar Equivalent of the aggregate principal amount at such time of all outstanding Australian Revolving Credit Loans of such Australian Lender denominated in Australian dollars, plus the U.S. Dollar Equivalent of the aggregate amount at such time of such Australian Lender’s Australian Revolving Pro Rata Percentage of the Australian L/C Exposure. “Australian Revolving Credit Facility” shall mean at any time the aggregate amount of the Australian Revolving Commitments of the Australian Lenders at such time. “Australian Revolving Credit Loans”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EurocurrencySOFR Loan. “Australian Revolving Pro Rata Percentage” of any Australian Lender, subject to any adjustment as provided in Section 2.24(c) or 2.25(a), shall mean the percentage of the aggregate Australian Revolving Commitments represented by such Australian Lender’s Australian Revolving Commitment; provided that if the Australian Revolving Commitments have terminated, the Australian Revolving Pro Rata Percentages of the Australian Lenders shall be determined based upon the Australian Revolving Commitments most recently in effect, giving effect to any assignments. “Australian Security Deed” shall mean any Australian General Security Deed governed by the laws of New South Wales, Australia, substantially in the form of Exhibit E-1, among the Australian Borrower and the Australian Subsidiary Guarantors, as grantors, and the Australian Collateral Agent for the benefit of the Secured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Australian Security Documents” shall mean the Australian Security Deed, the Australian Security Trust Deed and each other Security Document to which the Australian Borrower, or any Australian Subsidiary Guarantor is a party and that purports to grant a Lien in the assets of any such person in favor of the Australian Collateral Agent for the benefit of the Secured Parties. “Australian Security Trust Deed” shall mean the security trust deed granted by the Australian Collateral Agent, as security trustee. “Australian Subsidiaries” shall mean the Subsidiaries of the Parent Borrower (other than the Australian Borrower) organized under the laws of the Commonwealth of Australia or any state, territory or other political subdivision thereof other than any U.S. Owned Subsidiary. “Australian Subsidiary Guarantor” shall mean each Australian Subsidiary listed on Schedule 1.01(d), and each other Australian Subsidiary that is or becomes a party to an Australian Guarantee Agreement. “Australian Tax Act” shall mean the Income Tax Assessment Act 1936 (Cth) (Australia) or the Income Tax Assessment Act 1997 (Cth) (Australia) as applicable. “Australian Withholding Tax” shall mean any Australian Tax required to be withheld or deducted from any interest or other payment under Division 11A of Part III of the Tax Act or Subdivision 12-F of Schedule 1 to the Taxation Administration Act 1953 (Commonwealth of Australia). “AutoBorrow Agreement” shall mean any agreement providing for automatic borrowing services between a Loan Party and a Swing Line Lender. “Available Tenor” means, as of any date of determination and with respect to the then- 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(d) of Section 2.26. “B/A Discount Rate” shall mean: (a) with respect to an issue of Bankers’ Acceptances having the same Contract Period accepted by a Lender that is a Canadian chartered bank listed on Schedule I of the Bank Act (Canada) (other than Canadian Western Bank), the CDOR Rate; and (b) with respect to an issue of Bankers’ Acceptances having the same Contract Period accepted by Canadian Western Bank or a Lender that is not a bank under Schedule I to the Bank Act (Canada), the CDOR Rate plus 0.10%;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Notwithstanding the foregoing, the B/A Discount Rate for purposes of this Agreement shall at no time be less than 0%. “B/A Equivalent Loan” shall have the meaning assigned to such term in Section 2.22(h). “B/A Loan” shall mean a Borrowing comprised of one or more Bankers’ Acceptances or, as applicable, B/A Equivalent Loans. For greater certainty, all provisions of this Agreement that are applicable to Bankers’ Acceptances are also applicable, mutatis mutandis, to B/A Equivalent Loans. “Bail-In Action” shall mean the exercise of any Write-Down and Conversion Powers by the applicable EEA Resolution Authority in respect of any liability of an EEA Financial Institution. “Bail-In Legislation” shall mean: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respective Affiliates (other than through liquidation, administration or other insolvency proceedings). “Bankers’ Acceptance” and “B/A” shall mean a non-interest bearing draft denominated in Canadian dollars, drawn by the Parent Borrower, and accepted by a Canadian Lender in accordance with this Agreement, and may include a depository note within the meaning of the Depository Bills and Notes Act (Canada) and a bill of exchange within the meaning of the Bills of Exchange Act (Canada). “Banking Services” shall mean each and any of the following bank services provided to the Parent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 “Banking Services Obligations” shall mean any and all obligations of the Parent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 “BBSY Rate” shall mean, for the relevant Interest Period: (a) the rate per annum which is equal to the average bid rate displayed at or about 10:30 a.m. (Sydney time) on the date that is two Business Days prior to the first day of that period on the Bloomberg BBSY page for a term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 “Benchmark” means, initially, Adjusted Term SOFR; provided that if a Benchmark Transition Event has occurred with respect to Adjusted Term SOFR or the then-current Benchmark, then “Benchmark” means the applicable Benchmark Replacement to the extent that such Benchmark Replacement has replaced such prior benchmark rate pursuant to clause (a) of Section 2.26. “Benchmark Replacement” means with respect to any Benchmark Transition Event, for any Available Tenor,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 denominated syndicated credit facilities at such time in the United States and (b) the related Benchmark Replacement Adjustment. “Benchmark Replacement Adjustment” means,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“Benchmark Replacement Date” means, with respect to any Benchmark,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(3) and even if any Available Tenor of such Benchmark (or such component thereof) continues to be provided on such date. 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“Benchmark Unavailability Period” means, with respect to any Benchmark, the period (if any) (x) beginning at the time that a Benchmark Replacement Date has occurred if, at such time, no Benchmark Replacement has replaced the then-current Benchmark for all purposes hereunder and under any Loan Document in accordance with Section 2.26 and (y) ending at the time that a Benchmark Replacement has replaced such then-current Benchmark for all purposes hereunder and under any Loan Document in accordance with Section 2.26. “Benefit Plan” shall mean any of (a) an “employee benefit plan” (as defined in Section 3(3) of ERISA) that is subject to Title I of ERISA, (b) a “plan” as defined in Section 4975 of the Code to which Section 4975 of the Code applies, and (c) any Pperson whose assets include (for purposes of the Plan Asset Regulations or otherwise for purposes of Title I of ERISA or Section 4975 of the Code) the assets of any such “employee benefit plan” or “plan”. “BHC Act Affiliate” of a party shall mean an “affiliate” (as such term is defined under, and interpreted in accordance with, 12 U.S.C. 1841(k)) of such party. “Bilateral Agreement” shall mean that AUD$1,000,000 Guarantee Line provided by the Bilateral Lender to the Australian Borrower pursuant to the Facility Letter, dated as of August 20, 2020 (the “Facility Letter”) by and among the Australian Borrower, the Bilateral Lender and The Hongkong and Shanghai Banking Corporation ABN 65 117 925 970, as amended or supplemented from time to time. “Bilateral Obligations” shall mean all the liabilities of the Australian Borrower to the Bilateral Lender under or by reason of the Bilateral 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Australian Bank Guarantee Obligations under this Agreement or any other Loan Document shall not exceed AUD$1,000,000. “Bilateral Lender” shall mean HSBC Bank Australia Limited ABN 48 006 434 162 in its capacity as lender under the Bilateral Agreement or any other Lender that succeeds HSBC Bank Australia Limited ABN 48 006 434 162 as a party to the Bilateral Agreement. “Board” shall mean the Board of Governors of the Federal Reserve System of the United States of America. “Borrower Materials” shall have the meaning assigned to such term in Section 5.04. “Borrowers” shall have the meaning assigned to such term in the preamble 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Borrowing” shall mean a Canadian Revolving Borrowing, a Canadian Term Borrowing, an Australian Revolving Borrowing, a U.S. Revolving Borrowing or a Swing Line Borrowing. “Borrowing Request” shall mean a request by a Borrower in accordance with the terms of Section 2.03 and substantially in the form of Exhibit B-1, B-2, B-3 or B-4, as applicable, or such other form as shall be reasonably approved by the Applicable Administrative Agent. “Breakage Event” shall have the meaning assigned to such term in Section 2.15. “Business Day” shall mean (a) when used in connection with a Loan, Letter of Credit or payment denominated in U.S. dollars, any day other than a Saturday, or a Sunday or any daya legal holiday on which commercial banks in Houston and New York City are authorized or required by law to be closed for business in New York, New York; provided, however, that, when used in connection with a Eurocurrency LoanSOFR Loan, or any other calculation or determination involving SOFR, the term “Business Day” shall also exclude any day on which banks are not open for dealings in deposits in U.S. dollars in the London interbank marketmeans any day that is only a U.S. Government Securities Business Day, (b) when used in connection with the Canadian Term Loan, a Canadian Revolving Credit Loan, a Canadian Letter of Credit or a payment under the Canadian Term Loan Facility or the Canadian Revolving Credit Facility, any day other than a Saturday, Sunday or any day on which banks in Toronto, Ontario, Calgary, Alberta and Montreal, Quebec are authorized or required by law to close,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Alternative Currency and on which the relevant office of the Applicable Issuing Bank is not authorized or required by law to close. “Canadian Administrative Agent” shall have the meaning assigned to such term in the preamble hereto. “Canadian Applicable Pro Rata Percentage” shall mean with respect to any Canadian Revolving Lender or Canadian Term Lender, the Canadian Revolving Pro Rata Percentage or the Canadian Term Loan Pro Rata Percentage, respectively. “Canadian Benefit Plans” shall mean all employee benefit plans of any nature or kind whatsoever that are not Canadian Pension Plans or Defined Benefit Plans and are maintained or contributed to by the Parent Borrower or any of the Canadian Subsidiaries, in each case covering employees in Canada. “Canadian Collateral” shall mean all “Collateral” as defined in any Canadian Security Document. “Canadian Collateral Agent” shall have the meaning assigned to such term in the preamble 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Canadian Commitment Fees” shall have the meaning assigned to such term in Section 2.05(a)(ii). “Canadian Dollar Equivalent” shall mean, on any date of determination, with respect to any amount in U.S. dollars, the equivalent in Canadian dollars of such amount, determined by the Administrative Agent using the Exchange Rate, then in effect. “Canadian dollars” and “C$” shall mean lawful currency of Canada. “Canadian Facility” shall mean either the Canadian Term Loan Facility or the Canadian Revolving Credit Facility. “Canadian Guarantee Agreement” shall mean the Canadian Guarantee Agreement, substantially in the form of Exhibit C-2, by the Parent Borrower and the Canadian Subsidiary Guarantors in favor of the Canadian Collateral Agent, for the benefit of the Secured Parties. “Canadian L/C Exposure”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Revolving Lender at any time shall mean its Canadian Revolving Pro Rata Percentage of the aggregate Canadian L/C Exposure at such time. “Canadian L/C Participation Fee” shall have the meaning assigned to such term in Section 2.05(c). “Canadian Lenders” shall mean Canadian Revolving Lenders and Canadian Term Lenders, as applicable. “Canadian Loan” shall mean a Canadian Revolving Credit Loan or a Canadian Term Loan. “Canadian Loan Parties” shall mean the Parent Borrower and the Canadian Subsidiary Guarantors. “Canadian Pension Plans” shall mean each plan that is considered to be a pension plan for the purposes of any applicable pension benefits standards statute and/or regulation in Canada established, maintained or contributed to by the Parent Borrower or any of the Canadian Subsidiaries for its employees or former employees, but excluding the Defined Benefit Plans. “Canadian Pledge Agreement” shall mean the Canadian Pledge Agreement, substantially in the form of Exhibit D-1, among the Parent Borrower and each Canadian Subsidiary of the Parent Borrower party thereto, as pledgors, and the Canadian Collateral Agent, for the benefit of the Secured Parties. “Canadian Prime Rate” shall mean, on any day, the annual rate of interest equal to the greater of: (a) the annual rate of interest announced from time to time by the Canadian Administrative Agent as its prime rate in effect at its principal office in Toronto, Ontario on such day for determining interest rates on Canadian dollar-denominated commercial loans made 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Canada; and (b) the annual rate of interest equal to the sum of (i) the CDOR Rate in effect on such day and (ii) 1%; provided that if the rate determined above shall ever be less than zero, such rate shall be deemed to be zero for the purposes of this Agreement. When used in reference to any Loan or Borrowing, “Canadian Prime Rate” refers to whether such Loan, or the Loans comprising such Borrowing, are bearing interest at a rate determined by reference to the Canadian Prime Rate. “Canadian Revolving Borrowing” shall mean a group of Canadian Revolving Credit Loans of a single Type made, converted or continued by the Canadian Revolving Lenders on a single date and, in the case of a EurocurrencySOFR Borrowing, as to which a single Interest Period is in effect and, in the case of a B/A Borrowing, as to which a single Contract Period is in effect. “Canadian Revolving Commitment” shall mean, with respect to each Canadian Revolving Lender, the commitment of such Canadian Revolving Lender to (a) make Canadian Revolving Credit Loans hereunder, (b) purchase participations in the Canadian L/C Exposure and (c) purchase participations in Canadian Swing Line Loans, in an aggregate principal amount not to exceed the amount set forth opposite such Lender’s name on Schedule 2.01 under the caption “Canadian Revolving Commitment”, or in the Assignment and Acceptance or Lender Joinder Agreement pursuant to which such Canadian Revolving Lender assumed its Canadian Revolving Commitment, as applicable, as the same may be (i) increased from time to time pursuant to Section 2.25, (ii) reduced from time to time pursuant to Section 2.09 and (iii) reduced or increased from time to time pursuant to assignments by or to such Canadian Revolving Lender pursuant to Section 9.04. The aggregate amount of the Canadian Revolving Commitments as of the Closing Date is U.S.$155,000,000. “Canadian Revolving Credit Exposure” shall mean, with respect to any Canadian Revolving Lender at any time, the aggregate principal amount at such time of all outstanding Canadian Revolving Credit Loans of such Lender denominated in U.S. dollars, plus the U.S. Dollar Equivalent of the aggregate principal amount at such time of all outstanding Canadian Revolving Credit Loans of such Canadian Revolving Lender denominated in Canadian dollars, plus the U.S. Dollar Equivalent of the aggregate amount at such time of such Canadian Revolving Lender’s Canadian Revolving Pro Rata Percentage of the Canadian L/C Exposure plus such Canadian Revolving Lender’s Canadian Revolving Pro Rata Percentage of the outstanding amount of all Canadian Swing Line Loans. “Canadian Revolving Credit Facility” shall mean at any time the aggregate amount of the Canadian Revolving Commitments of the Canadian Revolving Lenders at such time. “Canadian Revolving Credit Loans” shall mean (a) the Canadian dollar-denominated Revolving Credit Loans (including the aggregate face amount of outstanding B/As) made by the Canadian Revolving Lenders to the Parent Borrower hereunder and (b) the U.S. dollar- denominated Revolving Credit Loans made by the Canadian Revolving Lenders to the Parent Borrower. Each Canadian Revolving Credit Loan denominated in Canadian dollars shall be a Canadian Prime Rate Loan or a B/A Loan. Each Canadian Revolving Credit Loan denominated in U.S. dollars and made to the Parent Borrower shall be a EurocurrencySOFR Loan or a U.S. Base Rate Loan.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Canadian Revolving Lenders” shall mean Lenders having Canadian Revolving Commitments, outstanding Canadian Revolving Credit Loans, or participations in Canadian Letters of Credit pursuant to Section 2.21(d) or in Canadian Swing Line Loans pursuant to Section 2.23. “Canadian Revolving Pro Rata Percentage” of any Canadian Revolving Lender, subject to any adjustment as provided in Section 2.24(c) or 2.25(a), shall mean the percentage of the aggregate Canadian Revolving Commitments represented by such Canadian Revolving Lender’s Canadian Revolving Commitment; provided that if the Canadian Revolving Commitments have terminated, the Canadian Revolving Pro Rata Percentages of the Canadian Revolving Lenders shall be determined based upon the Canadian Revolving Commitments most recently in effect, giving effect to any assignments “Canadian Security Agreement” shall mean the Canadian Security Agreement, substantially in the form of Exhibit E-2, among each Canadian Subsidiary of the Parent Borrower party thereto, as grantors, and the Canadian Collateral Agent, for the benefit of the Secured Parties. “Canadian Security Documents” shall mean the Canadian Security Agreement, the Canadian Pledge Agreement, and each other Security Document to which the Parent Borrower, any Canadian Subsidiary Guarantor or any other Subsidiary of the Parent Borrower is a party and that purports to grant a Lien in the assets of any such person in favor of the Canadian Collateral Agent for the benefit of the Secured Parties. “Canadian Subsidiaries” shall mean the Subsidiaries organized under the laws of Canada or any province, territory or other political subdivision thereof, other than any U.S. Owned Subsidiary. “Canadian Subsidiary Guarantor” shall mean each Canadian Subsidiary listed on Schedule 1.01(c), and each other Canadian Subsidiary that is or becomes a party to the Canadian Guarantee Agreement. “Canadian Swing Line Borrowing” shall mean a borrowing of a Canadian Swing Line Loan pursuant to Section 2.23(a)(ii) or, if an AutoBorrow Agreement is in effect, any transfer of funds pursuant to such AutoBorrow Agreement. “Canadian Swing Line Lender” shall mean RBC in its capacity as provider of Canadian Swing Line Loans, or any successor swing line lender hereunder. “Canadian Swing Line Loan” shall have the meaning assigned to such term in Section 2.23(a)(ii). “Canadian Swing Line Sublimit” shall mean U.S.$25,000,000. The Canadian Swing Line Sublimit is part of, and not in addition to, the Canadian Revolving Commitments. “Canadian Term Borrowing” shall mean a group of Canadian Term Loans of a single Type made, converted or continued by the Canadian Term Lenders on a single date and, in the case of a B/A Loan, as to which a single Contract Period is in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Canadian Term Commitment” shall mean, with respect to each Canadian Term Lender, the commitment of such Canadian Term Lender to make a single Canadian Term Loan to the Parent Borrower on the Closing Date in an aggregate principal amount not to exceed the Canadian dollar amount set forth opposite such Lender’s name on Schedule 2.01. The aggregate amount of the Canadian Term Commitments as of the Closing Date is C$100,000,000. “Canadian Term Lender” shall mean any Lender that has a Canadian Term Commitment or holds a Canadian Term Loan. “Canadian Term Loan” shall mean the Canadian dollar-denominated term loans made by the Canadian Term Lenders to the Parent Borrower. “Canadian Term Loan Facility” shall mean the aggregate principal amount of the Canadian Term Loans of all Canadian Term Lenders outstanding at such time. “Canadian Term Loan Pro Rata Percentage” with respect to any Canadian Term Lender, the percentage of the aggregate principal amount of the Canadian Term Loans represented by such Canadian Term Lender’s Canadian Term Loans at such time. “Capital Lease Obligations”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“Cash Collateralize” shall mean to pledge and deposit with or deliver to the Applicable Collateral Agent, for the benefit of the Secured Parties,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 “CDOR Rate”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“Refinitiv Screen Canadian Dollar Offered Rate (CDOR) Page” (or any display substituted therefor) of Reuters Monitor Money Rates Services (or any successor thereto or Affiliate thereof) at approximately 10:00 a.m. (Standard Time), on such date, or if such date is not a Business Day, on the immediately preceding Business Day; provided that, if the rate determined above shall ever be less than zero, such rate shall be deemed to be zero for the purposes of this Agreement. “CDOR Scheduled Successor Rate” shall have the meaning provided in Section 2.08(c). “CDOR Scheduled Unavailability Date” shall have the meaning provided in Section 2.08(c).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CDS” shall have the meaning assigned to such term in Section 2.22(c). “Change in Control”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Parent Borrower; (b) the failure by the Parent Borrower to own, directly or indirectly, beneficially and of record, 100% of the issued and outstanding Equity Interests of the U.S. Borrower; or (c) the failure by the Parent Borrower to own, directly or indirectly, beneficially and of record, 100% of the issued and outstanding Equity Interests of the Australian Borrower. “Change in Law” shall mean (a) the adoption of any law, rule, regulation or treaty after the Closing Date, (b) any change in any law, rule or regulation or in the administration, interpretation, implementation or application thereof by any Governmental Authority after the Closing Date or (c) 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provided however, for purposes of this Agreement and notwithstanding anything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“Class”, when used in reference to (a) any Loan or Borrowing, refers to whether such Loan, or the Loans comprising such Borrowing, are Canadian Revolving Credit Loans, Canadian Term Loans, Australian Revolving Credit Loans or U.S. Revolving Credit Loans, and (b) any Commitment, refers to whether such Commitment is a Canadian Revolving Commitment, Canadian Term Commitment, Australian Revolving Commitment or a U.S. Revolving Commitment. “Closing Date” shall mean the date upon which all of the conditions set forth in Sections 4.01 and 4.02 are satisfied or waived in accordance with Section 9.08(b). “Code” shall mean the Internal Revenue Code of 1986, as amended from time to time. “Collateral” shall mean, collectively, all of the U.S. Collateral, the Canadian Collateral and the Australian Collateral. “Collateral Agents” shall mean, collectively, the U.S. Collateral Agent, the Canadian Collateral Agent and the Australian Collateral Agent. “Commitment” shall mean, with respect to any Lender, such Lender’s U.S. Revolving Commitment, Canadian Revolving Commitment, Canadian Term Commitment, Australian Revolving Commitment or any Incremental Revolving Commitment, and “Commitments” shall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mean the U.S. Revolving Commitments, the Canadian Revolving Commitments, the Canadian Term Commitments, the Australian Revolving Commitments and any Incremental Revolving Commitments. “Commitment Fees” shall have the meaning assigned to such term in Section 2.05(a)(iii). “Commodity Exchange Act” shall mean the Commodity Exchange Act (7 U.S.C. Section 1 et seq.), as amended from time to time, and any successor statute. “Compliance Certificate” shall have the meaning assigned to such term in Section 5.04(c). “Conforming Changes” shall mean, with respect to either the use or administration of Term SOFR or the use, administration, adoption or implementation of any Benchmark Replacement, any technical, administrative or operational changes (including changes to the definition of “Alternate Base Rate,” the definition of “U.S.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2.26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Loan Documents). “Connection Income Taxes” shall mean Other Connection Taxes that are imposed on or measured by net income (however denominated) or that are franchise Taxes or branch profits Taxes. “Consolidated EBITDA” shall mean, for any period, EBITDA of the Parent Borrower and the Subsidiaries for such period, all determined on a consolidated basis. “Consolidated Interest Expense”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 “Consolidated Net Income” shall mean, for any person for any period, the net income or loss of such person for such period determined on a consolidated basis in accordance with GAAP; provided that there shall be excluded (a) the income of any subsidiary of such person to the extent that the declaration or payment of dividends or similar distributions by such subsidiary of that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 For the avoidance of doubt, Consolidated Net Income shall include all amounts recognized as income during such period from the Canada Emergency Wage Subsidy program (but shall deduct, if applicable, any such amounts that were required to be repaid during such period as a result of program non-compliance). “Consolidated Net Worth” shall mean, at any time, the net worth or total shareholders’ equity of the Parent Borrower and its subsidiaries on a consolidated basis determined in accordance with GAAP. “Contract Period” shall mean the term of a B/A Loan selected by the Parent Borrower in accordance with Section 2.22, commencing on the date of such B/A Loan and expiring on a Business Day which shall be either 1, 2 or 3 months thereafter, subject to market availability (or, subject to the agreement of the Applicable Lenders, a longer or shorter period), provided that (a) subject to clause (b) below, each such period shall be subject to such extensions or reductions as may be agreed by the Applicable Lenders to ensure that each Contract Period shall expire on a Business Day, and (b) no Contract Period shall extend beyond the Maturity Date. “Control” shall mean the possession, directly or indirectly, of the power to direct or cause the direction of the management or policies of a person, whether through the ownership of voting securities, by contract or otherwise, and the terms “Controlling” and “Controlled” shall have meanings correlative thereto. “Corresponding Tenor” with respect to any Available Tenor means, as applicable, either a tenor (including overnight) or an interest payment period having approximately the same length (disregarding business day adjustment) as such Available Tenor. “Covered Entity” 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“Covered Party” shall have the meaning provided in Section 9.25. “Credit Event” shall have the meaning assigned to such term in Section 4.01.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Customary Junior Lien Intercreditor Agreement” shall mean an intercreditor agreement, reasonably acceptable to the Loan Party incurring Indebtedness under the indenture or agreement pursuant to which a Qualified Offering is issued, incurred or otherwise obtained, the Agents and the Required Lenders, to be entered into by and among such Loan Party, the other Loan Parties party thereto, the Agents and the trustee, administrative agent, collateral agent, security agent or similar agent and under such indenture or agreement pursuant to which such Qualified Offering is issued, incurred or otherwise obtained, as the case may be, and each of their successors in such capacities. “Decision Period” shall have the meaning assigned to such term in Section 2.17(d). “Default” shall mean any event or condition which upon notice, lapse of time or both would constitute an Event of Default. “Defaulting Lender” shall mean, subject to Section 2.24(d), any Lender that: (a) has failed to (i) fund all or any portion of its Loans within two (2) Business Days of the date such Loans were required to be funded hereunder unless such Lender notifies an Administrative Agent and the Parent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 (b) 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an Administrative Agent or any Borrower, to confirm in writing to such Administrative Agent and such Borrower that it will comply with its funding obligations hereunder (provided that such Lender shall cease to be a Defaulting Lender pursuant to this clause (c) upon receipt of such written confirmation by such Administrative Agent and such Borrower); or (d) 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 “Defined Benefit Plan” shall mean each of the pension plans identified as such in Schedule 3.16(b). “Designated Person” shall mean a person or entity (a) listed in the annex to, or otherwise subject to the provisions of, any Executive Order (as defined in the definition of “Sanctions Laws and Regulations” below); (b) named as a “Specially Designated National and Blocked Person” (“SDN”) on the most current list published by OFAC at its official website or any replacement website or other replacement official publication of such list (“SDN List”); (c) in which an entity on the SDN List has, to the knowledge of Parent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 “Discount Note” shall have the meaning assigned to such term in Section 2.22(h). “Discount Proceeds”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“Face Amount” is the face amount of such Bankers’ Acceptance and “Price” is equal to: 1 (1 + (Rate x Term)) x 365 where the “Rate” is the applicable Discount Rate expressed as a decimal on the day of purchase; the “Term” is the term of such Bankers' Acceptance expressed as a number of days; and the Price as so determined is rounded up or down to the fifth decimal place with .000005 being rounded up. “Discount Rate”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 “Documents” shall have the meaning assigned to such term in Section 1.03(b).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dollars”, “U.S. dollars”, “U.S.$” or “$” shall mean lawful money of the United States of America. “Domestic Subsidiaries” shall mean all Subsidiaries (other than the U.S. Borrower) incorporated or organized under the laws of the United States of America, any State thereof or the District of Columbia. “EBITDA”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(v) [reserved], (vi) transaction costs associated with any Permitted Acquisitions in an aggregate amount not to exceed U.S.$10,000,000 during the term of this Agreement and (vii) the amount of cost savings, operating expense reductions and synergies directly attributable and of continuing effect and projected by the Parent Borrower in good faith to be realized within 12 months after consummation of a Permitted Acquisition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provided that (A) such cost savings, operating expense reductions and synergies (1) are reasonably identifiable and factually supportable and (2) have been approved by the Administrative Agent in its reasonable discretion and (B) the aggregate amount of such cost savings, operating expense reductions and synergies included pursuant to this clause (a)(vii), shall not exceed 10% of EBITDA (after giving effect to this clause (a)(vii)),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 For the avoidance of doubt, without duplication of any amounts included in Consolidated Net Income, EBITDA shall include all amounts recognized as income during such period from the Canada Wage Subsidy program (but shall deduct, if applicable, any such amounts that were required to be repaid during such period as a result of program non-compliance).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EEA Resolution Authority” shall mean any public administrative authority or any person entrusted with public administrative authority of any EEA Member Country (including any delegee) having responsibility for the resolution of any EEA Financial Institution. “Eligible Assignee” shall mean (a) a Lender, (b) an Affiliate of a Lender, (c) an Approved Fund, and (d) any other person (other than a natural person). “Environmental Laws”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 “Environmental Liability”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 “Equity Interests”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 “ERISA” shall mean the Employee Retirement Income Security Act of 1974, as the same may be amended from time to time. “ERISA Affiliate”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 “ERISA Event” shall mean (a) any “reportable event”, as defined in Section 4043 of ERISA or the regulations issued thereunder, with respect to a Plan (other than an event for which the 30- day notice period is waived); (b) the failure of any Plan to satisfy the Pension Funding Rules; (c) the filing pursuant to Section 412(c) of the Code or Section 302(c) of ERISA of an application for a waiver of the minimum funding standard with respect to any Plan; (d) 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within the meaning of Title IV of ERISA; or (g) the occurrence of a “prohibited transaction” with respect to which a Borrower or any of the Subsidiaries is a “disqualified person” (within the meaning of Section 4975 of the Code) or with respect to which a Borrower or any such Subsidiary could otherwise be liable. “Erroneous Payment” has the meaning assigned to it in Section 8.13(a). “Erroneous Payment Return Deficiency” has the meaning assigned to it in Section 8.13(d). “EU Bail-In Legislation Schedule” shall mean the EU Bail-In Legislation Schedule published by the Loan Market Association (or any successor person), as in effect from time to time. “Eurocurrency”, when used in reference to any Loan or Borrowing, refers to whether such Loan, or the Loans comprising such Borrowing, are bearing interest at a rate determined by reference to the Adjusted LIBO Rate. “Event of Default” shall have the meaning assigned to such term in Article VII. “Excess Cash” shall mean, as of any date of determination, the aggregate amount of Unrestricted Cash on hand at the Parent Borrower and its Subsidiaries other than (a) any cash allocated for, reserved or otherwise set aside to pay vendor payments, payroll, payroll taxes, other taxes, and employee wage and benefit payment obligations of the Parent Borrower or any of its Subsidiaries then due and owing and for which the Parent Borrower or such Subsidiary has issued checks or has initiated wires or ACH transfers or will issue checks or initiate wires or ACH transfers within five Business Days in order to make such payments, (b) to the extent the payment of such amounts are not prohibited by this Agreement, other amounts in respect of which the Parent Borrower or any of its Subsidiaries has issued checks or has initiated wires or ACH transfers to Persons that are not Affiliates of a Credit Party but that have not yet been subtracted from the balance in the relevant account of the Parent Borrower or any Subsidiary, (c) any cash of the Parent Borrower and its Subsidiaries constituting pledges and/or deposits securing any binding and enforceable purchase and sale agreement with any Persons who are not Affiliates of the Parent Borrower and its Subsidiaries, in each case to the extent permitted by this Agreement and (d) cash of a Borrower or any Subsidiary to be used by a Borrower or any Subsidiary within five Business Days to pay the purchase price for any acquisition of any assets or property by such Loan Party pursuant to an executed and binding agreement between such Loan Party and a third-party seller that is not an Affiliate of such Borrower or Subsidiary, in each case to the extent permitted by this Agreement. “Exchange Rate” shall mean, on any day, (a) with respect to the Canadian Revolving Credit Facilities only, for purposes of determining the U.S. Dollar Equivalent of Canadian dollars and the Canadian Dollar Equivalent, the rate of exchange for Canadian interbank transactions at which Canadian dollars may be exchanged into U.S. dollars or at which U.S. dollars may be exchanged into Canadian dollars, respectively, established by the Bank of Canada and quoted at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approximately the end of business (Standard Time) for the day in question or, if such determination is required to made prior to such time, as quoted at approximately the end of business (Standard Time) on the Business Day immediately preceding the date of determination, (b) 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dollars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Parent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provided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 “Excluded Collateral” shall mean (a) any lease, license, contract, property rights or agreement to which any Guarantor is a party or any of its rights or interests thereunder if and for so long as the grant of such security interest shall constitute or result in (i) the abandonment, invalidation or unenforceability of any right, title or interest of any Guarantor therein or (ii) a breach or termination pursuant to the terms of, or a default under, any such lease, license, contract property rights or agreement (other than to the extent that any such term would be rendered ineffective pursuant to Sections 9-406, 9-407, 9-408 or 9-409 of the UCC (or any successor provision or provisions) of any relevant jurisdiction or any other applicable law (including any Insolvency Law) or principles of equity), provided that the Collateral shall include and such security interest shall attach immediately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(b) those assets of a Guarantor with respect to which, in the sole discretion of (i) the U.S. Collateral Agent with respect to U.S. Collateral, (ii) the Canadian Collateral Agent with respect to Canadian Collateral or (iii) the Australian Collateral Agent with respect to Australian Collateral, the burdens, costs or consequences of obtaining a Lien on such assets are excessive in view of the benefits to be obtained by the Secured Parties (including, for the avoidance of doubt, adverse tax consequences to the Parent Borrower and its Subsidiaries); (c) with respect to any U.S. Collateral, any “intent to use”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Trademark (as defined in the U.S. Security Agreement) applications prior to the filing and acceptance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(d) any Equipment that is covered by a certificate of title under a statute of any jurisdiction under the law of which an indication of a security interest on such certificate is required as a condition of perfection of a security interest in such Equipment, (e) “consumer goods” as that term is defined in the PPSA (Alberta) (f) any real property (including all buildings, fixtures or other improvements located thereon) now, hereafter or heretofore owned, leased, operated or used by a Borrower of any of the Subsidiaries or (g) any asset over which the granting of a security interest in such asset would be prohibited by contract (including Permitted Liens, leases and licenses), applicable law or regulation (in each case, except to the extent such prohibition is unenforceable after giving effect to applicable provisions of the UCC, other than proceeds thereof, the assignment of which is expressly deemed effective under the UCC notwithstanding such prohibitions) or to the extent that such security interest would require obtaining the consent of any governmental or regulatory authority provided that the Collateral shall include and such security interest shall attach immediately at such time as such prohibition no longer exists or such consent is no longer required; provided, however, the foregoing clauses (a) - (g) shall not exclude from the Collateral or the security interest granted under the Security Documents any right to receive Proceeds from a disposition, conveyance, transfer, exchange, lease or similar transaction in respect of the foregoing or any other Proceeds, products, accessions, substitutions or replacements of the foregoing unless they independently are covered by such clauses (a) - (g). Capitalized terms used but not defined in this paragraph shall have the meanings assigned to such terms in the UCC. “Excluded Subsidiary” shall mean each of (i) Ft. McMurray Lodge Services GP Ltd. and (ii) any Subsidiary having no material assets other than Equity Interests of a Special Purpose Business Entity. “Excluded Swap Obligation”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“Excluded Taxes”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if different, the jurisdiction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 (1) 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 “Facility” shall mean the U.S. Revolving Credit Facility, the Canadian Term Loan Facility, the Canadian Revolving Credit Facility or the Australian Revolving Credit Facility, in each case as the context may require. “Facility Letter” shall have the meaning assigned to such term in the definition of Bilateral Agreement. “FATCA”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 “FCPA” shall mean the United States Foreign Corrupt Practices Act of 1977. “Federal Funds Effective Rate”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 so published for any day that is a Business Day, the rate (rounded upwards, if necessary, to the next 1/100 of 1%) for such transactions as determined by the Administrative Agent. “Fee Letter” shall mean the letter agreement dated as of the Closing Date between the Parent Borrower and RBC. “Fees” shall mean, collectively, the Commitment Fees, the L/C Participation Fees, the Issuing Bank Fees and all fees set forth in the Fee Letter. “Financial Covenants” shall mean the financial covenants set forth in Sections 6.10 and 6.11. “Financial Officer” of any person shall mean the chief financial officer, principal accounting officer, treasurer or controller of such person. “Floor” means 0.00%. “Foreign Government Scheme or Arrangement” shall have the meaning assigned to such term in Section 3.16(c). “Foreign Lender”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 “Foreign Plan” shall have the meaning assigned to such term in Section 3.16(c). “Foreign Subsidiary” shall mean any Subsidiary that is not (a) a Domestic Subsidiary or (b) a U.S. Borrower. “Fronting Exposure”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 “FSHCO” shall mean any Domestic Subsidiary that is a disregarded entity for U.S. federal income tax purposes substantially all of the assets of which consist of, directly or indirectly, Equity Interests in or Indebtedness of Foreign Subsidiaries that are U.S. Owned Subsidiaries. “Fund” shall mean any person (other than a natural person) that is (or will be) engaged in making, purchasing, holding or otherwise investing in commercial loans and similar extensions of credit in the ordinary course of its business.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GAAP” shall mean United States generally accepted accounting principles applied on a consistent basis. “Governmental Authority”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“Granting Lender” shall have the meaning assigned to such term in Section 9.04(g). “GST Act” shall mean A New Tax System (Goods and Services Tax) Act 1999 (Cth). “GST Law” shall have the meaning it has in the GST Act. “Guarantee” of or by any person shall mean (a) any obligation, contingent or otherwise, of such person guaranteeing or having the economic effect of guaranteeing any Indebtedness of any other person (the “primary obligor”)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provided, however, that the term “Guarantee” shall not include endorsements for collection or deposit in the ordinary course of business. “Guarantee Agreements” shall mean, collectively, the U.S. Guarantee Agreement, the Australian Guarantee Agreement and the Canadian Guarantee Agreement. “Guarantors” shall mean, collectively, the Borrowers and the Subsidiary Guarantors. “Hazardous Materials”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 “Hedging Agreement” shall mean any interest rate protection agreement, foreign currency exchange agreement, commodity price protection agreement or other interest or currency exchange rate or commodity price hedging arrangement.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Illegality Notice” shall have the meaning set forth in Section 2.14. “Increased Amount Date” shall have the meaning assigned to such term in Section 2.25. “Incremental Lender” shall have the meaning assigned to such term in Section 2.25. “Incremental Revolving Commitment” shall have the meaning assigned to such term in Section 2.25. “Incremental Revolving Credit Increase” shall have the meaning assigned to such term in Section 2.25. “Indebtedness” of any person shall mean, without duplication, (a) all obligations of such person for borrowed money, (b) 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(provided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 “Indemnified Liabilities” shall have the meaning assigned to such term in Section 9.05(b). “Indemnified Taxes” shall mean (a) Taxes, other than Excluded Taxes, imposed on or with respect to any payment made by or on account of any obligation of a Loan Party under any Loan Document and (b) to the extent not otherwise described in (a), Other Taxes. “Indemnitee” shall have the meaning assigned to such term in Section 9.05(b). “Insolvency Law” shall mean, to the extent applicable, (a) Title 11 of the United States Code, (b) the Bankruptcy and Insolvency Act (Canada), (c) the Companies’ Creditors Arrangement Act (Canada), (d) Chapter 5 of the Australian Corporations Act; (e) any similar federal, provincial, state, local or foreign bankruptcy or insolvency law applicable to the Parent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Interest Coverage Ratio” for any period shall mean the ratio of (a) Consolidated EBITDA for such period to (b) Consolidated Interest Expense for the Parent Borrower and the Subsidiaries for such period. Solely for purposes of this definition, if, at any time the Interest Coverage Ratio is being determined, the Parent Borrower or any Subsidiary shall have completed a Permitted Acquisition or Asset Sale the consideration of which is greater than $25,000,000 since the beginning of the relevant four fiscal quarter period, the Interest Coverage Ratio shall be determined on a pro forma basis (using the criteria therefor described in Section 6.04(i)) as if such Permitted Acquisition or Asset Sale and any related incurrence or repayment of Indebtedness, had occurred at the beginning of such period. “Interest Payment Date”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EurocurrencySOFR Loan or BBSY Rate Loan, the last day of the Interest Period applicable to the Borrowing of which such Loan is a part and the earlier of the Maturity Date and the date on which the applicable Commitment shall expire or be terminated as provided herein, and in the case of a EurocurrencySOFR Borrowing or BBSY Rate Borrowing with an Interest Period of more than three months’ duration, each day that would have been an Interest Payment Date had successive Interest Periods of three months’ duration been applicable to such Borrowing. “Interest Period” shall mean, with respect to any Eurocurrency BorrowingSOFR Loan or BBSY Rate Borrowing, the period commencing on the date of such Borrowing and ending on the numerically corresponding day (or, if there is no numerically corresponding day, on the last day) in the calendar month that is 1, 3 or 6 months thereafter (or a shorter period, in each case if requested by the Applicable Borrower and consented to by all Applicable Lenders (including consent by verbal or electronic communication (e-mail)), provided that any Lender that has not responded to such request within three Business Days shall be deemed to have consented), as a Borrower may elect; provided, however,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and no tenor that has been removed from this definition pursuant to Section 2.26 shall be available for specification in a Borrowing Request or interest election. “Interpolated Term SOFR” means, for purposes of any calculation of Term SOFR for a SOFR Loan, the rate which results from interpolating on a linear basis between: (a) (i) for any Interest Period for a duration longer than one-month (other than three- months, sixth-months or twelve-months), the most recent applicable Term SOFR (determined pursuant to clause (a) of the definition thereof) for the longest period (for which Term SOFR is available) which is less than the Interest Period of that Loan and (ii) for any Interest Period of for a duration of less than one-month, SOFR as of such date of determination;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the most recent applicable Term SOFR (determined pursuant to clause (a) of the definition thereof) for the shortest period (for which Term SOFR is available) which is greater than the Interest Period of that Loan. “Investment” shall have the meaning assigned to such term in Section 6.04. “IRS” shall mean the United States Internal Revenue Service. “Issuing Bank” shall mean, as the context may require, (a) RBC, with respect to Letters of Credit issued by it, (b) RBC Europe, with respect to Letters of Credit issued by it, (c) The Toronto Dominion Bank, with respect to Letters of Credit issued by it, (d) with respect to each Rolled Letter of Credit, the Lender that issued such Rolled Letter of Credit and (e) any other Lender that may become an Issuing Bank pursuant to Section 2.21(j) or (l) with respect to Letters of Credit issued by such Lender, or (f)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 “Issuing Bank Fees” shall have the meaning assigned to such term in Section 2.05(c). “ITA” shall mean the Income Tax Act (Canada), as amended, and any successor thereto, and any regulations promulgated thereunder. “Judgment Currency” shall have the meaning assigned to such term in Section 9.17. “Judgment Currency Conversion Date” shall have the meaning assigned to such term in Section 9.17. “L/C Cash Collateral Account” shall have the meaning assigned to such term in Section 2.21(k). “L/C Commitment” shall mean the commitment of each Issuing Bank to issue Letters of Credit pursuant to Section 2.21. “L/C Disbursement” shall mean a payment or disbursement made by an Issuing Bank pursuant to a Letter of Credit. “L/C Exposure” shall mean Australian L/C Exposure, Canadian L/C Exposure or U.S. L/C Exposure, as applicable. “L/C Issuance Limit” shall mean, with respect to each Applicable Issuing Bank, the amount set forth on Schedule 2.21 opposite such Applicable Issuing Bank’s name, or in the case of any Lender that becomes an Applicable Issuing Bank after the Closing Date the amount set forth in the agreement executed by such Lender as contemplated by Section 2.21(l). “L/C Participation Fee” shall have the meaning assigned to such term in Section 2.05(c).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Lead Arranger” shall, collectively, mean RBC Capital Markets, HSBC Bank Canada and Bank of Montreal. “Lender Joinder Agreement” shall mean a joinder agreement in form and substance reasonably satisfactory to the Applicable Administrative Agent delivered in connection with Section 2.25. “Lenders”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 “Letter of Credit” shall mean any standby or commercial letter of credit issued (or, in the case of a Rolled Letter of Credit, deemed issued) pursuant to Section 2.21. A Letter of Credit shall be a “U.S. Letter of Credit” if issued under the U.S. Revolving Credit Facility, a “Canadian Letter of Credit” if issued under the Canadian Revolving Credit Facility and an “Australian Letter of Credit” issued under the Australian Revolving Credit Facility; provided that no commercial letter of credit shall be issued under the Australian Revolving Credit Facility. “Letter of Credit Application” shall mean an application and agreement for the issuance, amendment or extension of a Letter of Credit in the form from time to time in use by an Issuing Bank. “Letter of Credit Documents” shall mean, with respect to any Letter of Credit, such Letter of Credit, the related Letter of Credit Application and any agreements, documents, and instruments entered into in connection with or relating to such Letter of Credit. “LIBO Rate” shall mean, except as provided in Section 2.08, with respect to any Eurocurrency Borrowing for any Interest Period, the interest rate per annum (rounded upward to the nearest whole multiple of 1/100 of 1%) determined by the Applicable Administrative Agent at approximately 11:00 a.m. (London time), on the date that is two Business Days prior to the commencement of such Interest Period by reference to the rate set by ICE Benchmark Administration for deposits in U.S. dollars (as set forth by any service selected by the Applicable Administrative Agent that has been nominated by ICE Benchmark Administration as an authorized information vendor for the purpose of displaying such rates) for a period of comparable term and amount and having a maturity equal to such Interest Period; provided, however, that, (a) to the extent that an interest rate is not ascertainable pursuant to the foregoing provisions of this definition, the “LIBO Rate” shall be the interest rate per annum determined by the Applicable Administrative Agent to be the average of the rates per annum at which deposits in U.S. dollars are offered for such relevant Interest Period to major banks in the London interbank market in London, England by the Applicable Administrative Agent at approximately 11:00 a.m. (London time) on the date that is two Business Days prior to the beginning of such Interest Period and (b) if the LIBO Rate is less than zero at any time, such rate shall be deemed to be zero at such time for purposes of this Agreement. “Lien” shall mean, with respect to any asset, (a) any mortgage, deed of trust, lien, pledge, encumbrance, charge, hypothec or security interest in or on such asset and (b) the interest of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 “Loan Documents” shall mean, collectively, this Agreement, any Notes, if any, issued pursuant to Section 2.04(h), any Discount Notes, if any, issued pursuant to Section 2.22(h), the Guarantee Agreements, the Security Documents, the Letter of Credit Documents, the Fee Letter, a Customary Junior Lien Intercreditor Agreement, if any, and each other certificate, agreement, instrument or other document executed and delivered, in each case, by or on behalf of any Loan Party pursuant to the foregoing; provided, however, that for purposes of Section 9.08, “Loan Documents” shall mean this Agreement, the Guarantee Agreements, the Security Documents and a Customary Junior Lien Intercreditor Agreement, if any. “Loan Parties” shall mean the Borrowers and the Guarantors. “Loans” shall mean, collectively, the U.S. Loans, the Canadian Revolving Credit Loans, the Canadian Term Loans, the Australian Revolving Credit Loans and the Swing Line Loans. “Margin Stock” shall have the meaning assigned to such term in Regulation U. “Material Adverse Effect” shall mean (a) a materially adverse effect on the business, assets, operations or condition (financial or otherwise) of the Parent Borrower and its subsidiaries, taken as a whole, (b) material impairment of the ability of any Borrower or any other Loan Party to perform any of its obligations under any Loan Document to which it is or will be a party or (c) material impairment of the rights of or benefits available to the Lenders and the Agents under any Loan Document. “Material Indebtedness”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 “Material Subsidiary” shall mean any Subsidiary (other than an Excluded Subsidiary) of the Parent Borrower that, as of the most recent date for which financial statements required to be delivered pursuant to Sections 5.04(a) or (b) are available, has either (a) net tangible assets (excluding assets that are eliminated in the calculation of consolidated net tangible assets of the Parent Borrower and its subsidiaries) that constitute more than 5% of the consolidated net tangible assets of the Parent Borrower and its subsidiaries or (b) EBITDA greater than 5% of the total EBITDA of the Parent Borrower and its subsidiaries on consolidated basis; provided that if (i) the combined net tangible assets of the Subsidiaries that are not considered to be Material Subsidiaries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(referred to herein as the “Immaterial Subsidiaries”) exceeds 15% of consolidated net tangible assets of the Parent Borrower and its subsidiaries, or (ii) the combined EBITDA of the Immaterial Subsidiaries exceeds 15% of the total EBITDA of the Parent Borrower and its subsidiaries on consolidated basis, then one or more of such Immaterial Subsidiaries shall be deemed to be Material Subsidiaries in descending order based on the respective percentage of consolidated net tangible assets or percentage of the total EBITDA of the Parent Borrower and its subsidiaries on consolidated basis until such excess shall have been eliminated. Each Material Subsidiary listed on Schedules 1.01(b), 1.01(c) and 1.01(d) is a Guarantor as of the Closing Date. “Maturity Date” shall mean September 8, 2025. “Maximum Rate” shall have the meaning assigned to such term in Section 9.09. “Moody’s” shall mean Moody’s Investors Service, Inc. and any successor thereto which is a nationally recognized statistical rating organization. “Multiemployer Plan” shall mean a multiemployer plan as defined in Section 4001(a)(3) of ERISA. “Net Cash Proceeds” shall mean, as applicable, (a) with respect to any Asset Sale, the cash (which term, for purposes of this definition, shall include any Permitted Investments, deferred payment pursuant to, or by monetization of, a note receivable or otherwise, but only as and when received) proceeds received by the Parent Borrower or any of its Subsidiaries therefrom, less the sum of (i) all income taxes and other taxes payable (or reasonably estimated to be payable) to a Governmental Authority as a result of such transaction, (ii) all reasonable and customary out-of- pocket fees (including, without limitation, legal, accounting and advisory fees, and sales commissions) and expenses incurred in connection with such transaction or event, (iii) the principal amount of, premium or penalty, if any, and interest on any Indebtedness secured by a Lien on the asset (or a portion thereof) disposed of, which Indebtedness is required to be repaid in connection with such transaction or event (other than pursuant to Section 2.12), (iv) any amounts paid in respect of Hedging Agreement terminated as a result of the payment of Indebtedness under clause (iii), (v) all distributions and other payments required to be made to minority interest holders in Subsidiaries or joint ventures or to holders of royalty or similar interests as a result of such Asset Sale and (vi) the amount of any reserves established by the Parent Borrower or any of its subsidiaries in accordance with GAAP or other applicable accounting principles,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provided that to the extent any such Net Cash Proceeds received by any Foreign Subsidiary may not be distributed as a cash dividend or a similar cash distribution to a Loan Party without the Parent Borrower and its Subsidiaries incurring adverse tax consequences, as reasonably determined by the Parent Borrower, such proceeds shall, so long as no Event of Default shall have occurred and be continuing at the time of the receipt thereof, not constitute “Net Cash Proceeds” and (b) with respect to any issuance or incurrence of Indebtedness, the cash proceeds thereof, net of all customary fees, commissions, costs and other expenses incurred in connection therewith and, in respect of any Indebtedness that is incurred to refinance or replace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any existing Indebtedness, the amount thereof that is used to effect such refinancing or replacement. “Non-Consenting Lender”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 “Non-Defaulting Lender” shall mean, at any time, each Lender that is not a Defaulting Lender at such time. “Note” shall have the meaning assigned to such term in Section 2.04(h). “Obligations” shall mean (a) the due and punctual payment by each of the Loan Parties of (i)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Secured Parties under this Agreement and the other Loan Documents, (b) the due and punctual performance of all covenants, agreements, obligations and liabilities of the Loan Parties under or pursuant to this Agreement and the other Loan Documents, (c) the due and punctual payment and performance of all obligations of the Loan Parties, monetary or otherwise, under each Hedging Agreement entered into with a counterparty that was a Lender (or an affiliate of a Lender) at the time such Hedging Agreement was entered into, (d) the due and punctual performance of all Banking Services Obligations provided to the Borrowers or any Subsidiary by any Lender or any Affiliate of a Lender and (e) the due and punctual payment and performance of all Bilateral Obligations. Notwithstanding anything to the contrary contained herein, “Obligations” shall not include the Excluded Swap Obligations. “OFAC” shall mean the Office of Foreign Assets Control of the U.S. Department of the Treasury. “Offshore Associate” shall mean an Associate: (a) which is a non-resident of Australia and does not become a Lender or receive a payment in carrying on a business in Australia at or through a permanent establishment of the Associate in Australia;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which is a resident of Australia and which becomes a Lender or receives a payment in carrying on a business in a country outside Australia at or through a permanent establishment of the Associate in that country, and, in either case, which does not become a Lender and receive payment in the capacity of a clearing house, custodian, funds manager or responsible entity of a registered scheme (with each such term having the meaning given for the purposes of section 128F of the Australian Tax Act). “Original Indebtedness” shall have the meaning set forth in the definition of Permitted Refinancing Indebtedness. “Other Connection Taxes”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 “Outstanding BAs Collateral” shall have the meaning assigned to such term in Section 2.22(k). “Parent Borrower” shall have the meaning assigned to such term in the preamble hereto. “Participant” shall have the meaning assigned to such term in Section 9.04(d). “Participant Register” shall have the meaning assigned to such term in Section 9.04(d). “Patriot Act” shall have the meaning assigned to such term in Section 9.21. “Payment Notice” has the meaning assigned to it in Section 8.13(a). “Payment Recipient” has the meaning assigned to it in Section 8.13(a). “PBGC” shall mean the Pension Benefit Guaranty Corporation referred to and defined in ERISA. “Pension Funding Rules” shall mean the rules of the Code and ERISA regarding minimum required contributions (including any installment payment thereof) to Plans and set forth in Section 412, 430, 431, 432 and 436 of the Code and Sections 302, 303, 304 and 305 of ERISA.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Permitted Acquisition” shall mean any acquisition meeting all the criteria of either Section 6.04(i) or Section 6.04(m). “Permitted Investments” shall mean: (a) 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 (b) investments in commercial paper maturing within 270 days from the date of acquisition thereof and having, at such date of acquisition, the highest credit rating obtainable from S&amp;P, Moody’s, Canadian Bond Rating Service or Dominion Bond Rating Service Limited; (c) 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 (d) fully collateralized repurchase agreements with a term of not more than 30 days for securities described in clause (a) above and entered into with a financial institution satisfying the criteria of clause (c) above; and (e) other short-term investments utilized by Foreign Subsidiaries in accordance with normal investment practices for cash management in investments of a type analogous to the foregoing. “Permitted Liens” shall mean Liens permitted by Section 6.02. “Permitted Refinancing Indebtedness” shall mean with respect to any Indebtedness of any Person (the “Original Indebtedness”), any modification, refinancing, refunding, replacement, renewal or extension of such Original Indebtedness, in whole or in part; provided, that (i) no Person that is not an obligor or guarantor with respect to the Original Indebtedness shall be an obligor or guarantor with respect to such Permitted Refinancing Indebtedness, (ii) the final maturity and Weighted Average Life to Maturity of such Permitted Refinancing Indebtedness shall be no shorter than the Original Indebtedness as a result of such modification, refinancing, refunding, replacement, renewal or extension, (iii) the mandatory prepayment and redemption terms, covenants and events of default of such Permitted Refinancing Indebtedness are either (x) not materially more favorable (taken as a whole, as conclusively determined by the Borrower in good faith) to the lenders providing such Permitted Refinancing Indebtedness than those terms (taken as a whole) applicable to the Original Indebtedness (except to the extent such terms apply solely to any period after the Maturity Date or applied for the benefit of the Loans then outstanding)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(y) reflect market terms and conditions at the time of incurrence or issuance, as conclusively determined by the Borrower in good faith, (iv) (x) in the case of any Original Indebtedness consisting of a revolving credit facility, the principal amount does not exceed the committed amount in respect of the Original Indebtedness or (y) in each other case, the principal amount (or accreted value, if applicable) thereof does not exceed the principal amount (or accreted value, if applicable) of the Original Indebtedness, except in each case by an amount (such amount, the “Additional Permitted Amount”) equal to unpaid accrued interest, fees, and premium (including make-whole premiums, prepayment premiums and amounts required to be paid in connection with defeasance and satisfaction and discharge) thereon at such time plus reasonable fees and expenses incurred in connection with such modification, refinancing, refunding, replacement, renewal or extension (including upfront fees and original issue discount), (v) for the avoidance of doubt, the Original Indebtedness is paid down (or, with respect to revolving credit facilities, commitments in respect thereof are reduced (together with, if applicable, payments of principal)) on a dollar-for- dollar basis by such Permitted Refinancing Indebtedness (other than by the Additional Permitted Amount), (vi) if the Original Indebtedness shall have been subordinated to the Obligations, such Permitted Refinancing Indebtedness shall also be subordinated to the Obligations on terms not less favorable in any material respect (taken as a whole) to the Lenders, (vii)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(viii) at the time thereof, no Default or Event of Default shall have occurred and be continuing and (ix) if the Original Indebtedness is subject to a Customary Junior Lien Intercreditor Agreement, the trustee, administrative agent, collateral agent, security agent or similar agent under the indenture or agreement pursuant to which such Permitted Refinancing Indebtedness is issued, incurred or otherwise obtained, as the case may be, and each of their successors in such capacities, shall become a party to such Customary Junior Lien Intercreditor Agreement or other Customary Junior Lien Intercreditor Agreement. “person” shall mean any natural person, corporation, business trust, joint venture, association, company, limited liability company, partnership, Governmental Authority or other entity. “Plan” shall mean any employee pension benefit plan (other than a Multiemployer Plan) subject to the provisions of Title IV of ERISA or Section 412 of the Code, and in respect of which a U.S. Borrower or any ERISA Affiliate is (or, if such plan were terminated, would under Section 4069 of ERISA be deemed to be) an “employer” as defined in Section 3(5) of ERISA. “Plan Asset Regulations” shall mean 29 CFR § 2510.3-101 et seq., as modified by Section 3(42) of ERISA, as amended from time to time. “Platform” shall have the meaning assigned to such term in Section 5.04. “Pledge Agreements” shall mean, collectively, the U.S. Pledge Agreement and the Canadian Pledge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Potential Defaulting Lender”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 “PPS Law”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 “PPS Register” shall mean the Personal Property Securities Register established pursuant to the PPSA (Australia). “PPS Regulations” shall mean the Personal Property Securities Regulations 2010 (Cth). “PPSA (Alberta)” shall mean the Personal Property Security Act, RSA 2000, c. P-7 (Alberta). “PPSA (Australia)” shall mean the Australian Personal Property Securities Act 2009 (Cth). “Prime Rate” shall mean, at any time, the rate of interest most recently announced by the Administrative Agent as its U.S. prime rate, with the understanding that the Prime Rate is one of the Administrative Agent’s base rates and serves as the basis upon which effective rates of interest are calculated for those loans making reference thereto, and is evidenced by the recording thereof after its announcement in such internal publication or publications as the Administrative Agent may designate. Each per annum publicly announced from time to time by the Person acting as the Administrative Agent as its prime rate in effect at its principal office. The Prime Rate is a reference rate and does not necessarily represent the lowest or best rate actually charged to any customer. The Administrative Agent or any Issuing Bank or Lender may make commercial loans or other loans at rates of interest at, above or below the Prime Rate. Any change in the Prime Rate shall betake effective on the dateat the opening of business on the day specified in the public announcement of such change is publicly announced as being effective. “Proceeding” shall have the meaning assigned to such term in Section 9.05(b). “PTE” shall mean a prohibited transaction class exemption issued by the U.S. Department of Labor, as any such exemption may be amended from time to time. “Public Lender” shall have the meaning assigned to such term in Section 5.04. “QFC” shall have the meaning assigned to the term “qualified financial contract” in, and shall be interpreted in accordance with, 12 U.S.C. 5390(c)(8)(D). “QFC Credit Support” shall have the meaning provided in Section 9.25. “Qualified ECP Guarantor” shall mean, in respect of any Swap Obligation, each Loan Party that has total assets exceeding $10,000,000 at the time the relevant Guarantee or grant of the relevant security interest becomes effective with respect to such Swap Obligation or such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“Qualified Offering” shall mean Indebtedness issued by the Parent Borrower and guarantees thereof by any other Loan Party; provided that, as of the date of issuance, (i) such Indebtedness (a) is unsecured or (b) is secured by a Lien on the Collateral that is junior in priority to the Lien securing the Obligations hereunder and is subject to a Customary Junior Lien Intercreditor Agreement and is not secured by any property or assets other than the Collateral, (ii) the Parent Borrower would be in compliance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any incurrence or contemporaneous discharge of Indebtedness and all related transactions, as if such incurrence, discharge or other transaction had occurred as of the first day of such period, (iii) such Indebtedness matures no earlier than 180 days after the Maturity Date at the time such Indebtedness is incurred, (iv) such Indebtedness does not require any scheduled amortization, mandatory prepayments, redemptions, sinking fund payments or purchase offers prior to the final maturity date thereof (other than pursuant to customary asset sale and change of control offers) provided that so long as (A) no Canadian Term Loans are outstanding and (B) after giving effect to the incurrence of such Indebtedness (and any Borrowings on the date such Indebtedness is incurred), there must be at least U.S.$40,000,000 of the Revolving Commitments unused and available, of which at least U.S.$30,000,000 must be comprised of Canadian Revolving Commitments and U.S. Revolving Commitments unused and available, in the aggregate, such Qualified Offering may require (1) scheduled amortization not to exceed 1% of the principal amount of such Indebtedness annually and (2) excess cash flow mandatory prepayments, (v) such Indebtedness is not guaranteed by any person other than the Guarantors, (vi) the terms and conditions (other than pricing, rate floors, discounts, fees, premiums and optional prepayment or redemption provisions) of such Indebtedness are in the good faith determination of the Parent Borrower, not materially less favorable (when taken as a whole) to the Parent Borrower than the terms and conditions of the Loan Documents (when taken as a whole), and (vii) no Default or Event of Default shall have occurred and be continuing at the time of incurrence or would result therefrom. “RBC” shall have the meaning assigned to such term in the preamble hereto. “RBC Europe” shall have the meaning assigned to such term in the preamble hereto. “Recipient” shall mean (a) any Agent, (b) any Lender (c) any Issuing Bank, and (d) any Swing Line Lender, as applicable. “Recipient Party” shall have the meaning assigned to such term in Section 2.19(j). “Reference Banks” shall mean Australia and New Zealand Banking Group Limited (ACN 005 357 522), Commonwealth Bank of Australia (ACN 123 123 124), Westpac Banking Corporation (ACN 007 457 141) and National Australia Bank Limited (ACN 004 044 937),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such other banks as may be selected by the Australian Administrative Agent in consultation with the Australian Borrower. “Relevant Governmental Body” means the Board of Governors of the Federal Reserve System or the Federal Reserve Bank of New York, or a committee officially endorsed or convened by the Board of Governors of the Federal Reserve System or the Federal Reserve Bank of New York, or any successor thereto. “Register” shall have the meaning assigned to such term in Section 9.04(c). “Regulation T” shall mean Regulation T of the Board as from time to time in effect and all official rulings and interpretations thereunder or thereof. “Regulation U” shall mean Regulation U of the Board as from time to time in effect and all official rulings and interpretations thereunder or thereof. “Regulation X” shall mean Regulation X of the Board as from time to time in effect and all official rulings and interpretations thereunder or thereof. “Related Parties” shall mean, with respect to any specified person, such person’s Affiliates and the respective partners, directors, officers, employees, agents and advisors of such person and such person’s Affiliates. “Release” shall mean any release, spill, emission, leaking, dumping, injection, pouring, deposit, disposal, discharge, dispersal, leaching or migration into or through the environment or within or upon any building, structure, facility or fixture. “Required Australian Lenders”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provided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 “Required Canadian Lenders” shall mean, at any time, Canadian Lenders having Canadian Loans, a share of the Canadian L/C Exposure and unused Canadian Revolving Commitments representing at least a majority of the sum of all Canadian Loans outstanding, the Canadian L/C Exposure and unused Canadian Revolving Commitments at such time; provided that the Canadian Loans outstanding, the share of Canadian L/C Exposure and unused Canadian Revolving Commitments of any Defaulting Lender shall be disregarded in determining Required Canadian Lenders at any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Required Canadian Term Lenders” shall mean, at any time, Canadian Term Lenders having Canadian Term Loans representing at least a majority of the sum of all Canadian Term Loans outstanding at such time; provided that the Canadian Term Loans outstanding of any Defaulting Lender shall be disregarded in determining Required Canadian Term Lenders at any time. “Required Canadian Revolving Lenders” shall mean, at any time, Canadian Revolving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provided that the Canadian Revolving Credit Loans outstanding, share of Canadian L/C Exposure and unused Canadian Revolving Commitments of any Defaulting Lender shall be disregarded in determining Required Canadian Revolving Lenders at any time. For purposes of determining the Required Canadian Revolving Lenders at any time, the amount of any Canadian Revolving Credit Loans denominated in Canadian dollars and the Canadian L/C Exposure shall be the U.S. Dollar Equivalent thereof at such time, as determined by the Administrative Agent using the then-applicable Exchange Rate. “Required Lenders” shall mean, at any time, Lenders having Loans, a share of the Aggregate L/C Exposure and unused Revolving Commitments representing at least a majority of the sum of all Loans outstanding, the Aggregate L/C Exposure and unused Revolving Commitments at such time; provided that the Loans outstanding, share of Aggregate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 “Required Revolving Lenders” shall mean the Required Australian Lenders, the Required Canadian Revolving Lenders or the Required U.S. Lenders, as applicable. “Required U.S. Lenders”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provided that the U.S. Revolving Credit Loans outstanding, share of U.S. L/C Exposure and unused U.S. Revolving Commitments of any Defaulting Lender shall be disregarded in determining Required U.S. Lenders at any time. “Resolution Authority” shall mean, with respect to an EEA Financial Institution, an EEA Resolution Authority or, with respect to any UK Financial Institution, a UK Resolution Authority.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Responsible Officer” of any person shall mean any executive officer or Financial Officer of such person and any other officer or similar official thereof responsible for the administration of the obligations of such person in respect of this Agreement or any other Loan Document. “Restricted Indebtedness” shall mean Subordinated Indebtedness of the Parent Borrower or any Subsidiary, the payment, prepayment, repurchase or defeasance of which is restricted under Section 6.09(b). “Restricted Payment” shall mean any dividend or other distribution (whether in cash, securities or other property) with respect to any Equity Interests in the Parent Borrower or any Subsidiary, or any payment (whether in cash, securities or other property), including any sinking fund or similar deposit, on account of the purchase, redemption, retirement, acquisition, cancellation or termination of any Equity Interests in the Parent Borrower or any Subsidiary or any option, warrant or other right to acquire any such Equity Interests in the Parent Borrower or any Subsidiary. “Revolving Commitments” shall mean the Canadian Revolving Commitments, the U.S. Revolving Commitments and the Australian Revolving Commitments. “Revolving Credit Loans” shall mean U.S. Revolving Credit Loans, Canadian Revolving Credit Loans or Australian Revolving Credit Loans, as the context may require. “Revolving Lenders” shall mean U.S. Revolving Lenders, Canadian Revolving Lenders or Australian Lenders, as the context may require. “Rolled Letter of Credit” shall mean each Letter of Credit previously issued for the account of a Borrower that (a) is outstanding on the Closing Date and (b) is listed on Schedule 1.01(a). “Sanctions Laws and Regulations” shall mean (a) any economic, trade or financial sanctions, prohibitions or requirements imposed, administered or enforced by any executive order of the President of the United States (an “Executive Order”) or by any economic sanctions program administered by OFAC or the U.S. Department of State; and (b) any sanctions measures or programs administered, enforced or imposed by the United Nations Security Council, European Union, the United Kingdom, Canada, Singapore or Australia. “SEC” shall mean the Securities and Exchange Commission, and any successor entity. “Secured Parties” shall mean (a) the Lenders, (b) the Administrative Agents, (c) the Collateral Agents, (d) the Issuing Banks, (e) each counterparty to a Hedging Agreement entered into with a Loan Party if such counterparty was a Lender (or an Affiliate of a Lender) at the time the Hedging Agreement was entered into, (f) any Lender (or any Affiliate of a Lender) providing Banking Services to any Loan Party, (g) the Bilateral Lender, (h) the beneficiaries of each indemnification obligation undertaken by any Grantor under any Loan Document and (i) the successors and assigns of each of the foregoing. “Security Agreements” shall mean, collectively, the U.S. Security Agreement, the Canadian Security Agreement and the Australian Security Deed.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Security Documents” shall mean the Security Agreements, the Pledge Agreements, and each of the security agreements, and other instruments and documents executed and delivered pursuant to any of the foregoing or pursuant to Section 5.09. “Senior Secured Net Debt” at any time shall mean (a) the Indebtedness of the Parent Borrower and its Subsidiaries (excluding Indebtedness of the type described in clause (i) of the definition of such term, except to the extent of any unreimbursed drawings thereunder) that is secured by a first priority Lien on any property or assets of the Parent Borrower or any Subsidiary, minus (b) the aggregate amount of Unrestricted Cash of the Parent Borrower and its Subsidiaries at such time, provided, that if there are (1) any Loans then outstanding or (2) any drawn and unreimbursed Letters of Credit with a face amount of not less than U.S.$1,000,000 individually, and U.S.$3,000,000 in the aggregate for all such Letters of Credit, that have not been reimbursed in accordance with Section 2.21(e), the amount of this clause (b) shall not exceed $30,000,000. “Senior Secured Net Leverage Ratio” shall mean, on any date, the ratio of Senior Secured Net Debt on such date to Consolidated EBITDA for the period of four consecutive fiscal quarters most recently ended on or prior to such date for which financial statements have been delivered pursuant to Section 5.04(a) or (b) or for which comparable financial statements have been filed with the SEC. Solely for purposes of this definition, if, at any time the Senior Secured Net Leverage Ratio is being determined, the Parent Borrower or any Subsidiary shall have completed a Permitted Acquisition or Asset Sale the consideration of which is greater than U.S.$25,000,000 since the beginning of the relevant four fiscal quarter period, the Senior Secured Net Leverage Ratio shall be determined on a pro forma basis (using the criteria therefor described in Section 6.04(i)) as if such Permitted Acquisition or Asset Sale, and any related incurrence or repayment of Indebtedness, had occurred at the beginning of such period. “SOFR” means a rate per annum equal to the secured overnight financing rate as administered by the SOFR Administrator. “SOFR Administrator” means the Federal Reserve Bank of New York (or a successor administrator of the secured overnight financing rate). “SOFR Loan” means a Loan that bears interest at a rate based on Adjusted Term SOFR, other than pursuant to (a) clause (iii) of the definition of “Alternate Base Rate” or (b) clause (iii) of the definition of “U.S. Base Rate”. “Solvent”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Closing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S&amp;P” shall mean Standard &amp; Poor’s Ratings Service, a division of The McGraw-Hill Companies, Inc., or any successor thereof which is a nationally recognized statistical rating organization. “SPC” shall have the meaning assigned to such term in Section 9.04(g). “Special Purpose Business Entity” shall mean each entity listed on Schedule 3.08 as being a Special Purpose Business Entity and any other entity formed by the Parent Borrower or any of its Subsidiaries, or in which the Parent Borrower or any of its Subsidiaries acquires an Equity Interest, in each case so long as (i) such entity is, or proposes to engage in, a joint venture with persons that are, or are owned or controlled by, aboriginal peoples in Alaska, Australia or Canada, (ii) any loans or advances to, or investments in such Special Purpose Business Entity is permitted by Section 6.04, and (iii) the Parent Borrower delivers a certificate of a Responsible Officer to the Administrative Agents designating such Special Purpose Business Entity as such and certifying compliance with the foregoing requirements of this definition. “Specified Dispositions” shall mean those sales or other dispositions identified in writing to the Administrative Agent by the Parent Borrower on or prior to the Closing Date. “Standard Time” shall mean eastern standard time or eastern daylight savings time, as applicable on the relevant date. “Statutory Reserves” shall mean a fraction (expressed as a decimal carried out to five decimal places), the numerator of which is the number one and the denominator of which is the number one minus the aggregate of the maximum reserve percentages (including any marginal, special, emergency or supplemental reserves) expressed as a decimal carried out to five decimal places established by the Board for Eurocurrency Liabilities (as defined in Regulation D of the Board). Such reserve percentages shall include those imposed pursuant to such Regulation D. Eurocurrency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 “Subordinated Indebtedness” shall mean (a) Indebtedness incurred under Section 6.01(e) and any Permitted Refinancing Indebtedness in respect thereof and (b) Indebtedness of a Loan Party that is subordinated to the prior payment in full of the Obligations on terms reasonably satisfactory to the Administrative Agent. “subsidiary” shall mean, with respect to any person (herein referred to as the “parent”),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 “Subsidiary” shall mean any subsidiary of a Borrower, other than a Special Purpose Business Entity.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Subsidiary Guarantors” shall mean, collectively, the U.S. Subsidiary Guarantors, the Canadian Subsidiary Guarantors, and the Australian Subsidiary Guarantors. “Supplier” shall have the meaning assigned to such term in Section 2.19(j). “Supported QFC” shall have the meaning provided in Section 9.25. “Swap Obligation” shall mean, with respect to any Loan Party, any obligation to pay or perform under any agreement, contract or transaction that constitutes a “swap” within the meaning of Section 1a(47) of the Commodity Exchange Act. “Swing Line Borrowing” shall mean a U.S. Swing Line Borrowing or a Canadian Swing Line Borrowing, as the context may require. “Swing Line Lender” shall mean the U.S. Swing Line Lender or the Canadian Swing Line Lender, as the context may require. “Swing Line Loan” shall mean a U.S. Swing Line Loan or a Canadian Swing Line Loan, as the context may require. “Swing Line Payment Date”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five (5) Business Days after the date of the applicable Swing Line Borrowing if no Default or Event of Default exists, and otherwise upon demand by the Applicable Swing Line Lender and (ii) the Maturity Date. “Swing Line Sublimit” shall mean the U.S. Swing Line Sublimit or the Canadian Swing Line Sublimit, as the context may require. “Synthetic Purchase Agreement” shall mean any swap, derivative or other agreement or combination of agreements pursuant to which the Parent Borrower or any Subsidiary is or may become obligated to make (a) any payment in connection with a purchase by any third party from a person other than the Parent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provided that no phantom stock or similar plan providing for payments only to current or former directors, officers or employees of the Parent Borrower or the Subsidiaries (or to their heirs or estates) shall be deemed to be a Synthetic Purchase Agreement. “Taxes” shall mean any and all present or future taxes, levies, imposts, duties, deductions, assessments, charges, liabilities or withholdings imposed by any Governmental Authority, including any interest, additions to tax or penalties applicable thereto. “Term SOFR” means (a) for any Interest Period for a duration of one-month, three-months, or six-months (in each case, subject to the availability thereof) for a SOFR Loan, the greater of (i) the Term SOFR Reference Rate for a tenor comparable to the applicable Interest Period on the day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“Term SOFR Determination Day”) that is two (2) U.S. Government Securities Business Days prior to the first day of such Interest Period, as such rate is published by the Term SOFR Administrator and (ii) the Floor;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two (2) U.S. Government Securities Business Days prior to such Term SOFR Determination Day; or (b) for an Interest Period of any duration other than those specified in clause (a) of this definition of “Term SOFR”, for a SOFR Loan, Interpolated Term SOFR. “Term SOFR Adjustment” means, with respect to Term SOFR, 0.10% (10 basis points). “Term SOFR Administrator” means CME Group Benchmark Administration Limited (CBA) (or a successor administrator of the Term SOFR Reference Rate selected by the Agent in its reasonable discretion). “Term SOFR Determination Day” has the meaning assigned to it under the definition of Term SOFR. “Term SOFR Reference Rate” means the forward-looking term rate based on SOFR. “Term SOFR Transition Event” means the determination by the Administrative Agent that (a) Term SOFR has been recommended for use by the Relevant Governmental Body, and is determinable for each Available Tenor and (b) the administration of Term SOFR is administratively feasible for the Administrative Agent. “Total Australian Revolving Commitment” shall mean, at any time, the aggregate amount of the Australian Revolving Commitments, as in effect at such time. “Total Canadian Revolving Commitment” shall mean, at any time, the aggregate amount of the Canadian Revolving Commitments, as in effect at such time. “Total Net Debt” at any time shall mean (a) the Indebtedness of the Parent Borrower and its Subsidiaries at such time (excluding Indebtedness of the type described in clause (i) of the definition of such term, except to the extent of any unreimbursed drawings thereunder), minus (b) the aggregate amount of Unrestricted Cash of the Parent Borrower and its Subsidiaries at such time, provided, that if there are (1) any Loans then outstanding or (2) any drawn and unreimbursed Letters of Credit with a face amount of not less than U.S.$1,000,000 individually, and U.S.$3,000,000 in the aggregate for all such Letters of Credit, that have not been reimbursed in accordance with Section 2.21(e), the amount of this clause (b) shall not exceed $30,000,000. “Total Net Leverage Ratio” shall mean, on any date, the ratio of Total Net Debt on such date to Consolidated EBITDA for the period of four consecutive fiscal quarters most recently ended on or prior to such date for which financial statements have been delivered pursuant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5.04(a) or (b) or for which comparable financial statements have been filed with the SEC. Solely for purposes of this definition, if, at any time the Total Net Leverage Ratio is being determined, the Parent Borrower or any Subsidiary shall have completed a Permitted Acquisition or Asset Sale the consideration of which is greater than U.S.$25,000,000 since the beginning of the relevant four fiscal quarter period, the Total Net Leverage Ratio shall be determined on a pro forma basis (using the criteria therefor described in Section 6.04(i)) as if such Permitted Acquisition or Asset Sale, and any related incurrence or repayment of Indebtedness, had occurred at the beginning of such period. “Total U.S. Revolving Commitment” shall mean, at any time, the aggregate amount of the U.S. Revolving Commitments, as in effect at such time. “Transactions” shall mean, collectively, (a) the entering by the Loan Parties into Loan Documents to which they are to be a party and (b) the payment of the fees and expenses incurred in connection with the consummation of the foregoing. “Type”, when used in respect of any Loan or Borrowing, shall refer to the Rate by reference to which interest on such Loan or on the Loans comprising such Borrowing is determined. For purposes hereof, the term “Rate” shall include the Adjusted LIBO RateTerm SOFR, the Alternate Base Rate, the Canadian Prime Rate, the U.S. Base Rate, the BBSY Rate and the B/A Discount Rate applicable to Bankers’ Acceptances and B/A Equivalent Loans. “UCC” shall mean the Uniform Commercial Code as the same may, from time to time, be in effect in the State of New York; provided, however, in the event that, by reason of mandatory provisions of law, any or all of the attachment, perfection or priority of the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 “UKBA” shall mean the U.K. Bribery Act 2010. “UK Financial Institution”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“Unadjusted Benchmark Replacement” means the applicable Benchmark Replacement excluding the related Benchmark Replacement Adjustment. “Unrestricted Cash” shall mean, as of any date of determination, the aggregate amount of all cash and Permitted Investments on the consolidated balance sheet of the Parent Borrower and its Subsidiaries that are not “restricted” for purposes of GAAP; provided, however, that the aggregate amount of Unrestricted Cash shall not (i) include any cash or Permitted Investments that are subject to a Lien (other than any Lien in favor of any Collateral Agent and Permitted Liens (excluding those Permitted Liens arising under Sections 6.02(e), 6.02(f) and 6.02(i)) or (ii) include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any cash or Permitted Investments that are restricted by contract, law or material adverse tax consequences from being applied to repay any Obligations as determined by the Borrower in good faith. “U.S. Base Rate” shall means, for any day, a rate per annum equal to the greatest of (ai) the rate of interest per annum publicly announced from time to timewhich is determined by the Canadian Administrative Agent as its base rate in effect at its principal office in Toronto, Ontario for determining interest rates on U.S. dollar-denominated commercial loans made in Canada, (b) the Federal Funds Effective Rate in effect on such day plus 1.0% and (c) the sum of the Adjusted LIBO Rate in effect for such day (or if such day is not a Business Day, the immediately preceding Business Day) for a deposit in U.S. dollars with a maturity of one month plus ½ of 1.0%. Each change in the U.S. Base Rate shall be effective on the date such change is publicly announced as being effective; provided that if the rate determined from time to time as the reference rate of interest for loans in U.S. Dollars to its Canadian borrowers; (ii) the rate of interest per annum equal to the sum of the Federal Funds Effective Rate on such day plus ½ of 1.00%; and (iii) Adjusted Term SOFR for a one-month tenor in effect for such day plus 1.00%, adjusted automatically with each change in such rates all without the necessity of any notice to the Borrower or any other Person; provided that if such rates are equal or if such Federal Funds Effective Rate or Adjusted Term SOFR is unavailable for any reason on any date of determination, then the “U.S. Base Rate” shall be the rate specified in paragraph (i) above; provided further that to the extent such highest rate as calculated above shall ever, at any time, be less than zerothe Floor, such rate shall be deemed to be zero for the Floor for all purposes of this Agreementherein. “U.S. Borrower” shall have the meaning assigned to such term in the preamble hereto. “U.S. Collateral” shall mean all “Collateral” as defined in any U.S. Security Document. “U.S. Collateral Agent” shall have the meaning assigned to such term in the preamble hereto. “U.S. Commitment Fee” shall have the meaning assigned to such term in Section 2.05(a)(i). “U.S. Dollar Equivalent” shall mean, on any date of determination, with respect to any amount in Canadian dollars, Australian dollars or an Alternative Currency, the equivalent in U.S. dollars of such amount, determined by the Administrative Agent using the Exchange Rate then in effect.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Guarantee Agreement” shall mean the U.S. Guarantee Agreement, substantially in the form of Exhibit C-3, among the U.S. Borrower, the U.S. Subsidiary Guarantors and the U.S. Collateral Agent for the benefit of the Secured Parties. “U.S. L/C Exposure” shall mean at any time the sum of (a) the U.S. Dollar Equivalent of the aggregate undrawn amount of all outstanding U.S. Letters of Credit at such time plus (b)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 “U.S. L/C Participation Fee” shall have the meaning assigned to such term in Section 2.05(c). “U.S. Lenders” shall mean the Lenders having U.S. Revolving Commitments or outstanding U.S. Loans. “U.S. Loan” shall mean a U.S. Revolving Credit Loan. Each U.S. Loan shall be an ABR Loan or a EurocurrencySOFR Loan. “U.S. Owned Subsidiary” shall mean a Foreign Subsidiary of (i) the U.S. Borrower or (ii) a Subsidiary of the Parent Borrower that is a U.S. Person. None of the Material Subsidiaries on the Closing Date and their successors shall be considered a U.S. Owned Subsidiary. “U.S. Person” shall mean any person that is a “United States person” as defined in Section 7701(a)(30) of the Code. “U.S. Pledge Agreement” shall mean the U.S. Pledge Agreement, substantially in the form of Exhibit D-2, among the U.S. Borrower, the Subsidiaries party thereto and the U.S. Collateral Agent for the benefit of the Secured Parties. “U.S. Revolving Borrowing” shall mean group of U.S. Revolving Credit Loans of a single Type made, converted or continued by the U.S. Revolving Lenders on a single date and, in the case of a EurocurrencySOFR Borrowing, as to which a single Interest Period is in effect. “U.S. Revolving Commitment”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increased from time to time pursuant to Section 2.25, (ii) reduced from time to time pursuant to Section 2.09 and (iii) reduced or increased from time to time pursuant to assignments by or to such U.S. Revolving Lender pursuant to Section 9.04. The aggregate amount of the U.S. Revolving Commitments as of the Closing Date is U.S.$10,000,000. “U.S. Revolving Credit Exposure” shall mean, with respect to any U.S. Revolving Lender at any time, the aggregate principal amount at such time of all outstanding U.S. Revolving Credit Loans of such U.S. Revolving Lender, plus the U.S. Dollar Equivalent of the aggregate amount at such time of such U.S. Revolving Lender’s U.S. Revolving Pro Rata Percentage of the U.S. L/C Exposure plus such U.S. Revolving Lender’s U.S. Revolving Pro Rata Percentage of the outstanding amount all U.S. Swing Line Loans.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U.S. Revolving Credit Facility” shall mean at any time the aggregate amount of the U.S. Revolving Commitments of the U.S. Revolving Lenders at such time. “U.S. Revolving Credit Loan” shall mean the U.S. dollar-denominated Revolving Credit Loans made by the U.S. Revolving Lenders to the U.S. Borrower. “U.S. Revolving Lenders” shall mean Lenders having U.S. Revolving Commitments, outstanding U.S. Revolving Credit Loans, participations in U.S. Letters of Credit pursuant to Section 2.21(d) or in outstanding U.S. Swing Line Loans pursuant to Section 2.23. “U.S. Revolving Pro Rata Percentage” of any U.S. Revolving Lender, subject to any adjustment as provided in Section 2.24(c) or 2.25(a), the percentage of the aggregate U.S. Revolving Commitments represented by such U.S. Revolving Lender’s U.S. Revolving Commitment; provided that if the U.S. Revolving Commitments have terminated, the U.S. Revolving Pro Rata Percentages of the U.S. Revolving Lenders shall be determined based upon the U.S. Revolving Commitments most recently in effect, giving effect to any assignments. “U.S. Security Agreement” shall mean the U.S. Security Agreement, substantially in the form of Exhibit E-3, among the U.S. Borrower, the Subsidiaries party thereto and the U.S. Collateral Agent for the benefit of the Secured Parties. “U.S. Security Documents”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 “U.S. Special Resolution Regime” shall have the meaning provided in Section 9.25. “U.S. Subsidiary Guarantor” shall mean each Domestic Subsidiary of the U.S. Borrower listed on Schedule 1.01(b), and each other Domestic Subsidiary that is or becomes a party to the U.S. Guarantee Agreement. “U.S. Swing Line Borrowing” shall mean a borrowing of a U.S. Swing Line Loan pursuant to Section 2.23(a)(i) or, if an AutoBorrow Agreement is in effect, any transfer of funds pursuant to such AutoBorrow Agreement. “U.S. Swing Line Lender” shall mean RBC in its capacity as provider of U.S. Swing Line Loans, or any successor swing line lender hereunder. “U.S. Swing Line Loan” shall have the meaning assigned to such term in Section 2.23(a)(i). “U.S. Swing Line Sublimit” shall mean U.S.$10,000,000. The U.S. Swing Line Sublimit is part of, and not in addition to, the U.S. Revolving Commitments. “U.S. Tax Compliance Certificate” shall have the meaning assigned to such term in Section 2.19(g)(ii)(B)(3).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wholly owned Subsidiary” of any person shall mean (a) any subsidiary of such person of which securities (except for directors’ qualifying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provided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 “Withdrawal Liability” shall mean liability to a Multiemployer Plan as a result of a complete or partial withdrawal from such Multiemployer Plan, as such terms are defined in Part I of Subtitle E of Title IV of ERISA. “Withholding Agent” shall mean any Loan Party and the Administrative Agent. “Write-Down and Conversion Powers”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UK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Terms Generally. 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provided, however, that if the Parent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Parent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Parent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SECTION 1.03 Several Obligations; Power of Attorney. Each of the U.S. Borrower and the Australian Borrower hereby appoints the Parent Borrower and each of its officers to be its attorneys in fact (its “Attorneys”) and in its name and on its behalf and as its act and deed or otherwise to sign all documents and carry out all such acts as are necessary or appropriate in connection with executing any Borrowing Request, any Loan Documents or any other instruments, certificates or documents delivered thereunder or in connection therewith (collectively, the “Documents”). This Power of Attorney shall be valid for the duration of the term of this Agreement. The U.S. Borrower and the Australian Borrower hereby ratifies any and all acts which any of its Attorneys shall do in order to execute on its behalf, or in connection with, the Documents mentioned herein. SECTION 1.04 Classification of Loans and Borrowings. For purposes of this Agreement, Loans may be classified and referred to by Class (e.g., a “U.S. Revolving Credit Loan”) or by Type (e.g., a “EurocurrencySOFR Loan”) or by Class and Type (e.g., a “EurocurrencySOFR U.S. Revolving Credit Loan”). Borrowings also may be classified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referred to by Class (e.g., a “U.S. Revolving Borrowing”) or by Type (e.g., a “EurocurrencySOFR Borrowing”) or by Class and Type (e.g., a “EurocurrencySOFR U.S. Revolving Borrowing”). SECTION 1.05 Additional Alternative Currencies. The Borrowers may from time to time request that Letters of Credit be issued in a currency other than those specifically listed in the definition of “Alternative Currency;” provided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 SECTION 1.06 Cashless Rolls. Notwithstanding anything to the contrary contained in this Agreement or in any other Loan Document, any Lender may exchange, continue or roll over all or a portion of its Canadian Term Loans (as defined in the Existing Credit Agreement) in connection with this Agreement, pursuant to a cashless settlement mechanism approved by the Borrower, the Administrative Agent and such Lender. SECTION 1.07 Interest Rates; Benchmark Notification. The interest rate on a Loan denominated in U.S. dollars may be derived from an interest rate benchmark that may be discontinued or is, or may in the future become, the subject of regulatory reform. Upon the occurrence of a Benchmark Transition Event, Section 2.26 provides a mechanism for determining an alternative rate of interest. The Administrative Agent does not warrant or accept any responsibility for, and shall not have any liability with respect to, (a) the continuation of, the administration of, submission of, calculation of, performance of or any other matter related to any interest rate used in this Agreement (including, without limitation, the Alternate Base Rate, the U.S. Base Rate, SOFR, the Term SOFR Reference Rate, Adjusted Term SOFR or Term SOFR) or 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II THE CREDITS SECTION 2.01 Commitments. Subject to the terms and conditions and relying upon the representations and warranties herein set forth: (a) each U.S. Revolving Lender agrees, severally and not jointly, to make U.S. Revolving Credit Loans in U.S. dollars to the U.S. Borrower, at any time and from time to time on or after the Closing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 (b) each Canadian Revolving Lender agrees, severally and not jointly, to make Canadian Revolving Credit Loans in Canadian dollars and/or U.S. dollars to the Parent Borrower at any time and from time to time on or after the Closing Date, and until the 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 (c) each Canadian Term Lender agrees, severally and not jointly, to make Canadian Term Loan in Canadian dollars to the Parent Borrower on the Closing Date, in a principal amount not to exceed such Lender’s Canadian Term Commitment; (d) each Australian Lender agrees, severally and not jointly, to make Australian Revolving Credit Loans in Australian dollars and/or U.S. dollars to the Australian Borrower at any time and from time to time on or after the Closing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the U.S. Swing Line Lender agrees to make Swing Line Loans in U.S. dollars to the U.S. Borrower in accordance with Section 2.23; (f) the Canadian Swing Line Lender agrees to make Swing Line Loans in Canadian dollars or U.S. dollars to the Parent Borrower in accordance with Section 2.23; and (g) within the limits set forth in the preceding sentence and subject to the terms, conditions and limitations set forth herein, the Borrowers may borrow, prepay and reborrow Revolving Credit Loans. SECTION 2.02 Loans. (a) Each Loan shall be made as part of a Borrowing consisting of Loans made by the Applicable Lenders ratably in accordance with their Applicable Pro Rata Percentages of the applicable Facility; provided, however,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EurocurrencySOFR Loans, an integral multiple of U.S.$1,000,000 and in a minimum amount of U.S.$3,000,000, (iii) in the case of Canadian dollar-denominated Loans, an integral multiple of C$100,000 and in a minimum amount of C$1,000,000, (iv) in the case of Australian dollar-denominated Loans, an integral multiple of AUD$100,000 and in a minimum amount of AUD$1,000,000 or (v) equal to the remaining available balance of the applicable Commitment. (b) Subject to Sections 2.08 and 2.14, (i) each Borrowing (other than a Swing Line Borrowing) denominated in U.S. dollars shall be comprised entirely of ABR Loans (if made to the U.S. Borrower), U.S. Base Rate Loans (if made to the Parent Borrower) or EurocurrencySOFR Loans as the Applicable Borrower may request pursuant to Section 2.03, (ii) each Borrowing (other than a Swing Line Borrowing) denominated in Canadian dollars shall be comprised entirely of B/A Loans or Canadian Prime Rate Loans as the Parent Borrower may request pursuant to Section 2.03 and (iii) each Borrowing denominated in Australian dollars shall be comprised entirely of BBSY Rate Loans. Each Lender may at its option make any EurocurrencySOFR Loan, Canadian Revolving Credit Loan or Australian Revolving Credit Loan denominated in U.S. dollars by causing any domestic or foreign branch or Affiliate of such Lender to make such Loan; provided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provided, however, that the Borrowers shall not be entitled to request any Borrowing that, if made, would result in more than ten EurocurrencySOFR Borrowings outstanding hereunder at any time, more than ten B/A Borrowings outstanding hereunder at any time, or more than ten BBSY Rate Borrowings outstanding hereunder at any time. For purposes of the foregoing, EurocurrencySOFR Borrowings or BBSY Rate Borrowings having different Interest Periods and B/A Borrowings having different Contract Periods, regardless of whether they commence on the same date, shall be considered separate Borrowings.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EurocurrencySOFR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the Parent Borrower shall make each Canadian Loan to be made by it hereunder on the proposed date thereof by wire transfer of immediately available funds to such account in Toronto, Ontario as the Canadian Administrative Agent may designate not later than 1:00 p.m. (Standard Time) in the case of a EurocurrencySOFR Borrowing or a B/A Borrowing, or 1:00 p.m. (Standard Time) in the case of a Canadian Prime Rate Borrowing or U.S. Base Rate Borrowing, and the Canadian Administrative Agent shall promptly credit the amounts so received to an account designated by the Parent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 (d) 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provided, however, that the foregoing does not constitute a waiver by any Borrower of any claim for damages permitted hereunder and attributable to such Lender. Any payment by a Borrower shall be without prejudice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 any claim any Borrower may have against a Lender that shall have failed to make such payment to the Applicable Administrative Agent. (e) 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 (f) Notwithstanding any other provision of this Agreement, the Borrowers shall not be entitled to request any Borrowing if the Interest Period or Contract Period requested with respect thereto would end after the Maturity Date. (g) If an Issuing Bank shall not have received from the U.S. Borrower, the Parent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Revolving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(or for whose Subsidiary’s)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provided, however,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Revolving Lender, an Australian Lender or the Borrower for whose (or for whose Subsidiary’s) account such L/C Disbursement was made), the Borrower for whose (or for whose Subsidiary’s)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 SECTION 2.03 Borrowing Procedure. (a) In order to request a Borrowing (other than a deemed Borrowing pursuant to Section 2.02(g) or a Swing Line Borrowing as to which this Section 2.03(a) shall not apply), the applicable U.S. Borrower (or the Parent Borrower on its behalf) shall hand deliver, fax or send by electronic communication (e-mail) (or by telephone notice promptly confirmed by a written, fax or electronic communication (e-mail)) to the Administrative Agent a duly completed Borrowing Request (x) in the case of a EurocurrencySOFR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such U.S. Borrower (or the Parent Borrower on its behalf) and shall specify the following information: (i) [reserved], (ii) whether such Borrowing is to be a EurocurrencySOFR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EurocurrencySOFR Borrowing, the Interest Period with respect thereto; provided, however, that, notwithstanding any contrary specification in any Borrowing Request, each requested Borrowing shall comply with the requirements set forth in Section 2.02. If no election as to the Type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Borrowing is specified in any such notice, then the requested Borrowing shall be an ABR Borrowing. If no Interest Period with respect to any EurocurrencySOFR Borrowing is specified in any such notice, then the Parent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 (b) In order to request a Borrowing (other than a deemed Borrowing pursuant to Section 2.02(g) or a Swing Line Borrowing as to which Section 2.03(b) shall not apply), the Parent Borrower shall hand deliver, fax or send by electronic communication (e-mail) (or by telephone notice promptly confirmed by a written, fax or electronic communication (e-mail)) to the Canadian Administrative Agent a duly completed Borrowing Request (x) in the case of a B/A Borrowing or a EurocurrencySOFR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Parent Borrower and shall specify the following information: (i) in the case of a Canadian Revolving Borrowing, whether the Borrowing then being requested is to be denominated in Canadian dollars or U.S. dollars; (ii) whether such Borrowing is to be a Canadian Prime Rate Borrowing, a B/A Borrowing, a U.S. Base Rate Borrowing or a EurocurrencySOFR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B/A Borrowing or a EurocurrencySOFR Borrowing, the Contract Period or Interest Period, respectively, therefor; provided, however, that, notwithstanding any contrary specification in any Borrowing Request, each requested Borrowing shall comply with the requirements set forth in Section 2.02. If no election as to the Type of Borrowing is specified in any such notice, then the requested Borrowing shall be a Canadian Prime Rate Borrowing (if denominated in Canadian dollars) or a U.S. Base Rate Borrowing (if denominated in U.S. dollars). If no Contract Period or Interest Period with respect to a B/A Borrowing or EurocurrencySOFR Borrowing has been specified in any such notice, then the Parent Borrower shall be deemed to have selected a Contract Period or Interest Period of one month’s duration. The Canadian Administrative Agent shall promptly advise the Applicable Lenders of any notice given pursuant to this Section 2.03(b) (and the contents thereof), and of each Lender’s portion of the requested Borrowing. (c) In order to request a Borrowing (other than a deemed Borrowing pursuant to Section 2.02(g), as to which this Section 2.03(c) shall not apply), the Australian Borrower (or the Parent Borrower on its behalf) shall hand deliver, fax or send by electronic communication (e- 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Parent Borrower on its behalf) and shall specify the following information: (i) whether the Borrowing then being requested is to be a BBSY Rate Borrowing denominated in Australian dollars or a EurocurrencySOFR Borrowing denominated in U.S. dollars; (ii) the date of such Borrowing (which shall be a Business Day); (iii) the number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location of the account to which funds are to be disbursed (which shall be an account that complies with the requirements of Section 2.02(c)); (iv) the amount of such Borrowing; and (v) the Interest Period therefor; provided, however,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 SECTION 2.04 Evidence of Debt; Repayment of Loans. (a) The U.S. Borrower hereby unconditionally promises to pay to the Administrative Agent for the account of each U.S. Revolving Lender holding U.S. Revolving Credit Loans the then unpaid principal amount of each such Revolving Credit Loan of such Lender on the Maturity Date. The Parent Borrower hereby unconditionally promises to pay to the Canadian Administrative Agent for the account of each Canadian Revolving Lender holding Canadian Revolving Credit Loans made to such Parent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 (b) The Parent Borrower hereby unconditionally promises to pay in Canadian Dollars to the Canadian Administrative Agent for the account of each Canadian Term Lender holding Canadian Term Loans the principal amounts set forth in Schedule 2.04 on each corresponding date set forth on such schedule; provided that the Canadian Administrative Agent shall promptly update Schedule 2.04 upon any repayment or prepayment of Canadian Term Loans, which updated schedule shall become effective upon delivery to the Parent Borrower. (c) The U.S. Borrower shall repay each U.S. Swing Line Loan on the Swing Line Payment Date. The Parent Borrower shall repay each Canadian Swing Line Loan on the Swing Line Payment Date. (d) Except for any B/A Loan (the compensation for which is set forth in Section 2.22), each Loan shall bear interest from and including the date made on the outstanding principal balance thereof as set forth in Section 2.06. (e) 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 (f) The Administrative Agents shall maintain accounts in which they will record (i) the amount of each Loan made hereunder, the Class, Type and currency thereof and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 (g) The entries made in the accounts maintained pursuant to paragraphs (e) and (f) above shall be prima facie evidence of the existence and amounts of the obligations therein recorded; provided, however, that the failure of any Lender or the Administrative Agents to maintain such accounts or any error therein shall not in any manner affect the obligations of the Borrowers to repay the Loans in accordance with the terms of this Agreement. (h) Any Lender may request that Loans made by it hereunder be evidenced by a promissory note (a “Note”).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 SECTION 2.05 Fees. (a) (i) The U.S. Borrower agrees to pay to each U.S. Revolving Lender, through the Administrative Agent, on the last Business Day of March, June, September and December in each year, a commitment fee (the “U.S. Commitment Fee”)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 (ii) The Parent Borrower agrees to pay to each Canadian Revolving Lender, through the Canadian Administrative Agent, on the last Business Day of March, June, September and December in each year, a commitment fee (the “Canadian Commitment Fee”) equal to the Applicable Percentage on the daily unused amount of the Canadian Revolving Commitments of such Canadian Revolving Lender to make Canadian Revolving Credit Loans to the Parent Borrower during the preceding quarter. The Canadian Commitment Fees shall be computed on the basis of the actual number of days elapsed in a year of 365 or 366 days, as the case may be. (iii) The Australian Borrower agrees to pay to each Australian Lender, through the Australian Administrative Agent, on the last Business Day of March, June, September and December in each year, a commitment fee (the “Australian Commitment Fee”; together with the U.S. Commitment Fee and the Canadian Commitment Fees, the “Commitment Fees”)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(iv) The Commitment Fees due to each Revolving Lender shall commence to accrue on the Closing Date and shall, in each case,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Fees under this Section 2.05(a). (b) 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 (c) The U.S. Borrower agrees to pay to each U.S. Revolving Lender, through the Administrative Agent, on the last Business Day of March, June, September and December of each year, commencing with the first such date to occur after the Closing Date, and on the date on which the U.S. Revolving Commitment of such Revolving Lender shall be terminated as provided herein, a fee (the “U.S. L/C Participation Fee”)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EurocurrencySOFR Loans pursuant to Section 2.06. The Parent Borrower agrees to pay to each Canadian Revolving Lender, through the Canadian Administrative Agent, on the last Business Day of March, June, September and December of each year, commencing with the first such date to occur after the Closing Date, and on the date on which the Canadian Revolving Commitment of such Revolving Lender shall be terminated as provided herein, a fee (the “Canadian L/C Participation Fee”) calculated on such Lender’s Canadian Revolving Pro Rata Percentage of the daily aggregate Canadian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EurocurrencySOFR Loans pursuant to Section 2.06. The Australian Borrower agrees to pay to each Australian Lender, through the Australian Administrative Agent, on the last Business Day of March, June, September and December of each year, commencing with the first such date to occur after the Closing Date, and on the date on which the Australian Revolving Commitment of such Revolving Lender shall be terminated as provided herein, a fee (the “Australian L/C Participation Fee”; together with the U.S. L/C Participation Fee and the Canadian L/C Participation Fees, the “L/C Participation Fees”) calculated on such Lender’s Australian Revolving Pro Rata Percentage of the daily aggregate Australian L/C Exposure (in each case excluding the portion thereof attributable to unreimbursed L/C Disbursements in respect of Letters of Credit) during the preceding quarter (or shorter period commencing with the Closing Date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Rate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“Issuing Bank Fees”).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 (d) All Fees shall be paid on the dates due, in immediately available U.S. dollars (except with respect to (i) L/C Participation Fees and Issuing Bank Fees in respect of Letters of Credit denominated in Canadian dollars, each of which shall be payable in immediately available Canadian dollars and (ii) L/C Participation Fees and Issuing Bank Fees in respect of Letters of Credit denominated in Australian dollars,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 SECTION 2.06 Interest on Loans. (a) Subject to the provisions of Section 9.09, the Loans comprising each ABR Borrowing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 (b) Subject to the provisions of Section 9.09, the Loans comprising each EurocurrencySOFR Borrowing shall bear interest (computed on the basis of the actual number of days elapsed over a year of 360 days) at a rate per annum equal to the Adjusted LIBO RateTerm SOFR for the Interest Period in effect for such Borrowing plus the Applicable Percentage in respect of EurocurrencySOFR Loans in effect from time to time. (c) 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 Subject to the provisions of Section 9.09, the Loans comprising each B/A Borrowing shall be subject to an Acceptance Fee, payable by the Parent Borrower on the date of acceptance of the relevant B/A and calculated as set forth in the definition of the term “Acceptance Fee” in Section 1.01. (e) 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 (f) 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 (g) 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 (h) 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 (i) Interest on each Loan shall be payable to the Applicable Administrative Agent on the Interest Payment Dates applicable to such Loan except as otherwise provided in this Agreement. The applicable Alternate Base Rate, Adjusted LIBO RateTerm SOFR, BBSY Rate, Canadian Prime Rate, U.S. Base Rate, B/A Discount Rate, and Acceptance Fee shall be determined by the Applicable Administrative Agent, and such determination shall be conclusive absent manifest error. (j) For the purposes of the Interest Act (Canada) and disclosure thereunder, whenever any interest or fee to be paid hereunder or in connection herewith is to be calculated 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 Each Borrower confirms that it fully understands and is able to calculate the rate of interest applicable to the Facilities based on the methodology for calculating per annum rates provided for in this Agreement. Each Agent agrees that, if requested in writing by any Borrower, it will calculate the nominal and effective per annum rate of interest on any Loan outstanding at the time of such request and provide such information to such Borrower within a reasonable time following such request; provided that any error in any such calculation, or any failure to provide such information on request, shall not relieve any Borrower of any of its obligations under this Agreement or any other Loan Document, nor result in any liability to any Agent or any Lender. Each Borrower hereby irrevocably agrees not to plead or assert, whether by way of defense or otherwise, in any proceeding relating to the Loan Documents, that the interest payable under this Agreement and the calculation thereof has not been adequately disclosed to any Borrower, whether pursuant to section 4 of the Interest Act (Canada) or any other applicable law or legal principle. (k) In connection with the use or administration of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SOFR or Term SOFR, as applicable. SECTION 2.07 Default Interest. If a Borrower shall default in the payment of the principal of or interest on any Loan or any other amount becoming 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Parent Borrower, or a BBSY Rate Loan, in the case of the Australian Borrower) plus 2.00% (subject to Section 9.09). SECTION 2.08 Alternate Rate of Interest. (a) In the event, and on each occasion, that (i) on the day two Business Days prior to the commencement of any Interest Period for a EurocurrencySOFR Borrowing the Applicable Administrative Agent is unable to determine the Adjusted LIBO Rate for EurocurrencyTerm SOFR for SOFR Loans comprising any requested Borrowing, or (ii) if the Applicable Required Lenders shall, by 11:00 a.m. (Standard Time) at least one (1) Business Day before the date of any requested Borrowing, notify the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 that the Adjusted LIBO Rate for EurocurrencyTerm SOFR for SOFR Loans comprising such Borrowing will not adequately and fairly reflect the cost to any Lender of making or maintaining its EurocurrencySOFR Loan, during such Interest Period, then the Applicable Administrative Agent shall, as soon as practicable thereafter, give written, fax or electronic communication (e-mail) (or telephone notice promptly confirmed by a written, fax or electronic communication (e-mail)) notice of such determination to each Applicable Borrower and each Applicable Lender. In the event of any such determination, until the Applicable Administrative Agent shall have advised the Applicable Borrowers and the Applicable Lenders that the circumstances giving rise to such notice no longer exist, any request by such Borrower for a EurocurrencySOFR Borrowing (other than a EurocurrencySOFR Borrowing under the Australian Revolving Credit Facility) pursuant to Section 2.03 or 2.10 shall be deemed to be a request for an ABR Borrowing (or, in the case of a request by the Parent Borrower, a U.S. Base Rate Borrowing). Each determination by the Administrative Agent hereunder shall be conclusive absent manifest error. (b) Notwithstanding the foregoing, if the Applicable Administrative Agent (i) determines that the circumstances described in clause (a)(i) of this Section 2.08 have arisen and such circumstances are unlikely to be temporary, (ii) determines that the circumstances described in clause (a)(i) of this Section 2.08 have not arisen but the supervisor for the administrator of the LIBO Rate Term SOFR or a Governmental Authority having jurisdiction over the Applicable Administrative Agent has made a public statement identifying a specific date after which the LIBO RateTerm SOFR shall no longer be used for determining interest rates for loans, (iii) is advised by the Applicable Required Lenders of their determination in accordance with clause (a)(ii) of this Section 2.08, or (iv) new syndicated loans have started to adopt a new benchmark interest rate, then the Applicable Administrative Agent and the Applicable Borrower shall endeavor to establish an alternate rate of interest to the LIBO RateTerm SOFR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to the extent that the Applicable Administrative Agent determines that adoption of any portion of such market convention is not administratively feasible or that no market convention for the administration of such alternate rate of interest exists, the Applicable Administrative Agent shall administer such alternate rate of interest in a manner acceptable by the Applicable Administrative Agent and the Borrower. Notwithstanding anything to the contrary in Section 9.08, such amendment shall become effective without any further action or consent of any other party to this Agreement so long as the Applicable Administrative Agent shall not have received, within five (5) Business Days of the date notice of such alternate rate of interest is provided to the Applicable Lenders, a written notice from the Applicable Required Lenders stating that such Applicable Required Lenders object to such amendment. If a notice of an alternate rate of interest has been given and no such alternate rate of interest has been determined, and (x) the circumstances under clause (i) or (iii) above exist or (y) the specific date referred to in clause (ii) has occurred (as applicable), Alternate Base Rate shall apply without regard to clause (c) of the definition thereof. Provided that, if such alternate rate of interest shall be less than zero, such rate shall be deemed to be zero for the purposes of this Agreement. (c) CDOR Discontinuation.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If the Applicable Administrative Agent determines (which determination shall be conclusive absent manifest error), or the Applicable Borrower or the Required Lenders notify the Applicable Administrative Agent that the Applicable Borrower or Required Lenders (as applicable) have determined that: (A) adequate and reasonable means do not exist for ascertaining CDOR, including because the “Refinitiv Screen Canadian Dollar Offered Rate (CDOR) Page is not available or published on a current basis for the applicable period and such circumstances are unlikely to be temporary, (2) there no longer exists an active market for Bankers’ Acceptances or (3) the B/A Discount Rate will not or does not accurately reflect the costs of funds of the Required Lenders; (B) the administrator of the CDOR or a Governmental Authority having jurisdiction has made a public statement identifying a specific date after which CDOR will permanently or indefinitely cease to be made available or permitted to be used for determining the interest rate of loans; (C) a Governmental Authority having jurisdiction over the Applicable Administrative Agent has made a public statement identifying a specific date after which CDOR shall no longer be permitted to be used for determining the interest rate of loans (each such specific date in clause (B) above and in this clause (C) a “CDOR Scheduled Unavailability Date”); or (D) syndicated loans currently being executed, or that include language similar to that contained in this Section 2.08(c), are being executed or amended (as applicable) to incorporate or adopt a new benchmark interest rate to replace CDOR, then reasonably promptly after such determination by the Applicable Administrative Agent or receipt by the Applicable Administrative Agent of such notice, as applicable, the Applicable Administrative Agent and the Applicable Borrower may mutually agree upon a successor rate to CDOR, and the Applicable Administrative Agent and the Applicable Borrower may amend this Agreement to replace CDOR with an alternate benchmark rate (including any mathematical or other adjustments to the benchmark (if any) incorporated therein), giving due consideration to any evolving or then existing convention for similar Canadian Dollars denominated syndicated credit facilities for such alternative benchmarks (any such proposed rate, a “CDOR Successor Rate”), together with any proposed CDOR Successor Rate conforming changes and any such amendment shall become effective at 5:00 p.m. (Toronto time) on the fifth Business Day after the Applicable Administrative Agent shall have posted such proposed amendment to all Lenders and the Applicable Borrower unless, prior to such time, Lenders comprising the Required Lenders have delivered to the Applicable Administrative Agent written notice that such Required Lenders do not accept such amendment. (ii) If no CDOR Successor Rate has been determined and the circumstances under clause 2.08(c)(i)(A) above exist or a CDOR Scheduled Unavailability Date has occurred (as applicable), the Applicable Administrative Agent will promptly so notify the Applicable Borrower and each Lender. Thereafter, the obligation of the Lenders to make or maintain Bankers’ Acceptances and B/A Equivalent Loans, shall be suspended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 the extent of the affected Bankers’ Acceptances, B/A Equivalent Loans, or applicable periods). Upon receipt of such notice, the Applicable Borrower may revoke any pending request for an advance of, conversion to or rollover of Bankers’ Acceptances or B/A Equivalent Loans, (to the extent of the affected Bankers’ Acceptances, B/A Equivalent Loans, or applicable periods) or, failing that, will be deemed to have converted such request into a request for an advance of Prime Rate advances (subject to the foregoing clause (ii)) in the amount specified therein. (iii) Notwithstanding anything else herein, any definition of the CDOR Successor Rate (exclusive of any margin) shall provide that in no event shall such CDOR Successor Rate be less than zero for the purposes of this Agreement. In addition, CDOR shall not be included or referenced in the definition of Prime Rate. SECTION 2.09 Termination and Reduction of Commitments. (a) The Revolving Commitments and the L/C Commitments shall automatically terminate on the Maturity Date. (b) The Canadian Term Commitments shall automatically terminate on the Closing Date immediately following the making of the Canadian Term Loan on such date. (c) Upon at least three Business Days’ prior irrevocable written, fax or electronic communication (e-mail) (or by telephone notice promptly confirmed by a written, fax or electronic communication (e-mail)) notice to the Applicable Administrative Agent, the U.S. Borrower, the Parent Borrower or the Australian Borrower, as the case may be, may at any time in whole permanently terminate, or from time to time in part permanently reduce, any Class of Commitments; provided, however, that each partial reduction of any Class of Commitments shall be in an integral multiple of U.S.$1,000,000. (d) Each voluntary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 SECTION 2.10 Conversion and Continuation of Borrowings. The Borrowers shall have the right at any time upon prior irrevocable notice to the Applicable Administrative Agent (a) not later than 1:00 p.m. (Standard Time) one Business Day before the proposed conversion, to convert any EurocurrencySOFR Borrowing under a Class of U.S. Revolving Commitments into an ABR Borrowing under the same Class of U.S. Revolving Commitments, (b) not later than 1:00 p.m. (Standard Time) one Business Day before the proposed conversion, to convert any B/A Borrowing under one Canadian Facility into a Canadian Prime Rate Borrowing under the same Canadian Facility, (c) not later than 1:00 p.m. (Standard Time) three Business Days prior to conversion or continuation, to convert any ABR Borrowing under a Class of U.S. Revolving Commitments or U.S. Base Rate Borrowing under a Class of Canadian Revolving Commitments into a EurocurrencySOFR Borrowing under the same Class of Commitments or to continue any EurocurrencySOFR Borrowing under a Class of U.S. Revolving Commitments or Canadian Revolving Commitments as a EurocurrencySOFR Borrowing under the same Class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Commitments for an additional Interest Period, (d) not later than 3:00 p.m. (Sydney time) three Business Days prior to continuation, to continue any EurocurrencySOFR Borrowing under the Australian Revolving Commitments as a EurocurrencySOFR Borrowing under the Australian Revolving Commitments for an additional Interest Period, (e) not later than 1:00 p.m. (Standard Time) three Business Days prior to conversion, to convert the Interest Period with respect to any EurocurrencySOFR Borrowing under a Class of U.S. Revolving 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under a Canadian Facility to a B/A Borrowing under the same Canadian Facility or to continue any B/A Borrowing under a Canadian Facility as a B/A Borrowing under the same Canadian Facility for an additional Contract Period; provided, that with respect to this clause (g), such notice may be given one Business Day prior to conversion with respect to any Canadian Prime Rate Borrowing under a Canadian Facility outstanding as of the Closing Date to a B/A Borrowing under the same Canadian Facility, subject in each case to the following: (i) each conversion or continuation shall be made pro rata among the Applicable Lenders in accordance with the respective principal amounts of the Loans comprising the converted or continued Borrowing; (ii) if less than all the outstanding principal amount of any Borrowing shall be converted or continued, then each resulting Borrowing shall satisfy the limitations specified in Sections 2.02(a) and 2.02(b) and, if applicable, Section 2.22, regarding the principal amount and maximum number of Borrowings of the relevant Type; (iii) each conversion shall be effected by each Applicable Lender and the Applicable Administrative Agent by recording for the account of such Lender the new Type and/or Interest Period or Contract Period for such Borrowing resulting from such conversion; accrued interest on any EurocurrencySOFR Loan or BBSY Rate Loan (or, in each case, any portion thereof) being converted shall be paid by the Applicable Borrower at the time of conversion; (iv) if any EurocurrencySOFR Borrowing, BBSY Rate Borrowing or B/A Borrowing is converted at a time other than the end of the Interest Period or Contract Period applicable thereto, the Applicable Borrower shall pay, upon demand, any amounts due to the Applicable Lenders pursuant to Section 2.15; (v) any portion of a Borrowing maturing or required to be repaid in less than one month may not be converted into or continued as a EurocurrencySOFR Borrowing, a BBSY Rate Borrowing or a B/A Borrowing; (vi) any portion of a EurocurrencySOFR Borrowing (other than a EurocurrencySOFR Borrowing under the Australian Revolving Credit Facility) or a B/A Borrowing that cannot be converted into or continued as a EurocurrencySOFR Borrowing or a B/A Borrowing by reason of the immediately preceding clause shall be automatically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converted at the end of the Interest Period or Contract Period in effect for such Borrowing into an ABR Borrowing, a U.S. Base Rate Borrowing or a Canadian Prime Rate Borrowing, as the case may be; (vii) upon notice to each Applicable Borrower from the Applicable Administrative Agent given at the request of the Applicable Required Lenders after the occurrence and during the continuance of a Default or Event of Default, no outstanding Loan owing to such Lenders may be converted into, or continued as, a EurocurrencySOFR Loan, a BBSY Rate Loan or a B/A Loan, as applicable; and (viii) notwithstanding anything to the contrary herein, a Swing Line Loan may not be converted to a EurocurrencySOFR Loan. Each notice pursuant to this Section 2.10 shall be irrevocable, shall be hand delivered, faxed or sent by electronic communication (e-mail) (or by telephone notice promptly confirmed by a written, fax or electronic communication (e-mail)) and, shall refer to this Agreement, shall be substantially in the form of Exhibit B-6 and specify (i) the identity and amount of the Borrowing that the Applicable Borrower requests be converted or continued, (ii) whether such Borrowing is to be converted to or continued as a EurocurrencySOFR Borrowing, an ABR Borrowing, a B/A Borrowing, a U.S. Base Rate Borrowing, a Canadian Prime Rate Borrowing or a BBSY Rate Borrowing, (iii) if such notice requests a conversion, the date of such conversion (which shall be a Business Day) and (iv) if such Borrowing is to be converted to or continued as a EurocurrencySOFR Borrowing, a BBSY Rate Borrowing or a B/A Borrowing, the Interest Period or Contract Period with respect thereto. If no Interest Period or Contract Period is specified in any such notice with respect to any conversion to or continuation as a EurocurrencySOFR Borrowing, a BBSY Rate Borrowing or a B/A Borrowing, the Applicable Borrower shall be deemed to have selected an Interest Period or Contract Period of one month’s or 30 days’, as the case may be,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EurocurrencySOFR Borrowing (other than a EurocurrencySOFR Borrowing under the Australian Revolving Credit Facility) or B/A Borrowing into a subsequent Interest Period or Contract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 SECTION 2.11 Optional Prepayment. (a) Each Borrower shall have the right at any time and from time to time to prepay any Borrowing (other than Bankers’ Acceptances or B/A Equivalent Loans, which may, however, be defeased as provided below), in whole or in part, upon written, fax or electronic communication (e-mail) (or by telephone notice promptly confirmed by written, fax or electronic communication (e-mail)), substantially in the form of Exhibit B-5, delivered to the Applicable Administrative Agent by (i) 1:00 p.m. (Standard Time) at least three Business Days prior to the date designated for such prepayment, in the case of any prepayment of a EurocurrencySOFR Borrowing or a BBSY Rate Borrowing, (ii) 1:00 p.m. (Standard Time) on the date designated for such prepayment in the case of any prepayment of an ABR Borrowing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under the U.S. Revolving Commitments, or (iii) 1:00 p.m. (Standard Time) one Business Day prior to the date designated for such prepayment, in the case of a U.S. Base Rate Borrowing or a Canadian Prime Rate Borrowing under the Canadian Revolving Commitments or Canadian Term Loans; provided, however, that each partial prepayment shall be in an amount that is a minimum amount of U.S.$500,000 or an integral multiple of U.S.$100,000 in excess thereof (or C$500,000 and C$100,000, respectively, in the case of Borrowings denominated in Canadian dollars or AUD$500,000 and AUD$100,000, respectively, in the case of Borrowings denominated in Australian dollars); and provided further that the Applicable Borrower may defease any BBSY Rate Loan, B/A or B/A Equivalent Loan by depositing with the Applicable Administrative Agent an amount that, together with interest accruing on such amount to the end of the Contract Period for such BBSY Rate Loan, B/A or B/A Equivalent Loan, is sufficient to pay such maturing BBSY Rate Loans, Bankers’ Acceptances or B/A Equivalent Loans when due. Such deposited cash collateral shall be assigned to the Applicable Administrative Agent as security for the obligations of the Parent Borrower in relation to such BBSY Rate Loan, B/As or B/A Equivalent Loans and the Lien of the Applicable Administrative Agent thereby created therein shall rank in priority to all other Liens and adverse claims against deposited cash collateral. The Applicable Administrative Agent shall promptly advise the Applicable Lenders of any notice given pursuant to this Section 2.11 and of each Lender’s portion of such prepayment. (b) The U.S. Borrower may, upon notice to the U.S. Swing Line Lender (with a copy to the Administrative Agent), at any time or from time to time, voluntarily prepay U.S. Swing Line Loans in whole or in part without premium or penalty; provided that (A) such notice must be received by the U.S. Swing Line Lender and the Administrative Agent not later than 1:00 p.m. (Standard Time) on the date of the prepayment, and (B) any such prepayment shall be in a minimum principal amount of $100,000. (c) The Parent Borrower may, upon notice to the Canadian Swing Line Lender (with a copy to the Canadian Administrative Agent), at any time or from time to time, voluntarily prepay Canadian Swing Line Loans in whole or in part without premium or penalty; provided that (A) such notice must be received by the Canadian Swing Line Lender and the Canadian Administrative Agent not later than 1:00 p.m. (Standard Time) on the date of the prepayment, and (B) any such prepayment shall be in a minimum principal amount of $100,000. (d) 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Canadian Term Loans, pursuant to this Section 2.11 shall be applied to the principal repayment installments thereof in direct order of maturity. SECTION 2.12 Mandatory Prepayments. (a) In the event of any termination of all the U.S. Revolving Commitments, Canadian Revolving Commitments or Australian Revolving Commitments, each Applicable Borrower shall, on the date of such termination, repay or prepay all its outstanding U.S. Revolving Credit Loans, Canadian Revolving Credit Loans or Australian Revolving Credit Loans, as applicable, and replace all outstanding U.S. Letters of Credit, Canadian Letters of Credit or Australian Letters of Credit, as applicable, and/or deposit an amount equal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sum of the U.S. L/C Exposure, the Canadian L/C Exposure or the Australian L/C Exposure, as applicable, in cash in a cash collateral account established with the Applicable Collateral Agent for the benefit of the Secured Parties. In the event of any partial reduction of the U.S. Revolving Commitments, the Canadian Revolving Commitments or the Australian Revolving Commitments, then (i) at or prior to the effective date of such reduction, the Applicable Administrative Agent shall notify each of the Applicable Borrowers and Applicable Lenders of the aggregate U.S. Revolving Credit Exposure, the aggregate Canadian Revolving Credit Exposure or the aggregate Australian Revolving Credit Exposure, as the case may be, after giving effect thereto, and (ii) 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 the Parent Borrower, or the Australian Borrower, as the case may be, shall, on the date of such reduction, repay or prepay Borrowings of Revolving Credit Loans (or defease BBSY Rate Borrowings or B/A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Parent Borrower shall repay or prepay Canadian Revolving Borrowings (or defease B/A Borrowings as described in Section 2.11(a)) and/or replace or cash collateralize outstanding Canadian Letters of Credit in an amount 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(or defease BBSY Rate Borrowings as described in Section 2.11(a)) and/or replace or cash collateralize outstanding Australian Letters of Credit in an amount sufficient to eliminate such excess. (b) If on any date the Parent Borrower or any of its Subsidiaries shall receive Net Cash Proceeds from any Asset Sale and the aggregate amount of all such Net Cash Proceeds received since the later of the Closing Date and the date on which the last prepayment under this Section 2.12(b) was made exceeds C$5,000,000, the Canadian Term Loans shall be prepaid on or before the date which is not more than five (5) Business Days following the date of receipt of such Net Cash Proceeds by an amount equal to 100% of the amount of such Net Cash Proceeds; provided that no prepayment shall be required under this Section 2.12(b) to the extent that, if no Event of Default has occurred and is then continuing, the Parent Borrower delivers a certificate to the Administrative Agent prior to the date of any such required prepayment stating that the Parent Borrower or such Subsidiary intends to reinvest such Net Cash Proceeds in assets used or useful in the business of the Parent Borrower and its Subsidiaries within twelve months after receipt of such Net Cash Proceeds by the Parent Borrower or such Subsidiary; provided, further, however, that any Net Cash Proceeds not so reinvested within such twelve month period shall be immediately applied to the prepayment of the Canadian Term Loans as set forth in this Section 2.12(b).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If on any date the Parent Borrower or any of its Subsidiaries shall receive Net Cash Proceeds from the issuance or incurrence of Indebtedness for borrowed money (other than any cash proceeds from the issuance of Indebtedness permitted pursuant to Section 6.01 (other than Section 6.01(e) excluding any Permitted Refinancing Indebtedness in respect of previously incurred Indebtedness pursuant to Section 6.01(e)), the Canadian Term Loans shall be prepaid, substantially simultaneously with (and in any event not later than the third Business Day next following) the date of receipt of such Net Cash Proceeds by an amount equal to 100% of the amount of such Net Cash Proceeds. (d) If, (i) at any time there are any Canadian Revolving Credit Loans or U.S. Revolving Credit Loans then outstanding, Excess Cash on deposit in Canada and the United States exceeds $15,000,000 for a period of more than five consecutive Business Days, the Borrowers shall make mandatory prepayments of Canadian Revolving Credit Loans and U.S. Revolving Credit Loans (or, in respect of Bankers’ Acceptances, defease such Bankers’ Acceptances in accordance with the procedures set forth in Section 2.11(a)) in an amount equal to the lesser of (A) an amount sufficient to reduce the aggregate amount of Excess Cash on deposit in Canada and the United States after such prepayment to below $15,000,000 or (B) an amount sufficient to repay all Canadian Revolving Credit Loans and U.S. Revolving Credit Loans outstanding hereunder, in each case, such prepayment shall be made within five Business Days or (ii) at any time there are Australian Revolving Credit Loans then outstanding, Excess Cash on deposit in Australia exceeds AUS$15,000,000 for a period of more than five consecutive Business Days, the Australian Borrower shall make mandatory prepayments of Australian Revolving Credit Loans (or, in respect of BBSY Rate Loans, defease such BBSY Rate Loans in accordance with the procedures set forth in Section 2.11(a)) in an amount equal to the lesser of (A) an amount sufficient to reduce the aggregate amount of Excess Cash on deposit in Australia after such prepayment to below $15,000,000 or (B) an amount sufficient to repay all Australian Revolving Credit Loans outstanding hereunder, in each case, such prepayment shall be made within five Business Days. SECTION 2.13 Increased Costs; Capital Requirements. (a) Notwithstanding any other provision of this Agreement, if any Change in Law shall (i) 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the Adjusted LIBO RateTerm SOFR, the B/A Discount Rate or the BBSY Rate), (ii) subject any Lender or any Issuing Bank to any Taxes (other than (A) Indemnified Taxes, (B) Taxes described in clauses (b) through (h) of the definition of Excluded Taxes and (C) Connection Income Taxes) on its loans, loan principal, letters of credit, commitments, or other obligations, or its deposits, reserves, other liabilities or capital attributable thereto; or (iii) impose on any Lender or Issuing Bank or the London interbank market or other relevant interbank market, any other condition, cost or expense (other than Taxes) affecting this Agreement or EurocurrencySOFR Loans, B/A Loans or BBSY Rate Loans made by such Lender or any Letter of Credit or participation therein, and the result of any of the foregoing shall be to increase the cost to such Lender or Issuing Bank of making or maintaining any EurocurrencySOFR Loan, B/A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 (b) 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 (c) 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 (d) 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provided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provided further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 SECTION 2.14 Change in Legality. (a) Notwithstanding any other provision of this Agreement, if any Change in Law shall make it unlawful, or any Governmental Authority has asserted that it is unlawful, for any Lender to make or maintain any Eurocurrency Loan (other than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any Eurocurrency Loan under the Australian Revolving Credit Facility) or to give effect to its obligations as contemplated hereby with respect to any Eurocurrency Loan, then, by written notice to the Applicable Borrower and to the Applicable, maintain or fund Loans whose interest is determined by reference to SOFR or Term SOFR, or to determine or charge interest rates based upon SOFR or Term SOFR, then, upon notice thereof by such Lender to the Borrowers (through the Administrative Agent: ) (i) such Lender may declare that Eurocurrency Loans, as the case may be, will not thereafter (for the duration of such unlawfulness) be made by such Lender hereunder (or be continued for additional Interest Periods andsuch notice, an “Illegality Notice”), (a) any obligation of such Lender to make or continue SOFR Loans or to convert ABR Loans andor U.S. Base Rate Loans will not thereafter (for such duration) be converted into Eurocurrency Loans), whereupon any request for a Eurocurrency Borrowing (or to convert an ABR Borrowing to a Eurocurrency Borrowing or to continue a Eurocurrency Borrowing for an additional Interest Period) shall, as to such Lender only, be deemed a request for anto SOFR Loans shall be suspended, and (b) if such notice asserts the illegality of such Lender making or maintaining ABR Loans or a U.S. Base Rate Loans (or a request to continue an ABR Loan the interest rate on which is determined by reference to the Term SOFR component of Alternate Base Rate or a U.S. Base Rate Loan as such or to convert a Eurocurrency Loan into an, the interest rate on which ABR Loans or a U.S. Base Rate Loans), unless such declaration shall be subsequently withdrawn; and of such Lender shall, if necessary to avoid such illegality, be determined by the Administrative Agent without reference to the Term SOFR component of Alternate Base Rate or U.S. Base Rate, in each case, until (ii) such Lender may require that all outstanding Eurocurrency Loans made by it be convertednotifies the Administrative Agent and the Borrowers that the circumstances giving rise to such determination no longer exist. Upon receipt of an Illegality Notice, the Borrowers shall prepay or, if applicable, convert all SOFR Loans to ABR Loans or U.S. Base Rate Loans, as (the case may be, in which event all such Eurocurrency Loans shall be automatically converted tointerest rate on which ABR Loans or U.S. Base Rate Loans, as the case may be, as of the effective date of such notice as provided in paragraph (b) below. shall, if necessary to avoid such illegality, be determined by the Administrative Agent without reference to the Term SOFR component of Alternate Base Rate or U.S. Base Rate), either on the last day of the Interest Period therefor, if all affected Lenders may lawfully continue to maintain such SOFR Loan to such day, or immediately, if all affected Lenders may not lawfully continue to maintain such SOFR Loan, in each case, until the Administrative Agent is advised in writing by each affected Lender that it is no longer illegal for such Lender to determine or charge interest rates based upon SOFR, the Term SOFR Reference Rate, Adjusted Term SOFR or Term SOFR. Upon any such prepayment or conversion following receipt of an Illegality Notice, the Borrower shall also pay accrued interest on the amount so prepaid or converted, together with any additional amounts required pursuant to Section 2.13 and Section 2.15. In the event any Lender shall exercise its rights under (i) or (ii) above, all payments and prepayments of principal that would otherwise have been applied to repay the Eurocurrency Loans that would have been made by such Lender or the converted Eurocurrency Loans of such Lender shall instead be applied to repay the ABR Loans or U.S. Base Rate Loans made by such Lender in lieu of, or resulting from the conversion of, such Eurocurrency Loans.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For purposes of this Section 2.14, a notice to the Parent Borrower by any Lender shall be effective as to each Eurocurrency Loan, as the case may be, made by such Lender, if lawful, on the last day of the Interest Period then applicable to such Eurocurrency Loan; in all other cases such notice shall be effective on the date of receipt by such Borrower. SECTION 2.15 Breakage Costs. The Borrowers hereby severally indemnify each Lender against any loss or expense that such Lender may sustain or incur as a consequence of (a) any event, other than a default by such Lender in the performance of its obligations hereunder, which results in (i) such Lender receiving or being deemed to receive any amount on account of the principal of any EurocurrencySOFR Loan or BBSY Rate Loan prior to the end of the Interest Period in effect therefor, including, without limitation, as a result of any prepayment, the acceleration of the maturity of the Obligations or for any other reason, (ii) the conversion of any EurocurrencySOFR Loan to an ABR Loan or U.S. Base Rate Loans or the conversion of the Interest Period with respect to any EurocurrencySOFR Loan or BBSY Rate Loan, in each case other than on the last day of the Interest Period in effect therefor, (iii) any EurocurrencySOFR Loan, B/A Loan or BBSY Rate Loan to be made by such Lender (including any EurocurrencySOFR Loan, B/A Loan or BBSY Rate Loan to be made pursuant to a conversion or continuation under Section 2.10 or 2.22, as applicable) not being made after notice of such Loan shall have been given by a Borrower hereunder or (iv) other than with respect to any Defaulting Lender, any assignment of a EurocurrencySOFR Loan or BBSY Rate Loan is made other than on the last day of the Interest Period for such Loan as a result of a request by the Applicable Borrower pursuant to Section 2.20 (any of the events referred to in this clause (a) being called a “Breakage Event”) or (b) any default in the making of any payment or prepayment required to be made hereunder. In the case of any Breakage Event, such loss shall include an amount equal to the excess, as reasonably determined by such Lender, of (i) its cost of obtaining funds for the EurocurrencySOFR Loan, B/A Loan or BBSY Rate Loan that is the subject of such Breakage Event for the period from the date of such Breakage Event to the last day of the Interest Period or Contract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 SECTION 2.16 Pro Rata Treatment. Except as required under Section 2.14, each Borrowing, each payment or prepayment of principal of any 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 SECTION 2.17 Sharing of Setoffs. (a) Each Canadian Lender agrees that if it shall, through the exercise of a right of banker’s lien, setoff or counterclaim against a Borrower or any 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Canadian Loan as a result of which the unpaid portion of its Canadian Loans shall be proportionately less than the unpaid portion of the Canadian Loans of any other Canadian Lender of the same Class, it shall (i) notify the Applicable Administrative Agent of such fact and (ii) be deemed simultaneously to have purchased from such other Canadian Lender at face value, and shall promptly pay to such other Canadian Lender the purchase price for, a participation in the Canadian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Loans and participations in Canadian L/C Exposure and Canadian Swing Line Loans held by each Canadian Lender shall be in the same proportion to the aggregate unpaid amount of all Canadian Loans, Canadian L/C Exposure and Canadian Swing Line Loans then outstanding of the same Class as the amount of its Canadian Loans, Canadian L/C Exposure and Canadian Swing Line Loans prior to such exercise of banker’s lien, setoff or counterclaim or other event was to the amount of all Canadian Loans, Canadian L/C Exposure and Canadian Swing Line Loans outstanding prior to such exercise of banker’s lien, setoff or counterclaim or other event; provided, however,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 (b) 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 (i) 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provided, however,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 (c) Each Australian Lender agrees that if it shall, through the exercise of a right of banker’s lien, setoff or counterclaim against a Borrower or any other Loan Party, or pursuant to a secured claim or other security or interest arising from, or in lieu of, such secured claim, received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provided, however,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 (d) Whenever the Bilateral Lender (in such capacity as the lender under the Bilateral Agreement and not in its capacity as a Lender under this Agreement) receives or recovers any money in respect of any sum due from an Australian Loan Party and applies such amounts against the Bilateral Obligations (including recoveries by way of set off) (“Turnover Money”) and: (i) an Event of Default has occurred and is continuing under this Agreement and the Australian Collateral Agent has enforced its rights and remedies under the Australian Security Documents as contemplated by Sections 7.02 or 7.03; or (ii) if paragraph (i) above does not apply, but an Event of Default has occurred and is continuing under this Agreement, then: (iii) in the case of paragraph (i) above: (A) the Bilateral Lender will promptly notify the Australian Collateral Agent and pay an amount equal to the Turnover Money to the Australian Collateral Agent (unless the Australian Collateral Agent directs otherwise on the instructions of the Applicable Required Lenders); and (B) the Australian Collateral Agent will deal with the Turnover Money as if it were a payment by the Australian Loan Parties under this Agreement; and (iv) in the case of paragraph (ii) above: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 the Bilateral Lender will promptly notify the Australian Administrative Agent and pay an amount equal to the Turnover Money to the Australian Administrative Agent (unless the Australian Administrative Agent directs otherwise on the instructions of the Applicable Required Lenders); and (B) the Australian Administrative Agent will hold the Turnover Money paid to it under paragraph (A) for a period of no greater than 15 Business Days (“Decision Period”) to be applied by the Australian Administrative Agent as follows: (1) 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 (2) in all other circumstances, it will return an amount equal to the Turnover Moneys to the Bilateral Lender for the Bilateral Lender to apply to the Bilateral Obligations. The parties agree that the Turnover Money recovered by the Bilateral Lender that is ultimately distributed by the Australian Collateral Agent to the relevant Secured Parties will be taken to have been a payment for the account of the Australian Collateral Agent and not to the Bilateral Lender for its own account (and the liability of an Australian Loan Party to the Bilateral Lender will only be reduced to the extent the Turnover Money is returned the Bilateral Lender as contemplated by Section 2.17(d)(iv)(B)(2)). Without limiting this paragraph, the relevant Australian Loan Party shall indemnify the Bilateral Lender against a recovery by the Bilateral Lender of the Turnover Money to the extent that (despite this paragraph), the relevant Australian Loan Party’s liability has been discharged by the recovery or payment. For the avoidance of doubt, the Bilateral Lender’s obligations under this clause Section 2.17(d) to pay any Turnover Moneys to the Australian Administrative Agent or Australian Collateral Agent (as the case may be), is only enlivened when an Event of Default has occurred and is continuing. (e) The provisions of Section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and (c) shall apply). (f) Each Loan Party expressly consents to the arrangements set forth in Section 2.17(a), (b), (c) and (d) above and agrees, to the extent it may effectively do so under applicable law, that any Lender holding a participation in a Loan or L/C Exposure pursuant to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foregoing arrangements may exercise against each Loan Party any and all rights of banker’s lien, setoff or counterclaim with respect to such participation as fully as if such Lender were a direct creditor of each Loan Party in the amount of such participation. SECTION 2.18 Payments. (a) The Borrowers shall make each payment (including principal of or interest on any Borrowing or any L/C 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 (b) 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 SECTION 2.19 Taxes. (a) For purposes of this Section 2.19, the term “Lender” includes any Issuing Bank and the term “applicable law” includes FATCA. (b) 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In addition, the Loan Parties shall pay any Other Taxes to the relevant Governmental Authority in accordance with applicable law or, at the option of the Applicable Administrative Agent, timely reimburse it for the payment of any Other Taxes. (d) The Borrowers shall severally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 (e) 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 (f) 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 (g) (i)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Applicable Borrower with respect to such Lender is a U.S. Person: (A) any Lender with respect to such Borrower that is a U.S. Person shall deliver to such Borrower and the Applicable Administrative Agent on or prior to the date on which such Lender becomes a Lender under this Agreement (and from time to time thereafter upon the reasonable request of such Borrower or the Applicable Administrative Agent), executed originals of IRS Form W-9 certifying that such Lender is exempt from U.S. federal backup withholding tax; (B) any Foreign Lender with respect to such Borrower shall deliver to such Borrower and the Applicable Administrative Agent, in such number of copies as shall be requested by the recipient, (on or prior to the date on which such Foreign Lender becomes a Lender under this Agreement and from time to time thereafter upon the request of such Borrower or the Applicable Administrative Agent), but only if such Foreign Lender is legally entitled to do so, whichever of the following is applicable: (1) in the case of a Foreign Lender claiming the benefits of an income tax treaty to which the United States is a party (x) 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 (2) duly completed copies of IRS Form W-8ECI, (3) 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 (B) a “10 percent shareholder” of the Applicable Borrower within the meaning of Section 881(c)(3)(B)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Code, or (C) a “controlled foreign corporation” described in Section 881(c)(3)(C) of the Code (a “U.S. Tax Compliance Certificate”) and (y) duly completed copies of an applicable IRS Form W-8BEN or W-8BEN- E, or (4) 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 (C) any Lender shall, to the extent it is legally entitled to do so, deliver to such Borrower and the Applicable Administrative Agent (in such copies as shall be requested by the recipient) on or prior to the date on which such Lender becomes a Lender under this Agreement (and from time to time thereafter upon the reasonable request of such Borrower or the Applicable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 (D) 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Applicable Borrower or the Applicable Administrative Agent, at the time or times prescribed by law and at such time or times reasonably requested by the Applicable Borrower or the Applicable Administrative Agent, such documentation prescribed by applicable law (including as prescribed by Section 1471(b)(3)(C)(i) of the Code) and such additional documentation reasonably requested by the Applicable Borrower or the Applicable Administrative Agent as may be necessary for the Applicable Borrower or the Applicable Administrative Agent to comply with its obligations under FATCA, to determine that such Agent, Lender or Issuing Bank has complied with its obligations under FATCA or to determine the amount to deduct and withhold from any such payments. Solely for purposes of this paragraph (i), “FATCA” shall include any amendments made to FATCA after the date of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Solely for purposes of determining withholding Taxes imposed under FATCA, the Borrowers and the Administrative Agents shall treat (and the Lenders hereby authorize the Administrative Agents to treat) the Loans as not qualifying as a “grandfathered obligation” within the meaning of Treasury Regulation Section 1.1471-2(b)(2)(i). Each Lender agrees that if any form or certification it previously delivered expires or becomes obsolete or inaccurate in any respect, it shall update such form or certification or promptly notify the Parent Borrower and the Applicable Administrative Agent in writing of its legal inability to do so. (h) RBC, as Administrative Agent, shall deliver, on or before the date it becomes a party to this Agreement, to the U.S. Borrower a duly completed copy of IRS Form W- 8IMY certifying that it is a “U.S. branch” of a foreign bank and that it agrees to be treated as a U.S. Person with respect to any payments made to it by the U.S. Borrower under any Loan Document. RBC, as Administrative Agent agrees that if such IRS Form W-8IMY previously delivered expires or becomes obsolete or inaccurate in any respect, it shall update such form if it is legally able to do so or promptly notify the Parent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Parent Borrower shall have the right to require the appointment of an agent that is a U.S. Person solely for the purposes of receiving U.S. tax forms and administering any required withholding for U.S. Taxes under this Section 2.19; provided that such appointment shall not otherwise affect the rights and obligations of the Administrative Agent set forth in this Agreement. (i) 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(j) (i) Unless expressly stated otherwise in the relevant Loan Document, the consideration payable for any supply made by or through a Lender or Issuing Bank under or in connection with any Loan Document does not include Australian GST. (ii) If Australian GST is payable in respect of any supply made by or through a Lender or Issuing Bank (a “Supplier”) under or in connection with any Loan Document (“Australian GST Liability”) then: (A) where consideration is provided by a party (“Recipient Party”) in relation to that supply, the Recipient Party will pay an additional amount to the Supplier equal to the full amount of the Australian GST Liability; and (B) except where the foregoing clause (A) applies, the Australian Borrower will indemnify and keep the Supplier indemnified for the full amount of the Australian GST Liability. 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2.20(j)(ii)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(Goods and Services Tax) Act 1999 (Cth) and the Lender or Issuing Bank has no liability at all in relation to that payment. (iii) 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 (iv) Words used in this Section 2.19(j) which are not defined in this agreement but which have a defined meaning in the GST Law have the same meaning as in the GST Law unless the contrary intention appears. SECTION 2.20 Assignment of Commitments Under Certain Circumstances; Duty to Mitigate. (a) In the event (i) any Lender or Issuing Bank delivers a certificate requesting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provided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 (b) 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 SECTION 2.21 Letters of Credit.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 General. Each Borrower may request the issuance of a Letter of Credit denominated in U.S. dollars, Canadian dollars, Australian dollars or in 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 (b) Notice of Issuance, Amendment, Renewal, Extension; Certain Conditions. In order to request the issuance of a Letter of Credit denominated in 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 (x) 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whether the Letter of Credit is to be a U.S. Letter of Credit, a Canadian Letter of Credit or an Australian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denominated in U.S. dollars or an Alternative Currency and shall be issued, amended, renewed or extended only if, and upon issuance, amendment, renewal or extension of each Letter of Credit the U.S. Borrower shall be deemed to represent and warrant that, after giving effect to such issuance, amendment, renewal or extension (i) the U.S. L/C Exposure shall not exceed U.S.$10,000,000, (ii) the aggregate U.S. Revolving Credit Exposure shall not exceed the Total U.S. Revolving Commitment, and (iii) the U.S. L/C Exposure related to U.S. Letters of Credit issued by an Issuing Bank shall not exceed an amount agreed to in writing between the U.S. Borrower and such Issuing Bank and notified to the Administrative Agent. A Canadian Letter of Credit shall be denominated in Canadian dollars and shall be issued, amended, renewed or extended only if, and upon issuance, amendment, renewal or extension of each Canadian Letter of Credit, such Parent Borrower shall be deemed to represent and warrant that after giving effect to such issuance, amendment, renewal or extension (i) the Canadian L/C Exposure shall not exceed the Canadian Dollar Equivalent of U.S.$20,000,000, (ii) the aggregate Canadian Revolving Credit Exposure shall not exceed the Total Canadian Revolving Commitment and (iii) the portion of the Canadian L/C Exposure attributable to Letters of Credit issued by such Applicable Issuing Bank will not, unless such Applicable Issuing Bank shall so agree in its sole discretion, exceed the L/C Issuance Limit of such Applicable Issuing Bank. 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Australian Letter of Credit shall be denominated in Australian dollars and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 (c) Expiration Date. Each U.S. Letter of Credit and Canadian Letter of Credit shall have an expiration date not later than the earlier of (y) three years after the date of the issuance of such Letter of Credit and (z) the date that is 24 months after the Maturity Date; provided that 60 days prior to the Maturity Date the Borrowers shall deposit in an account with the U.S. Collateral Agent or the Canadian Collateral Agent, as the case may be, for the benefit of the U.S. Revolving Lenders or Canadian Revolving Lenders, as the case may be, an amount in cash equal to 105% of the U.S. L/C Exposure or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provided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 (d) Participations. By the issuance of a Letter of Credit and without any further action on the part of an Issuing Bank or the Lenders, the Applicable Issuing Bank hereby grants to each U.S. Revolving Lender, Canadian Revolving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(except (i) 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case of Canadian Letter of Credit, in which case such payment shall be made in Canadian dollars or (ii) in the case of an Australian Letter of Credit,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 (e) Reimbursement. If an Issuing Bank shall make any L/C Disbursement in respect of a Letter of Credit, the Applicable Borrower shall pay to the 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 (f) Obligations Absolute. Each Borrower’s obligations to reimburse L/C Disbursements as provided in paragraph (e) above shall be absolute, unconditional and irrevocable, and shall be performed strictly in accordance with the terms of this Agreement, under any and all circumstances whatsoever, and irrespective of: (i) any lack of validity or enforceability of any Letter of Credit or any Loan Document, or any term or provision therein; (ii) any amendment or waiver of or any consent to departure from all or any of the provisions of any Letter of Credit or any Loan Document; (iii) 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 (iv) 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(v) any payment by the Applicable Issuing Bank under a Letter of Credit against presentation of a draft or other document that does not strictly comply with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 (vi) any adverse change in the relevant exchange rates or in the availability of the relevant Alternative Currency to any Borrower, any Subsidiary or any other person, or in the relevant currency markets generally; or (vii) 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 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 (g) Role of Issuing Bank. Each Borrower assumes all risks of the acts or omissions of any beneficiary or transferee of any Letter of Credit with respect to its use of such Letter of Credit. None of the Issuing Banks, the Agents, any of their respective Related Parties or any correspondent, participant or assignee of any Issuing Bank shall be liable or responsible for: (i) the use which may be made of any Letter of Credit or any acts or omissions of any beneficiary or transferee in connection therewith; (ii) the validity, sufficiency or genuineness of documents, or of any endorsement thereon, even if such documents should prove to be in any or all respects invalid, insufficient, fraudulent or forged; or (iii) any other circumstances whatsoever in making or failing to make payment under any Letter of Credit (including the Issuing Bank’s own negligence), provided, however, that a Borrower shall have a claim against the Applicable Issuing Bank, and such Issuing Bank shall be liable to, and shall promptly pay 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(h) Disbursement Procedures. The Applicable Issuing Bank shall, promptly following its receipt thereof, examine all documents purporting to 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provided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 (i) Interim Interest. If an Issuing Bank shall make any L/C Disbursement in respect of a Letter of Credit, then, unless the Applicable Borrower 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or, in the case of any L/C Disbursement with respect to an Australian Letter of Credit, a BBSY Rate Loan, as the case may be. (j) Resignation or Removal of an Issuing Bank. An Issuing Bank may resign at any time by giving 30 days’ prior written notice to the Applicable Administrative Agent, the Applicable Lenders and the Parent Borrower, and may be removed at any time by the Parent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each Applicable Borrower and the Applicable Administrative Agent, and, from and after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 (k) Cash Collateralization. If (i) any Event of Default shall occur and be continuing, other than an event with respect to a Borrower described in Section 7.01(g) or (h) and a Borrower shall receive notice from Applicable Administrative Agent or the Required U.S. Lenders, the Required Canadian Revolving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Revolving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a condition to the issuance amendment, renewal or extension of a Letter of Credit), the Applicable Borrower shall deliver to the U.S. Collateral Agent, the Canadian Collateral Agent or the Australian Collateral Agent, as the case may be, for the benefit of the U.S. Revolving Lenders, Canadian Revolving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Australian L/C Exposure or Fronting Exposure pursuant to Section 2.22(c) or (k), then such Borrower and the Applicable Collateral Agent shall establish a cash collateral account (an “L/C Cash Collateral Account”)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provided, however, that Cash Collateral furnished by or on behalf of a Loan Party shall not be released during the continuance of an Event of Default and may be otherwise applied in accordance with Section 7.06. (l) Additional Issuing Banks. A Borrower may, at any time and from time to time with the consent of the Applicable Administrative Agent (which consent shall not be unreasonably withheld or delayed) and such Revolving Lender, designate one or more additional Revolving Lenders to act as an issuing bank under the terms of this Agreement. The acceptance of any appointment as an Issuing Bank hereunder by a Revolving Lender shall be evidenced by an agreement entered into by such Revolving Lender, in a form satisfactory to each Applicable Borrower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 (m) In the event of any conflict between the terms hereof and the terms of any Letter of Credit Document, the terms hereof shall control. (n) 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the Parent Borrower or any Subsidiary thereof or the Australian Borrower or any Subsidiary thereof) inures to the benefit of such Borrower, and that such Borrower’s business derives substantial benefits from the businesses of such Borrower’s Subsidiaries.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 Each Issuing Bank, the Revolving Lenders and the Borrowers agree that effective as of the Closing Date, the Rolled Letters of Credit shall be deemed to have been issued and maintained under, and to be governed by the terms and conditions of, this Agreement. SECTION 2.22 Bankers’ Acceptances. (a) Subject to the terms and conditions of this Agreement, the Parent Borrower may request a Borrowing denominated in Canadian dollars by presenting drafts for acceptance and, if applicable, purchase as B/As by the Canadian Lenders. (b) No Contract Period with respect to a B/A to be accepted and, if applicable, purchased as a Loan shall extend beyond the Maturity Date. All B/A Loans shall be denominated in Canadian dollars. (c) To facilitate availment of the B/A Loans, the Parent Borrower hereby appoints each Canadian Lender as its attorney to sign and endorse on its behalf, in handwriting or by facsimile or mechanical signature as and when deemed necessary by such Canadian Lender, blank forms of B/As in the form requested by such Canadian Lender. The Parent Borrower recognizes and agrees that all B/As signed and/or endorsed on its behalf by a Canadian Lender shall bind such Parent Borrower as fully and effectually as if signed in the handwriting of and duly issued by the proper signing officers of such Parent Borrower. Each Canadian Lender is hereby authorized to issue such B/As endorsed in blank in such face amounts as may be determined by such Canadian Lender; provided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Each applicable Canadian Lender shall maintain a record with respect to B/As (i) voided by it for 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Parent Borrower, a Canadian Lender shall cancel all forms of B/A which have been pre-signed or pre-endorsed on behalf of such Parent Borrower and which are held by such Canadian Lender and are not required to be issued in accordance with such Parent Borrower’s irrevocable notice. At the discretion of a Lender, Bankers’ Acceptances to be accepted by such Lender may be issued in the form of “Depository Bills” within the meaning of the Depository Bills and Notes Act (Canada) and deposited with the Canadian Depository for Securities Limited (“CDS”) and may be made payable to “CDS &amp; Co.” or in such other name as may be acceptable to CDS and thereafter dealt with in accordance with the rules and procedures of CDS, consistent with the terms of this Agreement. All Depository Bills so issued shall be governed by the provisions of this Section 2.22. (d) Drafts of the Parent Borrower to be accepted as B/As hereunder shall be signed as set forth in this Section 2.22. Notwithstanding that any person whose signature appears on any B/A may no longer be an authorized signatory for any of the Canadian Lenders or the Parent Borrower at the date of issuance of a B/A, such signature shall nevertheless be valid and sufficient for all purposes as if such authority had remained in force at the time of such issuance and any such B/A so signed shall be binding on such Parent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Promptly following receipt of a notice of borrowing, continuation or conversion of B/As, the Canadian Administrative Agent shall so advise the Canadian Lenders, and shall advise each Canadian Lender, of the aggregate face amount of the B/As to be accepted by it and the applicable Contract Period (which shall be identical for all Canadian Lenders). The aggregate face amount of the B/As to be accepted by a Canadian Lender shall be in an integral multiple of C$100,000 and such face amount shall be in each Canadian Lender’s pro rata portion of such Canadian Borrowing; provided, that the Canadian Administrative Agent may, in its sole discretion, increase or reduce any Canadian Lender’s portion of such B/A to the nearest C$100,000. (f) The Parent Borrower may specify in a notice of borrowing or conversion or continuation pursuant to Section 2.03 or Section 2.10, respectively, that it desires that any B/As requested by such notice be purchased by the applicable Canadian Lenders, in which case the applicable Canadian Lenders shall purchase, or arrange the purchase of, each B/A from such Parent Borrower at the B/A Discount Rate for such Canadian Lender applicable to such B/A accepted by it and provide to the Canadian Administrative Agent the Discount Proceeds for the account of such Parent Borrower. The Acceptance Fee payable by such Parent Borrower to a Canadian Lender under Section 2.06 in respect of each B/A accepted by such Canadian Lender shall be set off against the Discount Proceeds payable by such Canadian Lender under this Section 2.22. (g) Each Canadian Lender may at any time and from time to time hold, sell, rediscount or otherwise dispose of any or all B/As accepted and purchased by it. (h) If a Canadian Lender notifies the Canadian Administrative Agent in writing that it is unable or unwilling to accept Bankers’ Acceptances, such Canadian Lender will, instead of accepting and, if applicable, purchasing Bankers’ Acceptances, make an advance (a “B/A Equivalent Loan”) to the Parent Borrower in the amount and for the same term as the draft that such Canadian Lender would otherwise have been required to accept and purchase hereunder. Each such Canadian Lender will provide to the Canadian Administrative Agent the Discount Proceeds of such B/A Equivalent Loan for the account of such Parent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Parent Borrower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(a “Discount Note”) of the Parent Borrower, denominated in Canadian dollars, executed and delivered by the Parent Borrower to such Canadian Lender, substantially in the form of Exhibit G. (i) The Parent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the Parent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agrees not to claim any days of grace if such Canadian Lender as holder sues such Parent Borrower on the B/A for payment of the amount payable by such Parent Borrower thereunder. On the last day of the Contract Period of a B/A, or such earlier date as may be required or permitted pursuant to the provisions of this Agreement, the Parent Borrower shall pay the Canadian Lender that has accepted and purchased such B/A the full face amount of such B/A and after such payment, such Parent Borrower shall have no further liability in respect of such B/A and such Canadian Lender shall be entitled to all benefits of, and be responsible for all payments due to third parties under, such B/A. (j) Except as required by any Canadian Lender upon the occurrence of an Event of Default, no B/A Loan may be repaid by the Parent Borrower prior to the expiry date of the Contract Period applicable to such B/A Loan; provided, however, that any B/A Loan may be defeased as provided in the proviso to Section 2.11(a). (k) With respect to any repayment of unmatured B/A’s pursuant to the proviso to Section 2.11(a) or otherwise hereunder, it is agreed that the Parent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“Outstanding BAs Collateral”) shall be assigned to the Canadian Administrative Agent as security for the obligations of the Parent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Parent Borrower for such B/A’s as they mature and the Canadian Administrative Agent is hereby irrevocably directed by the Parent Borrower to apply any such Outstanding BAs Collateral to such maturing B/A’s. The Outstanding BAs Collateral created herein shall not be released to the Parent Borrower prior to the maturity of the applicable B/As without the consent of the applicable Canadian Lenders; however, interest on such deposited amounts shall be for the account of the Parent Borrower and may be withdrawn by the Parent Borrower so long as no Default or Event of Default is then continuing. If, after maturity of the B/A’s for which such Outstanding BAs Collateral is held and application by the Canadian Administrative Agent of the Outstanding BAs Collateral to satisfy the obligations of the Parent Borrower hereunder with respect to the B/A’s being repaid, any interest or other proceeds of the Outstanding BAs Collateral remains, such interest or other proceeds shall be promptly paid and transferred by the Canadian Administrative Agent to the Parent Borrower so long as no Default or Event of Default is then continuing. SECTION 2.23 Swing Line Loans. (a) Generally. (i) The U.S. Swing Line. Subject to the terms and conditions set forth herein, and if an AutoBorrow Agreement is in effect, subject to the terms and conditions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of such AutoBorrow Agreement, the U.S. Swing Line Lender may in its sole and absolute discretion, in reliance upon the agreements of the other U.S. Revolving Lenders set forth in this Section 2.23, make loans in U.S. dollars (each such loan, a “U.S. Swing Line Loan”) to the U.S. Borrower from time to time on or after the Closing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provided, however, that after giving effect to any U.S. Swing Line Loan, (i) the aggregate U.S. Revolving Credit Exposure of all U.S. Revolving Lenders shall not exceed the Total U.S. Revolving Commitments at such time, and (ii) the U.S. Revolving Credit Exposure of each U.S. Revolving Lender at such time shall not exceed such Lender’s U.S. Revolving Commitment, and provided, further, that the U.S. Borrower shall not use the proceeds of any U.S. Swing Line Loan to refinance any outstanding 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(expressed as a decimal) times the amount of such U.S. Swing Line Loan. Each U.S. Revolving Lender shall have the obligation to purchase and fund risk participations in the U.S. Swing Line Loans and to refinance U.S. Swing Line Loans as provided in this Agreement. (ii) The Canadian Swing Line. Subject to the terms and conditions set forth herein, and if an AutoBorrow Agreement is in effect, subject to the terms and conditions of such AutoBorrow Agreement, the Canadian Swing Line Lender may in its sole and absolute discretion, in reliance upon the agreements of the other Canadian Revolving Lenders set forth in this Section 2.23, make loans in Canadian dollars or U.S. dollars (each such loan, a “Canadian Swing Line Loan”) to the Parent Borrower from time to time on or after the Closing Date until the earlier of the Maturity Date and the 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 Lender, may exceed the amount of such Lender’s Canadian Revolving Commitment; provided, however, that after giving effect to any Canadian Swing Line Loan, (i) the aggregate Canadian Revolving Credit Exposure of all Canadian Revolving Lenders shall not exceed the Total Canadian Revolving Commitments at such time, and (ii) the Canadian Revolving Credit Exposure of each Canadian Revolving Lender at such time shall not exceed such Lender’s Canadian Revolving Commitment, and provided, further, that the Parent Borrower shall not use the proceeds of any Canadian Swing Line Loan to refinance any outstanding Canadian Swing Line Loan. Within the foregoing limits, the Parent Borrower may borrow under this Section 2.23(a)(ii), prepay under Section 2.11, and reborrow under this Section 2.23(a)(ii). Immediately upon the making of a Canadian Swing Line Loan, each Canadian Revolving Lender shall be deemed to, and hereby irrevocably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unconditionally agrees to, purchase from the Canadian Swing Line Lender a risk participation in such Canadian Swing Line Loan in an amount equal to the product of such Canadian Revolving Lender’s Canadian Revolving Pro Rata Percentage (expressed as a decimal) times the amount of such Canadian Swing Line Loan. Each Canadian Revolving Lender shall have the obligation to purchase and fund risk participations in the Canadian Swing Line Loans and to refinance Canadian Swing Line Loans as provided in this Agreement. (b) Borrowing Procedures. If an AutoBorrow Agreement is in effect, each Swing Line Borrowing shall be made as provided in such AutoBorrow 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(ii) in the case of a Canadian Swing Line Borrowing, whether such Canadian Swing Line Borrowing is to be denominated in Canadian dollars or U.S. dollars; and (iii)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 (c) Refinancing of Swing Line Loans. (i) The Applicable Swing Line Lender at any time in its sole and absolute discretion may request, on behalf of the Applicable Borrower (which hereby irrevocably authorizes the Applicable Swing Line Lender to so request on its behalf), or the Applicable Borrower at any time in its sole and absolute discretion may request,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 (ii) If for any reason any Swing Line Loan cannot be refinanced by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 (iii) 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Line Lender submitted to any Lender (through the Applicable Administrative Agent) with respect to any amounts owing under this clause (iii) shall be presumed correct absent manifest error. (iv) 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provided, however,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 (d) Repayment of Participations. (i) At any time after any Applicable Lender has purchased and funded a risk participation in a Swing Line Loan, 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 (ii) 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 (e) Interest for Account of Swing Line Lender. The Applicable Swing Line Lender shall be responsible for invoicing the Applicable Borrower for interest on the Swing Line Loans. Until each Applicable Lender funds its Loan or risk participation pursuant to this Section 2.23 to refinance such Applicable Lender’s Applicable Pro Rata Percentage of any Swing Line Loan, interest in respect of such Applicable Pro Rata Percentage shall be solely for the account of the Applicable Swing Line Lender. (f) Payments Directly to Swing Line Lender. The Applicable Borrower shall make all payments of principal and interest in respect of the Swing Line Loans directly to the Applicable Swing Line Lender, and, if an AutoBorrow Agreement is in effect, in accordance with the terms of such AutoBorrow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 Discretionary Nature of the Swing Line Facility. Notwithstanding any terms to the contrary contained herein, the swing line facilities provided 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 SECTION 2.24 Defaulting Lenders. (a) Adjustments. Notwithstanding anything to the contrary contained in this Agreement, if any Revolving Lender becomes a Defaulting Lender, then, until such time as that Lender is no longer a Defaulting Lender, to the extent permitted by applicable law: (i) such Defaulting Lender’s right to approve or disapprove any amendment, waiver or consent with respect to this Agreement or any other Loan Document shall be restricted as set forth in Section 9.08(b); and (ii) 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 (A) first, to the payment of any amounts owing by such Defaulting Lender to the Applicable Administrative Agent hereunder; (B) second, to the payment on a pro rata basis of any amounts owing by such Defaulting Lender to the Issuing Banks and the Swing Line Lenders hereunder; (C) third, to Cash Collateralize the Issuing Banks’ Fronting Exposure with respect to such Defaulting Lender in accordance with Section 2.21(k); (D) fourth, as the Applicable Borrower may request (so long as no Default or Event of Default exists), to the funding of any Loan in respect of which such Defaulting Lender has failed to fund its portion thereof as required by this Agreement, as determined by the Applicable Administrative Agent; (E) fifth, if so determined by the Administrative Agent and the applicable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2.21(k);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 sixth, to the payment of any amounts owing to the Revolving Lenders, the Applicable Issuing Bank or the Applicable Swing Line Lender as a result of any judgment of a court of competent jurisdiction obtained by any Revolving Lender or an Applicable Issuing Bank against such Defaulting Lender as a result of such Defaulting Lender’s breach of its obligations under this Agreement; (G) seventh, so long as no Default or Event of Default exists, to the payment of any amounts owing to the Applicable Borrower as a result of any judgment of a court of competent jurisdiction obtained by the Applicable Borrower against such Defaulting Lender as a result of such Defaulting Lender’s breach of its obligations under this Agreement; and (H) eighth, to such Defaulting Lender or as otherwise directed by a court of competent jurisdiction; provided that if (x) such payment is a payment of the principal amount of any Revolving Credit Loans or L/C Disbursements in respect of which that Defaulting Lender has not fully funded its appropriate share and (y) such Revolving Credit Loans were made or the related Letters of Credit were issued at a time when the conditions set forth in Section 4.01 were satisfied or waived, such payment shall be applied solely to pay the Revolving Credit Loans of, and L/C Disbursements owed to, all Non-Defaulting Lenders on a pro rata basis prior to being applied to the payment of any Revolving Credit Loans of, or L/C Disbursements owed to, such Defaulting Lender until such time as all Loans and funded and unfunded participations in Letters of Credit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 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 (b) Certain Fees. (i) No Defaulting Lender shall be entitled to receive any Commitment Fee pursuant to Section 2.05(a) for any period during which such Lender is a Defaulting Lender (and, except as otherwise provided in Section 2.05(a), the Applicable Borrower shall not be required to pay any such fee that otherwise would have been required to have been paid to such Defaulting Lender). (ii) 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With respect to any L/C Participation Fee not required to be paid to any Defaulting Lender pursuant to clause (i) or (ii)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Bank and Swing Line Lender, as applicable, the amount of any such fee otherwise payable to such Defaulting Lender to the extent allocable to such Issuing Bank’s or Swing Line Lender’s Fronting Exposure to such Defaulting Lender, and (z) not be required to pay the remaining amount of any such fee. (c) Reallocation of Ratable Portions to Reduce Fronting Exposure. During any period in which there is a Defaulting Lender, solely for purposes of computing the amount of the 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provided, that (A) each such reallocation shall be given effect only if, at the date the applicable Lender becomes a Defaulting Lender, no Default or Event of Default exists; and (B) the aggregate obligation of any non- 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 (d) Cash Collateral, Repayment of Swing Line Loans. If the reallocation described in clause (c) above cannot, or can only partially, be effected, the applicable Borrower shall, without prejudice to any right or remedy available to it hereunder or under law, (x) first, prepay Swing Line Loans in an amount equal to the applicable Swing Line Lender’s Fronting Exposure and (y) second, cash collateralize the applicable Issuing Banks’ Fronting Exposure in accordance with the procedures set forth in Section 2.21(k). (e) Defaulting Lender Cure. If the Applicable Borrower, the Applicable Administrative Agent, the Applicable Swing Line Lenders and the 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provided that no adjustments will be made retroactively with respect to fees accrued or payments made by or on behalf of the Applicable Borrower while such Lender was a Defaulting Lender; and provided further, that except to the extent otherwise expressly agreed by the affected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parties, no change hereunder from Defaulting Lender to Lender will constitute a waiver or release of any claim of any party hereunder arising from that Lender’s having been a Defaulting Lender. (f) New Swing Line Loans/Letters of Credit. So long as any Lender is a Defaulting Lender, (i) the Applicable Swing Line Lender shall not 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 (g) Termination of Defaulting Lender Revolving Commitment. A Borrower may terminate the unused amount of the Revolving Commitment of a Defaulting Lender upon not less than three (3) Business Days’ prior notice to the Applicable Administrative Agent (which will promptly notify the Revolving Lenders of the same Class thereof), provided that such termination will not be deemed to be a waiver or release of any claim a Borrower, an Administrative Agent, an Issuing Bank or any Lender may have against such Defaulting Lender. SECTION 2.25 Incremental Revolving Credit Increase. (a) At any time after the Closing Date, any Borrower may by written notice to the Applicable Administrative Agent elect to request the establishment of one or more increases in one or more of the Revolving Commitments (an “Incremental Revolving Commitment”) to make incremental Revolving Credit Loans (any Revolving Credit Loans made pursuant to such Incremental Revolving Commitments, the “Incremental Revolving Credit Increase”); provided that, (1) the aggregate amount for all such Incremental Revolving Commitments shall not exceed $50,000,000 and (2) the aggregate amount for each Incremental Revolving Commitment shall not be less than a minimum principal amount of $10,000,000 or, if less, the remaining amount permitted pursuant to the foregoing clause (1). Each such notice shall specify the date (each, an “Increased Amount Date”)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“Incremental Lender”).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provided that: (A) no Default or Event of Default shall exist on such Increased Amount Date before or after giving effect to (1) any Incremental Revolving Commitment and (2) the making of any Incremental Revolving Credit Increase pursuant thereto; (B) the Applicable Borrower shall have delivered to the Administrative Agent (which shall promptly make such information available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Lenders in accordance with its customary practice) a Compliance Certificate demonstrating that the Parent Borrower will be in compliance on a pro forma basis (using the criteria therefor described in Section 6.04(i)) with the Financial Covenants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 (C) the proceeds of any Incremental Revolving Credit Increase shall be used for ongoing working capital requirements and other general corporate purposes of the Applicable Borrower and its Subsidiaries (including Permitted Acquisitions); (D) each Incremental Revolving Commitment (and the Incremental Revolving Credit Increase made thereunder) shall constitute Obligations of the Applicable Borrower and shall be secured and guaranteed with the other Revolving Credit Loans of such Class on a pari passu basis; (E) in the case of each Incremental Revolving Commitment (the terms of which shall be set forth the relevant Lender Joinder Agreement): (1) 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provided that the Incremental Lenders in respect of any Incremental Revolving Commitment may receive upfront fees determined by the Applicable Administrative Agent, the applicable Incremental Lenders and the Applicable Borrower; (2) the outstanding Revolving Credit Loans and Applicable Pro Rata Percentages of Swing Line Loans and the aggregate amount available to be drawn under all applicable Letters of Credit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 (3) all of the other terms and conditions applicable to such Incremental Revolving Commitment shall, except to the extent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otherwise provided in this Section 2.25, be identical to the terms and conditions applicable to the U.S. Revolving Credit Facility, the Canadian Revolving Credit Facility or the Australian Revolving Credit Facility, as the case may be; (F) 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or Bankers’ Acceptances made in connection with each Incremental Revolving Credit Increase shall receive proceeds of prepayments on the same basis as the other Revolving Credit Loans made hereunder; (G) 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 (H) 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 (b) The Incremental Lenders shall be included in any determination of the Required U.S. Lenders, Required Canadian Revolving Lenders, the Required Canadian Lenders, the Required Canadian Revolving Lenders or the Required Australian Lenders, as the case may be, and the Incremental Lenders will not constitute a separate voting class for any purposes under this Agreement. (c) 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 (d) 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 SECTION 2.26 Benchmark Replacement. (a) Benchmark Replacement.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Notwithstanding anything to the contrary herein or in any other Loan Document (and any Hedging Agreement shall be deemed not to be a “Loan Document” for purposes of this Section titled “Benchmark Replacement”), if, upon the occurrence of a Benchmark Transition Event or an Early Opt-in Election, as applicable, and its related Benchmark Replacement Date have occurred prior to the Reference Time in respect of any setting of, the Administrative Agent and the Borrowers may amend this Agreement to replace the then-current Benchmark, then (x) if with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Any such amendment with respect to a Benchmark Transition Event will become effective at 5:00 p.m. (New York City time) on the fifth (5th) Business Day after the date notice of such Benchmark Replacement isAgent has posted such providposed to the Lenders without any amendment to, or further action or consent of any other party to, this Agreement or any other Loan Document all affected Lenders and the Borrowers so long as the Administrative Agent has not received, by such time, written notice of objection to such Benchmark Replacementamendment from Lenders comprising the Required Lenders. No replacement of a Benchmark with a Benchmark Replacement pursuant to this Section 2.26(a) will occur prior to the applicable Benchmark Transition Start Date. (ii) 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Term SOFR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(ii) shall not be effective unless the Administrative Agent has delivered to the Lenders and the Borrowers a Term SOFR Notice.No Hedging Agreement shall be deemed to be a “Loan Document” for purposes of this Section 2.26. (b) Benchmark Replacement Conforming Changes. In connection with the use, administration, adoption or implementation of a Benchmark Replacement (including, for the avoidance of doubt, in connection with the occurrence of a Term SOFR Transition Event),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Notices; Standards for Decisions and Determinations. The Administrative Agent will promptly notify the Parent Borrowers and the Lenders of (i) any occurrence of a Benchmark Transition Event, a Term SOFR Transition Event or an Early Opt- in Election, as applicable, and its related Benchmark Replacement Date, (ii) the implementation of any Benchmark Replacement, and (iii) the effectiveness of any Benchmark Replacement Conforming Changes, (iv) in connection with the use, administration, adoption or implementation of a Benchmark Replacement. The Administrative Agent will promptly notify the Parent Borrower of (x) the removal or reinstatement of any tenor of a Benchmark pursuant to clause Section 2.26(d) below and (vy) the commencement or conclusion of any Benchmark Unavailability Period. Any determination, decision or election that may be made by the Administrative Agent or, if applicable, any Lender (or group of Lenders) pursuant to this Section titled “Benchmark Replacement,”2.26,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Replacement.”2.26. (d) Unavailability of Tenor of Benchmark. Notwithstanding anything to the contrary herein or in any other Loan Document, at any time (including in connection with the implementation of a Benchmark Replacement), (i) if the then-current Benchmark is a term rate (including the Term SOFR or USD LIBORReference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be no longernot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 longernot be representative for a Benchmark (including a Benchmark Replacement), then the Administrative Agent may modify the definition of “Interest Period” (or any similar or analogous definition) for all Benchmark settings at or after such time to reinstate such previously removed tenor. (e) Benchmark Unavailability Period. Upon the Borrowers’ receipt of notice of the commencement of a Benchmark Unavailability Period, the Borrowers may revoke any request for a Eurodollar BorrowingSOFR Loan of, conversion to or continuation of EurodollarSOFR Loans to be made, converted or continued during any Benchmark Unavailability Period and, failing that, the Borrowers will be deemed to have converted any such request into a request for a Borrowing of or conversion to ABR Loans. During any Benchmark Unavailability Period or at any time that a tenor for the then-current Benchmark is not an Available Tenor, the component of ABRAlternate Base Rate or U.S. Base Rate,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respectively, based upon the then-current Benchmark or such tenor for such Benchmark, as applicable, will not be used in any determination of ABRAlternate Base Rate or U.S. Base Rate, respectively. SECTION 2.27 Canadian Benchmark Replacement. Notwithstanding anything to the contrary herein or in any other Loan Document: (a) Replacing CDOR. On May 16, 2022 Refinitiv Benchmark Services (UK) Limited (“RBSL”), the administrator of CDOR, announced in a public statement that the calculation and publication of all tenors of CDOR will permanently cease immediately following a final publication on Friday, June 28, 2024. On the date that all Canadian Available Tenors of CDOR have either permanently or indefinitely ceased to be provided by RBSL (the “CDOR Cessation Date”), if the then-current Canadian Benchmark is CDOR, the Canadian Benchmark Replacement will replace such Canadian Benchmark for all purposes hereunder and under any Loan Document in respect of any setting of such Canadian Benchmark on such day and all subsequent settings without any amendment to, or further action or consent of any other party to this Agreement or any other Loan Document. If the Canadian Benchmark Replacement is Daily Compounded CORRA, all interest payments will be payable on a quarterly basis. (f) Certain Defined Terms. As used in this Section titled “Benchmark Replacement”: (b) Replacing Future Canadian Benchmarks. Upon the occurrence of a Canadian Benchmark Transition Event, the Canadian Benchmark Replacement will replace the then-current Canadian Benchmark for all purposes hereunder and under any Loan Document in respect of any Canadian Benchmark setting at or after 5:00 p.m. (Toronto time) on the fifth (5th) Business Day after the date notice of such Canadian Benchmark Replacement is provided to the Canadian Lenders without any amendment to, or further action or consent of any other party to, this Agreement or any other Loan Document so long as the Administrative Agent has not received, by such time, written notice of objection to such Canadian Benchmark Replacement from Canadian Lenders comprising the Required Canadian Lenders. At any time that the administrator of the then-current Canadian Benchmark has permanently or indefinitely ceased to provide such Canadian Benchmark or such Canadian Benchmark has been announced by the administrator or the regulatory supervisor for the administrator of such Canadian Benchmark pursuant to public statement or publication of information to be no longer representative of the underlying market and economic reality that such Canadian Benchmark is intended to measure and that representativeness will not be restored, the Parent Borrower may revoke any request for a borrowing of, conversion to or continuation of Canadian Loans to be made, converted or continued that would bear interest by reference to such Canadian Benchmark until the Parent Borrower’s receipt of notice from the Canadian Administrative Agent that a Canadian Benchmark Replacement has replaced such Canadian Benchmark, and, failing that, the Parent Borrower will be deemed to have converted any such request into a request for a borrowing of or conversion to Canadian Prime Loans. During the period referenced in the foregoing sentence, the component of the Canadian Prime Rate based upon the Canadian Benchmark will not be used in any determination of the Canadian Prime Rate. (c) Canadian Benchmark Replacement Conforming Changes. In connection with the implementation and administration of a Canadian Benchmark Replacement, the Canadian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 will have the right to make Canadian Benchmark Replacement Conforming Changes from time to time and, notwithstanding anything to the contrary herein or in any other Loan Document, any amendments implementing such Canadian Benchmark Replacement Conforming Changes will become effective without any further action or consent of any other party to this Agreement. (d) Notices; Standards for Decisions and Determinations. The Canadian Administrative Agent will promptly notify the Parent Borrower and the Canadian Lenders of (i) the implementation of any Canadian Benchmark Replacement, (ii) any occurrence of a Term CORRA Transition Event, (iii) the effectiveness of any Benchmark Replacement Conforming Changes, and (iv) by delivering a BA Cessation Notice pursuant to clause (g) of this Section, its intention to terminate the obligation of the Canadian Lenders to make or maintain Bankers’ Acceptances. Any determination, decision or election that may be made by the Canadian Administrative Agent or, if applicable, any Canadian Lender (or group of Canadian Lenders) pursuant to this Section 2.27(d), including any determination with respect to a tenor, rate or adjustment or of the occurrence or non- 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2.27(d). (e) Unavailability of Tenor Canadian Benchmark. At any time (including in connection with the implementation of a Canadian Benchmark Replacement), if the then-current Canadian Benchmark is a term rate (including Term CORRA or CDOR), then (i) the Canadian Administrative Agent may remove any tenor of such Canadian Benchmark that is unavailable or non-representative for Canadian Benchmark (including Canadian Benchmark Replacement) settings and (ii) the Canadian Administrative Agent may reinstate any such previously removed tenor for Canadian Benchmark (including Canadian Benchmark Replacement) settings. (f) Secondary Term CORRA Conversion. Notwithstanding anything to the contrary herein or in any Loan Document and subject to the proviso below in this clause, if a Term CORRA Transition Event and its related Term CORRA Transition Date have occurred, then on and after such Term CORRA Transition Date (i) the Canadian Benchmark Replacement described in clause (1)(a) of such definition will replace the then-current Canadian Benchmark for all purposes hereunder or under any Loan Document in respect of any setting of such Canadian Benchmark on such day and all subsequent settings, without any amendment to, or further action or consent of any other party to, this Agreement or any other Loan Document; and (ii) each Canadian Loan outstanding on the Term CORRA Transition Date bearing interest based on the then-current Benchmark shall convert, at the start of the next interest payment period, into a Canadian Loan bearing interest at the Canadian Benchmark Replacement described in clause (1)(a) of such definition for the respective Canadian Available Tenor as selected by the Parent Borrower as is available for the then-current Canadian Benchmark; provided that, this clause (f) shall not be effective unless the Canadian Administrative Agent has delivered to the Canadian Lenders and the Parent Borrower a Term CORRA Notice, and so long as the Canadian Administrative Agent has not received, by 5:00 p.m. (Toronto time) on the fifth (5th) Business Day after the date of the Term CORRA Notice, written notice of objection to such conversion to Term CORRA from Canadian Lenders comprising the Required Canadian Lenders or the Parent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 Bankers’ Acceptances. The Canadian Administrative Agent shall have the option to, effective as of the date set out in the BA Cessation Notice, which shall be a date on or after the CDOR Cessation Date (the “BA Cessation Effective Date”), terminate the obligation of the Canadian Lenders to make or maintain Bankers’ Acceptances, provided that the Canadian Administrative Agent shall give notice to the Parent Borrower and the Canadian Lenders at least thirty (30) Business Days prior to the BA Cessation Effective Date (“BA Cessation Notice”). If the BA Cessation Notice is provided, then as of the BA Cessation Effective Date, so long as the Canadian Administrative Agent has not received, by 5:00 p.m. (Toronto time) on the fifth (5th) Business Day after the date of the BA Cessation Notice, written notice of objection to the termination of the obligation to make or maintain Bankers’ Acceptances from Lenders comprising the Required Canadian Lenders, (i) any Borrowing Request that requests the conversion of any Canadian Loan to, or rollover of any Canadian Loans as, a Bankers’ Acceptance shall be ineffective, and (ii) if any Borrowing Request requests a Bankers’ Acceptance such Canadian Loan shall be made as a CORRA Loan of the same tenor. For the avoidance of doubt, any outstanding Bankers’ Acceptance shall remain in effect following the CDOR Cessation Date until such Bankers’ Acceptance’s stated maturity. (h) Definitions. “Canadian Available Tenor” means, as of any date of determination and with respect to the then-current Canadian Benchmark, as applicable, (x) if the then-current Canadian Benchmark is a term rate, any tenor for such Canadian Benchmark or payment period for interest calculated with reference to such Benchmark, as applicable, that is or may be used for determining the length of an Interest Period or (y) otherwise, any payment period for interest calculated with reference to such Canadian Benchmark, as applicable, pursuant to this Agreement as of such date and not including, for the avoidance of doubt, any tenor for such Benchmark that is then- removed from the definition of “Interest Period” pursuant to clause (d) of this Section titled “Benchmark Replacement.”. “Canadian Benchmark” means, initially, USD LIBORCDOR; provided that if a replacement of the Canadian Benchmark Transition Event or an Early Opt-inhas occurred pursuant to this ElSection or a Term SOFR Transition Event, as applicable, and its relatedtitled “Canadian Benchmark Replacement Date have occurred with respect to USD LIBOR or the then-current Benchmark, then “Setting”, then “Canadian Benchmark” means the applicable Canadian Benchmark Replacement to the extent that such Canadian Benchmark Replacement has replaced such prior benchmark rate pursuant to clause (a) of this Section titled “. Any reference to “Canadian Benchmark Replacement”; ” shall include, as applicable, the published component used in the calculation thereof. “Canadian Benchmark Replacement”, means, for any Canadian Available Tenor: (a) in the case of any Benchmark Transition Event or Early Opt-in Election, for any Available Tenor, the first alternative set forth in the order below that can be determined by the Administrative Agent for the applicable Benchmark Replacement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the sum of: (a) Term SOFR and (b) the related Benchmark Replacement Adjustment; (2) the sum of: (a) Daily Simple SOFR and (b) the related Benchmark Replacement Adjustment; (3) 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provided that, in the case of clause (1), such Unadjusted Benchmark Replacement is displayed on a screen or other information service that publishes such rate from time to time as selected by the Administrative Agent in its reasonable discretion or (b) in the case of a Term SOFR Transition Event, and the delivery of a Term SOFR Notice, the sum of (x) Term SOFR and (y) the related Benchmark Replacement Adjustment. If the Benchmark Replacement as determined pursuant to clause (a) (1), (2) or (3) or (b) above would be less than the Floor, the Benchmark Replacement will be deemed to be the Floor for the purposes of this Agreement and the other Loan Documents. “Benchmark Replacement Adjustment” means, with respect to any replacement of the then- current Benchmark with an Unadjusted Benchmark Replacement for any applicable Interest Period and Available Tenor for any setting of such Unadjusted Benchmark Replacement: (1) forFor purposes of clauses (a) (1) and (2) and clause (b) of the definition of “Benchmark Replacement,”of this Section, the first alternative set forth in the order below that can be determined by the Canadian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(a) the sum of: (i) Term CORRA and (ii) 0.29547% (29.547 basis points) for a Canadian Available Tenor of one-month’s duration, and 0.32138% (32.138 basis points) for a Canadian Available Tenor of three-months’ duration, or (b) the spread adjustment (which may be a positive or negative value or zero) as of the Reference Time such Benchmark Replacement is first set for such Interest Period that would apply to the fallback rate for a derivative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transaction referencing the ISDA Definitions to be effective upon an index cessation event with respect to such Benchmark for the applicable Corresponding Tenor; andsum of: (i) Daily Compounded CORRA and (ii) 0.29547% (29.547 basis points) for a Canadian Available Tenor of one- month’s duration, and 0.32138% (32.138 basis points) for a Canadian Available Tenor of three-months’ duration; (2) forFor purposes of clause (a) (3) of the definition of “b) of this Section 2.27, the sum of (a) the alternate Bbenchmark Replacement,” the spreadrate and (b) an adjustment, or method for calculating or determining such spread adjustment, (which may be a positive or negative value or zero), in each case, that has been selected by the Canadian Administrative Agent and the Borrowers for the applicable Corresponding TenorParent Borrower as the replacement for such Canadian Available Tenor of such Canadian Benchmark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 prevailing market convention for determining a spread adjustment, or method for calculating or determining such spread adjustment, for the replacement of such Benchmark with the applicable Unadjusted Benchmark Replacement for U.S. dollar- , including any applicable recommendations made by the Relevant Canadian Governmental Body, for Canadian dollar-denominated syndicated credit facilities; provided that, in the case of clause (1) above, such adjustment is displayed on a screen or other information service that publishes such Benchmark Replacement Adjustment from time to time as selected by the Administrative Agent in its reasonable discretion. at such time; provided that, if the Canadian Benchmark Replacement as determined pursuant to clause (1) or (2) above would be less than the Floor, the Canadian Benchmark Replacement will be deemed to be the Floor for the purposes of this Agreement and the other Loan Documents. “Canadian Benchmark Replacement Conforming Changes” means, with respect to any Canadian Benchmark Replacement, any technical, administrative or operational changes (including changes to the definition of “ABRCanadian Prime Rate,” the definition of “Business Day,” the definition of “Interest Period,” the definition of “Bankers’ Acceptance,”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including with respect to the obligation of the Canadian Administrative Agent and the Canadian Lenders to create, maintain or issue Bankers’ Acceptances that the Canadian Administrative Agent decides may be appropriate in its reasonable discretion (in consultation with the Parent Borrower) to reflect the adoption and implementation of such Canadian Benchmark Replacement and to permit the administration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thereof by the Canadian Administrative Agent in a manner substantially consistent with market practice (or, if the Canadian Administrative Agent decides that adoption of any portion of such market practice is not administratively feasible or if the Canadian Administrative Agent determines that no market practice for the administration of such Canadian Benchmark Replacement exists, in such other manner of administration as the Canadian Administrative Agent decides (in consultation with the Parent Borrower) is reasonably necessary in connection with the administration of this Agreement and the other Loan Documents.). Without limiting the foregoing, Canadian Benchmark Replacement Conforming Changes made in connection with the replacement of CDOR with a Canadian Benchmark Replacement may include the implementation of mechanics for borrowing loans that bear interest by reference to the Canadian Benchmark Replacement, to replace the creation or purchase of drafts or Bankers’ Acceptances. “Benchmark Replacement Date” means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(2) in the case of clause (3) of the definition of “Benchmark Transition Event,” the date of the public statement or publication of information referenced therein; (3) in the case of a Term SOFR Transition Event, the date that is thirty days after the Administrative Agent has provided the Term SOFR Notice to the Lenders and the Borrowers pursuant to Section 2.26(a)(ii); or (4)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“Canadian Benchmark Transition Event” means, with respect to any then- current Canadian Benchmark other than CDOR, the occurrence of a public statement or publication of information by or on behalf of the administrator of the then-current Canadian Benchmark, the regulatory supervisor for the administrator of such Benchmark (or the published component used in the calculation thereof), the Board of Governors of the Federal Reserve System, the Federal ReserveCanadian Benchmark, the Bank of New YorkCanada,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(or such component), which states that the, announcing or stating that (a) such administrator of such Benchmark (or such component) has ceased or will cease on a specified date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Benchmark (or such component thereof); orCanadian Benchmark or (b) all Canadian Available Tenors of such Canadian Benchmark are or will no longer be representative of the underlying market and economic reality that such Canadian Benchmark is intended to measure and that representativeness will not be restored. “CDOR” means the Canadian dollar rate for bankers’ acceptance borrowings known as the Canadian Dollar Offered Rate provided by RBSL, as the administrator of the benchmark (or a successor administrator). “CORRA” means the Canadian Overnight Repo Rate Average administered and published by the Bank of Canada (or any successor administrator). (3)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(x) beginning at the time that a Benchmark Replacement Date pursuant to clauses (1) or (2) of that definition has occurred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if, at such time, no Benchmark Replacement has replaced the then-current Benchmark for all purposes hereunder and under any Loan Document in accordance with this Section titled “Benchmark Replacement” and (y) ending at the time that a Benchmark Replacement has replaced the then-current Benchmark for all purposes hereunder and under any Loan Document in accordance with this Section titled “Benchmark Replacement.” “Corresponding Tenor” with respect to any Available Tenor means, as applicable, either a tenor (including overnight) or an interest payment period having approximately the same length (disregarding business day adjustment) as such Available Tenor. “Daily Simple SOFRCompounded CORRA” means, for any Business dDay, SOFR, with the in an interest payment period, CORRA with interest accruing on a compounded daily basis, with the methodology and conventions for this rate (which will include compounding in arrears with a lookback) being established by the Canadian Administrative Agent in accordance with the methodology and conventions for this rate selected or recommended by the Relevant Canadian Governmental Body for determining “Daily Simple SOFR” for syndicatedcompounded CORRA for business loans; provided, that if the Canadian Administrative Agent decides that any such convention is not administratively feasible for the Canadian Administrative Agent, then the Canadian Administrative Agent may establish another convention in its reasonable discretion.; and provided that if the administrator has not provided or published CORRA and a Canadian Benchmark Transition Event with respect to CORRA has not occurred, then, in respect of any day for which CORRA is required, references to CORRA will be deemed to be references to the last provided or published CORRA. “Early Opt-in Election” means, if the then-current Benchmark is USD LIBOR, the occurrence of: (1) a notification by the Administrative Agent to (or the request by the Borrowers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(2) the joint election by the Administrative Agent and the Borrowers to trigger a fallback from USD LIBOR and the provision by the Administrative Agent of written notice of such election to the Lenders. “Floor” means the benchmark rate floor, if any, provided in this Agreement initially (as of the execution of this Agreement, the modification, amendment or renewal of this Agreement or otherwise) with respect to USD LIBOR. “ISDA Definitions” means the 2006 ISDA Definitions published by the International Swaps and Derivatives Association, Inc. or any successor thereto, as amended or supplemented from time to time, or any successor definitional booklet for interest rate derivatives published from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time to time by the International Swaps and Derivatives Association, Inc. or such successor thereto. “Reference Time”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 “Relevant Canadian Governmental Body” means the Board of Governors of the Federal Reserve System or the Federal Reserve Bank of New YorkCanada, or a committee officially endorsed or convened by the Board of Governors of the Federal Reserve System or the Federal Reserve Bank of New YorkCanada, or any successor thereto. “SOFR” means, with respect to any Business Day, a rate per annum equal to the secured overnight financing rate for such Business Day published by the SOFR Administrator on the SOFR Administrator’s Website on the immediately succeeding Business Day. “SOFR Administrator” means the Federal Reserve Bank of New York (or a successor administrator of the secured overnight financing rate). “SOFR Administrator’s Website” means the website of the Federal Reserve Bank of New York, currently at http://www.newyorkfed.org, or any successor source for the secured overnight financing rate identified as such by the SOFR Administrator from time to time. “Term SOFRCORRA” means, for the applicable Ccorresponding Ttenor as of the applicable Reference Time, the forward-looking term rate based on SOFRCORRA that has been selected or recommended by the Relevant Canadian Governmental Body., and that is published by an authorized benchmark administrator and is displayed on a screen or other information service, as identified or selected by the Canadian Administrative Agent in its reasonable discretion at approximately a time and as of a date prior to the commencement of an Interest Period determined by the Canadian Administrative Agent in its reasonable discretion in a manner substantially consistent with market practice. “Term SOFRCORRA Notice” means athe notification by the Canadian Administrative Agent to the Canadian Lenders and the Parent Borrowers of the occurrence of a Term SOFRCORRA Transition Event. “Term CORRA Transition Date” means, in the case of a Term CORRA Transition Event, the date that is set forth in the Term CORRA Notice provided to the Canadian Lenders and the Parent Borrower, for the replacement of the then-current Canadian Benchmark with the Canadian Benchmark Replacement described in clause 1(a) of such definition, which date shall be at least thirty (30) Business Days from the date of the Term CORRA Notice. “Term SOFRCORRA Transition Event” means the determination by the Canadian Administrative Agent that (a) Term SOFRCORRA has been recommended for use by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Relevant Canadian Governmental Body, and is determinable for eachany Canadian Available Tenor and, (b) the administration of Term SOFRCORRA is administratively feasible for the Canadian Administrative Agent and (c) a Canadian Benchmark Replacement, other than Term CORRA, has replaced CDOR in accordance with paragraph (a) of the Section titled “Canadian Benchmark Replacement Setting”. “Unadjusted Benchmark Replacement” means the applicable Benchmark Replacement excluding the related Benchmark Replacement Adjustment. “USD LIBOR” means the London interbank offered rate for U.S. dollars. ARTICLE III REPRESENTATIONS AND WARRANTIES Each Borrower represents and warrants to the Agents, the Issuing Banks and each of the Lenders that: SECTION 3.01 Organization; Powers. Each Borrower and each of its respective Subsidiaries (a) is duly organized, validly existing and in good 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 contemplated hereby or thereby to which it is or will be a party and, in the case of the Borrowers, to borrow hereunder. SECTION 3.02 Authorization. The execution, delivery and performance by each Loan Party of each of the Loan Documents to which it is a party and the consummation of the Transactions (i) have been (or will have been on, prior to or substantially contemporaneously with the Closing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3.03 Enforceability. This Agreement has been, and each other Loan Document to which any Loan Party is a party, when executed and delivered by such Loan Party, will have been, duly executed and delivered by the Borrowers and 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 SECTION 3.04 Governmental Approvals. (a) No authorization, action, exemption, consent or approval of, registration, notice or filing with or any other action by any Governmental Authority is necessary or will be required in connection with the Loan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made or obtained and be in full force and effect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 SECTION 3.05 Financial Statements As of the Closing Date, the audited consolidated balance sheets and related consolidated statements of operations, comprehensive income, changes in shareholder equity, and cash flows of the Parent Borrower, as of and for the year ended December 31, 2020 are available on the website of the SEC at http://www.sec.gov or posted on the Internet at http://www.civeo.com. Such financial statements in each case present fairly, in all material respects, the financial condition of the Parent Borrower, as of such date and for such period. Such financial statements and the notes thereto, disclose all material liabilities, direct or contingent, of the Parent Borrower, as applicable, as of the date thereof. Such financial statements were prepared in accordance with GAAP. SECTION 3.06 No Material Adverse Change. Since December 31, 2020, there has been no material adverse effect on the business, assets, operations or condition (financial or otherwise) of the Borrowers and the Subsidiaries, taken as a whole. SECTION 3.07 Title to Properties; Possession Under Leases and Licenses. (a) Each of the Borrowers and the Subsidiaries has good and 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 or those registered by the Agents on behalf of the Secured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 SECTION 3.08 Subsidiaries. As of the date such schedule was most recently delivered, Schedule 3.08 sets forth a list of all Subsidiaries and Special Purpose Business Entities and, as to each such Subsidiary, the jurisdiction of formation, the outstanding Equity Interests therein and the percentage ownership interest of each class of such Equity Interests owned by the Parent Borrower and its Subsidiaries therein. As of the Closing Date, the Equity Interests indicated as owned by the Parent Borrower and its Subsidiaries on Schedule 3.08 are owned by the Borrowers, directly or indirectly, free and clear of all Liens (other than Liens permitted by Section 6.02). SECTION 3.09 Litigation; Compliance with Laws. (a) Except as set forth on Schedule 3.09, there are no actions, suits, proceedings, claims or 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 (b) Since December 31, 2020, there has been no adverse change in the status or financial effect on the Parent Borrower and the Subsidiaries of the matters disclosed on Schedule 3.09 that, individually or in the aggregate, has resulted in, or materially increased the likelihood of, a Material Adverse Effect. (c) 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 SECTION 3.10 Agreements. None of the Borrowers or any of the Subsidiaries is in default in any manner under any provision of any indenture or other agreement or instrument, where such default has resulted in, or could, either individually or in the aggregate, reasonably be expected to result in a Material Adverse Effect. SECTION 3.11 Federal Reserve Regulations. (a) None of the Loan Parties is engaged principally, or as one of its important activities, in the business of extending credit for the purpose of buying or carrying Margin Stock.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 SECTION 3.12 Investment Company Act. Neither the Parent Borrower nor any Subsidiary is or is required to be registered as an “investment company” as defined in, or subject to regulation under, the Investment Company Act of 1940. SECTION 3.13 Use of Proceeds. The Borrowers will use the proceeds of the Loans and will request the issuance of Letters of Credit for general corporate purposes of the Parent Borrower and its Subsidiaries. SECTION 3.14 Tax Matters. Each of the Borrowers and the Subsidiaries has filed or caused to be filed all federal, state, provincial, local and foreign 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or other applicable accounting principles. There is no proposed tax assessment against any Borrower or any Subsidiary thereof that could reasonably be expected to have a Material Adverse Effect. None of the Material Subsidiaries on the Closing Date will be a U.S. Owned Subsidiary. SECTION 3.15 No Material Misstatements. No information, report, financial statement, exhibit or schedule furnished by or on behalf of the Parent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provided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 SECTION 3.16 Employee Benefit Plans. (a) Each of the Borrowers that is subject to ERISA and such Borrower’s ERISA Affiliates is in compliance 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Accounting Standards Codification at 715-20) did not, as of the last annual valuation preceding the Closing Date, exceed the fair market value of the assets of such Plan.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Schedule 3.16(b) sets forth all Canadian Benefit Plans (other than, for greater certainty, universal plans created by and to which the Parent Borrower is obligated to contribute by statute) and Canadian Pension Plans and Defined Benefit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Parent Borrower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Parent Borrower,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Parent Borrower and the Canadian Subsidiaries to the Canadian Pension Plans, the Defined Benefit Plans or the Canadian Benefit Plans have been made on a timely basis in accordance with the terms of such plans and all applicable laws. There have been no improper withdrawals or applications of the assets of the Canadian Pension Plans and there have been no improper withdrawals by the Parent Borrower under the Canadian Benefit Plans. None of the Canadian Pension Plans contains a defined benefit provision (within the meaning of section 147.1(1) of the ITA). The obligations of the Parent Borrower and the Canadian Subsidiaries in respect of the Defined Benefit Plans are limited to making fixed contributions to the Defined Benefit Plans pursuant to the terms of the collective agreements entered into between them and the unions representing their employees and, for greater certainty, the Parent Borrower and the Canadian Subsidiaries have no obligation to administer, or fund any deficit in, any Defined Benefit Plan. (c) With respect to each scheme or arrangement mandated by a government other than the United States or Canada (a “Foreign Government Scheme or Arrangement”) and with respect to each employee benefit plan maintained or contributed to by any Loan Party or any Subsidiary of any Loan Party that is not subject to United States or Canadian law (a “Foreign Plan”): (i) 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each Foreign Plan required to be registered has been registered and has been maintained in good standing with applicable regulatory authorities, except where the failure could not reasonably be expected to have a Material Adverse Effect. SECTION 3.17 Environmental Matters. (a) Except as set forth in Schedule 3.17 and except with respect to any other matters that, individually or in 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 (b) Since the Closing Date, there has been no change in the status of the matters disclosed on Schedule 3.17 that, individually or in the aggregate, has resulted in, or materially increased the likelihood of, a Material Adverse Effect. SECTION 3.18 Insurance. Each of the Borrowers and each Subsidiary is insured by insurance providers that it reasonably considers to be financially sound (including captive insurance companies, or through self-insurance), in such amounts, with such deductibles and covering such risks and liabilities as are consistent with past practices and is in compliance with the requirements to Section 5.02. SECTION 3.19 Security Documents. (a) Each Pledge Agreement is effective to create in favor of the Applicable Collateral Agent, for the ratable benefit of the Secured Parties referred to therein, a legal, valid and enforceable security interest in the Collateral (as defined in such Pledge Agreement) and, when such Collateral (to the extent such Collateral constitutes an instrument or investment property, as applicable,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 (b) 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 SECTION 3.20 Intellectual Property. The Parent Borrower and each of its Subsidiaries own or are licensed or otherwise have the legal right to 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 SECTION 3.21 Labor Matters. As of the Closing Date, there are no strikes, lockouts or slowdowns against the Parent Borrower or any Subsidiary pending or, to the knowledge of the Borrowers, threatened. The hours worked by and payments made to employees 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 SECTION 3.22 Solvency. Immediately following the making of each Loan and the giving of each of the Guarantee Agreements and after giving effect to the application of the proceeds of each Loan, the Parent Borrower and its subsidiaries on a consolidated basis will be Solvent. SECTION 3.23 Anti-Corruption Laws. None of the Parent Borrower and its subsidiaries nor, to the knowledge of the Loan Parties, any director, employee or officer acting on behalf of any the Parent Borrower or any of its subsidiaries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 Corruption Laws. SECTION 3.24 Anti-Money Laundering Laws. The operations of the Parent Borrower and each subsidiary are and have been conducted at all times in compliance with Anti- Money Laundering Laws in all material respects and no action, suit or proceeding by or before any court or Governmental Agency or any arbitrator involving the Parent Borrower or any of its subsidiaries with respect to Anti-Money Laundering Laws is pending and no such actions, suits or proceedings have been threatened. SECTION 3.25 Foreign Assets Control Regulations, etc.. (a) The Parent Borrower and its subsidiaries are in compliance with the FCPA and the Currency and Foreign Transactions Reporting Act of 1970 and, (b) to the knowledge of the Loan Parties, no director, officer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employee of any Loan Party or any of their subsidiaries is the target of any Sanctions Laws and Regulations, in each case where such violation or sanctions could, individually or in the aggregate, reasonably be expected to have a Material Adverse Effect. ARTICLE IV CONDITIONS TO CLOSING AND FUNDING The obligations of the Lenders to make Loans and of the Issuing Banks to issue Letters of Credit hereunder are subject to the satisfaction of the following conditions: SECTION 4.01 Conditions to All Credit Events. On the date of each Borrowing and on the date of each issuance, amendment, extension or renewal of a Letter of Credit (each such event being called a “Credit Event”): (a) 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 (b) The representations and warranties set forth in Article III hereof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 (c) 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 (d) Immediately after giving effect to such Borrowing, no mandatory prepayment would be required under Section 2.12(d). (e) After giving pro forma effect to such Credit Event, the Parent Borrower is in compliance with the financial covenants described in Section 6.11 as of the most recently ended four (4) quarter period for which financial statements are required to be delivered under Section 5.04(a) or 5.04(b) or for which comparable financial statements have been filed with the SEC as if such Credit Event had occurred on the last day of such period.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Each Credit Event shall be deemed to constitute a representation and warranty by the Borrowers on the date of such Credit Event as to the matters specified in paragraphs (b), (c), (d) and (e) of this Section 4.01. SECTION 4.02 Conditions to Closing. On or before the Closing Date, (a) the Administrative Agents shall have received, on behalf of themselves, the Lenders and the Issuing Banks all documents necessary for the occurrence of the Closing Date, including, without limitation: (i) this Agreement, executed and delivered by the Agents, the Borrowers, the Lenders, and the Issuing Banks; (ii) any Note requested by a Lender pursuant to Section 2.04 of this Agreement payable to such requesting Lender; (iii) a favorable written opinion of each of (1) Simpson Thacher &amp; Bartlett LLP, U.S. counsel for the Borrowers, (2) Dentons Canada LLP, Canadian counsel to the Parent Borrower, and (3) Arnold Bloch Leibler, Australian counsel to the Secured Parties, in each case (A) dated as of the Closing Date, (B) addressed to the Administrative Agents, the Collateral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 (iv) a certificate as to the good standing or, if applicable,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 (v) a certificate of a Responsible Officer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 (vi) a certificate, dated the Closing Date and signed by a Financial Officer of the Parent Borrower, certifying (1) compliance with the conditions precedent set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forth in Section 4.01(b) and (c), and (2) in each case after giving pro forma effect (using the criteria therefor described in Section 6.04(i)) to the initial Borrowing contemplated hereunder and the other transactions contemplated hereby, that (A) the Parent Borrower and its Subsidiaries, taken as a whole, will be Solvent on the Closing Date and (B) the Parent Borrower and its subsidiaries will be in pro forma compliance (using the criteria therefor described in Section 6.04(i)) with Sections 6.10 and 6.11 as of Closing Date; (vii) the U.S. Pledge Agreement duly executed by the parties thereto, under which the U.S. Borrower and each Domestic Subsidiary of the U.S. Borrower (other than any Domestic Subsidiary that is a subsidiary of a Foreign Subsidiary) shall pledge to the U.S. Collateral Agent for the ratable benefit of the Secured Parties, (i) all the outstanding Equity Interests of each Material Subsidiary of the U.S. Borrower that is a Domestic Subsidiary (other than any Domestic Subsidiary that is a subsidiary of a Foreign Subsidiary or a Domestic Subsidiary that is a FSHCO) and (ii) 65% (and no more than 65%) of the total outstanding voting Equity Interests and 100% of the total outstanding nonvoting Equity Interests (if any) of each Material Subsidiary that is (A) a Foreign Subsidiary whose Equity Interests are directly owned by the U.S. Borrower or any Domestic Subsidiary of the U.S. Borrower (other than any Domestic Subsidiary that is a subsidiary of a Foreign Subsidiary) or (B) a FSHCO,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 (viii) the Canadian Pledge Agreement, duly executed by the parties thereto, and all the outstanding Equity Interests of the Canadian Subsidiary Guarantors as of the Closing Date shall have been duly and validly pledged thereunder to the Canadian Collateral Agent for the ratable benefit of the Secured Parties, together with certificates, if any, representing such Equity Interests, accompanied by instruments of transfer and stock powers endorsed in blank, shall be in the actual possession of the Canadian Collateral Agent and, if required, the delivery of the applicable financing statements registered at the applicable personal property registry in Canada necessary to create a valid, legal and perfected first-priority Lien on the Collateral described therein (subject to any Lien expressly permitted by Section 6.02); (ix) 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(x) 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Closing Date; (xi) (i) the U.S. Guarantee Agreement, duly executed by the parties thereto, (ii) the Canadian Guarantee Agreement, duly executed by the parties thereto and (iii) the Australian Guarantee Agreement duly executed by the parties thereto; (xii) the Australian Security Documents duly executed by the parties thereto, and all the outstanding Equity Interests of the Australian Subsidiary Guarantors as of the Closing Date shall have been duly and validly pledged thereunder to the Australian Collateral Agent for the ratable benefit of the Secured Parties, together with certificates, if any, representing such Equity Interests, accompanied by instruments of transfer and stock powers endorsed in blank, shall be in the actual possession of the Australian Collateral Agent and, if required, the delivery of the applicable financing statements registered at the applicable personal property registry in Australia necessary to create a valid, legal and perfected first-priority Lien on the Collateral described therein (subject to any Lien expressly permitted by Section 6.02); (xiii) all documentation and other information that the Administrative Agents, the Lead Arranger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Closing Date; and (xiv) such other documents as Administrative Agent or special counsel to Administrative Agent may reasonably request; (b) the Administrative Agent shall have received (i) evidence satisfactory to the Administrative Agent that all Indebtedness under the Existing Credit Agreement shall be simultaneously terminated and all amounts thereunder shall be simultaneously repaid in full and (ii) to the extent requested by the Administrative Agent, evidence that arrangements satisfactory to the Administrative Agent shall have been made for the termination and release of guarantees, Liens and security interests granted in connection with the Existing Credit Agreement in a form reasonably satisfactory to the Administrative Agent;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the Administrative Agents and the Lead Arranger shall have received all Fees and other amounts due and payable on or prior to the Closing Date, including, without limitation, (i) to the extent invoiced, reimbursement or payment of all out-of-pocket expenses (including, without limitation, the reasonable fees, charges and disbursements of counsel for the Agents) required to be reimbursed or paid by the Borrowers hereunder, under the Creditthis Agreement or under any other Loan Document and (ii) all Fees and other amounts due and payable under the Fee Letter; (d) the representations and warranties set forth in Article III hereof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 (e) 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 and (f) there must be at least U.S.$25,000,000 of the Revolving Commitments unused and available (after giving effect to any Borrowings on the Closing Date). ARTICLE V AFFIRMATIVE COVENANTS 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 SECTION 5.01 Existence; Businesses and Properties. (a) Do or cause to be done all things necessary to preserve, renew and keep in full force and 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 (c) 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 SECTION 5.02 Insurance. (a) Maintain insurance with insurance providers that it reasonably considers to be financially sound (including captive insurance companies, or through self-insurance), in such amounts, with such deductibles and covering such risks and liabilities as are consistent with its past practices. (b) (i)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Closing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(c) 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 SECTION 5.03 Obligations and Taxes. Pay its Indebtedness and other obligations promptly and in accordance with their terms and pay and 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provided, however,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or other applicable accounting principles, and such contest operates to suspend collection of the contested obligation, tax, assessment or charge and enforcement of a Lien. SECTION 5.04 Financial Statements, Reports, etc.. Furnish to the Administrative Agent and, in the case of Section 5.04(f) or (g), the applicable Lender: (a) within five Business Days after the date in each fiscal year on which the Parent Borrower is required to file its Annual Report on Form 10-K with the SEC (or would be required if the Parent Borrower is no longer required to file regular and periodic reports with the SEC), in each case without giving effect to any extension thereof, the audited consolidated balance sheet and related consolidated statements of operations, changes in shareholders’ equity, comprehensive income and cash flows of the Parent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Parent Borrower and its consolidated subsidiaries on a consolidated basis in accordance with GAAP; (b) within five Business Days after each date in each fiscal year on which the Parent Borrower is required to file a Quarterly Report on Form 10-Q with the SEC (or would be required if the Parent Borrower is no longer required to file regular and periodic reports with the SEC), in each case without giving effect to any extension thereof, the unaudited consolidated balance sheets and related consolidated statements of operations and cash flows of the Parent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Parent Borrower and its consolidated subsidiaries on a consolidated basis in accordance with GAAP, subject to normal year-end audit adjustments and the absence of footnotes; (c) concurrently with any delivery of financial statements under paragraph (a) or (b) above, a certificate in the form of Exhibit F (a “Compliance Certificate”) of a Financial Officer (i) certifying that no Event of Default or Default has occurred or, if such an Event of Default or Default has occurred, specifying the nature and extent thereof and any corrective action taken or proposed to be taken with respect thereto and (ii) setting forth computations in detail reasonably satisfactory to the Agents demonstrating compliance with the Financial Covenants; (d) promptly upon receipt thereof, copies of any audit or other reports delivered to the board of directors of the Parent Borrower (or the audit committee of such board) by an independent registered public accounting firm in connection with such firm’s audit of the consolidated financial statements of the Parent Borrower if such reports identify material weaknesses in internal controls over financial reporting of the Parent Borrower; (e) promptly after the same become publicly available, copies of all periodic and other reports, proxy statements and other materials (other than filings under Section 16 of the Securities Exchange Act of 1934) filed by the Parent Borrower or any Subsidiary with the SEC, or any Governmental Authority succeeding to any or all of the functions of said Commission, or with any national securities exchange, or distributed to its shareholders, as the case may be, and all press releases; (f) promptly, following a request by any Lender, all documentation and other information that such Lender reasonably requests in order to comply with its ongoing obligations under applicable “know your customer” and Anti-Money Laundering Laws, including the Patriot Act; (g) promptly, following a request by any Lender, an updated organizational chart of the Parent Borrower and its subsidiaries; and (h) promptly, from time to time, such other information regarding the operations, business affairs and financial condition of the Borrowers or any Subsidiary, or compliance with the terms of any Loan Document, as the Applicable Administrative Agent or any Lender may reasonably request. Documents required to be delivered pursuant to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Oxley Act of 2002), (i) shall have been posted or provided a link to on the Parent Borrower’s website on the Internet at http://www.civeo.com, (ii) shall be available on the website of the SEC at http://www.sec.gov or (iii) shall have been posted on the Parent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Parent Borrower with any such request for delivery, and each Lender shall be solely responsible for requesting delivery to it or maintaining its copies of such documents. The Parent Borrower hereby acknowledges that (a) the Agents will make available to the Lenders and the Issuing Banks materials and/or information provided by or on behalf of the Loan Parties hereunder (collectively, the “Borrower Materials”) by posting the Borrower Materials on SyndTrak or another similar electronic system (the “Platform”) and (b) certain of the Lenders may be “public-side” Lenders (i.e., Lenders that do not wish to receive material non-public information with respect to any Loan Party or its securities) (each, a “Public Lender”).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(provided, however, that to the extent such Borrower Materials constitute Information, they shall be treated as set forth in Section 9.16). SECTION 5.05 Litigation and Other Notices. Upon obtaining knowledge thereof, furnish to the Administrative Agents prompt written notice of the following: (a) any Event of Default or Default, specifying the nature and extent thereof and the corrective action (if any) taken or proposed to be taken with respect thereto; (b) the filing or commencement of any action, suit or proceeding, whether at law or in equity or by or before any Governmental Authority, against a Borrower or any Subsidiary thereof that could reasonably be expected to result in a Material Adverse Effect; (c) the occurrence of any ERISA Event or analogous event with respect to a Canadian Pension Plan, Defined Benefit Plan or Canadian Benefit Plan that, alone or together with any other such events that have occurred, could reasonably be expected to result in a Material Adverse Effect; (d) a copy of any form of written notice, summons, material correspondence or citation received from any Governmental Authority or any other person, (i) concerning material violations or alleged violations of Environmental Laws, which seeks or threatens to impose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liability on the Parent Borrower or its Subsidiaries therefor, (ii) alleging liability for any material action or omission on the part of the Parent Borrower or any of its Subsidiaries in connection with any Release of Hazardous Material, (iii) providing any written notice of potential responsibility or liability under any Environmental Law, or (iv) concerning the filing of a Lien other than a Lien permitted by Section 6.02 upon, against or in connection with the Parent Borrower or any of its Subsidiaries, or any of their leased or owned material property, wherever located, in each of cases (i) through (iv) that, individually or in the aggregate, could reasonably be expected to result in a liability (to the extent not covered by insurance) of the Parent Borrower or any of its Subsidiaries in an aggregate amount exceeding $25,000,000; or (e) any development that has resulted in, or could reasonably be expected to result in, a Material Adverse Effect. SECTION 5.06 Information Regarding Collateral. Furnish to the Administrative Agent prompt (and in any event within 30 days after the occurrence thereof) written notice (a) of any change in the legal name, corporate structure, jurisdiction of organization or formation or organizational identification number of a Loan Party; and (b) if any material portion of the Collateral is expropriated, damaged or destroyed. SECTION 5.07 Maintaining Records; Access to Properties and Inspections. Keep proper books of record and account in which full, true and correct entries in conformity with GAAP or other applicable accounting principles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Parent Borrower and at such reasonable times during normal business hours and as often as may be reasonably desired, upon reasonable advance notice to the applicable Loan Party or Subsidiary; provided that the Loan Parties shall be responsible for such expenses not more than one (1) time per year unless an Event of Default has occurred and is continuing, in which case the Loan Parties shall be responsible for all such expenses. SECTION 5.08 Use of Proceeds. Use the proceeds of the Loans and request the issuance of Letters of Credit only for the purposes set forth in Section 3.13. SECTION 5.09 Further Assurances. At its sole cost and expense, (a) execute any and all further documents, financing statements, agreements and 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Cause any subsequently acquired or organized Domestic Subsidiary that is a Material Subsidiary (other than a Domestic Subsidiary that is (i) a Subsidiary of a U.S. Owned Subsidiary or (ii) a FSHCO) or any Domestic Subsidiary that was not a Material Subsidiary that subsequently becomes a Material Subsidiary (other than a Domestic Subsidiary that is (i) a Subsidiary of a U.S. Owned Subsidiary or (ii) a FSHCO), to execute a supplement making it a party to the U.S. Guarantee Agreement and each applicable U.S. Security Document in favor of the Collateral Agent, in each case within thirty (30) days (or such longer period as may be agreed to by the Administrative Agent) after such acquisition, organization or change in status. (c) 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 (d) Cause any subsequently acquired or organized Australian Subsidiary that is a Material Subsidiary or any Australian Subsidiary that was not a Material Subsidiary that subsequently becomes a Material Subsidiary to execute a supplement to the Australian Guarantee Agreement and a new Australian Security Document, in each case within thirty (30) days (or such longer period as may be agreed to by the Administrative Agent) after such acquisition, organization or change in status. (e) 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the U.S. Borrower and each Domestic Subsidiary (other than any Domestic Subsidiary that is a subsidiary of a U.S. Owned Subsidiary) shall pledge substantially all of its material personal property located in the United States (provided that 100% of the Equity Interests of Material Subsidiaries that are Domestic Subsidiaries (other than a Domestic Subsidiary that is (i) a subsidiary of a U.S. Owned Subsidiary or (ii) a FSHCO) and 65% (and no more than 65%) of the total outstanding voting Equity Interests and 100% of the total outstanding nonvoting Equity Interests (if any) of each Material Subsidiary that is (i) a Foreign Subsidiary whose Equity Interests are directly owned by the U.S. Borrower or any Domestic Subsidiary (other than any Domestic Subsidiary that is a subsidiary of a U.S. Owned Subsidiary) or (ii) a FSHCO shall be pledged in support of the Obligations).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any property or assets the granting of a Lien on which would result in material adverse tax consequences to the Parent Borrower or any Subsidiary. (f) If, after the Closing Date, without duplication, the Parent Borrower acquires or forms a Subsidiary or any Subsidiary that was not a Material Subsidiary subsequently becomes a Material Subsidiary, such Subsidiary shall provide a guarantee and security with respect to the Obligations of all the Borrowers in form and substance reasonably satisfactory to the Collateral Agents, in each case within thirty (30) days (or such longer period as may be agreed to by the Administrative Agent) after such acquisition or formation (provided, the limitations laid out in connection with the guarantee and security with respect to the Obligations of the U.S. Borrower in the foregoing paragraphs shall apply mutatis mutandis with respect to any relevant Subsidiary acquired or formed by the Parent Borrower after the Closing Date that is not specifically addressed in such foregoing paragraphs). (g) If, after the Closing Date, any of the Australian Borrower, the Canadian Subsidiary Guarantors, the Australian Subsidiary Guarantors or any other U.S. Owned Subsidiary, as applicable, ceases to be a “controlled foreign corporation” within the meaning of Section 957 of the Code which is owned by (i) the U.S. Borrower or (ii) a Subsidiary of the Parent Borrower that is a U.S. Person, or a Domestic Subsidiary that was previously a FSHCO ceases to be a FSHCO owned by a U.S. Owned Subsidiary (provided, in the case of a Domestic Subsidiary that was both a FSHCO and owned by a U.S. Owned Subsidiary, such Domestic Subsidiary both ceases to be a FSHCO and ceases to be owned by a U.S. Owned Subsidiary), such person shall provide a guarantee and security with respect to the Obligations in form and substance reasonably satisfactory to the Collateral Agents, in each case within thirty (30) days (or such longer period as may be agreed to by the Administrative Agent) after such cessation. (h) Notwithstanding anything to the contrary contained herein, this Section 5.09 shall not apply to limit or diminish any guarantee or security provided as of the Closing Date by a Subsidiary with respect to the Obligations (including as a result of a change in the ownership of such Subsidiary pursuant to a reorganization subsequent to the Closing Date or otherwise) without the consent of the Administrative Agent (not to be unreasonably withheld or delayed). SECTION 5.10 Post-Closing Obligations[Reserved]. [The Parent Borrower hereby agrees to deliver, or cause to be delivered, to the Administrative Agent, in form and substance reasonably satisfactory to the Administrative Agent, within thirty (30) days of the Closing Date (or such longer time as the Administrative Agent may agree in its sole discretion):]2 . 2 NTD: Post-Closing Obligations, if any, are TBD.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ARTICLE VI NEGATIVE COVENANTS 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 SECTION 6.01 Indebtedness. On or after the Closing Date, incur, create, assume or permit to exist any Indebtedness, except: (a) Indebtedness set forth in Schedule 6.01, and any Permitted Refinancing Indebtedness thereof; (b) the Obligations, including the Indebtedness created hereunder and under the other Loan Documents; (c) intercompany Indebtedness of the Borrowers and the Subsidiaries to the extent permitted by Sections 6.04(a), (f), (g), (k) and (l); (d) Indebtedness under bid bonds, labor and materials payment bonds, performance bonds and similar bonds or standby letters of credit or bank guarantees or with respect to workers’ compensation claims, in each case incurred in the ordinary course of business; (e) Indebtedness issued pursuant to a Qualified Offering and any Permitted Refinancing Indebtedness thereof; (f) Indebtedness of the Australian Borrower and guaranties thereunder by any Subsidiary created under the Bilateral Agreement; (g) secured Indebtedness of a Borrower or any Subsidiary and guarantees thereof by any Subsidiary not otherwise permitted under this Section 6.01; provided that (i) the Liens securing such Indebtedness are permitted under Section 6.02(j) and (ii) the aggregate principal amount of such Indebtedness does not exceed $20,000,000 at any time outstanding; (h) Indebtedness of a Borrower or any Subsidiary and guaranties thereunder by any Subsidiary in an aggregate principal amount not to exceed $25,000,000 at any time outstanding; and (i) Indebtedness in connection with banking services and Hedging Agreements, in each case, permitted hereunder. SECTION 6.02 Liens. On or after the Closing Date, create, incur, assume or permit to exist any Lien on any property or assets (including stock or other securities of any person,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including any Subsidiary) now owned or hereafter acquired by it or on any income or revenues or rights in respect of any thereof, except: (a) Liens existing on the Closing Date and set forth in Schedule 6.02; provided that such Liens shall secure only those obligations which they secure on the date hereof and extensions, renewals and replacements thereof permitted hereunder; (b) any Lien created under the Loan Documents; (c) Liens for taxes not yet due or which are being contested in compliance with Section 5.03; (d) carriers’, warehousemen’s, mechanics’, materialmen’s, repairmen’s or other like Liens arising in the ordinary course of business and securing obligations that are not due and payable or which are being contested in compliance with Section 5.03; (e) Liens (other than any Lien imposed by ERISA), pledges and deposits made in the ordinary course of business in compliance with workmen’s compensation, unemployment insurance and other social security laws or regulations; (f) deposits to secure the performance of bids, trade contracts (other than for Indebtedness), leases (including Capital Lease Obligations), statutory obligations, surety and appeal bonds, performance bonds and other obligations of a like nature incurred in the ordinary course of business; (g) 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 (h) Liens arising out of judgments or awards in respect of which a Borrower or any of the Subsidiaries shall in good faith be prosecuting an appeal or proceedings for review in respect of which there shall be secured a subsisting stay of execution pending such appeal or proceedings; provided that the aggregate amount of all such judgments or awards (and any cash and the fair market value of any property subject to such Liens) does not exceed U.S.$10,000,000 at any time outstanding; (i) Liens securing Indebtedness permitted under Section 6.01(e) and any Permitted Refinancing Indebtedness thereof; provided that such Liens are subject to a Customary Junior Lien Intercreditor Agreement; (j) purchase money security interests in real property, improvements thereto or personal property owned or acquired (or, in the case of improvements, constructed) by the Borrowers or any Subsidiary; provided that, with respect to such security interests in any of the foregoing types of property acquired after the Closing Date, (i) such security interests secure Indebtedness permitted by Section 6.01, (ii) such security interests are incurred, and the Indebtedness secured thereby is created, within 90 days after such acquisition (or construction),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the Indebtedness secured thereby does not exceed 90% of the lesser of the cost or the fair market value of such real property, improvements or personal property at the time of such acquisition (or construction) and (iv) such security interests do not apply to any other property or assets of the Borrowers or any Subsidiary; (k) Liens on Equity Interests in a Special Purpose Business Entity incurred for the purpose of providing independent financing for such Special Purpose Business Entity; provided, however, that such Liens are non-recourse as to the Parent Borrower or any of its Subsidiaries holding any Equity Interests in such Special Purpose Business Entity; (l) Liens securing Indebtedness and not otherwise permitted under this Section 6.02; provided that the aggregate principal amount of all Indebtedness secured by such Liens does not exceed $20,000,000 at any time outstanding; provided further that no Lien on any Collateral of any Borrower or any of their Subsidiaries shall be permitted by this Section 6.02(l); (m) with respect to the Australian Borrower or any Australian Subsidiary, Liens arising in connection with a deemed security interest under Section 12(3) of the PPSA (Australia) which do not secure payment or performance of any obligation; (n) 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 (o) 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leasing cost or selling price (and other amounts incidental to those amounts) of such goods and products; (p) with respect to the Australian Borrower or any Australian Subsidiary, any netting or set-off arrangement entered into by any such entity in the ordinary course of its banking arrangements for the purposes of netting debit and credit balances; and (q) with respect to the Australian Borrower or any Australian Subsidiary, any payment or close out netting or set-off arrangement pursuant to any derivative or foreign exchange transaction entered into by any such entity, but excluding any Liens under a credit support arrangement. SECTION 6.03 Sale and Lease-Back Transactions. Enter into any arrangement, directly or indirectly, with any person 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6.04 Investments, Loans and Advances. Purchase, hold or acquire any Equity Interests, evidences of indebtedness or other securities of, make or permit to exist any loans or advances to, or make or permit to exist any investment or any other interest in, any other person (referred to herein as an “Investment”), except: (a) Investments set forth on Schedule 6.04; (b) Permitted Investments; (c) accounts receivable owing to the Borrowers or any of the Subsidiaries arising from sales of inventory or the provision of services in the ordinary course of business; (d) advances to directors, officers and employees of the Borrowers or any of the Subsidiaries to meet expenses incurred by such directors, officers and employees in the ordinary course of business, in an aggregate amount not to exceed U.S.$5,000,000 at any time outstanding; (e) securities of any customer of a Borrower or any Subsidiary received in lieu of cash payment, if such Borrower reasonably deems such customer to be in a reorganization or unable to make a timely cash payment on Indebtedness of such customer owing to it, provided that such Borrower or such Subsidiary, as the case may be, has paid no new consideration (other than forgiveness of Indebtedness) therefor; (f) Investments of a Loan Party in or to another Loan Party; (g) Investments of a Loan Party or Subsidiary in or to a Special Purpose Business Entity; provided that at the time of such transaction: (i) both before and after giving effect thereto, no Event of Default or Default shall have occurred and be continuing; (ii) the Parent Borrower would be in compliance on a pro forma basis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(including any Asset Sale and any other transaction described in Section 6.04(i) or Section 6.04(m) occurring during or after such period) as if such transaction had occurred as of the first day of such period; and (iii) after giving effect to such acquisition, there must be at least U.S.$25,000,000 of the Revolving Commitments unused and available; (h) the Borrowers may enter into Hedging Agreements to the extent permitted by Section 6.12;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the Parent Borrower and its Subsidiaries may acquire all or substantially all the assets of a person or line of business of such person, or Equity Interests of a person that would become a wholly owned Subsidiary; provided that at the time of such transaction: (i) both before and after giving effect thereto, no Event of Default or Default shall have occurred and be continuing; (ii) the Parent Borrower would be in compliance on a pro forma basis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or Section 6.04(m) occurring during or after such period) as if such transaction had occurred as of the first day of such period; and (iii) after giving effect to such acquisition, there must be at least U.S.$25,000,000 of the Revolving Commitments unused and available; provided, however that all pro forma calculations required to be made pursuant to this Section 6.04(i) shall (A) other than 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 (j) Investments consisting of non-cash proceeds of Asset Sales; (k) Investments by the Parent Borrower or an existing Subsidiary in or to the Parent Borrower or an existing Subsidiary (but excluding, for the avoidance of doubt, Investments in any Person that will become a Subsidiary upon the making of such Investment); (l) other Investments, without duplication, in an aggregate amount (valued at cost or outstanding principal amount, as the case may be) not greater than 7.5% of the Parent Borrower’s Consolidated Net Worth calculated on the date of such Investment as of the most recent fiscal quarter for which financial statements are available; (m) the Parent Borrower and its Subsidiaries may acquire Equity Interests of a person that would become a non-wholly owned Subsidiary (in each case referred to herein as the “Non-Wholly Owned Entity”); provided that: (i) both before and after giving effect thereto, no Event of Default or Default shall have occurred and be continuing; (ii) the Parent Borrower would (A) be in compliance with the covenants set forth in Section 6.10 and (B) after giving effect to such acquisition, have a Total Net Leverage Ratio less than or equal to the Total Net Leverage Ratio immediately prior to such acquisition, in each case as of the most recently completed period of four consecutive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Section 6.04(i) or this Section 6.04(m) occurring during or after such period) as if such transaction had occurred as of the first day of such period; (iii) after giving effect to such acquisition, there must be at least U.S.$25,000,000 of the Revolving Commitments unused and available; (iv) after giving effect to such acquisition, the Parent Borrower shall continue to own, directly or indirectly, beneficially and of record, a majority of the issued and outstanding Equity Interests of such Non-Wholly Owned Entity unless otherwise disposed of in accordance with Section 6.05; (v) upon the consummation of such acquisition, the Non-Wholly Owned Entity and any Borrower and/or Subsidiary that holds any Equity Interests in such Non-Wholly Owned Entity shall have each complied with the requirements of Section 5.09 regardless of whether such Non-Wholly Owned Entity is a Material Subsidiary; and (vi) the aggregate amount of the consideration for all such acquisitions made pursuant to this Section 6.04(m) after the Closing Date shall not exceed 10% of the Parent Borrower’s Consolidated Net Worth calculated on the date of such acquisition as of the most recent fiscal quarter for which financial statements are available; provided, however that all pro forma calculations required to be made pursuant to this Section 6.04(m) shall (A) other than 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 and (n) Investments in connection with banking services and Hedging Agreements, in each case, permitted hereunder. SECTION 6.05 Mergers, Consolidations, Sales of Assets and Acquisitions. (a) Merge, amalgamate or consolidate with or into any other person, or 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Parent Borrower may merge, amalgamate or consolidate with any person provided that (i) no Change in Control occurs, (ii) immediately after giving effect to any such proposed transaction no Default or Event of Default would exist, and (iii) the Parent Borrower is the surviving entity, (b) the Parent Borrower may merge or amalgamate with any of its wholly owned Subsidiaries, provided that immediately after giving effect to any such proposed transaction no Default would exist and the Parent Borrower 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provided that (i) other than with respect to any merger among the Parent Borrower and one or more wholly owned Subsidiaries and/or among wholly owned Subsidiaries of the Parent Borrower, the requirements of Section 6.04(i) are met with respect to such merger described in this clause (c) and (ii) if any such merger described in this clause (c) shall involve a Loan Party, the surviving entity of such merger shall be or become a Loan Party and (d) any Subsidiary of the Parent Borrower may liquidate or dissolve if the Parent Borrower determines in good faith that such liquidation or dissolution is in the best interests of the Parent Borrower and is not materially disadvantageous to the Lenders. (b) 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 SECTION 6.06 Restricted Payments; Restrictive Agreements. (a) Declare or make, or agree to declare or make, directly or indirectly, any Restricted Payment (including pursuant to any Synthetic Purchase Agreement), or incur any obligation (contingent or otherwise) to do so; provided, however, that (i) any Subsidiary may declare and pay dividends or make other distributions ratably to its equity holders of a given class, (ii) so long as no Event of Default or Default shall have occurred and be continuing or would result therefrom, the Parent Borrower may repurchase its Equity Interests owned by employees of the Parent Borrower or the Subsidiaries or make payments to employees of the Parent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 and (iii) so long as (A) no Event of Default or Default shall have occurred and be continuing or result therefrom, (B) at least U.S.$40,000,000 of the Revolving Commitments is unused and available after giving effect to such Restricted Payment, of which at least $30,000,000 must be comprised of the Canadian Revolving Commitments and the U.S. Revolving Commitments unused and available, in the aggregate) and (C) the Parent Borrower would have a Total Net Leverage Ratio less than 2.50:1.00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as if such transaction had occurred as of the first day of such period, the Parent Borrower may make Restricted Payments in any amount. (b) Enter into, incur or permit to exist any agreement or other arrangement that prohibits, restricts or imposes any condition upon (i) the ability of the Parent Borrower or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Parent Borrower or any other Subsidiary or to Guarantee Indebtedness of the Parent Borrower or any other Subsidiary; provided that (A) the foregoing shall not apply to restrictions and conditions imposed by law or by any Loan Document, (B) the foregoing shall not apply to customary restrictions and conditions contained in agreements relating to the sale of a Subsidiary pending such sale, provided such restrictions and conditions apply only to the Subsidiary that is to be sold and such sale is permitted hereunder, (C) the foregoing shall not apply to restrictions and conditions imposed on any Foreign Subsidiary (other than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the foregoing shall not apply to restrictions and conditions imposed pursuant to the Facility Letter or other agreements for Banking Services permitted hereunder. SECTION 6.07 Transactions with Affiliates. Except for transactions by or among Loan Parties and transactions expressly permitted under this 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 SECTION 6.08 Business of Borrowers and Subsidiaries. Engage at any time in any business or business activity other than providing products and services to the energy industry, accommodations and business activities reasonably incidental thereto. SECTION 6.09 Other Indebtedness and Agreements. (a) Permit any waiver, supplement, modification, amendment, termination or release of any 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 (b) 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Parent Borrower could make a Restricted Payment pursuant to Section 6.06(a), (ii) any Loan Party shall be entitled to pay any and all amounts owing to another Loan Party pursuant to any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providing for intercompany indebtedness or (iii) to the extent any such Indebtedness is repaid with the proceeds of Permitted Refinancing Indebtedness permitted under Section 6.01. SECTION 6.10 Interest Coverage Ratio. Commencing with the four fiscal quarter period ending September 30, 2021, permit, as of the last day of any fiscal quarter, the Interest Coverage Ratio for any period of four consecutive fiscal quarters of the Parent Borrower, in each case taken as one accounting period, to be less than 3.0 to 1.0. SECTION 6.11 Leverage Ratios. (a) Maximum Total Net Leverage Ratio. Commencing with the four fiscal quarter period ending September 30, 2021, permit, as of the last day of any fiscal quarter, the Total Net Leverage Ratio for any period of four consecutive fiscal quarters of the Parent Borrower, in each case taken as one accounting period, to be greater than (A) if a Qualified Offering has been consummated, 3.50:1.00 and (B) if a Qualified Offering has not been consummated: Fiscal Quarter Ending Maximum Total Net Leverage Ratio September 30, 2021 3.50:1.00 December 31, 2021 and March 31, 2022 3.25:1.00 June 30, 2022 and thereafter 3.00:1.00 (b) Maximum Senior Secured Net Leverage Ratio. Commencing with the first fiscal quarter ending immediately after the issuance of a Qualified Offering, permit, as of the last day of any fiscal quarter, the Senior Secured Net Leverage Ratio for any period of four consecutive fiscal quarters of the Parent Borrower, in each case taken as one accounting period, to be greater than 2.00:1.00. SECTION 6.12 Hedging Agreements. Enter into any Hedging Agreement, other than Hedging Agreements entered into in the ordinary course of business to hedge or mitigate risks to which a Borrower or any Subsidiary is exposed in the conduct of its business or the management of its liabilities. SECTION 6.13 Pension Plans. (a) Terminate, in whole or in part, or initiate the termination of, in whole or in part, any Canadian Pension Plan so as to result in any liability to the Parent Borrower or its applicable Canadian Subsidiaries which could reasonably be expected to have a Material Adverse Effect; (b) permit to exist any event or condition in respect of any Canadian Pension Plan or Defined Benefit Plan which presents the risk of liability of the Parent Borrower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Parent Borrower or any of its Canadian Subsidiaries and which could reasonably be expected to have a Material Adverse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 permit their unfunded obligations and liabilities under Canadian Pension Plans or Defined Benefit Plans to remain unfunded, other than in accordance with applicable law; (e) engage in any transactions which result in a fine or penalty against the Parent Borrower in excess of C$10,000,000 in respect of any Canadian Pension Plan, Defined Benefit Plan or Canadian Benefit Plan which fine or penalty has not been paid within 30 days of final assessment unless (i) such fine or penalty is being contested in good faith by appropriate proceedings, (ii) the Parent Borrower has set aside on its books adequate reserves with respect thereto in accordance with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Parent Borrower or any of its Subsidiaries within 30 days after the date such payment becomes due, unless such payment is being contested in compliance with the preceding clause (e) and there is no risk of forfeiture, loss or subordination of the Secured Parties’ Liens on such assets. SECTION 6.14 Amendment of the Organizational Documents. Amend the limited partnership agreement of any Subsidiary that is a limited partnership or otherwise take steps to expressly provide that the units of such limited partnership are securities for the purposes of this Securities Transfer Act (Alberta) without 30 days prior written notice to the Canadian Collateral Agent. SECTION 6.15 Sanction Laws and Regulations. (a) Use the proceeds of the facilities under the Loan Documents, or lend, contribute or otherwise make 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 (b) 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 SECTION 6.16 Anti-Corruption Laws. Violate the laws or regulations described in Section 3.23 in such a manner as to result in a Material Adverse Effect. SECTION 6.17 Cross-Guarantee. No Loan Party shall enter into a deed of cross- guarantee for the purposes of ASIC Class Order CO 98/1418 other than with Civeo Holdings Company 1 Pty Limited and its subsidiaries. ARTICLE VII EVENTS OF DEFAULT SECTION 7.01 Events of Default. In case of the happening of any of the following events (“Events of Default”):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 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provided that to the extent that any representation or warranty is qualified as to “Material Adverse Effect” or otherwise as to “materiality”, such representation and warranty shall prove to be incorrect in any respect when made or deemed to be made; (b) 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 (c) 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 (d) default shall be made in the due observance or performance by a Borrower or any Subsidiary of any covenant, condition or agreement contained in Section 5.01(a), 5.05(a), 5.08 or in Article VI; (e) 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Parent Borrower or (ii) any Responsible Officer of the Parent Borrower obtains actual knowledge thereof; (f) (i)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(ii) shall not apply to secured Indebtedness that becomes due as a result of the voluntary sale or transfer of the property or assets securing such Indebtedness; (g) 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Subsidiary; and such proceeding or petition shall continue undismissed for 60 days or an order or decree approving or ordering any of the foregoing shall be entered; (h) 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 (E) 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 (i) 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 (j) an ERISA Event shall have occurred that, in the opinion of the Required Lenders, when taken together with all other such ERISA Events, could reasonably be expected to result in liability of a Borrower and its ERISA Affiliates in an aggregate amount exceeding U.S.$25,000,000; (k) 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 (l) 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 a Change in Control shall have occurred. SECTION 7.02 Optional Acceleration of Maturity. If any Event of Default (other than an Event of Default pursuant to Section 7.01(g) or (h)) shall have occurred and be continuing, then, and in any such event: (a) the Administrative Agent (i) shall at the request, or may, with the consent, of the Required Revolving Lenders, by notice to the Parent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Parent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 (b) the Borrowers shall, on demand of any Administrative Agent at the request or with the consent of the Required Revolving Lenders, Cash Collateralize the Letters of Credit in accordance with Section 2.21(k); and (c) 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 SECTION 7.03 Automatic Acceleration of Maturity. If any Event of Default pursuant to Section 7.01(g) or (h) shall occur: (a) (i)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 (b) the Borrowers shall Cash Collateralize the Letters of Credit in accordance with Section 2.21(k); and (c) the Collateral Agents shall at the request of, or may with the consent of, the Required Lenders proceed to enforce its rights and remedies under the Security Documents, this Agreement, and any other Loan Document for the ratable benefit of the Lenders by appropriate proceedings.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7.04 Non-exclusivity of Remedies. No remedy conferred upon the Agents, the Issuing Banks and the Lenders is intended to be exclusive of any other remedy, and each remedy shall be cumulative of all other remedies existing by contract, at law, in equity, by statute or otherwise. SECTION 7.05 Application of Proceeds. From and during the continuance of any Event of Default, any monies or property actually received by an Agent pursuant to this Agreement or any other Loan Document, the exercise of any rights or remedies under any Security Document or any other agreement with any Loan Party which secures any of the Obligations, shall be applied by the Applicable Administrative Agent or Applicable Collateral Agent in the following order: (a) first, to payment of that portion of the Obligations constituting fees, indemnities, expenses and other amounts (including fees, charges and disbursements of counsel to the Agents) payable to the Agents in their capacities as such; (b) second, to payment of that portion of the Obligations constituting fees, indemnities and other amounts (other than principal, interest and Issuing Bank Fees) payable to the Lenders, the Issuing Banks and the Bilateral Lender (including fees, charges and disbursements of counsel to the respective Lenders, the Issuing Banks and the Bilateral Lender arising under the Loan Documents and the Bilateral Agreement), ratably among them in proportion to the respective amounts described in this clause Second payable to them; (c) third, to payment of that portion of the Obligations constituting accrued and unpaid Letter of Credit Fees and interest on the Loans, L/C Exposure and other Obligations arising under the Loan Documents and the Bilateral Agreement, ratably among the Lenders, the Issuing Banks and the Bilateral Agreement in proportion to the respective amounts described in this clause Third payable to them; (d) fourth, to the Applicable Administrative Agent for the account of the Issuing Banks, to Cash Collateralize that portion of L/C Exposure comprised of the aggregate undrawn amount of Letters of Credit to the extent not otherwise Cash Collateralized by the Borrower pursuant to Section 7.032.21(bk); (e) fifth, to payment of that portion of the Obligations constituting unpaid principal of the Loans, L/C Exposure, Obligations then owing under Hedging Agreements entered into with a counterparty that was a Lender (or an affiliate of a Lender) at the time such Hedging Agreement (other than Excluded Swap Obligations), Banking Services Obligations and any other Obligations, ratably among the Lenders, the Issuing Banks and the Bilateral Lender and, to the extent applicable, their Affiliates in proportion to the respective amounts described in this clause Fifth payable by them; and (f) last, the balance, if any, after (i) the termination of all Commitments, (ii) the cancellation or expiration of each Letter of Credit (except to the extent cash collateralized or backstopped, in each case, in a manner agreed to by the Borrower and the applicable Issuing Bank or as to which other arrangements satisfactory to the applicable Issuing Bank shall have been made) and (iii) the payment in full in cash of all Loans and other amounts owing to any Lender, any Agent, the Lead Arranger or the Bilateral Lender in respect of the Obligations (other than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contingent or indemnification obligations not then due), including obligations in respect of Hedging Agreements and Banking Services Obligations, as the case may be, shall have been made to the Borrower or as may be directed by any court of competent jurisdiction.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Obligations arising under Hedging Agreements and Banking Services Obligations shall be excluded from the application described above if the Applicable Administrative Agent has not received written notice thereof, together with such supporting documentation as such Administrative Agent may request, from the applicable Lender or its Affiliate, as the case may be. ARTICLE VIII THE ADMINISTRATIVE AGENTS, THE COLLATERAL AGENTS, THE ISSUING BANKS AND THE SWING LINE LENDERS SECTION 8.01 Appointment and Authority. Each of the Lenders, the Swing Line Lenders and the Issuing Banks hereby irrevocably appoints RBC 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 SECTION 8.02 Rights as a Lender. The person serving as an Agent or an Issuing Bank or a Swing Line Lender hereunder shall have the same rights 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Subsidiary or other Affiliate thereof as if such person were not an Agent, an Issuing Bank or a Swing Line Lender hereunder and without any duty to account therefor to the Lenders. SECTION 8.03 Exculpatory Provisions. None of the Agents, Issuing Banks or the Swing Line Lenders shall have any duties or obligations except those expressly set forth herein and in the other Loan Documents. Without limiting the generality of the foregoing, none of the Agents or the Issuing Banks: (a) shall be subject to any fiduciary or other implied duties, regardless of whether a Default has occurred and is continuing; (b) 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provided that such Agent, Issuing Bank or Swing Line Lender shall not be required to take any action that, in its opinion or the opinion of its counsel, may expose such Agent, Issuing Bank or Swing Line Lender to liability or that is contrary to any Loan Document or legal requirement; and (c) shall, except as expressly set forth herein and in the other Loan Documents, have any duty to disclose, and shall not be liable for the failure to disclose, any information relating to the Parent Borrower or any of its Affiliates or Subsidiaries that is communicated to or obtained by the person serving as Agent, Issuing Bank, Swing Line Lender or any of their respective Affiliates in any capacity. 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 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8.04 Reliance by the Agents, the Issuing Banks and the Swing Line Lenders. Each of the Agents, Issuing Banks and the Swing Line 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 SECTION 8.05 Delegation of Duties. Each of the Agents may perform any and all of its duties and exercise its rights and powers hereunder or under 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 SECTION 8.06 Resignation of an Agent or a Swing Line Lender. (a) An Agent may resign at any time by giving prior written notice thereof to the Lenders and the Parent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Parent Borrower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 (b) 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 (c) The U.S. Swing Line Lender may resign at any time by giving prior written notice thereof to the Administrative Agent and the U.S. Borrower,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Borrowers shall have the right to appoint a successor U.S. Swing Line Lender. The Canadian Swing Line Lender may resign at any time by giving prior written notice thereof to the Canadian Administrative Agent and the Parent Borrower, such resignation to be effective upon the appointment of a successor Canadian Swing Line Lender or, if no successor Canadian Swing Line Lender has been appointed, forty-five (45) days after the retiring Canadian Swing Line Lender gives notice of its intention to resign.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Upon any such resignation, the Parent Borrower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 SECTION 8.07 Non-Reliance on Agents and Other Lenders; Certain Acknowledgments. (a) 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 (b) Each Lender shall be deemed by delivering its signature page to this Agreement and making any Loan on the Closing Date to have consented to, approved or accepted each Loan Document and each other document or other matter referred to in Section 4.01, 4.02 or 4.03 required to be consented to or approved by or acceptable or satisfactory to the Agents, the Lead Arranger or the Lenders and to have been satisfied with the satisfaction of all other conditions precedent required to be satisfied under Section 4.01, 4.02 or 4.03. SECTION 8.08 Indemnification. The Lenders severally agree to indemnify upon demand the Agents, the Issuing Banks, the Swing Line Lenders and 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provided, however, that no Lender shall be liable for (a) the payment to any Indemnitee for any portion of such Indemnified Liabilities to the extent determined in a final, non- appealable judgment by a court of competent jurisdiction to have resulted from such Indemnitee’s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own gross negligence or willful misconduct and (b) claims made or legal proceedings commenced against such Indemnitee by any security holder or creditor thereof arising out of and based on rights afforded any such security holder or creditor solely in its capacity as such; provided further, however,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 SECTION 8.09 Collateral and Guaranty Matters. (a) 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 (b) 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 (i) 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 (ii) to take any actions with respect to any Collateral or Security Documents which may be necessary to perfect and maintain a first priority security interest in and Liens upon the Collateral granted pursuant to the Security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to take any action in exigent circumstances as may be reasonably necessary to preserve any rights or privileges of the Secured Parties under the Loan Documents or applicable law; and (iv) to subordinate any Lien on any property granted to or held by the Collateral Agent under any Loan Document to the holder of any Lien on such property that is permitted by Section 6.02(j). (c) Upon the request of the Collateral Agent at any time, the Secured Parties will confirm in writing the Collateral Agent’s authority to release particular types or items of Collateral pursuant to this Section 8.09. (d) 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 (e) 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Parent Borrower or selected by an Agent in good faith. (f) Anything contained in any of the Loan Documents to the contrary notwithstanding, the Borrowers, the Agents and each Secured Party hereby agree that (i) no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Secured Party shall have any right individually to realize upon any of the Collateral or to enforce any of the Guarantees in the Guarantee Agreements or any other Security Document,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 and (ii) 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Agents (or any Lender, except with respect to a “credit bid” pursuant to Section 363(k), Section 1129(b)(2)(a)(ii) or otherwise of the Bankruptcy Code,) may be the purchaser or licensor of any or all of such Collateral at any such sale or other disposition and the Collateral Agents,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Agents at such sale or other disposition. SECTION 8.10 No Other Duties, etc.. Anything herein to the contrary notwithstanding, the Lead Arranger and the Sole Bookrunner listed on the cover page hereof shall not have any powers, duties or responsibilities under this Agreement or any of the other Loan Documents, except in its capacity, as applicable, as an Agent, a Lender or an Issuing Bank. SECTION 8.11 Agents May File Proofs of Claim. In case of the pendency of any proceeding under any Insolvency Law or any other judicial 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 (a) to file and prove a claim for the whole amount of the principal and interest owing and unpaid in respect of the Loans, L/C Disbursements and all other Obligations (other than obligations of the Parent Borrower or its Subsidiaries owing to any Lender or Affiliate thereof pursuant to any Hedging Agreement, any Banking Services Obligations or the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 (b) to collect and receive any monies or other property payable or deliverable on any such claims and to distribute the same. 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expenses, disbursements and advances of such Agent, and any other amounts due such Agent under Sections 2.05 and 9.08. 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 SECTION 8.12 Certain ERISA Matters. (a) Each Lender (x) represents and warrants, as of the date such Person became a Lender party hereto, to, and (y) covenants, from the date such Person became a Lender party hereto to the date such Person ceases being a Lender party hereto, for the benefit of, the Applicable Administrative Agent, the Lead Arranger and their respective Affiliates, and not, for the avoidance of doubt, to or for the benefit of the Applicable Borrower or any other Loan Party, that at least one of the following is and will be true: (i) such Lender is not using “plan assets” (within the meaning of the Plan Asset Regulations) of one or more Benefit Plans in connection with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96- 23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Applicable Administrative Agent, in its sole discretion, and such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In addition, unless Section 8.12(a)(i) is true with respect to a Lender or such Lender has not provided another representation, warranty and covenant as provided in Section 8.12(a)(iv), such Lender further (x) represents and warrants, as of the date such Person became a Lender party hereto, to, and (y) covenants, from the date such Person became a Lender party hereto to the date such Person ceases being a Lender party hereto, for the benefit of, the Applicable Administrative Agent, and each Arranger and their respective Affiliates, and not, for the avoidance of doubt, to or for the benefit of the Applicable Borrower or any other Loan Party, that none of the Applicable Administrative Agent, or any Arranger or any of their respective Affiliates is a fiduciary with respect to the Collateral or the assets of such Lender (including in connection with the reservation or exercise of any rights by the Applicable Administrative Agent under this Agreement, any Loan Document or any documents related to hereto or thereto). (c) The Applicable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SECTION 8.13 Erroneous Payments. (a) If the Administrative Agent notifies a Lender, Issuing Bank or Secured Party, or any Person who has received funds on behalf of a Lender, Issuing Bank or Secured Party (any such Lender, Issuing Bank, Secured Party or other recipient, a “Payment Recipient”) that the Administrative Agent has determined in its sole reasonable discretion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in same day funds (in the currency so received), the amount of any such Erroneous Payment (or portion thereof),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 in accordance with prevailing banking industry rules on interbank compensation from time to time in effect, or (ii) in respect of the Canadian Revolving Credit Facility only, at a rate determined by the Canadian Administrative Agent in accordance with prevailing banking industry rules on interbank compensation from time to time in effect.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A notice of the Administrative Agent to any Payment Recipient under this clause (a) shall be conclusive, absent manifest error. (b) Without limiting immediately preceding clause (a), each Payment Recipient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(the “Payment Notice”), or (y) that was not preceded or accompanied by a Payment Notice sent by the Administrative Agent (or any of its Affiliates), then, said Payment Recipient shall be on notice, in each case, that an error has been made with respect to such Erroneous Payment. Each Payment Recipient agrees that, in each such case, or if it otherwise becomes aware an Erroneous Payment (or portion thereof) may have been sent in error, such Payment Recipient shall promptly notify the Administrative Agent of such occurrence and, upon demand from the Administrative Agent, it shall promptly, but in no event later than one Business Day thereafter, return to the Administrative Agent the amount of any such Erroneous Payment (or portion thereof) in same day funds (in the currency so received),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Administrative Agent in accordance with prevailing banking industry rules on interbank compensation from time to time in effect, or (ii) in respect of the Canadian Revolving Credit Facility only, at a rate determined by the Canadian Administrative Agent in accordance with prevailing banking industry rules on interbank compensation from time to time in effect. (c) 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any of the immediately preceding clauses (a) or (b) or under the indemnification provisions of this Agreement. (d) In the event that an Erroneous Payment (or portion thereof) is not recovered by the Administrative Agent for any reason, after demand therefor by the Administrative Agent (such unrecovered amount, an “Erroneous Payment Return Deficiency”), the Borrowers and each other Loan Party hereby agrees that (x) the Administrative Agent shall be subrogated to all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rights of such Payment Recipient with respect to such amount (including, without limitation, the right to sell and assign the Loans (or any portion thereof), which were subject to the Erroneous Payment Return Deficiency)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 For the avoidance of doubt, no assignment of an Erroneous Payment Deficiency will reduce the Commitments of any Payment Recipient and such Commitments shall remain available in accordance with the terms of this Agreement. In addition, each party hereto agrees that, except to the extent that the Administrative Agent has sold a Loan (or portion thereof) acquired pursuant to the assignment of an Erroneous Payment Deficiency, and irrespective of whether the Administrative Agent may be equitably subrogated, the Administrative Agent shall be contractually subrogated to all the rights and interests of the applicable Payment Recipient under the Loan Documents with respect to each Erroneous Payment Return Deficiency. (e) Each party’s obligations, agreements and waivers under this Section 8.13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 (f)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(g) For purposes of this Section 8.13, each Lender: (i) agrees it is executing and delivering this Agreement with respect to this Section 8.13 both on its own behalf and as agent for and on behalf of its Affiliates referred to in this Section 8.13 and any person receiving funds under or pursuant to any of the Loan Documents on behalf of such Lender or any of such Affiliates; (ii) represents, warrants, covenants and agrees that its Affiliates referred to in this Section 8.13 and any person receiving funds under or pursuant to any of the Loan Documents on behalf of such Lender or any of such Affiliates are bound by the provisions of this Section 8.13; and (iii) agrees that any matter or thing done or omitted to be done by such Lender, its Affiliates or any person receiving funds under or pursuant to any of the Loan Documents on behalf of such Lender or any of such Affiliates which are the subject of this Section 8.13 will be binding upon such Lender and each Lender does hereby indemnify and save the Agent and its Affiliates harmless from any and all losses, expenses, claims,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demands or other liabilities of the Agent and its Affiliates resulting from the failure of such Lender, its Affiliates or such persons to comply with their obligations under and in respect of this Section 8.13, in each case, in accordance with and subject to the limitations in Section 9.08. ARTICLE IX MISCELLANEOUS SECTION 9.01 Notices. (a) Notices Generally. Except in the case of notices and other communications expressly permitted to be given by telephone (and except as 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 (i) if to the Parent Borrower, to it at Three Allen Center, 333 Clay Street, Suite 4980, Houston, Texas 77002, Attention of Chief Financial Officer (Fax No. (713) 510-2499); (ii) if to a U.S. Borrower, to it at Three Allen Center, 333 Clay Street, Suite 4980, Houston, Texas 77002, Attention of Chief Financial Officer (Fax No. (713) 510-2499); (iii) if to the Australian Borrower, to it at Civeo Pty Limited, c/o Civeo Corporation, Three Allen Center, 333 Clay Street, Suite 4980, Houston, Texas 77002, Attention of Chief Financial Officer (Fax No. (713) 510-2499); (iv) if to the Administrative Agent or the U.S. Collateral Agent, to Royal Bank of Canada, at 4th Floor, 20 King155 Wellington Street West, 8th Floor, Toronto, Ontario M5HV 1C43K7, Attention: Manager, Agency Services Group; (v) if to the Canadian Administrative Agent or the Canadian Collateral Agent, to Royal Bank of Canada, at 4th Floor, 20 King155 Wellington Street West, 8th Floor, Toronto, Ontario M5HV 1C43K7, Attention: Manager, Agency Services Group (Fax No. (416) 842-4023); (vi) if to the Australian Administrative Agent or the Australian Collateral Agent, to RBC Europe Limited, at RBC Europe Limited, Thames Court, One Queenhithe, London, EC4V 3DQ, United Kingdom, Attention: Manager Loans Agency (Fax No. +44 20 7029 7914); and (vii) if to a Lender or an Issuing Bank, to it at its address (or fax number) set forth in its Administrative Questionnaire. Notices sent by hand or overnight courier service, or mailed by certified or registered mail, shall be deemed to have been given when received; notices sent by telecopier shall be deemed to have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provided that, any Lender shall be required only to provide notice of such change to the Applicable Borrower and the Applicable Administrative Agent. (b) Electronic Communications. Notices and other communications to the Lenders and the Issuing Banks hereunder may be delivered or furnished by electronic communication (including e-mail and Internet or intranet websites) pursuant to procedures approved by the Applicable Administrative Agent, provided that the foregoing shall not apply to notices to any Lender or Issuing Bank pursuant to Article II if such Lender or Issuing Bank, as applicable, has 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provided that approval of such procedures may be limited to particular notices or communications. 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Effectiveness of Facsimile Documents and Signatures. Loan Documents may be transmitted and/or signed by facsimile or in electronic (i.e., “pdf”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provided, however, that the failure to request or deliver the same shall not limit the effectiveness of any facsimile document or signature. (d) 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MATERIALS OR THE PLATFORM. In no event shall any Agent or any of its Related Parties (collectively, the “Agent Parties”)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 appealable judgment to have resulted from the gross negligence or willful misconduct of such Agent Party; provided, however, that in no event shall any Agent Party have any liability to any Borrower, any Lender, any Issuing Bank or any other person for indirect, special, incidental, consequential or punitive damages (as opposed to direct or actual damages). (e) Reliance by Agents, Issuing Banks and Lenders. Each of the Agents, Issuing Banks and the Lenders shall be entitled to rely and act upon any 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any Borrower. All telephonic notices to and other communications with any Agent, Issuing Bank or Lender may be recorded by such Agent, Issuing Bank or Lender, and each of the parties hereto hereby consents to such recording. SECTION 9.02 Survival of Agreement. All covenants, agreements, representations and warranties made by a Borrower herein and in the 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 SECTION 9.03 Binding Effect. This Agreement shall become effective when it shall have been executed by the Borrowers and the Administrative Agent and when the Administrative Agent shall have received counterparts hereof which, when taken together, bear the signatures of each of the other parties hereto. SECTION 9.04 Successors and Assigns.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 Generally. The terms and provisions of this Agreement and the other Loan Documents shall be binding upon and inure to the benefit of the 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provided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 (b) Assignments by Lenders. Any Lender may at any time assign to one or more Eligible Assignees all or a portion of its rights and obligations under this Agreement (including all or a portion of its Commitments (including, for purposes of this Section 9.04(b), participations in Letters of Credit and Swing Line Loans) and the Loans at the time owing to it); provided that any such assignment shall be subject to the following conditions: (i) Minimum Amounts. (A) 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 (B)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Parent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members of its Assignee Group) will be treated as a single assignment for purposes of determining whether such minimum amount has been met. (ii) Proportionate Amounts. Each partial assignment shall be made as an assignment of a proportionate part of all the assigning Lender’s rights and obligations under this Agreement with respect to the Loan or the Commitment assigned, except that this clause (ii) shall not apply to the Applicable Swing Line Lender’s rights and obligations in respect of Swing Line Loans. (iii) Required Consents. No consent shall be required for any assignment except to the extent required by paragraph (b)(i)(B) of this Section and, in addition: (A) the consent of the Parent Borrower (such consent not to be unreasonably withheld or delayed) shall be required for assignments in respect of the Canadian Term Loan Facility, the U.S. Revolving Credit Facility, the Canadian Revolving Credit Facility or the Australian Revolving Credit Facility, if such assignment is to a person that is not a Lender under the Canadian Term Loan Facility, the U.S. Revolving Credit Facility, the Canadian Revolving Credit Facility or the Australian Revolving Credit Facility, an Affiliate of such Lender or any Approved Fund with respect to such Lender, provided that no such consent shall be required if an Event of Default shall have occurred and is continuing; provided further that if the Parent Borrower shall fail to respond to a request for consent to an assignment within ten (10) Business Days following receipt of such request, the Parent Borrower shall be deemed to have given such consent. (B) the consent of the Applicable Administrative Agent (such consent not to be unreasonably withheld or delayed) shall be required (1) for 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 Approved Fund with respect to such Lender or (2) for assignments of Canadian Term Loans to a person who is not a Lender, an Affiliate of a Lender or an Approved Fund; (C) the consent of each Issuing Bank (such consent not to be unreasonably withheld or delayed) shall be required for any assignment in respect of the U.S. Revolving Credit Facility, the Canadian Revolving Credit Facility or the Australian Revolving Credit Facility; and (D) the consent of the Applicable Swing Line Lender (such consent not to be unreasonably withheld or delayed) shall be required for any assignment in respect of the U.S. Revolving Credit Facility or the Canadian Revolving Credit Facility, as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(iv) Assignment and Acceptance. The parties to each assignment shall execute and deliver to the Applicable Administrative Agent an Assignment and Acceptance, together with a processing and recordation fee of $3,500; provided, however, that the Applicable Administrative Agent may, in its sole discretion, elect to waive such processing and recordation fee in the case of any assignment; and provided, further,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 (v) No Assignment to Borrower. No such assignment shall be made to the Parent Borrower or any of the Parent Borrower’s Affiliates or Subsidiaries. (vi) No Assignment to Natural Persons. No such assignment shall be made to a natural person. (vii) Defaulting Lenders. No assignment shall be made to any Defaulting Lender or any of its Subsidiaries, or any person who, upon becoming a Lender hereunder, would constitute any of the foregoing persons. 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 participations, or other compensating actions, including funding, with the consent of the Parent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(c) Register. The Applicable Administrative Agent shall maintain at its Aapplicable Llending Ooffice a copy of each Assignment and Acceptance delivered to and accepted by it and a register for the recordation of the names and addresses of the Lenders and the Commitments of, and principal amount of the Loans owing to, each Lender from time to time (the “Register”).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Parent Borrower, the U.S. Borrower or any Lender at any reasonable time and from time to time upon reasonable prior notice. (d) Participations. Any Lender may at any time, without the consent of, or notice to, the Parent Borrower or the Applicable Administrative Agent, sell participations to any person (other than a natural person, a Defaulting Lender or the Parent Borrower or any of the Parent Borrower’s or a Defaulting Lender’s Affiliates or subsidiaries) (each, a “Participant”) in all or a portion of such Lender’s rights and/or obligations under this Agreement and the other Loan Documents (including all or a portion of its Commitment and/or the Loans (including such Lender’s participations in Letter of Credit Obligations and Swing Line Loans) owing to it); provided that (i) such Lender’s obligations under this Agreement shall remain unchanged, (ii) such Lender shall remain solely responsible to the other parties hereto for the performance of such obligations and (iii) the Parent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Parent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provided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 (e) 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Parent Borrower’s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 (f)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(g) Notwithstanding anything to the contrary contained herein, any Lender (a “Granting Lender”) may grant to a special purpose funding vehicle identified as such in writing from time to time by the Granting Lender to the Applicable Administrative Agent and the Parent Borrower (an “SPC”) the option to provide all or any part of any Loan that such Granting Lender would otherwise be obligated to make pursuant to this Agreement; provided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Parent Borrower and the Applicable Administrative Agent and without paying any processing fee therefor, assign all or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(h) 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provided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SECTION 9.05 Expenses; Indemnity. (a) Costs and Expenses. The Borrowers agree, jointly and severally, to pay or reimburse (i) all reasonable out-of-pocket expenses incurred by the 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 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Parent Borrower. The agreements in this Section shall survive the termination of the Commitments and repayment of all Obligations. (b) Indemnification by the Borrowers. The Borrowers agree, jointly and severally, to indemnify the Administrative Agents, the Collateral Agents, each Lender, each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Issuing Bank and the Related Parties of any of the foregoing persons (each such person being called an “Indemnitee”)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“Indemnified Liabilities”); provided that SUCH INDEMNITY SHALL EXPRESSLY INCLUDE ANY SUCH LOSSES, LIABILITIES, CLAIMS, DAMAGES OR EXPENSE INCURRED BY REASON OF THE PERSON BEING INDEMNIFIED’S OWN NEGLIGENCE; provided that the foregoing indemnity will not, as to any Indemnitee, apply to losses, claims, damages, liabilities or related expenses to the extent they are found in a final, non- appealable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 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Borrower shall be liable for any settlement of any claim, litigation, investigation or proceeding (any of the foregoing, a “Proceeding”) effected without its consent (which consent shall not be unreasonably conditioned, withheld or delayed) unless (x) the Applicable Borrower has not confirmed that the indemnity provisions of this Section 9.05(b) are applicable or (y) a claim for indemnity has been made in accordance with this Section 9.05(b) which the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 (c) Reimbursement by Lenders. To the extent that a Borrower for any reason fails to indefeasibly pay any amount required under paragraph (a) or (b) of this Section to be paid by it to an Agent (or any sub-agent thereof), an Issuing Bank, a Swing Line Lender or any Related Party of any of the foregoing, each Lender severally agrees to pay to the Applicable Administrative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Applicable Administrative Agent (or any such sub-agent), the Applicable Issuing Bank or the Applicable Swing Line Lender in its capacity as such, or against any Related Party of any of the foregoing acting for the Applicable Administrative Agent (or any such sub-agent), Applicable Issuing Bank or the Applicable Swing Line Lender in connection with such capacity. (d) 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 SECTION 9.06 Right of Setoff. If an Event of Default shall have occurred and be continuing, each Agent, Lender, Issuing Bank and each of their 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Parent Borrower and the Administrative Agent promptly after any such setoff and application, provided that the failure to give such notice shall not affect the validity of such setoff and application. SECTION 9.07 Applicable Law. THIS AGREEMENT SHALL BE CONSTRUED IN ACCORDANCE WITH AND GOVERNED BY THE LAWS OF THE STATE OF NEW YORK. SECTION 9.08 Waivers; Amendment. (a) No failure or delay of any Agent, any Lender or any Issuing Bank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provided, however,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 (b) 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provided that such waiver or consent shall be effective only in the specific instance and for the specific purpose for which given; provided further that (x) any provision of this Agreement or any other Loan Document may be amended by an agreement in writing signed by the Administrative Agent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Parent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 (i) extend the Maturity Date of or increase the stated amount of any Commitment of any Lender or reinstate any Commitment of any Lender terminated pursuant to the terms hereof without the written consent of such Lender; (ii) postpone any date fixed by this Agreement for any scheduled payment (but not any prepayment) of principal, interest or fees due to any Lender hereunder without the written consent of such Lender; (iii) 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“Total Net Leverage Ratio”, “Senior Secured Net Leverage Ratio” or in the component definitions thereof, shall not constitute a reduction of rate of interest or any interest or Fees payable hereunder); provided, however,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Required Revolving Lenders, as applicable shall be required to waive any obligation of the Parent Borrower to pay default interest pursuant to Section 2.07 with respect to the Canadian Revolving Credit Facility, including with respect to any amount payable thereunder or in connection therewith, (C)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and (D) only the consent of the Required Canadian Term Lenders shall be required to waive (1) any obligation of the Parent Borrower to pay default interest pursuant to Section 2.07 with respect to the Canadian Term Loan Facility, including with respect to any amount payable thereunder or in connection therewith or (2) any mandatory prepayment of Canadian Term Loans; (iv) 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from the order set forth in such Section in a manner that adversely affects the Lenders under any Facility without the prior written consent of (A) if such Facility is the U.S. Revolving Credit Facility, the Required U.S. Lenders, (B) if such Facility is the Canadian Revolving Credit Facility, the Required Canadian Revolving Lenders, (C) if such Facility is the Canadian Term Loan Facility, the Required Canadian Term Lenders, (D) if such Facility is the Australian Revolving Credit Facility,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Required Australian Lenders and (E) if the Bilateral Lender is materially and adversely affected by such change, the Bilateral Lender; (v) change any provision of this Section, or the percentage specified in definition of “Required Lenders,” “Required U.S. Lenders,” “Required Canadian Revolving Lenders,” “Required Canadian Term Lenders,” “Required Australian Lenders,” or “Required Revolving Lenders,” or any other provision hereof specifying the number or percentage of Lenders required to amend, waive or otherwise modify any rights hereunder or make any determination or grant any consent hereunder, without the written consent of each Lender directly affected thereby; (vi) except as expressly permitted hereunder or under any Security Document, (A) release the guaranty provided by the Parent Borrower pursuant to the Guarantee Agreement without the written consent of each Lender, or (B) release all or substantially all of the value of the guaranties provided by the other Guarantors hereunder or all or substantially all of the Collateral without the written consent of each Lender; (vii) change Section 9.04 in a manner that imposes additional restrictions on the ability of any Lender under any Facility to assign any of its rights or obligations hereunder without the prior written consent of (A) if such Facility is the U.S. Revolving Credit Facility, the Required U.S. Lenders, (B) if such Facility is the Canadian Revolving Credit Facility, the Required Canadian Revolving Lenders, (C) if such Facility is the Canadian Term Loan Facility, the Required Canadian Term Lenders and (D) if such Facility is the Australian Revolving Credit Facility, the Required Australian Lenders; (viii) 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Lenders (if the U.S. Revolving Lenders are the adversely affected Class), Required Canadian Revolving Lenders (if the Canadian Revolving Lenders are the adversely affected Class), Required Canadian Term Lenders (if the Canadian Term Lenders are the adversely affected Class) or Required Australian Lenders (if the Australian Lenders are the adversely affected Class); (ix) amend or modify the protections afforded to an SPC pursuant to the provisions of Section 9.04(g) without the written consent of such SPC; (x) amend or modify Section 7.05 or any Security Document in a manner that results in the Bilateral Obligations secured by such Security Document no longer being secured thereby on at least an equal and ratable basis with the principal of the Loans, or amend or otherwise change the definition of “Obligations”, in each case if the Bilateral Lender is adversely affected by such amendment, modification or change, without the written consent of the Bilateral Lender; or (xi) prior to the occurrence of any Event of Default under Sections 7.01(g) or 7.01(h), (x) subordinate the Liens on the Collateral securing the Obligations to the Liens securing any other Indebtedness or other obligations in any transaction or series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of related transactions or (y) subordinate any of the Obligations in contractual right of payment to any other Indebtedness or other obligations in any transaction or series of related transactions (in each case of clauses (x) and (y), other than in connection with (1) any Indebtedness that is expressly permitted by the Loan Documents as in effect on the Closing Date (or as later amended in connection with an unrelated transaction) to be secured by a lien on the Collateral that is senior to the Liens securing the Obligations, (2) any “debtor-in-possession” financing or the use of the Collateral in any proceeding under any Insolvency Law and/or (3) any other financing, in the case of this clause (3) with respect to which each Lender under this Agreement is offered the opportunity to provide such financing on the same terms and conditions), in each case without the consent of each adversely affected Lender (any such other Indebtedness or other obligations referred to in clause (x) or (y) above, to which such Liens securing any of the Obligations or such Obligations, as applicable, are subordinated, “Senior Indebtedness”); provided, further, that no such agreement shall amend, modify or otherwise affect the rights or duties of an Agent, an Issuing Bank or a Swing Line Lender hereunder or under any other Loan Document without the prior written consent of such Agent, Issuing Bank or Swing Line Lender, respectively. 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provided that any such amendment, waiver or consent referred to in clause (b)(i), (ii) or (iii) above that, but for this sentence, would require the prior written consent of such Defaulting Lender, will continue to require the consent of such Defaulting Lender; and provided further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 No Lender or any Affiliate of a Lender shall have any voting rights under any Loan Document as a result of the existence of obligations owed to it under Hedging Agreements, Banking Services Obligations or the Bilateral Obligations. Notwithstanding anything to the contrary contained in this Section 9.08 or any other provision of this Agreement or any other Loan Document, (A) the Security Documents and related documents in connection with this Agreement and the other Loan Documents may be in a form reasonably determined by the Administrative Agent and the Collateral Agent and may be, together with this Agreement, amended, supplemented and waived with the consent of the Administrative Agent and the Collateral Agent at the request of the Parent Borrower without the need to obtain the consent of any other Lender if such amendment, supplement or waiver is delivered in order (i) to comply with local law or advice of local counsel, or (ii) to cause such Security Documents or other documents to be consistent with this Agreement and the other Loan Documents and, (B) this Agreement and any other Loan Document may be amended solely with the consent of the Administrative Agent and the Parent Borrower without the need to obtain the consent of any other Lender if such amendment is consummated in order (x) to correct or cure any ambiguities, errors,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omissions, mistakes, inconsistencies or defects jointly identified by the Parent Borrower and the Administrative Agent, (y) to effect administrative changes of a technical or immaterial nature or (z) to fix incorrect cross-references or similar inaccuracies in this Agreement or the applicable Loan Document; provided that, in each case, the Administrative Agent shall have notified the Lenders of such amendment and the Required Lenders shall not have objected in writing to such amendment within five Business Days of notice thereof. and (C) the Administrative Agent and the Borrowers may, without the consent of any Lender, enter into amendments or modifications to this Agreement or any of the other Loan Documents or to enter into additional Loan Documents as the Administrative Agent deems appropriate in order to implement any Benchmark Replacement or any Conforming Changes or otherwise effectuate the terms of Section 2.26 in accordance with the terms thereof. SECTION 9.09 Interest Rate Limitation. Regardless of any provisions contained in this Agreement or in any other Loan Documents, the Lenders shall never be deemed to have contracted for or be entitled to receive, collect or apply as interest on any Loan or participation in any L/C Disbursement any amount in excess of the maximum lawful rate (the “Maximum Rate”),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 SECTION 9.10 Entire Agreement. This Agreement, the other Loan Documents and the Fee Letter constitute the entire contract among the parties relating to the subject matter hereof and supersede any and all previous agreements and understandings, oral or written, relating to the subject matter hereof. SECTION 9.11 WAIVER OF JURY TRIAL. EACH PARTY HERETO HEREBY EXPRESSLY AND IRREVOCABLY WAIVES, TO THE 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 SECTION 9.12 Severability.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 SECTION 9.13 Counterparts. This Agreement may be executed in counterparts (and by different parties hereto on different counterparts), each of 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 The words “execution,” “execute”, “signed,” “signature,” and words of like import in or related to any document to be signed in connection with this Agreement or any other Loan Document and the transactions contemplated hereby shall be deemed to include electronic signatures, the electronic matching of assignment terms and contract formations on electronic platforms approved by the Administrative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in its discretion, require that any such documents and signatures executed electronically or delivered by fax or other electronic transmission be confirmed by a manually-signed original thereof; provided that the failure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request or deliver the same shall not limit the effectiveness of any document or signature executed electronically or delivered by fax or other electronic transmission. SECTION 9.14 Headings. Article and Section headings and the Table of Contents used herein are for convenience of reference only, are not part of this Agreement and are not to affect the construction of, or to be taken into consideration in interpreting, this Agreement. SECTION 9.15 Jurisdiction; Consent to Service of Process. (a) Any legal action or proceeding with respect to this Agreement or any other Loan 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 (b) 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 (c) 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 (d) Each Loan Party (other than the Parent Borrower) hereby irrevocably appoints the Parent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Parent Borrower at the Parent Borrower’s address set forth in Section 9.01, and each such Loan Party hereby irrevocably authorizes and directs the Parent Borrower to accept such service on its behalf. SECTION 9.16 Confidentiality. Each of the Agents, the Issuing Banks and the Lenders agrees to maintain, and cause their respective Affiliates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Parent Borrower or (h) to the extent such Information (x) becomes publicly available other than as a result of a breach of this Section or (y) becomes available to any Agent, any Issuing Bank or any Lender on a non-confidential basis from a source other than a Borrower. For purposes of this Section, “Information” shall mean all information received from any Loan Party relating to any Loan Party or any of their respective businesses, other than any such information that is available to an Agent, an Issuing Bank or any Lender on a non-confidential basis prior to disclosure by any Loan Party, provided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SECTION 9.17 Judgment Currency. (a) The obligations of the Borrowers and the other Loan Parties hereunder and under the other Loan Documents to make payments in U.S. dollars, Canadian dollars or Australian dollars (the “Obligation Currency”)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“Judgment Currency”)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“Judgment Currency Conversion Date”). (b) If there is a change in the rate of exchange prevailing between the Judgment Currency Conversion Date and the date of actual payment of the amount due, each Borrower covenants and agrees to pay, or cause to be paid, as a separate obligation and notwithstanding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 (c) For purposes of determining the Canadian Dollar Equivalent, U.S. Dollar Equivalent or Australian Dollar Equivalent or rate of exchange for this Section, such amounts shall include any premium and costs payable in connection with the purchase of the Obligation Currency. SECTION 9.18 Exculpation Provisions. 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 SECTION 9.19 Payments Set Aside. To the extent that any payment by or on behalf of any Loan Party is made to any Agent, Issuing Bank or 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and the Issuing Bank under clause (b) of the preceding sentence shall survive the payment in full of the Obligations and the termination of this Agreement. SECTION 9.20 Termination. This Agreement and each other Loan Document, and the covenants and agreements set forth herein and therein, and, in 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provided that the provisions of Sections 2.13, 2.15, 2.19, and 9.05 and Article VIII, and any other provision set forth herein or therein that by its terms survives the termination of this Agreement or such other Loan Document, shall survive and remain in full force and effect. SECTION 9.21 Patriot Act Notice. Each Lender hereby notifies each Borrower that pursuant to the requirements of the USA Patriot Act (Title III of Pub. L. 107-56 (signed into law October 26, 2001)) (the “Patriot Act”), it is required to obtain, verify and record information that identifies such Borrower, which information includes the name and address of such Borrower and other information that will allow such Lender to identify such Borrower in accordance with the Patriot Act. SECTION 9.22 Public Offer (a) Lead Arranger’s representations, warranties and undertakings. The Lead Arranger undertakes, represents and warrants to the Australian Loan Parties as follows: (i) 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 (ii) 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 (iii) the Lead Arranger has not made and will not make offers or invitations referred to in paragraph (i) above to persons whom the relevant officers of the Lead Arranger involved in the transaction know or suspect are Offshore Associates of the Australian Loan Parties. (b) Australian Loan Parties’ representations and warranties. The Australian Loan Parties represent and warrant that none of the potential offerees whose names were disclosed to it by the Lead Arranger before the date of this Agreement were known or suspected by it to be an Offshore Associate of it or an Associate of any other such offeree. The Lead Arranger shall not,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after the date of this Agreement, make an invitation to become a Lender under this Agreement to any potential offeree unless and until (i) the Lead Arranger has disclosed the name of such potential offeree to the Australian Loan Parties, and (ii) 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 (c) Lenders’ representations and warranties. Each Lender represents and warrants to the Australian Loan Parties that, if it received an invitation under paragraph (a)(i) above, at the time it received the invitation it was not an Offshore Associate of the Australian Loan Parties and it was carrying on the business of providing finance, or investing or dealing in securities, in the course of operating in financial markets. (d) Information. The Lead Arranger and each Lender will provide to the Australian Loan Parties when reasonably requested any factual 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 (e) Cooperation if s128F requirement not satisfied. If, for any reason, the requirements of section 128F of the Australian Tax Act have not been 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 (f) Section 128F syndication statement. The parties agree that this Agreement is a “syndicated facility agreement” for the purposes of section 128F(11)(a) of the Australian Tax Act. SECTION 9.23 Keepwell. The Parent Borrower hereby absolutely, unconditionally and irrevocably undertakes to provide such funds or other support as may be needed from time to time by each Guarantor to honor all of its obligations under its Guarantee in respect of Swap Obligations (provided, however, that the Parent Borrower shall only be liable under this Section 9.23 for the maximum amount of such liability that can be hereby incurred without rendering its obligations under this Section 9.23, or otherwise under this Agreement, voidable under applicable law relating to fraudulent conveyance or fraudulent transfer, and not for any greater amount). The obligations of the Parent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Applicable Administrative Agent and the Applicable Issuing Bank have been made). The Parent Borrower intends that this Section 9.23 constitute, and this Section 9.23 shall be deemed to constitute, a “keepwell, support, or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for the benefit of each Guarantor for all purposes of Section 1a(18)(A)(v)(II) of the Commodity Exchange Act. SECTION 9.24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an Affected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Affected Resolution Authority. SECTION 9.25 Acknowledgment Regarding Any Supported QFCs. To the extent that the Loan Documents provide support, through a guarantee or otherwise, for any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9.26 Recognition of Hong Kong Stay Power. Notwithstanding anything to the contrary in this Agreement or any other Loan Document or any other agreement, arrangement or understanding between the parties hereto relating to this Agreement, each of the parties hereto (other than any Excluded Counterparties) expressly agrees to be bound by any suspension of any termination right in relation to this Agreement imposed by the Resolution Authority in accordance with section 90(2) of the Financial Institutions (Resolution) Ordinance (Cap. 628) of Hong Kong, to the same extent as if this Agreement was governed by the laws of Hong Kong. For the purpose of this Section 9.26: “Excluded Counterparty” means any person which is (a) a financial market infrastructure; (b) the Hong Kong Monetary Authority; (c) the Government of the Hong Kong Special Administrative Region; (d) the government of a jurisdiction other than Hong Kong; or (e) the central bank of a jurisdiction other than Hong Kong; and “Resolution Authority” means the resolution authority in Hong Kong in relation to a banking sector entity from time to time, which is currently the Hong Kong Monetary Authority. [Remainder of this page intentionally left blank. Signature pages follow.]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 – Form of Canadian Borrowing Request Page B-1-1 US-DOCS\140046024.2 EXHIBIT B-1 [Form of] U.S. BORROWING REQUEST Royal Bank of Canada, as Administrative Agent for the Lenders referred to below, 155 Wellington Street West, 8th Floor Toronto, Ontario M5V 3K7 Attn: Manager, Agency Services Group Attention of Agency Group [Date] Ladies and Gentlemen: The undersigned, Civeo Management LLC (the “U.S. Borrower”), refers to the Syndicated Facility Agreement dated as of September 8, 2021 (as amended, supplemented or otherwise modified from time to time, the “Credit Agreement”), among the U.S. Borrower, Civeo Corporation, Civeo Pty Limited, the lenders from time to time party thereto (the “Lenders”), Royal Bank of Canada, as administrative agent (in such capacity, the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U.S. Borrower hereby gives you notice pursuant to Section 2.03 of the Credit Agreement that it requests a Borrowing of U.S. Revolving Credit Loans under the Credit Agreement, and in that connection sets forth below the terms on which such Borrowing is requested to be made: (A) Date of Borrowing (which is a Business Day) ______________________ (B) Principal Amount of Borrowing1 ______________________ (C) Type of Borrowing2 ______________________ (D) Interest Period and the last 1 For an ABR Borrowing, in U.S. dollars not less than U.S.$1,000,000 and in an integral multiple of U.S.$100,000, and for a SOFR Borrowing, in U.S. dollars not less than U.S.$3,000,000 and in an integral multiple of $1,000,000. 2 Specify SOFR Borrowing or ABR Borrowing.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B-1 – Form of U.S. Borrowing Request Page B-1-2 US-DOCS\140046024.2 day thereof3 ______________________ (E) Funds are requested to be disbursed to the U.S. Borrower’s account with: Bank Name: ______________________ Bank Address: ______________________ Account Number: ______________________ The U.S. Borrower hereby represents and warrants to the Agents and the Lenders that, on the date of this Borrowing Request and on the date of the related Borrowing, the conditions to lending specified in Sections 4.01(b), (c), (d) and (e) of the Credit Agreement have been satisfied. CIVEO MANAGEMENT LLC by: ______________________________ Name: Title: [Responsible Officer] 3 Which shall be subject to the definition of “Interest Period” and end not later than the Maturity Date (applicable for SOFR Borrowings only).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B-2 – Form of Canadian Borrowing Request Page B-2-1 US-DOCS\140046024.2 EXHIBIT B-2 [Form of] CANADIAN BORROWING REQUEST Royal Bank of Canada, as Canadian Administrative Agent for the Canadian Lenders referred to below, 155 Wellington Street West, 8th Floor Toronto, Ontario M5V 3K7 Attn: Manager, Agency Services Group Attention of Agency Administration [Date] Ladies and Gentlemen: The undersigned, Civeo Corporation (the “Parent Borrower”), refers to the Syndicated Facility Agreement dated as of September 8, 2021 (as amended, supplemented or otherwise modified from time to time, the “Credit Agreement”), among the Parent Borrower, Civeo Management LLC, Civeo Pty Limited, the lenders from time to time party thereto (the “Lenders”) and Royal Bank of Canada, as administrative agent for the U.S. Lenders, as U.S. collateral agent for the Lenders, as administrative agent for the Canadian Lenders (in such capacity, the “Canadian Administrative Agent”)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Parent Borrower hereby gives you notice pursuant to Section 2.03 of the Credit Agreement that it requests a Borrowing of Canadian Revolving Credit Loans under the Credit Agreement, and in that connection sets forth below the terms on which such Borrowing is requested to be made: (A) Date of Borrowing (which is a Business Day) ______________________ (B) Principal Amount of Borrowing1 ______________________ 1 In an amount that is (i) in the case of Canadian dollar-denominated Loans, an integral multiple of C$100,000 and in a minimum amount of C$1,000,000, (ii) in the case of U.S. Base Rate Loans, an integral multiple of U.S.$100,000 and in a minimum amount of U.S.$1,000,000, or (iii) in the case of SOFR Loans, an integral multiple of U.S.$1,000,000 and in a minimum amount of U.S.$3,000,000.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B-2 – Form of Canadian Borrowing Request Page B-2-2 US-DOCS\140046024.2 (C) Type of Borrowing2 ______________________ (D) Contract Period3 or Interest Period4 and the last day thereof ______________________ (E) Funds are requested to be disbursed to the Canadian Parent’s account[s] with: Bank Name: ______________________ Bank Address: ______________________ Account Number: ______________________ The undersigned Parent Borrower hereby represents and warrants to the Agents and the Lenders that, on the date of this Borrowing Request and on the date of the related Borrowing, the conditions to lending specified in Sections 4.01(b), (c), (d) and (e) of the Credit Agreement have been satisfied. CIVEO CORPORATION by: ______________________________ Name: Title: [Responsible Officer]] 2 Specify B/A Borrowing, Canadian Prime Rate Borrowing, U.S. Base Rate Borrowing or SOFR Borrowing. 3 Which shall be subject to the definition of “Contract Period” and end not later than the Maturity Date (applicable for B/A Borrowings only). 4 Which shall be subject to the definition of “Interest Period” and end not later than the Maturity Date (applicable for SOFR Borrowings only).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B-3 – Form of Australian Borrowing Request Page B-3-1 US-DOCS\140046024.2 EXHIBIT B-3 [Form of] AUSTRALIAN BORROWING REQUEST RBC Europe Limited, as Australian Administrative Agent for the Australian Lenders referred to below, RBC Europe Limited Thames Court One Queenhithe London, EC4V 3DQ, United Kingdom Attention of Manager Loans Agency [Date] Ladies and Gentlemen: The undersigned, Civeo Pty Limited (the “Australian Borrower”), refers to the Syndicated Facility Agreement dated as of September 8, 2021 (as amended, supplemented or otherwise modified from time to time, the “Credit Agreement”), among Civeo Corporation, Civeo Management LLC, the Australian Borrower, the lenders from time to time party thereto (the “Lenders”) and Royal Bank of Canada, as administrative agent for the U.S. Lenders, as U.S. collateral agent for the Lenders, as administrative agent for the Canadian Lenders and as Canadian collateral agent for the Lenders, and RBC Europe Limited, as administrative agent for the Australian Lenders (in such capacity, the “Australian Administrative Agent”) and as Australian collateral agent for the Lenders. Capitalized terms used herein and not otherwise defined herein shall have the meanings assigned to such terms in the Credit Agreement. The Australian Borrower hereby gives you notice pursuant to Section 2.03 of the Credit Agreement that it requests a Borrowing of Australian Revolving Credit Loans under the Credit Agreement, and in that connection sets forth below the terms on which such Borrowing is requested to be made: (A) Date of Borrowing (which is a Business Day) ______________________ (B) Principal Amount of Borrowing1 ______________________ 1 In an amount that is (i) in the case of Australian dollar-denominated Loans, an integral multiple of AUD$100,000 and in a minimum amount of AUD$1,000,000, or (ii) in the case of SOFR Loans, an integral multiple of U.S.$1,000,000 and in a minimum amount of U.S.$3,000,000.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B-3 – Form of Australian Borrowing Request Page B-3-2 US-DOCS\140046024.2 (C) Type of Borrowing2 ______________________ (D) Interest Period3 and the last day thereof ______________________ (E) Funds are requested to be disbursed to the Australian Borrower’s account[s] with: Bank Name: ______________________ Bank Address: ______________________ Account Number: ______________________ The undersigned Australian Borrower hereby represents and warrants to the Agents and the Lenders that, on the date of this Borrowing Request and on the date of the related Borrowing, the conditions to lending specified in Sections 4.01(b), (c), (d) and (e) of the Credit Agreement have been satisfied. CIVEO PTY LIMITED by: ______________________________ Name: Title: [Responsible Officer] 2 Specify BBSY Borrowing denominated in Australian dollars or a SOFR Borrowing denominated in U.S. dollars. 3 Which shall be subject to the definition of “Interest Period” and end not later than the Maturity Date (applicable for SOFR Borrowings only).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B-5 – Form of Prepayment Notice Page B-5-1 US-DOCS\140046024.2 EXHIBIT B-5 [FORM OF] PREPAYMENT NOTICE [Royal Bank of Canada, as Administrative Agent for the Lenders referred to below,] [Royal Bank of Canada, as Canadian Administrative Agent for the Canadian Lenders referred to below,] 155 Wellington Street West, 8th Floor Toronto, Ontario M5V 3K7 Attn: Manager, Agency Services Group] [RBC Europe Limited, as Australian Administrative Agent for the Australian Lenders referred to below, RBC Europe Limited Thames Court One Queenhithe London, EC4V 3DQ, United Kingdom Attention of Manager Loans Agency] [Date] Ladies and Gentlemen: The undersigned, [Civeo Management LLC (the “U.S. Borrower”)][Civeo Corporation (the “Parent Borrower”)] [Civeo Pty Limited (the “Australian Borrower”)], refers to the Syndicated Facility Agreement dated as of September 8, 2021 (as amended, supplemented or otherwise modified from time to time, the “Credit Agreement”), among the [U.S. Borrower, Civeo Corporation, Civeo Pty Limited][Civeo Management LLC, the Parent Borrower, Civeo Pty Limited][Civeo Management LLC, Civeo Corporation, Civeo Pty Limited][Civeo Management LLC, Civeo Corporation, the Australian Borrower], the lenders from time to time party thereto (the “Lenders”) and Royal Bank of Canada, as administrative agent for the U.S. Lenders (in such capacity, the “Administrative Agent”), as U.S. collateral agent for the Lenders, as administrative agent for the Canadian Lenders (in such capacity, the “Canadian Administrative Agent”)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[U.S. Borrower][Parent Borrower][Australian Borrower] hereby gives you notice pursuant to Section 2.11 of the Credit Agreement that it will prepay outstanding [U.S. Revolving Credit Loans] [Canadian Revolving Credit Loans][Australian Revolving Credit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B-5 – Form of Prepayment Notice Page B-5-2 US-DOCS\140046024.2 Loans][U.S. Swing Line Loans][Canadian Swing Line Loans] in the amount and on the terms set forth below: (A) Date of prepayment (which is a Business Day) ______________________ (B) Amount of Prepayment ______________________ (C) Type of Loan (ABR, SOFR, Canadian Prime Rate, BBSY Rate) ______________________ [CIVEO MANAGEMENT LLC by: ______________________________ Name: Title: [Responsible Officer]] [CIVEO CORPORATION by: ______________________________ Name: Title: [Responsible Officer]] [CIVEO PTY LIMITED by: ______________________________ Name: Title: [Responsible Officer]]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US-DOCS\140046024.2 EXHIBIT B-6 [Form of] CONVERSION/CONTINUATION NOTICE [Royal Bank of Canada, as Administrative Agent for the Lenders referred to below,] [Royal Bank of Canada, as Canadian Administrative Agent for the Canadian Lenders referred to below,] 155 Wellington Street West, 8th Floor Toronto, Ontario M5V 3K7 Attn: Manager, Agency Services Group] [RBC Europe Limited, as Australian Administrative Agent for the Australian Lenders referred to below, RBC Europe Limited Thames Court One Queenhithe London, EC4V 3DQ, United Kingdom Attention of Manager Loans Agency] [Date] Ladies and Gentlemen: The undersigned, [Civeo Management LLC (the “U.S. Borrower”)][Civeo Corporation (the “Parent Borrower”)] [Civeo Pty Limited (the “Australian Borrower”)], refers to the Syndicated Facility Agreement dated as of September 8, 2021 (as amended, supplemented or otherwise modified from time to time, the “Credit Agreement”), among the [U.S. Borrower, Civeo Corporation, Civeo Pty Limited][Civeo Management LLC, the Parent Borrower, Civeo Pty Limited][Civeo Management LLC, Civeo Corporation, Civeo Pty Limited][Civeo Management LLC, Civeo Corporation, the Australian Borrower], the lenders from time to time party thereto (the “Lenders”) and Royal Bank of Canada, as administrative agent for the U.S. Lenders (in such capacity, the “Administrative Agent”), as U.S. collateral agent for the Lenders, as administrative agent for the Canadian Lenders (in such capacity, the “Canadian Administrative Agent”)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[U.S. Borrower][Parent Borrower][Australian Borrower] hereby gives you notice, irrevocably, pursuant to Section 2.10 of the Credit Agreement, that it hereby elects to [convert][continue] the Borrowing referred to below, and in that connection sets forth below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US-DOCS\140046024.2 information relating to such [conversion][continuation] (the “Proposed [Conversion][Continuation]”) as required by Section 2.10 of the Credit Agreement: (i) The Proposed [Conversion][Continuation] relates to the Borrowing originally made on [ ], 20[__] (the “Outstanding Borrowing”) in the principal amount of [ ] and currently maintained as [a][an] [ABR Borrowing][U.S. Base Rate Borrowing][SOFR Borrowing with an Interest Period ending on [ ], 20[__]][B/A Borrowing with a Contract Period ending on [ ], 20[__]][BSBY Rate Borrowing with an Interest Period ending on [ ], 20[__]][Canadian Prime Rate Borrowing]. (ii) [The Business Day of the Proposed Conversion is [ ], 20[__].]1 (iii) The Outstanding Borrowing will be [continued as [a][an] [ABR Borrowing][U.S. Base Rate Borrowing][SOFR Borrowing with an Interest Period of [ ]][B/A Borrowing with a Contract Period of [ ]][BSBY Rate Borrowing with an Interest Period of [ ]][Canadian Prime Rate Borrowing]][converted into [a][an] [ABR Borrowing][U.S. Base Rate Borrowing][SOFR Borrowing with an Interest Period of [ ]][B/A Borrowing with a Contract Period of [ ]][BSBY Rate Borrowing with an Interest Period of [ ]][Canadian Prime Rate Borrowing]].2 1 To be included for a Conversion and must be a Business Day. 2 Notice period requirements for conversions are: (a) not later than 1:00 p.m. (Standard Time) one Business Day before the proposed conversion, to convert any SOFR Borrowing under a Class of U.S. Revolving Commitments into an ABR Borrowing under the same Class of U.S. Revolving Commitments, (b) not later than 1:00 p.m. (Standard Time) one Business Day before the proposed conversion, to convert any B/A Borrowing under one Canadian Facility into a Canadian Prime Rate Borrowing under the same Canadian Facility, (c) not later than 1:00 p.m. (Standard Time) three Business Days prior to conversion or continuation, to convert any ABR Borrowing under a Class of U.S. Revolving Commitments or U.S. Base Rate Borrowing under a Class of Canadian Revolving Commitments into a SOFR Borrowing under the same Class of Commitments or to continue any SOFR Borrowing under a Class of U.S. Revolving Commitments or Canadian Revolving Commitments as a SOFR Borrowing under the same Class of Commitments for an additional Interest Period, (d) not later than 3:00 p.m. (Sydney time) three Business Days prior to continuation, to continue any SOFR Borrowing under the Australian Revolving Commitments as a SOFR Borrowing under the Australian Revolving Commitments for an additional Interest Period, (e) not later than 1:00 p.m. (Standard Time) three Business Days prior to conversion, to convert the Interest Period with respect to any SOFR Borrowing under a Class of U.S. Revolving 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under a Canadian Facility to a B/A Borrowing under the same Canadian Facility or to continue any B/A Borrowing under a Canadian Facility as a B/A Borrowing under the same Canadian Facility for an additional Contract Period.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US-DOCS\140046024.2 [CIVEO MANAGEMENT LLC by: ______________________________ Name: Title: [Responsible Officer]] [CIVEO CORPORATION by: ______________________________ Name: Title: [Responsible Officer]] [CIVEO PTY LIMITED by: ______________________________ Name: Title: [Responsible Officer]]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I, Bradley J. Dodson, certify that:</w:t>
      </w:r>
    </w:p>
    <w:p>
      <w:pPr>
        <w:pStyle w:val="TextBody"/>
        <w:spacing w:lineRule="auto" w:line="288" w:before="0" w:after="0"/>
        <w:ind w:left="0" w:right="0" w:firstLine="18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80"/>
        <w:gridCol w:w="960"/>
        <w:gridCol w:w="960"/>
        <w:gridCol w:w="2326"/>
        <w:gridCol w:w="1854"/>
        <w:gridCol w:w="26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Civeo Corporation (Registrant);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bl>
      <w:tblPr>
        <w:tblW w:w="3552" w:type="dxa"/>
        <w:jc w:val="left"/>
        <w:tblInd w:w="0" w:type="dxa"/>
        <w:tblCellMar>
          <w:top w:w="28" w:type="dxa"/>
          <w:left w:w="28" w:type="dxa"/>
          <w:bottom w:w="28" w:type="dxa"/>
          <w:right w:w="28" w:type="dxa"/>
        </w:tblCellMar>
      </w:tblPr>
      <w:tblGrid>
        <w:gridCol w:w="124"/>
        <w:gridCol w:w="109"/>
        <w:gridCol w:w="109"/>
        <w:gridCol w:w="937"/>
        <w:gridCol w:w="937"/>
        <w:gridCol w:w="13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24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I, Carolyn J. Stone, certify that:</w:t>
      </w:r>
    </w:p>
    <w:p>
      <w:pPr>
        <w:pStyle w:val="TextBody"/>
        <w:spacing w:lineRule="auto" w:line="288" w:before="0" w:after="0"/>
        <w:ind w:left="0" w:right="0" w:firstLine="18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80"/>
        <w:gridCol w:w="960"/>
        <w:gridCol w:w="960"/>
        <w:gridCol w:w="2326"/>
        <w:gridCol w:w="1854"/>
        <w:gridCol w:w="26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Civeo Corporation (Registrant);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p>
      <w:pPr>
        <w:pStyle w:val="TextBody"/>
        <w:spacing w:lineRule="auto" w:line="288" w:before="0" w:after="0"/>
        <w:ind w:left="0" w:right="0" w:firstLine="180"/>
        <w:rPr>
          <w:color w:val="000000"/>
        </w:rPr>
      </w:pPr>
      <w:r>
        <w:rPr>
          <w:color w:val="000000"/>
        </w:rPr>
        <w:t> </w:t>
      </w:r>
    </w:p>
    <w:tbl>
      <w:tblPr>
        <w:tblW w:w="5322" w:type="dxa"/>
        <w:jc w:val="left"/>
        <w:tblInd w:w="0" w:type="dxa"/>
        <w:tblCellMar>
          <w:top w:w="28" w:type="dxa"/>
          <w:left w:w="28" w:type="dxa"/>
          <w:bottom w:w="28" w:type="dxa"/>
          <w:right w:w="28" w:type="dxa"/>
        </w:tblCellMar>
      </w:tblPr>
      <w:tblGrid>
        <w:gridCol w:w="124"/>
        <w:gridCol w:w="109"/>
        <w:gridCol w:w="109"/>
        <w:gridCol w:w="1455"/>
        <w:gridCol w:w="1455"/>
        <w:gridCol w:w="20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Carolyn J. Stone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24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rPr>
          <w:color w:val="000000"/>
        </w:rPr>
      </w:pPr>
      <w:r>
        <w:rPr>
          <w:color w:val="000000"/>
        </w:rPr>
        <w:t> </w:t>
      </w:r>
    </w:p>
    <w:p>
      <w:pPr>
        <w:pStyle w:val="TextBody"/>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Civeo Corporation (the “Company”) for the quarterly period ended March 31, 2023,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pStyle w:val="TextBody"/>
        <w:spacing w:lineRule="auto" w:line="288" w:before="0" w:after="0"/>
        <w:ind w:left="0" w:right="0" w:firstLine="1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rPr>
          <w:color w:val="000000"/>
        </w:rPr>
      </w:pPr>
      <w:r>
        <w:rPr>
          <w:color w:val="000000"/>
        </w:rPr>
        <w:t> </w:t>
      </w:r>
    </w:p>
    <w:tbl>
      <w:tblPr>
        <w:tblW w:w="3212" w:type="dxa"/>
        <w:jc w:val="left"/>
        <w:tblInd w:w="0" w:type="dxa"/>
        <w:tblCellMar>
          <w:top w:w="28" w:type="dxa"/>
          <w:left w:w="28" w:type="dxa"/>
          <w:bottom w:w="28" w:type="dxa"/>
          <w:right w:w="28" w:type="dxa"/>
        </w:tblCellMar>
      </w:tblPr>
      <w:tblGrid>
        <w:gridCol w:w="124"/>
        <w:gridCol w:w="109"/>
        <w:gridCol w:w="109"/>
        <w:gridCol w:w="303"/>
        <w:gridCol w:w="303"/>
        <w:gridCol w:w="303"/>
        <w:gridCol w:w="524"/>
        <w:gridCol w:w="524"/>
        <w:gridCol w:w="5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24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ind w:left="0" w:right="0" w:firstLine="180"/>
        <w:jc w:val="both"/>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Civeo Corporation (the “Company”) for the quarterly period ended March 31, 2023,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pStyle w:val="TextBody"/>
        <w:spacing w:lineRule="auto" w:line="288" w:before="0" w:after="0"/>
        <w:ind w:left="0" w:right="0" w:firstLine="1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before="0" w:after="0"/>
        <w:rPr/>
      </w:pPr>
      <w:r>
        <w:rPr/>
      </w:r>
    </w:p>
    <w:tbl>
      <w:tblPr>
        <w:tblW w:w="2994" w:type="dxa"/>
        <w:jc w:val="left"/>
        <w:tblInd w:w="0" w:type="dxa"/>
        <w:tblCellMar>
          <w:top w:w="28" w:type="dxa"/>
          <w:left w:w="28" w:type="dxa"/>
          <w:bottom w:w="28" w:type="dxa"/>
          <w:right w:w="28" w:type="dxa"/>
        </w:tblCellMar>
      </w:tblPr>
      <w:tblGrid>
        <w:gridCol w:w="124"/>
        <w:gridCol w:w="109"/>
        <w:gridCol w:w="109"/>
        <w:gridCol w:w="280"/>
        <w:gridCol w:w="280"/>
        <w:gridCol w:w="280"/>
        <w:gridCol w:w="480"/>
        <w:gridCol w:w="480"/>
        <w:gridCol w:w="48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Carolyn J. Stone</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24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fontTable" Target="fontTable.xml"/><Relationship Id="rId2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125304</Words>
  <CharactersWithSpaces>802571</CharactersWithSpaces>
  <Paragraphs>2674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rbc-civeoxfirstamendment</dc:title>
</cp:coreProperties>
</file>