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32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289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02/23/2018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720" w:type="dxa"/>
            <w:vAlign w:val="bottom"/>
            <w:gridSpan w:val="2"/>
          </w:tcPr>
          <w:p>
            <w:pPr>
              <w:ind w:left="120"/>
              <w:spacing w:after="0"/>
              <w:rPr>
                <w:sz w:val="20"/>
                <w:szCs w:val="20"/>
                <w:color w:val="auto"/>
              </w:rPr>
            </w:pPr>
            <w:r>
              <w:rPr>
                <w:rFonts w:ascii="Arial" w:cs="Arial" w:eastAsia="Arial" w:hAnsi="Arial"/>
                <w:sz w:val="17"/>
                <w:szCs w:val="17"/>
                <w:color w:val="0000FF"/>
                <w:w w:val="94"/>
              </w:rPr>
              <w:t>104,166</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jc w:val="right"/>
              <w:spacing w:after="0"/>
              <w:rPr>
                <w:sz w:val="20"/>
                <w:szCs w:val="20"/>
                <w:color w:val="auto"/>
              </w:rPr>
            </w:pPr>
            <w:r>
              <w:rPr>
                <w:rFonts w:ascii="Arial" w:cs="Arial" w:eastAsia="Arial" w:hAnsi="Arial"/>
                <w:sz w:val="11"/>
                <w:szCs w:val="11"/>
                <w:color w:val="008000"/>
              </w:rPr>
              <w:t>(1)(2)</w:t>
            </w:r>
          </w:p>
        </w:tc>
        <w:tc>
          <w:tcPr>
            <w:tcW w:w="40" w:type="dxa"/>
            <w:vAlign w:val="bottom"/>
          </w:tcPr>
          <w:p>
            <w:pPr>
              <w:spacing w:after="0"/>
              <w:rPr>
                <w:sz w:val="23"/>
                <w:szCs w:val="23"/>
                <w:color w:val="auto"/>
              </w:rPr>
            </w:pP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253,444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02/23/2018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3"/>
                <w:szCs w:val="23"/>
                <w:color w:val="auto"/>
              </w:rPr>
            </w:pPr>
          </w:p>
        </w:tc>
        <w:tc>
          <w:tcPr>
            <w:tcW w:w="720" w:type="dxa"/>
            <w:vAlign w:val="bottom"/>
            <w:gridSpan w:val="2"/>
          </w:tcPr>
          <w:p>
            <w:pPr>
              <w:ind w:left="120"/>
              <w:spacing w:after="0"/>
              <w:rPr>
                <w:sz w:val="20"/>
                <w:szCs w:val="20"/>
                <w:color w:val="auto"/>
              </w:rPr>
            </w:pPr>
            <w:r>
              <w:rPr>
                <w:rFonts w:ascii="Arial" w:cs="Arial" w:eastAsia="Arial" w:hAnsi="Arial"/>
                <w:sz w:val="17"/>
                <w:szCs w:val="17"/>
                <w:color w:val="0000FF"/>
                <w:w w:val="94"/>
              </w:rPr>
              <w:t>104,166</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3.74</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149,278</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52,083</w:t>
            </w: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52,083</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52,084</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52,083</w:t>
            </w: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52,083</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(2)</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52,084</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 Unit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is the economic equivalent of Civeo common share and is payable in cash. The phantom shares vest at various times based on the grant date. 52,083 shares vested on February 23, 2018.</w:t>
      </w:r>
    </w:p>
    <w:p>
      <w:pPr>
        <w:spacing w:after="0" w:line="63" w:lineRule="exact"/>
        <w:rPr>
          <w:rFonts w:ascii="Arial" w:cs="Arial" w:eastAsia="Arial" w:hAnsi="Arial"/>
          <w:sz w:val="12"/>
          <w:szCs w:val="12"/>
          <w:color w:val="008000"/>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is the economic equivalent of one Civeo common share and is payable in cash. The restricted stock units vest at various times based on the grant date. 52,083 units vested on February 23, 2018.</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Corporate Secretary</w:t>
      </w:r>
    </w:p>
    <w:p>
      <w:pPr>
        <w:ind w:left="6860"/>
        <w:spacing w:after="0" w:line="190" w:lineRule="auto"/>
        <w:rPr>
          <w:sz w:val="20"/>
          <w:szCs w:val="20"/>
          <w:color w:val="auto"/>
        </w:rPr>
      </w:pPr>
      <w:r>
        <w:rPr>
          <w:rFonts w:ascii="Arial" w:cs="Arial" w:eastAsia="Arial" w:hAnsi="Arial"/>
          <w:sz w:val="17"/>
          <w:szCs w:val="17"/>
          <w:color w:val="0000FF"/>
        </w:rPr>
        <w:t xml:space="preserve">/s/ Carolyn Stone, by Bradley J.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20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014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2019-12-24T07:13:43Z</dcterms:created>
  <dcterms:modified xsi:type="dcterms:W3CDTF">2019-12-24T07:13:43Z</dcterms:modified>
</cp:coreProperties>
</file>